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09104" w14:textId="77777777" w:rsidR="00B32D86" w:rsidRPr="00FB7F9C" w:rsidRDefault="00B32D86" w:rsidP="00A86794">
      <w:pPr>
        <w:pStyle w:val="naisc"/>
        <w:spacing w:before="0" w:beforeAutospacing="0" w:after="120" w:afterAutospacing="0"/>
        <w:jc w:val="center"/>
        <w:rPr>
          <w:b/>
          <w:sz w:val="28"/>
          <w:szCs w:val="28"/>
        </w:rPr>
      </w:pPr>
      <w:r w:rsidRPr="00FB7F9C">
        <w:rPr>
          <w:b/>
          <w:bCs/>
          <w:sz w:val="28"/>
          <w:szCs w:val="28"/>
        </w:rPr>
        <w:t>Ministru kabineta noteikumu projekta</w:t>
      </w:r>
    </w:p>
    <w:p w14:paraId="106816B4" w14:textId="0C6AC3FB" w:rsidR="00B32D86" w:rsidRPr="00FB7F9C" w:rsidRDefault="00ED3404" w:rsidP="00A86794">
      <w:pPr>
        <w:pStyle w:val="NormalWeb"/>
        <w:spacing w:before="0" w:beforeAutospacing="0" w:after="0" w:afterAutospacing="0"/>
        <w:jc w:val="center"/>
        <w:rPr>
          <w:b/>
          <w:bCs/>
          <w:sz w:val="28"/>
          <w:szCs w:val="28"/>
        </w:rPr>
      </w:pPr>
      <w:r w:rsidRPr="00FB7F9C">
        <w:rPr>
          <w:b/>
          <w:sz w:val="28"/>
          <w:szCs w:val="28"/>
        </w:rPr>
        <w:t>,,</w:t>
      </w:r>
      <w:r w:rsidR="00B32D86" w:rsidRPr="00FB7F9C">
        <w:rPr>
          <w:b/>
          <w:bCs/>
          <w:sz w:val="28"/>
          <w:szCs w:val="28"/>
        </w:rPr>
        <w:t>Grozījumi Ministru kabineta 2011.</w:t>
      </w:r>
      <w:r w:rsidRPr="00FB7F9C">
        <w:rPr>
          <w:b/>
          <w:bCs/>
          <w:sz w:val="28"/>
          <w:szCs w:val="28"/>
        </w:rPr>
        <w:t xml:space="preserve"> </w:t>
      </w:r>
      <w:r w:rsidR="00B32D86" w:rsidRPr="00FB7F9C">
        <w:rPr>
          <w:b/>
          <w:bCs/>
          <w:sz w:val="28"/>
          <w:szCs w:val="28"/>
        </w:rPr>
        <w:t>gada 17.</w:t>
      </w:r>
      <w:r w:rsidRPr="00FB7F9C">
        <w:rPr>
          <w:b/>
          <w:bCs/>
          <w:sz w:val="28"/>
          <w:szCs w:val="28"/>
        </w:rPr>
        <w:t xml:space="preserve"> </w:t>
      </w:r>
      <w:r w:rsidR="00B32D86" w:rsidRPr="00FB7F9C">
        <w:rPr>
          <w:b/>
          <w:bCs/>
          <w:sz w:val="28"/>
          <w:szCs w:val="28"/>
        </w:rPr>
        <w:t>maija noteikumos Nr.</w:t>
      </w:r>
      <w:r w:rsidRPr="00FB7F9C">
        <w:rPr>
          <w:b/>
          <w:bCs/>
          <w:sz w:val="28"/>
          <w:szCs w:val="28"/>
        </w:rPr>
        <w:t xml:space="preserve"> </w:t>
      </w:r>
      <w:r w:rsidR="00B32D86" w:rsidRPr="00FB7F9C">
        <w:rPr>
          <w:b/>
          <w:bCs/>
          <w:sz w:val="28"/>
          <w:szCs w:val="28"/>
        </w:rPr>
        <w:t xml:space="preserve">378 </w:t>
      </w:r>
    </w:p>
    <w:p w14:paraId="043BBF7A" w14:textId="3AC1B9CA" w:rsidR="00B32D86" w:rsidRPr="00FB7F9C" w:rsidRDefault="00B32D86" w:rsidP="00A86794">
      <w:pPr>
        <w:pStyle w:val="NormalWeb"/>
        <w:spacing w:before="0" w:beforeAutospacing="0" w:after="0" w:afterAutospacing="0"/>
        <w:jc w:val="center"/>
        <w:rPr>
          <w:b/>
          <w:sz w:val="28"/>
          <w:szCs w:val="28"/>
        </w:rPr>
      </w:pPr>
      <w:r w:rsidRPr="00FB7F9C">
        <w:rPr>
          <w:b/>
          <w:bCs/>
          <w:sz w:val="28"/>
          <w:szCs w:val="28"/>
        </w:rPr>
        <w:t>„Zāļu reklamēšanas kārtība un kārtība, kādā zāļu ražotājs ir tiesīgs nodot ārstiem bezmaksas zāļu paraugus</w:t>
      </w:r>
      <w:r w:rsidRPr="00FB7F9C">
        <w:rPr>
          <w:b/>
          <w:sz w:val="28"/>
          <w:szCs w:val="28"/>
        </w:rPr>
        <w:t>’’</w:t>
      </w:r>
      <w:r w:rsidR="00ED3404" w:rsidRPr="00FB7F9C">
        <w:rPr>
          <w:b/>
          <w:sz w:val="28"/>
          <w:szCs w:val="28"/>
        </w:rPr>
        <w:t>”</w:t>
      </w:r>
    </w:p>
    <w:p w14:paraId="7D195B1C" w14:textId="50C929B3" w:rsidR="00B32D86" w:rsidRPr="00FB7F9C" w:rsidRDefault="00B32D86" w:rsidP="00B32D86">
      <w:pPr>
        <w:jc w:val="center"/>
        <w:rPr>
          <w:rFonts w:ascii="Times New Roman" w:hAnsi="Times New Roman" w:cs="Times New Roman"/>
          <w:b/>
          <w:bCs/>
          <w:sz w:val="28"/>
          <w:szCs w:val="28"/>
        </w:rPr>
      </w:pPr>
      <w:r w:rsidRPr="00FB7F9C">
        <w:rPr>
          <w:rFonts w:ascii="Times New Roman" w:hAnsi="Times New Roman" w:cs="Times New Roman"/>
          <w:b/>
          <w:bCs/>
          <w:sz w:val="28"/>
          <w:szCs w:val="28"/>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849"/>
        <w:gridCol w:w="5773"/>
      </w:tblGrid>
      <w:tr w:rsidR="00FB7F9C" w:rsidRPr="00FB7F9C" w14:paraId="54431BEC" w14:textId="77777777" w:rsidTr="00980CAA">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66D697" w14:textId="77777777" w:rsidR="00BE47F1" w:rsidRPr="00FB7F9C" w:rsidRDefault="00BE47F1" w:rsidP="00980CA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B7F9C">
              <w:rPr>
                <w:rFonts w:ascii="Times New Roman" w:eastAsia="Times New Roman" w:hAnsi="Times New Roman" w:cs="Times New Roman"/>
                <w:b/>
                <w:bCs/>
                <w:sz w:val="24"/>
                <w:szCs w:val="24"/>
                <w:lang w:eastAsia="lv-LV"/>
              </w:rPr>
              <w:t>Tiesību akta projekta anotācijas kopsavilkums</w:t>
            </w:r>
          </w:p>
        </w:tc>
      </w:tr>
      <w:tr w:rsidR="00FB7F9C" w:rsidRPr="00FB7F9C" w14:paraId="456F5F89" w14:textId="77777777" w:rsidTr="00980CAA">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D930800" w14:textId="77777777" w:rsidR="00BE47F1" w:rsidRPr="00FB7F9C" w:rsidRDefault="00BE47F1" w:rsidP="0098160C">
            <w:pPr>
              <w:spacing w:after="0" w:line="240" w:lineRule="auto"/>
              <w:jc w:val="both"/>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C138B56" w14:textId="378B5224" w:rsidR="003005AF" w:rsidRPr="00741E2B" w:rsidRDefault="006B032C" w:rsidP="00741E2B">
            <w:pPr>
              <w:jc w:val="both"/>
              <w:rPr>
                <w:rFonts w:ascii="Times New Roman" w:hAnsi="Times New Roman" w:cs="Times New Roman"/>
                <w:sz w:val="24"/>
                <w:szCs w:val="24"/>
              </w:rPr>
            </w:pPr>
            <w:r w:rsidRPr="00FB7F9C">
              <w:rPr>
                <w:rFonts w:ascii="TimesNewRomanPSMT" w:hAnsi="TimesNewRomanPSMT"/>
              </w:rPr>
              <w:t>1</w:t>
            </w:r>
            <w:r w:rsidR="00741E2B">
              <w:rPr>
                <w:rFonts w:ascii="TimesNewRomanPSMT" w:hAnsi="TimesNewRomanPSMT"/>
              </w:rPr>
              <w:t xml:space="preserve">. </w:t>
            </w:r>
            <w:proofErr w:type="spellStart"/>
            <w:r w:rsidR="00B32D86" w:rsidRPr="00FB7F9C">
              <w:rPr>
                <w:rFonts w:ascii="TimesNewRomanPSMT" w:hAnsi="TimesNewRomanPSMT"/>
              </w:rPr>
              <w:t>Nodrošināt</w:t>
            </w:r>
            <w:proofErr w:type="spellEnd"/>
            <w:r w:rsidR="00B32D86" w:rsidRPr="00FB7F9C">
              <w:rPr>
                <w:rFonts w:ascii="TimesNewRomanPSMT" w:hAnsi="TimesNewRomanPSMT"/>
              </w:rPr>
              <w:t xml:space="preserve"> </w:t>
            </w:r>
            <w:proofErr w:type="spellStart"/>
            <w:r w:rsidR="00B32D86" w:rsidRPr="00FB7F9C">
              <w:rPr>
                <w:rFonts w:ascii="TimesNewRomanPSMT" w:hAnsi="TimesNewRomanPSMT"/>
              </w:rPr>
              <w:t>brīvāku</w:t>
            </w:r>
            <w:proofErr w:type="spellEnd"/>
            <w:r w:rsidR="00B32D86" w:rsidRPr="00FB7F9C">
              <w:rPr>
                <w:rFonts w:ascii="TimesNewRomanPSMT" w:hAnsi="TimesNewRomanPSMT"/>
              </w:rPr>
              <w:t xml:space="preserve"> un </w:t>
            </w:r>
            <w:proofErr w:type="spellStart"/>
            <w:r w:rsidR="00B32D86" w:rsidRPr="00FB7F9C">
              <w:rPr>
                <w:rFonts w:ascii="TimesNewRomanPSMT" w:hAnsi="TimesNewRomanPSMT"/>
              </w:rPr>
              <w:t>godīgāku</w:t>
            </w:r>
            <w:proofErr w:type="spellEnd"/>
            <w:r w:rsidR="00B32D86" w:rsidRPr="00FB7F9C">
              <w:rPr>
                <w:rFonts w:ascii="TimesNewRomanPSMT" w:hAnsi="TimesNewRomanPSMT"/>
              </w:rPr>
              <w:t xml:space="preserve"> konkurenci medikamentu tirgū, izveidojot </w:t>
            </w:r>
            <w:proofErr w:type="spellStart"/>
            <w:r w:rsidR="00B32D86" w:rsidRPr="00FB7F9C">
              <w:rPr>
                <w:rFonts w:ascii="TimesNewRomanPSMT" w:hAnsi="TimesNewRomanPSMT"/>
              </w:rPr>
              <w:t>nacionālo</w:t>
            </w:r>
            <w:proofErr w:type="spellEnd"/>
            <w:r w:rsidR="00B32D86" w:rsidRPr="00FB7F9C">
              <w:rPr>
                <w:rFonts w:ascii="TimesNewRomanPSMT" w:hAnsi="TimesNewRomanPSMT"/>
              </w:rPr>
              <w:t xml:space="preserve"> </w:t>
            </w:r>
            <w:proofErr w:type="spellStart"/>
            <w:r w:rsidR="00B32D86" w:rsidRPr="00FB7F9C">
              <w:rPr>
                <w:rFonts w:ascii="TimesNewRomanPSMT" w:hAnsi="TimesNewRomanPSMT"/>
              </w:rPr>
              <w:t>farmācijas</w:t>
            </w:r>
            <w:proofErr w:type="spellEnd"/>
            <w:r w:rsidR="00B32D86" w:rsidRPr="00FB7F9C">
              <w:rPr>
                <w:rFonts w:ascii="TimesNewRomanPSMT" w:hAnsi="TimesNewRomanPSMT"/>
              </w:rPr>
              <w:t xml:space="preserve"> politiku, lai uzlabotu </w:t>
            </w:r>
            <w:proofErr w:type="spellStart"/>
            <w:r w:rsidR="00B32D86" w:rsidRPr="00FB7F9C">
              <w:rPr>
                <w:rFonts w:ascii="TimesNewRomanPSMT" w:hAnsi="TimesNewRomanPSMT"/>
              </w:rPr>
              <w:t>zāļu</w:t>
            </w:r>
            <w:proofErr w:type="spellEnd"/>
            <w:r w:rsidR="00B32D86" w:rsidRPr="00FB7F9C">
              <w:rPr>
                <w:rFonts w:ascii="TimesNewRomanPSMT" w:hAnsi="TimesNewRomanPSMT"/>
              </w:rPr>
              <w:t xml:space="preserve"> </w:t>
            </w:r>
            <w:proofErr w:type="spellStart"/>
            <w:r w:rsidR="00B32D86" w:rsidRPr="00FB7F9C">
              <w:rPr>
                <w:rFonts w:ascii="TimesNewRomanPSMT" w:hAnsi="TimesNewRomanPSMT"/>
              </w:rPr>
              <w:t>pieej</w:t>
            </w:r>
            <w:r w:rsidR="00ED42A5" w:rsidRPr="00FB7F9C">
              <w:rPr>
                <w:rFonts w:ascii="TimesNewRomanPSMT" w:hAnsi="TimesNewRomanPSMT"/>
              </w:rPr>
              <w:t>amību</w:t>
            </w:r>
            <w:proofErr w:type="spellEnd"/>
            <w:r w:rsidR="00ED42A5" w:rsidRPr="00FB7F9C">
              <w:rPr>
                <w:rFonts w:ascii="TimesNewRomanPSMT" w:hAnsi="TimesNewRomanPSMT"/>
              </w:rPr>
              <w:t xml:space="preserve"> </w:t>
            </w:r>
            <w:r w:rsidR="00ED42A5" w:rsidRPr="0082794D">
              <w:rPr>
                <w:rFonts w:ascii="TimesNewRomanPSMT" w:hAnsi="TimesNewRomanPSMT"/>
              </w:rPr>
              <w:t xml:space="preserve">un </w:t>
            </w:r>
            <w:proofErr w:type="spellStart"/>
            <w:r w:rsidR="00ED42A5" w:rsidRPr="0082794D">
              <w:rPr>
                <w:rFonts w:ascii="TimesNewRomanPSMT" w:hAnsi="TimesNewRomanPSMT"/>
              </w:rPr>
              <w:t>samazinātu</w:t>
            </w:r>
            <w:proofErr w:type="spellEnd"/>
            <w:r w:rsidR="00ED42A5" w:rsidRPr="0082794D">
              <w:rPr>
                <w:rFonts w:ascii="TimesNewRomanPSMT" w:hAnsi="TimesNewRomanPSMT"/>
              </w:rPr>
              <w:t xml:space="preserve"> to cenas.</w:t>
            </w:r>
          </w:p>
          <w:p w14:paraId="64448418" w14:textId="19E29006" w:rsidR="00B32D86" w:rsidRPr="00FB7F9C" w:rsidRDefault="00B32D86" w:rsidP="000C48D5">
            <w:pPr>
              <w:pStyle w:val="NormalWeb"/>
              <w:rPr>
                <w:rFonts w:ascii="TimesNewRomanPSMT" w:hAnsi="TimesNewRomanPSMT"/>
              </w:rPr>
            </w:pPr>
            <w:r w:rsidRPr="00FB7F9C">
              <w:rPr>
                <w:rFonts w:ascii="TimesNewRomanPSMT" w:hAnsi="TimesNewRomanPSMT"/>
              </w:rPr>
              <w:t>(Deklarācija par Artura Krišjāņa Kariņa vadītā ministru kabineta iecerēto darbību; 139.</w:t>
            </w:r>
            <w:r w:rsidR="00ED3404" w:rsidRPr="00FB7F9C">
              <w:rPr>
                <w:rFonts w:ascii="TimesNewRomanPSMT" w:hAnsi="TimesNewRomanPSMT"/>
              </w:rPr>
              <w:t xml:space="preserve"> </w:t>
            </w:r>
            <w:r w:rsidRPr="00FB7F9C">
              <w:rPr>
                <w:rFonts w:ascii="TimesNewRomanPSMT" w:hAnsi="TimesNewRomanPSMT"/>
              </w:rPr>
              <w:t>punkts</w:t>
            </w:r>
            <w:r w:rsidR="000C48D5" w:rsidRPr="00FB7F9C">
              <w:rPr>
                <w:rFonts w:ascii="TimesNewRomanPSMT" w:hAnsi="TimesNewRomanPSMT"/>
              </w:rPr>
              <w:t>)</w:t>
            </w:r>
          </w:p>
          <w:p w14:paraId="3E2E3DF8" w14:textId="48237CE2" w:rsidR="006B032C" w:rsidRPr="00FB7F9C" w:rsidRDefault="00741E2B" w:rsidP="006B032C">
            <w:pPr>
              <w:jc w:val="both"/>
              <w:rPr>
                <w:rFonts w:ascii="Times New Roman" w:hAnsi="Times New Roman" w:cs="Times New Roman"/>
                <w:sz w:val="24"/>
                <w:szCs w:val="24"/>
              </w:rPr>
            </w:pPr>
            <w:r>
              <w:rPr>
                <w:rFonts w:ascii="Times New Roman" w:hAnsi="Times New Roman" w:cs="Times New Roman"/>
                <w:sz w:val="24"/>
                <w:szCs w:val="24"/>
              </w:rPr>
              <w:t>2</w:t>
            </w:r>
            <w:r w:rsidR="006B032C" w:rsidRPr="00FB7F9C">
              <w:rPr>
                <w:rFonts w:ascii="Times New Roman" w:hAnsi="Times New Roman" w:cs="Times New Roman"/>
                <w:sz w:val="24"/>
                <w:szCs w:val="24"/>
              </w:rPr>
              <w:t xml:space="preserve">.Veikt efektīvāku zāļu reklāmas uzraudzību, mazināt iespējamos korupcijas riskus veselības aprūpē un veicināt zāļu ražotājfirmu un izplatītāju ar zāļu reklāmu saistīto mārketinga izdevumu caurskatāmību. </w:t>
            </w:r>
          </w:p>
          <w:p w14:paraId="31CDF651" w14:textId="4A506CBD" w:rsidR="00BE47F1" w:rsidRPr="00FB7F9C" w:rsidRDefault="00CA3824" w:rsidP="00705121">
            <w:pPr>
              <w:jc w:val="both"/>
              <w:rPr>
                <w:rFonts w:ascii="Times New Roman" w:hAnsi="Times New Roman" w:cs="Times New Roman"/>
                <w:sz w:val="24"/>
                <w:szCs w:val="24"/>
              </w:rPr>
            </w:pPr>
            <w:r w:rsidRPr="00FB7F9C">
              <w:rPr>
                <w:rFonts w:ascii="Times New Roman" w:eastAsia="Times New Roman" w:hAnsi="Times New Roman" w:cs="Times New Roman"/>
                <w:iCs/>
                <w:sz w:val="24"/>
                <w:szCs w:val="24"/>
                <w:lang w:val="sv-SE" w:eastAsia="lv-LV"/>
              </w:rPr>
              <w:t xml:space="preserve">Noteikumu projekts stājas spēkā vispārējā kārtībā, savukārt norma, kas attiecas uz papildu informācijas </w:t>
            </w:r>
            <w:r w:rsidR="00900F65" w:rsidRPr="00FB7F9C">
              <w:rPr>
                <w:rFonts w:ascii="Times New Roman" w:eastAsia="Times New Roman" w:hAnsi="Times New Roman" w:cs="Times New Roman"/>
                <w:iCs/>
                <w:sz w:val="24"/>
                <w:szCs w:val="24"/>
                <w:lang w:val="sv-SE" w:eastAsia="lv-LV"/>
              </w:rPr>
              <w:t>iesniegšanu</w:t>
            </w:r>
            <w:r w:rsidRPr="00FB7F9C">
              <w:rPr>
                <w:rFonts w:ascii="Times New Roman" w:eastAsia="Times New Roman" w:hAnsi="Times New Roman" w:cs="Times New Roman"/>
                <w:iCs/>
                <w:sz w:val="24"/>
                <w:szCs w:val="24"/>
                <w:lang w:val="sv-SE" w:eastAsia="lv-LV"/>
              </w:rPr>
              <w:t xml:space="preserve"> Veselības inspekcija</w:t>
            </w:r>
            <w:r w:rsidR="00900F65" w:rsidRPr="00FB7F9C">
              <w:rPr>
                <w:rFonts w:ascii="Times New Roman" w:eastAsia="Times New Roman" w:hAnsi="Times New Roman" w:cs="Times New Roman"/>
                <w:iCs/>
                <w:sz w:val="24"/>
                <w:szCs w:val="24"/>
                <w:lang w:val="sv-SE" w:eastAsia="lv-LV"/>
              </w:rPr>
              <w:t>i</w:t>
            </w:r>
            <w:r w:rsidRPr="00FB7F9C">
              <w:rPr>
                <w:rFonts w:ascii="Times New Roman" w:eastAsia="Times New Roman" w:hAnsi="Times New Roman" w:cs="Times New Roman"/>
                <w:iCs/>
                <w:sz w:val="24"/>
                <w:szCs w:val="24"/>
                <w:lang w:val="sv-SE" w:eastAsia="lv-LV"/>
              </w:rPr>
              <w:t>, stājas spēkā ar 2021. gada 1. aprīli.</w:t>
            </w:r>
          </w:p>
        </w:tc>
      </w:tr>
    </w:tbl>
    <w:p w14:paraId="2069EF91" w14:textId="1B1854A3" w:rsidR="00706987" w:rsidRPr="00FB7F9C" w:rsidRDefault="00706987" w:rsidP="00706987">
      <w:pPr>
        <w:tabs>
          <w:tab w:val="left" w:pos="1485"/>
        </w:tabs>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ab/>
      </w:r>
    </w:p>
    <w:tbl>
      <w:tblPr>
        <w:tblpPr w:leftFromText="180" w:rightFromText="180" w:vertAnchor="text" w:tblpXSpec="right" w:tblpY="1"/>
        <w:tblOverlap w:val="neve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1"/>
        <w:gridCol w:w="2942"/>
        <w:gridCol w:w="6439"/>
      </w:tblGrid>
      <w:tr w:rsidR="00FB7F9C" w:rsidRPr="00FB7F9C" w14:paraId="55B0FF7C" w14:textId="77777777" w:rsidTr="00980CAA">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A0DFD09" w14:textId="77777777" w:rsidR="00BE47F1" w:rsidRPr="00FB7F9C" w:rsidRDefault="00BE47F1" w:rsidP="00980CA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B7F9C">
              <w:rPr>
                <w:rFonts w:ascii="Times New Roman" w:eastAsia="Times New Roman" w:hAnsi="Times New Roman" w:cs="Times New Roman"/>
                <w:b/>
                <w:bCs/>
                <w:sz w:val="24"/>
                <w:szCs w:val="24"/>
                <w:lang w:eastAsia="lv-LV"/>
              </w:rPr>
              <w:t>I. Tiesību akta projekta izstrādes nepieciešamība</w:t>
            </w:r>
          </w:p>
        </w:tc>
      </w:tr>
      <w:tr w:rsidR="00FB7F9C" w:rsidRPr="00FB7F9C" w14:paraId="74DA2CF6" w14:textId="77777777" w:rsidTr="00980CAA">
        <w:trPr>
          <w:trHeight w:val="324"/>
        </w:trPr>
        <w:tc>
          <w:tcPr>
            <w:tcW w:w="125" w:type="pct"/>
            <w:tcBorders>
              <w:top w:val="outset" w:sz="6" w:space="0" w:color="414142"/>
              <w:left w:val="outset" w:sz="6" w:space="0" w:color="414142"/>
              <w:bottom w:val="outset" w:sz="6" w:space="0" w:color="414142"/>
              <w:right w:val="outset" w:sz="6" w:space="0" w:color="414142"/>
            </w:tcBorders>
            <w:hideMark/>
          </w:tcPr>
          <w:p w14:paraId="02462140" w14:textId="77777777" w:rsidR="00BE47F1" w:rsidRPr="00FB7F9C" w:rsidRDefault="00BE47F1" w:rsidP="00980C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1.</w:t>
            </w:r>
          </w:p>
        </w:tc>
        <w:tc>
          <w:tcPr>
            <w:tcW w:w="1529" w:type="pct"/>
            <w:tcBorders>
              <w:top w:val="outset" w:sz="6" w:space="0" w:color="414142"/>
              <w:left w:val="outset" w:sz="6" w:space="0" w:color="414142"/>
              <w:bottom w:val="outset" w:sz="6" w:space="0" w:color="414142"/>
              <w:right w:val="outset" w:sz="6" w:space="0" w:color="414142"/>
            </w:tcBorders>
            <w:hideMark/>
          </w:tcPr>
          <w:p w14:paraId="577648A0" w14:textId="77777777" w:rsidR="00BE47F1" w:rsidRPr="00FB7F9C" w:rsidRDefault="00BE47F1" w:rsidP="00980CAA">
            <w:pPr>
              <w:spacing w:after="0" w:line="240" w:lineRule="auto"/>
              <w:jc w:val="both"/>
              <w:rPr>
                <w:rFonts w:ascii="Times New Roman" w:eastAsia="Times New Roman" w:hAnsi="Times New Roman" w:cs="Times New Roman"/>
                <w:sz w:val="24"/>
                <w:szCs w:val="24"/>
                <w:lang w:eastAsia="lv-LV"/>
              </w:rPr>
            </w:pPr>
            <w:r w:rsidRPr="00FB7F9C">
              <w:rPr>
                <w:rFonts w:ascii="Times New Roman" w:eastAsia="Times New Roman" w:hAnsi="Times New Roman" w:cs="Times New Roman"/>
                <w:iCs/>
                <w:sz w:val="24"/>
                <w:szCs w:val="24"/>
              </w:rPr>
              <w:t>Pamatojums</w:t>
            </w:r>
          </w:p>
        </w:tc>
        <w:tc>
          <w:tcPr>
            <w:tcW w:w="3346" w:type="pct"/>
            <w:tcBorders>
              <w:top w:val="outset" w:sz="6" w:space="0" w:color="414142"/>
              <w:left w:val="outset" w:sz="6" w:space="0" w:color="414142"/>
              <w:bottom w:val="outset" w:sz="6" w:space="0" w:color="414142"/>
              <w:right w:val="outset" w:sz="6" w:space="0" w:color="414142"/>
            </w:tcBorders>
            <w:hideMark/>
          </w:tcPr>
          <w:p w14:paraId="1C4D798F" w14:textId="6D588341" w:rsidR="00FA1FFA" w:rsidRPr="00FB7F9C" w:rsidRDefault="009E5EA4" w:rsidP="00FA1FFA">
            <w:pPr>
              <w:pStyle w:val="NoSpacing"/>
              <w:rPr>
                <w:rFonts w:ascii="Times New Roman" w:hAnsi="Times New Roman" w:cs="Times New Roman"/>
                <w:sz w:val="24"/>
                <w:szCs w:val="24"/>
                <w:lang w:eastAsia="lv-LV"/>
              </w:rPr>
            </w:pPr>
            <w:r w:rsidRPr="00FB7F9C">
              <w:rPr>
                <w:rFonts w:ascii="Times New Roman" w:hAnsi="Times New Roman" w:cs="Times New Roman"/>
                <w:sz w:val="24"/>
                <w:szCs w:val="24"/>
                <w:lang w:eastAsia="lv-LV"/>
              </w:rPr>
              <w:t xml:space="preserve">1) Farmācijas likuma 5. panta </w:t>
            </w:r>
            <w:r w:rsidR="000C48D5" w:rsidRPr="00FB7F9C">
              <w:rPr>
                <w:rFonts w:ascii="Times New Roman" w:hAnsi="Times New Roman" w:cs="Times New Roman"/>
                <w:sz w:val="24"/>
                <w:szCs w:val="24"/>
                <w:lang w:eastAsia="lv-LV"/>
              </w:rPr>
              <w:t>5</w:t>
            </w:r>
            <w:r w:rsidRPr="00FB7F9C">
              <w:rPr>
                <w:rFonts w:ascii="Times New Roman" w:hAnsi="Times New Roman" w:cs="Times New Roman"/>
                <w:sz w:val="24"/>
                <w:szCs w:val="24"/>
                <w:lang w:eastAsia="lv-LV"/>
              </w:rPr>
              <w:t xml:space="preserve">. punkts </w:t>
            </w:r>
            <w:r w:rsidR="00CD37E0">
              <w:rPr>
                <w:rFonts w:ascii="Times New Roman" w:hAnsi="Times New Roman" w:cs="Times New Roman"/>
                <w:sz w:val="24"/>
                <w:szCs w:val="24"/>
                <w:lang w:eastAsia="lv-LV"/>
              </w:rPr>
              <w:t>un 56. pants.</w:t>
            </w:r>
          </w:p>
          <w:p w14:paraId="39168AD5" w14:textId="7D84DD7A" w:rsidR="00FA1FFA" w:rsidRPr="00FB7F9C" w:rsidRDefault="009E5EA4" w:rsidP="00FA1FFA">
            <w:pPr>
              <w:pStyle w:val="NoSpacing"/>
              <w:rPr>
                <w:rFonts w:ascii="Times New Roman" w:hAnsi="Times New Roman" w:cs="Times New Roman"/>
                <w:sz w:val="24"/>
                <w:szCs w:val="24"/>
                <w:lang w:eastAsia="lv-LV"/>
              </w:rPr>
            </w:pPr>
            <w:r w:rsidRPr="00FB7F9C">
              <w:rPr>
                <w:rFonts w:ascii="Times New Roman" w:hAnsi="Times New Roman" w:cs="Times New Roman"/>
                <w:sz w:val="24"/>
                <w:szCs w:val="24"/>
                <w:lang w:eastAsia="lv-LV"/>
              </w:rPr>
              <w:t xml:space="preserve">2) </w:t>
            </w:r>
            <w:r w:rsidR="00FA1FFA" w:rsidRPr="00FB7F9C">
              <w:rPr>
                <w:rFonts w:ascii="Times New Roman" w:hAnsi="Times New Roman" w:cs="Times New Roman"/>
                <w:sz w:val="24"/>
                <w:szCs w:val="24"/>
                <w:lang w:eastAsia="lv-LV"/>
              </w:rPr>
              <w:t>Veselības ministrijas iniciatīva</w:t>
            </w:r>
          </w:p>
          <w:p w14:paraId="6D3199EA" w14:textId="374E0385" w:rsidR="00E876B6" w:rsidRPr="00FB7F9C" w:rsidRDefault="00E876B6" w:rsidP="00FA1FFA">
            <w:pPr>
              <w:pStyle w:val="NoSpacing"/>
              <w:rPr>
                <w:rFonts w:ascii="Times New Roman" w:hAnsi="Times New Roman" w:cs="Times New Roman"/>
                <w:sz w:val="24"/>
                <w:szCs w:val="24"/>
                <w:lang w:eastAsia="lv-LV"/>
              </w:rPr>
            </w:pPr>
            <w:r w:rsidRPr="00FB7F9C">
              <w:rPr>
                <w:rFonts w:ascii="Times New Roman" w:hAnsi="Times New Roman" w:cs="Times New Roman"/>
                <w:sz w:val="24"/>
                <w:szCs w:val="24"/>
                <w:lang w:eastAsia="lv-LV"/>
              </w:rPr>
              <w:t>3) Veselības inspekcijas ierosinājums</w:t>
            </w:r>
          </w:p>
          <w:p w14:paraId="25BA3D9B" w14:textId="00DC8328" w:rsidR="008049F2" w:rsidRPr="00FB7F9C" w:rsidRDefault="00E876B6" w:rsidP="00FA1FFA">
            <w:pPr>
              <w:pStyle w:val="NoSpacing"/>
              <w:rPr>
                <w:rFonts w:ascii="Times New Roman" w:hAnsi="Times New Roman" w:cs="Times New Roman"/>
                <w:sz w:val="24"/>
                <w:szCs w:val="24"/>
                <w:lang w:eastAsia="lv-LV"/>
              </w:rPr>
            </w:pPr>
            <w:r w:rsidRPr="00FB7F9C">
              <w:rPr>
                <w:rFonts w:ascii="Times New Roman" w:hAnsi="Times New Roman" w:cs="Times New Roman"/>
                <w:sz w:val="24"/>
                <w:szCs w:val="24"/>
                <w:lang w:eastAsia="lv-LV"/>
              </w:rPr>
              <w:t>4</w:t>
            </w:r>
            <w:r w:rsidR="008049F2" w:rsidRPr="00FB7F9C">
              <w:rPr>
                <w:rFonts w:ascii="Times New Roman" w:hAnsi="Times New Roman" w:cs="Times New Roman"/>
                <w:sz w:val="24"/>
                <w:szCs w:val="24"/>
                <w:lang w:eastAsia="lv-LV"/>
              </w:rPr>
              <w:t xml:space="preserve">) </w:t>
            </w:r>
            <w:r w:rsidR="000C48D5" w:rsidRPr="00FB7F9C">
              <w:rPr>
                <w:rFonts w:ascii="Times New Roman" w:hAnsi="Times New Roman" w:cs="Times New Roman"/>
                <w:sz w:val="24"/>
                <w:szCs w:val="24"/>
                <w:lang w:eastAsia="lv-LV"/>
              </w:rPr>
              <w:t>Farmācijas industrijas ierosinājums</w:t>
            </w:r>
          </w:p>
        </w:tc>
      </w:tr>
      <w:tr w:rsidR="00FB7F9C" w:rsidRPr="00FB7F9C" w14:paraId="04A7F56B" w14:textId="77777777" w:rsidTr="00980CAA">
        <w:trPr>
          <w:trHeight w:val="372"/>
        </w:trPr>
        <w:tc>
          <w:tcPr>
            <w:tcW w:w="125" w:type="pct"/>
            <w:tcBorders>
              <w:top w:val="outset" w:sz="6" w:space="0" w:color="414142"/>
              <w:left w:val="outset" w:sz="6" w:space="0" w:color="414142"/>
              <w:bottom w:val="outset" w:sz="6" w:space="0" w:color="414142"/>
              <w:right w:val="outset" w:sz="6" w:space="0" w:color="414142"/>
            </w:tcBorders>
            <w:hideMark/>
          </w:tcPr>
          <w:p w14:paraId="70FBC869" w14:textId="77777777" w:rsidR="00BE47F1" w:rsidRPr="00FB7F9C" w:rsidRDefault="00BE47F1" w:rsidP="00980C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2.</w:t>
            </w:r>
          </w:p>
        </w:tc>
        <w:tc>
          <w:tcPr>
            <w:tcW w:w="1529" w:type="pct"/>
            <w:tcBorders>
              <w:top w:val="outset" w:sz="6" w:space="0" w:color="414142"/>
              <w:left w:val="outset" w:sz="6" w:space="0" w:color="414142"/>
              <w:bottom w:val="outset" w:sz="6" w:space="0" w:color="414142"/>
              <w:right w:val="outset" w:sz="6" w:space="0" w:color="414142"/>
            </w:tcBorders>
            <w:hideMark/>
          </w:tcPr>
          <w:p w14:paraId="0644457B"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42A315D" w14:textId="77777777" w:rsidR="00BE47F1" w:rsidRPr="00FB7F9C" w:rsidRDefault="00BE47F1" w:rsidP="00980CAA">
            <w:pPr>
              <w:rPr>
                <w:rFonts w:ascii="Times New Roman" w:eastAsia="Times New Roman" w:hAnsi="Times New Roman" w:cs="Times New Roman"/>
                <w:sz w:val="24"/>
                <w:szCs w:val="24"/>
                <w:lang w:eastAsia="lv-LV"/>
              </w:rPr>
            </w:pPr>
          </w:p>
          <w:p w14:paraId="61B480AB" w14:textId="77777777" w:rsidR="00BE47F1" w:rsidRPr="00FB7F9C" w:rsidRDefault="00BE47F1" w:rsidP="00980CAA">
            <w:pPr>
              <w:tabs>
                <w:tab w:val="left" w:pos="600"/>
              </w:tabs>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ab/>
            </w:r>
          </w:p>
          <w:p w14:paraId="64B90FB0" w14:textId="77777777" w:rsidR="00BE47F1" w:rsidRPr="00FB7F9C" w:rsidRDefault="00BE47F1" w:rsidP="00980CAA">
            <w:pPr>
              <w:rPr>
                <w:rFonts w:ascii="Times New Roman" w:eastAsia="Times New Roman" w:hAnsi="Times New Roman" w:cs="Times New Roman"/>
                <w:sz w:val="24"/>
                <w:szCs w:val="24"/>
                <w:lang w:eastAsia="lv-LV"/>
              </w:rPr>
            </w:pPr>
          </w:p>
          <w:p w14:paraId="2A9BBE89" w14:textId="77777777" w:rsidR="00BE47F1" w:rsidRPr="00FB7F9C" w:rsidRDefault="00BE47F1" w:rsidP="00980CAA">
            <w:pPr>
              <w:rPr>
                <w:rFonts w:ascii="Times New Roman" w:eastAsia="Times New Roman" w:hAnsi="Times New Roman" w:cs="Times New Roman"/>
                <w:sz w:val="24"/>
                <w:szCs w:val="24"/>
                <w:lang w:eastAsia="lv-LV"/>
              </w:rPr>
            </w:pPr>
          </w:p>
          <w:p w14:paraId="52A5D615" w14:textId="77777777" w:rsidR="00BE47F1" w:rsidRPr="00FB7F9C" w:rsidRDefault="00BE47F1" w:rsidP="00980CAA">
            <w:pPr>
              <w:jc w:val="center"/>
              <w:rPr>
                <w:rFonts w:ascii="Times New Roman" w:eastAsia="Times New Roman" w:hAnsi="Times New Roman" w:cs="Times New Roman"/>
                <w:sz w:val="24"/>
                <w:szCs w:val="24"/>
                <w:lang w:eastAsia="lv-LV"/>
              </w:rPr>
            </w:pPr>
          </w:p>
          <w:p w14:paraId="4BE4A2CF" w14:textId="77777777" w:rsidR="00706987" w:rsidRPr="00FB7F9C" w:rsidRDefault="00706987" w:rsidP="00706987">
            <w:pPr>
              <w:rPr>
                <w:rFonts w:ascii="Times New Roman" w:eastAsia="Times New Roman" w:hAnsi="Times New Roman" w:cs="Times New Roman"/>
                <w:sz w:val="24"/>
                <w:szCs w:val="24"/>
                <w:lang w:eastAsia="lv-LV"/>
              </w:rPr>
            </w:pPr>
          </w:p>
          <w:p w14:paraId="3F8E4B47" w14:textId="77777777" w:rsidR="00706987" w:rsidRPr="00FB7F9C" w:rsidRDefault="00706987" w:rsidP="00706987">
            <w:pPr>
              <w:rPr>
                <w:rFonts w:ascii="Times New Roman" w:eastAsia="Times New Roman" w:hAnsi="Times New Roman" w:cs="Times New Roman"/>
                <w:sz w:val="24"/>
                <w:szCs w:val="24"/>
                <w:lang w:eastAsia="lv-LV"/>
              </w:rPr>
            </w:pPr>
          </w:p>
          <w:p w14:paraId="55AA232C" w14:textId="77777777" w:rsidR="00706987" w:rsidRPr="00FB7F9C" w:rsidRDefault="00706987" w:rsidP="00706987">
            <w:pPr>
              <w:rPr>
                <w:rFonts w:ascii="Times New Roman" w:eastAsia="Times New Roman" w:hAnsi="Times New Roman" w:cs="Times New Roman"/>
                <w:sz w:val="24"/>
                <w:szCs w:val="24"/>
                <w:lang w:eastAsia="lv-LV"/>
              </w:rPr>
            </w:pPr>
          </w:p>
          <w:p w14:paraId="52013AB5" w14:textId="77777777" w:rsidR="00706987" w:rsidRPr="00FB7F9C" w:rsidRDefault="00706987" w:rsidP="00706987">
            <w:pPr>
              <w:rPr>
                <w:rFonts w:ascii="Times New Roman" w:eastAsia="Times New Roman" w:hAnsi="Times New Roman" w:cs="Times New Roman"/>
                <w:sz w:val="24"/>
                <w:szCs w:val="24"/>
                <w:lang w:eastAsia="lv-LV"/>
              </w:rPr>
            </w:pPr>
          </w:p>
          <w:p w14:paraId="7AA67E06" w14:textId="77777777" w:rsidR="00706987" w:rsidRPr="00FB7F9C" w:rsidRDefault="00706987" w:rsidP="00706987">
            <w:pPr>
              <w:rPr>
                <w:rFonts w:ascii="Times New Roman" w:eastAsia="Times New Roman" w:hAnsi="Times New Roman" w:cs="Times New Roman"/>
                <w:sz w:val="24"/>
                <w:szCs w:val="24"/>
                <w:lang w:eastAsia="lv-LV"/>
              </w:rPr>
            </w:pPr>
          </w:p>
          <w:p w14:paraId="3630DE33" w14:textId="77777777" w:rsidR="00706987" w:rsidRPr="00FB7F9C" w:rsidRDefault="00706987" w:rsidP="00706987">
            <w:pPr>
              <w:rPr>
                <w:rFonts w:ascii="Times New Roman" w:eastAsia="Times New Roman" w:hAnsi="Times New Roman" w:cs="Times New Roman"/>
                <w:sz w:val="24"/>
                <w:szCs w:val="24"/>
                <w:lang w:eastAsia="lv-LV"/>
              </w:rPr>
            </w:pPr>
          </w:p>
          <w:p w14:paraId="3B62FFE7" w14:textId="77777777" w:rsidR="00706987" w:rsidRPr="00FB7F9C" w:rsidRDefault="00706987" w:rsidP="00706987">
            <w:pPr>
              <w:rPr>
                <w:rFonts w:ascii="Times New Roman" w:eastAsia="Times New Roman" w:hAnsi="Times New Roman" w:cs="Times New Roman"/>
                <w:sz w:val="24"/>
                <w:szCs w:val="24"/>
                <w:lang w:eastAsia="lv-LV"/>
              </w:rPr>
            </w:pPr>
          </w:p>
          <w:p w14:paraId="7ED2F8DC" w14:textId="77777777" w:rsidR="00706987" w:rsidRPr="00FB7F9C" w:rsidRDefault="00706987" w:rsidP="00706987">
            <w:pPr>
              <w:rPr>
                <w:rFonts w:ascii="Times New Roman" w:eastAsia="Times New Roman" w:hAnsi="Times New Roman" w:cs="Times New Roman"/>
                <w:sz w:val="24"/>
                <w:szCs w:val="24"/>
                <w:lang w:eastAsia="lv-LV"/>
              </w:rPr>
            </w:pPr>
          </w:p>
          <w:p w14:paraId="2BB8BD22" w14:textId="77777777" w:rsidR="00706987" w:rsidRPr="00FB7F9C" w:rsidRDefault="00706987" w:rsidP="00706987">
            <w:pPr>
              <w:rPr>
                <w:rFonts w:ascii="Times New Roman" w:eastAsia="Times New Roman" w:hAnsi="Times New Roman" w:cs="Times New Roman"/>
                <w:sz w:val="24"/>
                <w:szCs w:val="24"/>
                <w:lang w:eastAsia="lv-LV"/>
              </w:rPr>
            </w:pPr>
          </w:p>
          <w:p w14:paraId="52969571" w14:textId="77777777" w:rsidR="00706987" w:rsidRPr="00FB7F9C" w:rsidRDefault="00706987" w:rsidP="00706987">
            <w:pPr>
              <w:rPr>
                <w:rFonts w:ascii="Times New Roman" w:eastAsia="Times New Roman" w:hAnsi="Times New Roman" w:cs="Times New Roman"/>
                <w:sz w:val="24"/>
                <w:szCs w:val="24"/>
                <w:lang w:eastAsia="lv-LV"/>
              </w:rPr>
            </w:pPr>
          </w:p>
          <w:p w14:paraId="10375E24" w14:textId="77777777" w:rsidR="00706987" w:rsidRPr="00FB7F9C" w:rsidRDefault="00706987" w:rsidP="00706987">
            <w:pPr>
              <w:rPr>
                <w:rFonts w:ascii="Times New Roman" w:eastAsia="Times New Roman" w:hAnsi="Times New Roman" w:cs="Times New Roman"/>
                <w:sz w:val="24"/>
                <w:szCs w:val="24"/>
                <w:lang w:eastAsia="lv-LV"/>
              </w:rPr>
            </w:pPr>
          </w:p>
          <w:p w14:paraId="5F431253" w14:textId="77777777" w:rsidR="00706987" w:rsidRPr="00FB7F9C" w:rsidRDefault="00706987" w:rsidP="00706987">
            <w:pPr>
              <w:rPr>
                <w:rFonts w:ascii="Times New Roman" w:eastAsia="Times New Roman" w:hAnsi="Times New Roman" w:cs="Times New Roman"/>
                <w:sz w:val="24"/>
                <w:szCs w:val="24"/>
                <w:lang w:eastAsia="lv-LV"/>
              </w:rPr>
            </w:pPr>
          </w:p>
          <w:p w14:paraId="7395B8A6" w14:textId="77777777" w:rsidR="00706987" w:rsidRPr="00FB7F9C" w:rsidRDefault="00706987" w:rsidP="00706987">
            <w:pPr>
              <w:rPr>
                <w:rFonts w:ascii="Times New Roman" w:eastAsia="Times New Roman" w:hAnsi="Times New Roman" w:cs="Times New Roman"/>
                <w:sz w:val="24"/>
                <w:szCs w:val="24"/>
                <w:lang w:eastAsia="lv-LV"/>
              </w:rPr>
            </w:pPr>
          </w:p>
          <w:p w14:paraId="25634930" w14:textId="77777777" w:rsidR="00706987" w:rsidRPr="00FB7F9C" w:rsidRDefault="00706987" w:rsidP="00706987">
            <w:pPr>
              <w:rPr>
                <w:rFonts w:ascii="Times New Roman" w:eastAsia="Times New Roman" w:hAnsi="Times New Roman" w:cs="Times New Roman"/>
                <w:sz w:val="24"/>
                <w:szCs w:val="24"/>
                <w:lang w:eastAsia="lv-LV"/>
              </w:rPr>
            </w:pPr>
          </w:p>
          <w:p w14:paraId="05881742" w14:textId="77777777" w:rsidR="00706987" w:rsidRPr="00FB7F9C" w:rsidRDefault="00706987" w:rsidP="00706987">
            <w:pPr>
              <w:rPr>
                <w:rFonts w:ascii="Times New Roman" w:eastAsia="Times New Roman" w:hAnsi="Times New Roman" w:cs="Times New Roman"/>
                <w:sz w:val="24"/>
                <w:szCs w:val="24"/>
                <w:lang w:eastAsia="lv-LV"/>
              </w:rPr>
            </w:pPr>
          </w:p>
          <w:p w14:paraId="4891C6CB" w14:textId="77777777" w:rsidR="00706987" w:rsidRPr="00FB7F9C" w:rsidRDefault="00706987" w:rsidP="00706987">
            <w:pPr>
              <w:rPr>
                <w:rFonts w:ascii="Times New Roman" w:eastAsia="Times New Roman" w:hAnsi="Times New Roman" w:cs="Times New Roman"/>
                <w:sz w:val="24"/>
                <w:szCs w:val="24"/>
                <w:lang w:eastAsia="lv-LV"/>
              </w:rPr>
            </w:pPr>
          </w:p>
          <w:p w14:paraId="38F85BF5" w14:textId="77777777" w:rsidR="00706987" w:rsidRPr="00FB7F9C" w:rsidRDefault="00706987" w:rsidP="00706987">
            <w:pPr>
              <w:rPr>
                <w:rFonts w:ascii="Times New Roman" w:eastAsia="Times New Roman" w:hAnsi="Times New Roman" w:cs="Times New Roman"/>
                <w:sz w:val="24"/>
                <w:szCs w:val="24"/>
                <w:lang w:eastAsia="lv-LV"/>
              </w:rPr>
            </w:pPr>
          </w:p>
          <w:p w14:paraId="546C1FBE" w14:textId="77777777" w:rsidR="00706987" w:rsidRPr="00FB7F9C" w:rsidRDefault="00706987" w:rsidP="00706987">
            <w:pPr>
              <w:rPr>
                <w:rFonts w:ascii="Times New Roman" w:eastAsia="Times New Roman" w:hAnsi="Times New Roman" w:cs="Times New Roman"/>
                <w:sz w:val="24"/>
                <w:szCs w:val="24"/>
                <w:lang w:eastAsia="lv-LV"/>
              </w:rPr>
            </w:pPr>
          </w:p>
          <w:p w14:paraId="576C193C" w14:textId="77777777" w:rsidR="00706987" w:rsidRPr="00FB7F9C" w:rsidRDefault="00706987" w:rsidP="00706987">
            <w:pPr>
              <w:rPr>
                <w:rFonts w:ascii="Times New Roman" w:eastAsia="Times New Roman" w:hAnsi="Times New Roman" w:cs="Times New Roman"/>
                <w:sz w:val="24"/>
                <w:szCs w:val="24"/>
                <w:lang w:eastAsia="lv-LV"/>
              </w:rPr>
            </w:pPr>
          </w:p>
          <w:p w14:paraId="33E96151" w14:textId="530A9111" w:rsidR="00706987" w:rsidRPr="00FB7F9C" w:rsidRDefault="00706987" w:rsidP="00706987">
            <w:pPr>
              <w:jc w:val="center"/>
              <w:rPr>
                <w:rFonts w:ascii="Times New Roman" w:eastAsia="Times New Roman" w:hAnsi="Times New Roman" w:cs="Times New Roman"/>
                <w:sz w:val="24"/>
                <w:szCs w:val="24"/>
                <w:lang w:eastAsia="lv-LV"/>
              </w:rPr>
            </w:pPr>
          </w:p>
        </w:tc>
        <w:tc>
          <w:tcPr>
            <w:tcW w:w="3346" w:type="pct"/>
            <w:tcBorders>
              <w:top w:val="outset" w:sz="6" w:space="0" w:color="414142"/>
              <w:left w:val="outset" w:sz="6" w:space="0" w:color="414142"/>
              <w:bottom w:val="outset" w:sz="6" w:space="0" w:color="414142"/>
              <w:right w:val="outset" w:sz="6" w:space="0" w:color="414142"/>
            </w:tcBorders>
            <w:hideMark/>
          </w:tcPr>
          <w:p w14:paraId="1FA81E95" w14:textId="6AA2EF6B" w:rsidR="00705121" w:rsidRPr="00FB7F9C" w:rsidRDefault="000C48D5" w:rsidP="000C48D5">
            <w:pPr>
              <w:jc w:val="both"/>
              <w:rPr>
                <w:rFonts w:ascii="Times New Roman" w:hAnsi="Times New Roman" w:cs="Times New Roman"/>
                <w:sz w:val="24"/>
                <w:szCs w:val="24"/>
              </w:rPr>
            </w:pPr>
            <w:r w:rsidRPr="00FB7F9C">
              <w:rPr>
                <w:rFonts w:ascii="Times New Roman" w:hAnsi="Times New Roman" w:cs="Times New Roman"/>
                <w:sz w:val="24"/>
                <w:szCs w:val="24"/>
              </w:rPr>
              <w:lastRenderedPageBreak/>
              <w:t xml:space="preserve">Noteikumu projekts </w:t>
            </w:r>
            <w:r w:rsidR="00ED3404" w:rsidRPr="00FB7F9C">
              <w:rPr>
                <w:rFonts w:ascii="Times New Roman" w:hAnsi="Times New Roman" w:cs="Times New Roman"/>
                <w:sz w:val="24"/>
                <w:szCs w:val="24"/>
              </w:rPr>
              <w:t>,,</w:t>
            </w:r>
            <w:r w:rsidRPr="00FB7F9C">
              <w:rPr>
                <w:rFonts w:ascii="Times New Roman" w:hAnsi="Times New Roman" w:cs="Times New Roman"/>
                <w:sz w:val="24"/>
                <w:szCs w:val="24"/>
              </w:rPr>
              <w:t>Grozījumi Ministru kabineta 2011.</w:t>
            </w:r>
            <w:r w:rsidR="00ED3404" w:rsidRPr="00FB7F9C">
              <w:rPr>
                <w:rFonts w:ascii="Times New Roman" w:hAnsi="Times New Roman" w:cs="Times New Roman"/>
                <w:sz w:val="24"/>
                <w:szCs w:val="24"/>
              </w:rPr>
              <w:t xml:space="preserve"> </w:t>
            </w:r>
            <w:r w:rsidRPr="00FB7F9C">
              <w:rPr>
                <w:rFonts w:ascii="Times New Roman" w:hAnsi="Times New Roman" w:cs="Times New Roman"/>
                <w:sz w:val="24"/>
                <w:szCs w:val="24"/>
              </w:rPr>
              <w:t>gada 17.</w:t>
            </w:r>
            <w:r w:rsidR="00ED3404" w:rsidRPr="00FB7F9C">
              <w:rPr>
                <w:rFonts w:ascii="Times New Roman" w:hAnsi="Times New Roman" w:cs="Times New Roman"/>
                <w:sz w:val="24"/>
                <w:szCs w:val="24"/>
              </w:rPr>
              <w:t xml:space="preserve"> </w:t>
            </w:r>
            <w:r w:rsidRPr="00FB7F9C">
              <w:rPr>
                <w:rFonts w:ascii="Times New Roman" w:hAnsi="Times New Roman" w:cs="Times New Roman"/>
                <w:sz w:val="24"/>
                <w:szCs w:val="24"/>
              </w:rPr>
              <w:t>maija noteikumos Nr.</w:t>
            </w:r>
            <w:r w:rsidR="00ED3404" w:rsidRPr="00FB7F9C">
              <w:rPr>
                <w:rFonts w:ascii="Times New Roman" w:hAnsi="Times New Roman" w:cs="Times New Roman"/>
                <w:sz w:val="24"/>
                <w:szCs w:val="24"/>
              </w:rPr>
              <w:t xml:space="preserve"> </w:t>
            </w:r>
            <w:r w:rsidRPr="00FB7F9C">
              <w:rPr>
                <w:rFonts w:ascii="Times New Roman" w:hAnsi="Times New Roman" w:cs="Times New Roman"/>
                <w:sz w:val="24"/>
                <w:szCs w:val="24"/>
              </w:rPr>
              <w:t>378 „Zāļu reklamēšanas kārtība un kārtība, kādā zāļu ražotājs ir tiesīgs nodot ārstiem bezmaksas zāļu paraugus</w:t>
            </w:r>
            <w:r w:rsidR="009D3959" w:rsidRPr="00FB7F9C">
              <w:rPr>
                <w:rFonts w:ascii="Times New Roman" w:hAnsi="Times New Roman" w:cs="Times New Roman"/>
                <w:sz w:val="24"/>
                <w:szCs w:val="24"/>
              </w:rPr>
              <w:t>”</w:t>
            </w:r>
            <w:r w:rsidRPr="00FB7F9C">
              <w:rPr>
                <w:rFonts w:ascii="Times New Roman" w:hAnsi="Times New Roman" w:cs="Times New Roman"/>
                <w:sz w:val="24"/>
                <w:szCs w:val="24"/>
              </w:rPr>
              <w:t xml:space="preserve"> (turpmāk – Noteikumu projekts) ir izstrādāts, lai veiktu </w:t>
            </w:r>
            <w:r w:rsidR="00825B58" w:rsidRPr="00FB7F9C">
              <w:rPr>
                <w:rFonts w:ascii="Times New Roman" w:hAnsi="Times New Roman" w:cs="Times New Roman"/>
                <w:sz w:val="24"/>
                <w:szCs w:val="24"/>
              </w:rPr>
              <w:t xml:space="preserve">vēl </w:t>
            </w:r>
            <w:r w:rsidRPr="00FB7F9C">
              <w:rPr>
                <w:rFonts w:ascii="Times New Roman" w:hAnsi="Times New Roman" w:cs="Times New Roman"/>
                <w:sz w:val="24"/>
                <w:szCs w:val="24"/>
              </w:rPr>
              <w:t>efektīvāku zāļu reklāmas uzraudzību, mazinātu iespējamos korupcijas riskus veselības aprūpē un veicinātu zāļu ražotājfirmu un izplatītāju ar zāļu reklāmu saistīto mārketinga izdevumu caurskatāmību</w:t>
            </w:r>
            <w:r w:rsidR="009B1B6C" w:rsidRPr="00FB7F9C">
              <w:rPr>
                <w:rFonts w:ascii="Times New Roman" w:hAnsi="Times New Roman" w:cs="Times New Roman"/>
                <w:sz w:val="24"/>
                <w:szCs w:val="24"/>
              </w:rPr>
              <w:t>, kā arī</w:t>
            </w:r>
            <w:r w:rsidR="00705121" w:rsidRPr="00FB7F9C">
              <w:rPr>
                <w:rFonts w:ascii="Times New Roman" w:hAnsi="Times New Roman" w:cs="Times New Roman"/>
                <w:sz w:val="24"/>
                <w:szCs w:val="24"/>
              </w:rPr>
              <w:t>,</w:t>
            </w:r>
            <w:r w:rsidR="009B1B6C" w:rsidRPr="00FB7F9C">
              <w:rPr>
                <w:rFonts w:ascii="Times New Roman" w:hAnsi="Times New Roman" w:cs="Times New Roman"/>
                <w:sz w:val="24"/>
                <w:szCs w:val="24"/>
              </w:rPr>
              <w:t xml:space="preserve"> lai </w:t>
            </w:r>
            <w:r w:rsidR="00CD37E0">
              <w:rPr>
                <w:rFonts w:ascii="Times New Roman" w:hAnsi="Times New Roman" w:cs="Times New Roman"/>
                <w:sz w:val="24"/>
                <w:szCs w:val="24"/>
              </w:rPr>
              <w:t xml:space="preserve">papildinātu Noteikumu projektu ar </w:t>
            </w:r>
            <w:r w:rsidR="009B1B6C" w:rsidRPr="00FB7F9C">
              <w:rPr>
                <w:rFonts w:ascii="Times New Roman" w:hAnsi="Times New Roman" w:cs="Times New Roman"/>
                <w:sz w:val="24"/>
                <w:szCs w:val="24"/>
              </w:rPr>
              <w:t>tiesību subjekt</w:t>
            </w:r>
            <w:r w:rsidR="00CD37E0">
              <w:rPr>
                <w:rFonts w:ascii="Times New Roman" w:hAnsi="Times New Roman" w:cs="Times New Roman"/>
                <w:sz w:val="24"/>
                <w:szCs w:val="24"/>
              </w:rPr>
              <w:t>iem</w:t>
            </w:r>
            <w:r w:rsidR="009B1B6C" w:rsidRPr="00FB7F9C">
              <w:rPr>
                <w:rFonts w:ascii="Times New Roman" w:hAnsi="Times New Roman" w:cs="Times New Roman"/>
                <w:sz w:val="24"/>
                <w:szCs w:val="24"/>
              </w:rPr>
              <w:t>, k</w:t>
            </w:r>
            <w:r w:rsidR="00CD37E0">
              <w:rPr>
                <w:rFonts w:ascii="Times New Roman" w:hAnsi="Times New Roman" w:cs="Times New Roman"/>
                <w:sz w:val="24"/>
                <w:szCs w:val="24"/>
              </w:rPr>
              <w:t>uriem</w:t>
            </w:r>
            <w:r w:rsidR="009B1B6C" w:rsidRPr="00FB7F9C">
              <w:rPr>
                <w:rFonts w:ascii="Times New Roman" w:hAnsi="Times New Roman" w:cs="Times New Roman"/>
                <w:sz w:val="24"/>
                <w:szCs w:val="24"/>
              </w:rPr>
              <w:t xml:space="preserve"> šis Noteikumu projekts ir saistošs.  </w:t>
            </w:r>
          </w:p>
          <w:p w14:paraId="66E869B5" w14:textId="5A1670CD" w:rsidR="00B1387D" w:rsidRPr="00E61F4B" w:rsidRDefault="00E61F4B" w:rsidP="00E61F4B">
            <w:pPr>
              <w:pStyle w:val="CommentText"/>
              <w:ind w:left="52"/>
              <w:jc w:val="both"/>
              <w:rPr>
                <w:rFonts w:ascii="Times New Roman" w:hAnsi="Times New Roman" w:cs="Times New Roman"/>
                <w:sz w:val="24"/>
                <w:szCs w:val="24"/>
                <w:highlight w:val="yellow"/>
              </w:rPr>
            </w:pPr>
            <w:r>
              <w:rPr>
                <w:rFonts w:ascii="Times New Roman" w:hAnsi="Times New Roman" w:cs="Times New Roman"/>
                <w:sz w:val="24"/>
                <w:szCs w:val="24"/>
              </w:rPr>
              <w:t xml:space="preserve">1) </w:t>
            </w:r>
            <w:r w:rsidR="00705121" w:rsidRPr="00E61F4B">
              <w:rPr>
                <w:rFonts w:ascii="Times New Roman" w:hAnsi="Times New Roman" w:cs="Times New Roman"/>
                <w:sz w:val="24"/>
                <w:szCs w:val="24"/>
              </w:rPr>
              <w:t>Ministru kabineta 2011. gada 17. maija noteikum</w:t>
            </w:r>
            <w:r w:rsidR="00BA2EFB" w:rsidRPr="00E61F4B">
              <w:rPr>
                <w:rFonts w:ascii="Times New Roman" w:hAnsi="Times New Roman" w:cs="Times New Roman"/>
                <w:sz w:val="24"/>
                <w:szCs w:val="24"/>
              </w:rPr>
              <w:t>os</w:t>
            </w:r>
            <w:r w:rsidR="00705121" w:rsidRPr="00E61F4B">
              <w:rPr>
                <w:rFonts w:ascii="Times New Roman" w:hAnsi="Times New Roman" w:cs="Times New Roman"/>
                <w:sz w:val="24"/>
                <w:szCs w:val="24"/>
              </w:rPr>
              <w:t xml:space="preserve"> Nr. 378 „Zāļu reklamēšanas kārtība un kārtība, kādā zāļu ražotājs ir tiesīgs nodot ārstiem bezmaksas zāļu paraugus” (turpmāk – Noteikumi) </w:t>
            </w:r>
            <w:r w:rsidR="000C48D5" w:rsidRPr="00E61F4B">
              <w:rPr>
                <w:rFonts w:ascii="Times New Roman" w:hAnsi="Times New Roman" w:cs="Times New Roman"/>
                <w:sz w:val="24"/>
                <w:szCs w:val="24"/>
              </w:rPr>
              <w:t xml:space="preserve"> 2.2.5.</w:t>
            </w:r>
            <w:r w:rsidR="00ED3404" w:rsidRPr="00E61F4B">
              <w:rPr>
                <w:rFonts w:ascii="Times New Roman" w:hAnsi="Times New Roman" w:cs="Times New Roman"/>
                <w:sz w:val="24"/>
                <w:szCs w:val="24"/>
              </w:rPr>
              <w:t xml:space="preserve"> </w:t>
            </w:r>
            <w:r w:rsidR="000C48D5" w:rsidRPr="00E61F4B">
              <w:rPr>
                <w:rFonts w:ascii="Times New Roman" w:hAnsi="Times New Roman" w:cs="Times New Roman"/>
                <w:sz w:val="24"/>
                <w:szCs w:val="24"/>
              </w:rPr>
              <w:t>apakšpunkts nosaka, ka par zāļu reklāmu uzskatāma arī tādu reklāmas un zinātnisku pasākumu organizēšana un sponsorēšana, kuros piedalās speciālisti, jo īpaši ar to saistīto ceļa un izmitināšanas izdevumu samaksu minētajām personām. Savukārt 32.</w:t>
            </w:r>
            <w:r w:rsidR="000C48D5" w:rsidRPr="00E61F4B">
              <w:rPr>
                <w:rFonts w:ascii="Times New Roman" w:hAnsi="Times New Roman" w:cs="Times New Roman"/>
                <w:sz w:val="24"/>
                <w:szCs w:val="24"/>
                <w:vertAlign w:val="superscript"/>
              </w:rPr>
              <w:t xml:space="preserve">2 </w:t>
            </w:r>
            <w:r w:rsidR="000C48D5" w:rsidRPr="00E61F4B">
              <w:rPr>
                <w:rFonts w:ascii="Times New Roman" w:hAnsi="Times New Roman" w:cs="Times New Roman"/>
                <w:sz w:val="24"/>
                <w:szCs w:val="24"/>
              </w:rPr>
              <w:t>punkts nosaka, ka z</w:t>
            </w:r>
            <w:r w:rsidR="000C48D5" w:rsidRPr="00E61F4B">
              <w:rPr>
                <w:rFonts w:ascii="Times New Roman" w:eastAsia="Times New Roman" w:hAnsi="Times New Roman" w:cs="Times New Roman"/>
                <w:sz w:val="24"/>
                <w:szCs w:val="24"/>
                <w:lang w:eastAsia="lv-LV"/>
              </w:rPr>
              <w:t>āļu reģistrācijas īpašnieks vai tā pilnvarotais pārstāvis, vai cita persona, kas ir reklāmas devējs vai reklāmas izplatītājs</w:t>
            </w:r>
            <w:r w:rsidR="000C48D5" w:rsidRPr="00E61F4B">
              <w:rPr>
                <w:rFonts w:ascii="Times New Roman" w:hAnsi="Times New Roman" w:cs="Times New Roman"/>
                <w:sz w:val="24"/>
                <w:szCs w:val="24"/>
              </w:rPr>
              <w:t xml:space="preserve"> reizi gadā (</w:t>
            </w:r>
            <w:proofErr w:type="spellStart"/>
            <w:r w:rsidR="000C48D5" w:rsidRPr="00E61F4B">
              <w:rPr>
                <w:rFonts w:ascii="Times New Roman" w:hAnsi="Times New Roman" w:cs="Times New Roman"/>
                <w:sz w:val="24"/>
                <w:szCs w:val="24"/>
              </w:rPr>
              <w:t>līdz</w:t>
            </w:r>
            <w:proofErr w:type="spellEnd"/>
            <w:r w:rsidR="000C48D5" w:rsidRPr="00E61F4B">
              <w:rPr>
                <w:rFonts w:ascii="Times New Roman" w:hAnsi="Times New Roman" w:cs="Times New Roman"/>
                <w:sz w:val="24"/>
                <w:szCs w:val="24"/>
              </w:rPr>
              <w:t xml:space="preserve"> 30. </w:t>
            </w:r>
            <w:proofErr w:type="spellStart"/>
            <w:r w:rsidR="000C48D5" w:rsidRPr="00E61F4B">
              <w:rPr>
                <w:rFonts w:ascii="Times New Roman" w:hAnsi="Times New Roman" w:cs="Times New Roman"/>
                <w:sz w:val="24"/>
                <w:szCs w:val="24"/>
              </w:rPr>
              <w:t>jūnijam</w:t>
            </w:r>
            <w:proofErr w:type="spellEnd"/>
            <w:r w:rsidR="000C48D5" w:rsidRPr="00E61F4B">
              <w:rPr>
                <w:rFonts w:ascii="Times New Roman" w:hAnsi="Times New Roman" w:cs="Times New Roman"/>
                <w:sz w:val="24"/>
                <w:szCs w:val="24"/>
              </w:rPr>
              <w:t xml:space="preserve">), izmantojot Veselības inspekcijas </w:t>
            </w:r>
            <w:proofErr w:type="spellStart"/>
            <w:r w:rsidR="000C48D5" w:rsidRPr="00E61F4B">
              <w:rPr>
                <w:rFonts w:ascii="Times New Roman" w:hAnsi="Times New Roman" w:cs="Times New Roman"/>
                <w:sz w:val="24"/>
                <w:szCs w:val="24"/>
              </w:rPr>
              <w:t>tīmekļa</w:t>
            </w:r>
            <w:proofErr w:type="spellEnd"/>
            <w:r w:rsidR="000C48D5" w:rsidRPr="00E61F4B">
              <w:rPr>
                <w:rFonts w:ascii="Times New Roman" w:hAnsi="Times New Roman" w:cs="Times New Roman"/>
                <w:sz w:val="24"/>
                <w:szCs w:val="24"/>
              </w:rPr>
              <w:t xml:space="preserve"> vietnē pieejamo formu, elektroniski </w:t>
            </w:r>
            <w:r w:rsidR="000C48D5" w:rsidRPr="00E61F4B">
              <w:rPr>
                <w:rFonts w:ascii="Times New Roman" w:hAnsi="Times New Roman" w:cs="Times New Roman"/>
                <w:sz w:val="24"/>
                <w:szCs w:val="24"/>
              </w:rPr>
              <w:lastRenderedPageBreak/>
              <w:t xml:space="preserve">iesniedz inspekcijā </w:t>
            </w:r>
            <w:proofErr w:type="spellStart"/>
            <w:r w:rsidR="000C48D5" w:rsidRPr="00E61F4B">
              <w:rPr>
                <w:rFonts w:ascii="Times New Roman" w:hAnsi="Times New Roman" w:cs="Times New Roman"/>
                <w:sz w:val="24"/>
                <w:szCs w:val="24"/>
              </w:rPr>
              <w:t>paziņojumu</w:t>
            </w:r>
            <w:proofErr w:type="spellEnd"/>
            <w:r w:rsidR="000C48D5" w:rsidRPr="00E61F4B">
              <w:rPr>
                <w:rFonts w:ascii="Times New Roman" w:hAnsi="Times New Roman" w:cs="Times New Roman"/>
                <w:sz w:val="24"/>
                <w:szCs w:val="24"/>
              </w:rPr>
              <w:t xml:space="preserve"> par </w:t>
            </w:r>
            <w:proofErr w:type="spellStart"/>
            <w:r w:rsidR="000C48D5" w:rsidRPr="00E61F4B">
              <w:rPr>
                <w:rFonts w:ascii="Times New Roman" w:hAnsi="Times New Roman" w:cs="Times New Roman"/>
                <w:sz w:val="24"/>
                <w:szCs w:val="24"/>
              </w:rPr>
              <w:t>iepriekšējo</w:t>
            </w:r>
            <w:proofErr w:type="spellEnd"/>
            <w:r w:rsidR="000C48D5" w:rsidRPr="00E61F4B">
              <w:rPr>
                <w:rFonts w:ascii="Times New Roman" w:hAnsi="Times New Roman" w:cs="Times New Roman"/>
                <w:sz w:val="24"/>
                <w:szCs w:val="24"/>
              </w:rPr>
              <w:t xml:space="preserve"> gadu, iekļaujot datus par materiālā vai cita veida informācijas sniedzēju un saņēmēju</w:t>
            </w:r>
            <w:r w:rsidR="00B1387D" w:rsidRPr="00E61F4B">
              <w:rPr>
                <w:rFonts w:ascii="Times New Roman" w:hAnsi="Times New Roman" w:cs="Times New Roman"/>
                <w:sz w:val="24"/>
                <w:szCs w:val="24"/>
              </w:rPr>
              <w:t xml:space="preserve">  un atbalstu, </w:t>
            </w:r>
            <w:r w:rsidR="000C48D5" w:rsidRPr="00E61F4B">
              <w:rPr>
                <w:rFonts w:ascii="Times New Roman" w:hAnsi="Times New Roman" w:cs="Times New Roman"/>
                <w:sz w:val="24"/>
                <w:szCs w:val="24"/>
              </w:rPr>
              <w:t xml:space="preserve">tostarp </w:t>
            </w:r>
            <w:proofErr w:type="spellStart"/>
            <w:r w:rsidR="000C48D5" w:rsidRPr="00E61F4B">
              <w:rPr>
                <w:rFonts w:ascii="Times New Roman" w:hAnsi="Times New Roman" w:cs="Times New Roman"/>
                <w:sz w:val="24"/>
                <w:szCs w:val="24"/>
              </w:rPr>
              <w:t>informāciju</w:t>
            </w:r>
            <w:proofErr w:type="spellEnd"/>
            <w:r w:rsidR="000C48D5" w:rsidRPr="00E61F4B">
              <w:rPr>
                <w:rFonts w:ascii="Times New Roman" w:hAnsi="Times New Roman" w:cs="Times New Roman"/>
                <w:sz w:val="24"/>
                <w:szCs w:val="24"/>
              </w:rPr>
              <w:t xml:space="preserve"> par </w:t>
            </w:r>
            <w:proofErr w:type="spellStart"/>
            <w:r w:rsidR="000C48D5" w:rsidRPr="00E61F4B">
              <w:rPr>
                <w:rFonts w:ascii="Times New Roman" w:hAnsi="Times New Roman" w:cs="Times New Roman"/>
                <w:sz w:val="24"/>
                <w:szCs w:val="24"/>
              </w:rPr>
              <w:t>atlīdzību</w:t>
            </w:r>
            <w:proofErr w:type="spellEnd"/>
            <w:r w:rsidR="000C48D5" w:rsidRPr="00E61F4B">
              <w:rPr>
                <w:rFonts w:ascii="Times New Roman" w:hAnsi="Times New Roman" w:cs="Times New Roman"/>
                <w:sz w:val="24"/>
                <w:szCs w:val="24"/>
              </w:rPr>
              <w:t xml:space="preserve"> </w:t>
            </w:r>
            <w:proofErr w:type="spellStart"/>
            <w:r w:rsidR="000C48D5" w:rsidRPr="00E61F4B">
              <w:rPr>
                <w:rFonts w:ascii="Times New Roman" w:hAnsi="Times New Roman" w:cs="Times New Roman"/>
                <w:sz w:val="24"/>
                <w:szCs w:val="24"/>
              </w:rPr>
              <w:t>pasākuma</w:t>
            </w:r>
            <w:proofErr w:type="spellEnd"/>
            <w:r w:rsidR="000C48D5" w:rsidRPr="00E61F4B">
              <w:rPr>
                <w:rFonts w:ascii="Times New Roman" w:hAnsi="Times New Roman" w:cs="Times New Roman"/>
                <w:sz w:val="24"/>
                <w:szCs w:val="24"/>
              </w:rPr>
              <w:t xml:space="preserve"> </w:t>
            </w:r>
            <w:proofErr w:type="spellStart"/>
            <w:r w:rsidR="000C48D5" w:rsidRPr="00E61F4B">
              <w:rPr>
                <w:rFonts w:ascii="Times New Roman" w:hAnsi="Times New Roman" w:cs="Times New Roman"/>
                <w:sz w:val="24"/>
                <w:szCs w:val="24"/>
              </w:rPr>
              <w:t>organizēšana</w:t>
            </w:r>
            <w:proofErr w:type="spellEnd"/>
            <w:r w:rsidR="000C48D5" w:rsidRPr="00E61F4B">
              <w:rPr>
                <w:rFonts w:ascii="Times New Roman" w:hAnsi="Times New Roman" w:cs="Times New Roman"/>
                <w:sz w:val="24"/>
                <w:szCs w:val="24"/>
              </w:rPr>
              <w:t xml:space="preserve">̄ un norisē </w:t>
            </w:r>
            <w:proofErr w:type="spellStart"/>
            <w:r w:rsidR="000C48D5" w:rsidRPr="00E61F4B">
              <w:rPr>
                <w:rFonts w:ascii="Times New Roman" w:hAnsi="Times New Roman" w:cs="Times New Roman"/>
                <w:sz w:val="24"/>
                <w:szCs w:val="24"/>
              </w:rPr>
              <w:t>iesaistītajiem</w:t>
            </w:r>
            <w:proofErr w:type="spellEnd"/>
            <w:r w:rsidR="000C48D5" w:rsidRPr="00E61F4B">
              <w:rPr>
                <w:rFonts w:ascii="Times New Roman" w:hAnsi="Times New Roman" w:cs="Times New Roman"/>
                <w:sz w:val="24"/>
                <w:szCs w:val="24"/>
              </w:rPr>
              <w:t xml:space="preserve"> </w:t>
            </w:r>
            <w:proofErr w:type="spellStart"/>
            <w:r w:rsidR="000C48D5" w:rsidRPr="00E61F4B">
              <w:rPr>
                <w:rFonts w:ascii="Times New Roman" w:hAnsi="Times New Roman" w:cs="Times New Roman"/>
                <w:sz w:val="24"/>
                <w:szCs w:val="24"/>
              </w:rPr>
              <w:t>speciālistiem</w:t>
            </w:r>
            <w:proofErr w:type="spellEnd"/>
            <w:r w:rsidR="000C48D5" w:rsidRPr="00E61F4B">
              <w:rPr>
                <w:rFonts w:ascii="Times New Roman" w:hAnsi="Times New Roman" w:cs="Times New Roman"/>
                <w:sz w:val="24"/>
                <w:szCs w:val="24"/>
              </w:rPr>
              <w:t xml:space="preserve"> (lektoriem un konsultantiem), minot katra </w:t>
            </w:r>
            <w:proofErr w:type="spellStart"/>
            <w:r w:rsidR="000C48D5" w:rsidRPr="00E61F4B">
              <w:rPr>
                <w:rFonts w:ascii="Times New Roman" w:hAnsi="Times New Roman" w:cs="Times New Roman"/>
                <w:sz w:val="24"/>
                <w:szCs w:val="24"/>
              </w:rPr>
              <w:t>speciālista</w:t>
            </w:r>
            <w:proofErr w:type="spellEnd"/>
            <w:r w:rsidR="000C48D5" w:rsidRPr="00E61F4B">
              <w:rPr>
                <w:rFonts w:ascii="Times New Roman" w:hAnsi="Times New Roman" w:cs="Times New Roman"/>
                <w:sz w:val="24"/>
                <w:szCs w:val="24"/>
              </w:rPr>
              <w:t xml:space="preserve"> </w:t>
            </w:r>
            <w:proofErr w:type="spellStart"/>
            <w:r w:rsidR="000C48D5" w:rsidRPr="00E61F4B">
              <w:rPr>
                <w:rFonts w:ascii="Times New Roman" w:hAnsi="Times New Roman" w:cs="Times New Roman"/>
                <w:sz w:val="24"/>
                <w:szCs w:val="24"/>
              </w:rPr>
              <w:t>vārdu</w:t>
            </w:r>
            <w:proofErr w:type="spellEnd"/>
            <w:r w:rsidR="000C48D5" w:rsidRPr="00E61F4B">
              <w:rPr>
                <w:rFonts w:ascii="Times New Roman" w:hAnsi="Times New Roman" w:cs="Times New Roman"/>
                <w:sz w:val="24"/>
                <w:szCs w:val="24"/>
              </w:rPr>
              <w:t xml:space="preserve">, </w:t>
            </w:r>
            <w:proofErr w:type="spellStart"/>
            <w:r w:rsidR="000C48D5" w:rsidRPr="00E61F4B">
              <w:rPr>
                <w:rFonts w:ascii="Times New Roman" w:hAnsi="Times New Roman" w:cs="Times New Roman"/>
                <w:sz w:val="24"/>
                <w:szCs w:val="24"/>
              </w:rPr>
              <w:t>uzvārdu</w:t>
            </w:r>
            <w:proofErr w:type="spellEnd"/>
            <w:r w:rsidR="000C48D5" w:rsidRPr="00E61F4B">
              <w:rPr>
                <w:rFonts w:ascii="Times New Roman" w:hAnsi="Times New Roman" w:cs="Times New Roman"/>
                <w:sz w:val="24"/>
                <w:szCs w:val="24"/>
              </w:rPr>
              <w:t xml:space="preserve">, </w:t>
            </w:r>
            <w:proofErr w:type="spellStart"/>
            <w:r w:rsidR="000C48D5" w:rsidRPr="00E61F4B">
              <w:rPr>
                <w:rFonts w:ascii="Times New Roman" w:hAnsi="Times New Roman" w:cs="Times New Roman"/>
                <w:sz w:val="24"/>
                <w:szCs w:val="24"/>
              </w:rPr>
              <w:t>specialitāti</w:t>
            </w:r>
            <w:proofErr w:type="spellEnd"/>
            <w:r w:rsidR="000C48D5" w:rsidRPr="00E61F4B">
              <w:rPr>
                <w:rFonts w:ascii="Times New Roman" w:hAnsi="Times New Roman" w:cs="Times New Roman"/>
                <w:sz w:val="24"/>
                <w:szCs w:val="24"/>
              </w:rPr>
              <w:t xml:space="preserve"> un </w:t>
            </w:r>
            <w:proofErr w:type="spellStart"/>
            <w:r w:rsidR="000C48D5" w:rsidRPr="00E61F4B">
              <w:rPr>
                <w:rFonts w:ascii="Times New Roman" w:hAnsi="Times New Roman" w:cs="Times New Roman"/>
                <w:sz w:val="24"/>
                <w:szCs w:val="24"/>
              </w:rPr>
              <w:t>saņemto</w:t>
            </w:r>
            <w:proofErr w:type="spellEnd"/>
            <w:r w:rsidR="000C48D5" w:rsidRPr="00E61F4B">
              <w:rPr>
                <w:rFonts w:ascii="Times New Roman" w:hAnsi="Times New Roman" w:cs="Times New Roman"/>
                <w:sz w:val="24"/>
                <w:szCs w:val="24"/>
              </w:rPr>
              <w:t xml:space="preserve"> </w:t>
            </w:r>
            <w:proofErr w:type="spellStart"/>
            <w:r w:rsidR="000C48D5" w:rsidRPr="00E61F4B">
              <w:rPr>
                <w:rFonts w:ascii="Times New Roman" w:hAnsi="Times New Roman" w:cs="Times New Roman"/>
                <w:sz w:val="24"/>
                <w:szCs w:val="24"/>
              </w:rPr>
              <w:t>atlīdzību</w:t>
            </w:r>
            <w:proofErr w:type="spellEnd"/>
            <w:r w:rsidR="00A965E5" w:rsidRPr="00E61F4B">
              <w:rPr>
                <w:rFonts w:ascii="Times New Roman" w:hAnsi="Times New Roman" w:cs="Times New Roman"/>
                <w:sz w:val="24"/>
                <w:szCs w:val="24"/>
              </w:rPr>
              <w:t xml:space="preserve"> (32.</w:t>
            </w:r>
            <w:r w:rsidR="00A965E5" w:rsidRPr="00E61F4B">
              <w:rPr>
                <w:rFonts w:ascii="Times New Roman" w:hAnsi="Times New Roman" w:cs="Times New Roman"/>
                <w:sz w:val="24"/>
                <w:szCs w:val="24"/>
                <w:vertAlign w:val="superscript"/>
              </w:rPr>
              <w:t>2</w:t>
            </w:r>
            <w:r w:rsidR="00A965E5" w:rsidRPr="00E61F4B">
              <w:rPr>
                <w:rFonts w:ascii="Times New Roman" w:hAnsi="Times New Roman" w:cs="Times New Roman"/>
                <w:sz w:val="24"/>
                <w:szCs w:val="24"/>
              </w:rPr>
              <w:t xml:space="preserve"> punkts).</w:t>
            </w:r>
          </w:p>
          <w:p w14:paraId="3738290A" w14:textId="77777777" w:rsidR="00B42FB7" w:rsidRDefault="00B42FB7" w:rsidP="00B42FB7">
            <w:pPr>
              <w:spacing w:line="240" w:lineRule="auto"/>
              <w:ind w:left="52"/>
              <w:jc w:val="both"/>
              <w:rPr>
                <w:rFonts w:ascii="Times New Roman" w:eastAsia="Calibri" w:hAnsi="Times New Roman" w:cs="Times New Roman"/>
                <w:sz w:val="24"/>
                <w:szCs w:val="24"/>
              </w:rPr>
            </w:pPr>
            <w:r w:rsidRPr="00FB7F9C">
              <w:rPr>
                <w:rFonts w:ascii="Times New Roman" w:eastAsia="Calibri" w:hAnsi="Times New Roman" w:cs="Times New Roman"/>
                <w:sz w:val="24"/>
                <w:szCs w:val="24"/>
              </w:rPr>
              <w:t>Tomēr Noteikumos nav normas, kas nosaka pienākumu z</w:t>
            </w:r>
            <w:r w:rsidRPr="00FB7F9C">
              <w:rPr>
                <w:rFonts w:ascii="Times New Roman" w:eastAsia="Times New Roman" w:hAnsi="Times New Roman" w:cs="Times New Roman"/>
                <w:sz w:val="24"/>
                <w:szCs w:val="24"/>
                <w:lang w:eastAsia="lv-LV"/>
              </w:rPr>
              <w:t>āļu reģistrācijas īpašniek</w:t>
            </w:r>
            <w:r w:rsidRPr="00FB7F9C">
              <w:rPr>
                <w:rFonts w:ascii="Times New Roman" w:eastAsia="Calibri" w:hAnsi="Times New Roman" w:cs="Times New Roman"/>
                <w:sz w:val="24"/>
                <w:szCs w:val="24"/>
              </w:rPr>
              <w:t>am</w:t>
            </w:r>
            <w:r w:rsidRPr="00FB7F9C">
              <w:rPr>
                <w:rFonts w:ascii="Times New Roman" w:eastAsia="Times New Roman" w:hAnsi="Times New Roman" w:cs="Times New Roman"/>
                <w:sz w:val="24"/>
                <w:szCs w:val="24"/>
                <w:lang w:eastAsia="lv-LV"/>
              </w:rPr>
              <w:t xml:space="preserve"> vai tā pilnvarota</w:t>
            </w:r>
            <w:r w:rsidRPr="00FB7F9C">
              <w:rPr>
                <w:rFonts w:ascii="Times New Roman" w:eastAsia="Calibri" w:hAnsi="Times New Roman" w:cs="Times New Roman"/>
                <w:sz w:val="24"/>
                <w:szCs w:val="24"/>
              </w:rPr>
              <w:t>jam</w:t>
            </w:r>
            <w:r w:rsidRPr="00FB7F9C">
              <w:rPr>
                <w:rFonts w:ascii="Times New Roman" w:eastAsia="Times New Roman" w:hAnsi="Times New Roman" w:cs="Times New Roman"/>
                <w:sz w:val="24"/>
                <w:szCs w:val="24"/>
                <w:lang w:eastAsia="lv-LV"/>
              </w:rPr>
              <w:t xml:space="preserve"> pārstāvi</w:t>
            </w:r>
            <w:r w:rsidRPr="00FB7F9C">
              <w:rPr>
                <w:rFonts w:ascii="Times New Roman" w:eastAsia="Calibri" w:hAnsi="Times New Roman" w:cs="Times New Roman"/>
                <w:sz w:val="24"/>
                <w:szCs w:val="24"/>
              </w:rPr>
              <w:t>m</w:t>
            </w:r>
            <w:r w:rsidRPr="00FB7F9C">
              <w:rPr>
                <w:rFonts w:ascii="Times New Roman" w:eastAsia="Times New Roman" w:hAnsi="Times New Roman" w:cs="Times New Roman"/>
                <w:sz w:val="24"/>
                <w:szCs w:val="24"/>
                <w:lang w:eastAsia="lv-LV"/>
              </w:rPr>
              <w:t>, vai cita</w:t>
            </w:r>
            <w:r w:rsidRPr="00FB7F9C">
              <w:rPr>
                <w:rFonts w:ascii="Times New Roman" w:eastAsia="Calibri" w:hAnsi="Times New Roman" w:cs="Times New Roman"/>
                <w:sz w:val="24"/>
                <w:szCs w:val="24"/>
              </w:rPr>
              <w:t>i</w:t>
            </w:r>
            <w:r w:rsidRPr="00FB7F9C">
              <w:rPr>
                <w:rFonts w:ascii="Times New Roman" w:eastAsia="Times New Roman" w:hAnsi="Times New Roman" w:cs="Times New Roman"/>
                <w:sz w:val="24"/>
                <w:szCs w:val="24"/>
                <w:lang w:eastAsia="lv-LV"/>
              </w:rPr>
              <w:t xml:space="preserve"> persona</w:t>
            </w:r>
            <w:r w:rsidRPr="00FB7F9C">
              <w:rPr>
                <w:rFonts w:ascii="Times New Roman" w:eastAsia="Calibri" w:hAnsi="Times New Roman" w:cs="Times New Roman"/>
                <w:sz w:val="24"/>
                <w:szCs w:val="24"/>
              </w:rPr>
              <w:t>i</w:t>
            </w:r>
            <w:r w:rsidRPr="00FB7F9C">
              <w:rPr>
                <w:rFonts w:ascii="Times New Roman" w:eastAsia="Times New Roman" w:hAnsi="Times New Roman" w:cs="Times New Roman"/>
                <w:sz w:val="24"/>
                <w:szCs w:val="24"/>
                <w:lang w:eastAsia="lv-LV"/>
              </w:rPr>
              <w:t>, kas ir reklāmas devējs vai reklāmas izplatītājs</w:t>
            </w:r>
            <w:r w:rsidRPr="00FB7F9C">
              <w:rPr>
                <w:rFonts w:ascii="Times New Roman" w:eastAsia="Calibri" w:hAnsi="Times New Roman" w:cs="Times New Roman"/>
                <w:sz w:val="24"/>
                <w:szCs w:val="24"/>
              </w:rPr>
              <w:t xml:space="preserve">, sniegt informāciju par konkrētu speciālistu atbalstu publikāciju sagatavošanā. Minētajos pasākumos speciālistiem ir iespējas pilnveidot profesionālās zināšanas un iegūt informāciju par sponsora reklamētajām zālēm. Vienlaikus tas var radīt ietekmi uz speciālista izvēli zāļu izrakstīšanā vai lietošanā ārstniecībai nolūkā veicināt reklamēto zāļu pārdošanas apjomu, tostarp atspoguļojot to kompāniju apmaksātās publikācijās. Reklāmai paredzēto izmaksu apjoms, kas ietver arī šādas speciālistu sagatavotas publikācijas, līdzīgi kā tas ir ar speciālistu lekciju un konsultāciju apmaksu, ietilpst aktivitātēs zāļu reklamēšanā un līdz ar to zāļu virzību izplatīšanas apjoma palielināšanā. Tāpat Noteikumos nav konkrēti definēts, ka Noteikumi attiecināmi arī uz zāļu reģistrācijas īpašnieku vai tā pilnvarotā pārstāvja pētījumiem un attīstībai izlietotām finansēm un informāciju par publikāciju apmaksu speciālistiem, nav ietvertas arī zāļu pētījumiem un attīstībai veltītās summas, kā arī nav </w:t>
            </w:r>
            <w:r>
              <w:rPr>
                <w:rFonts w:ascii="Times New Roman" w:eastAsia="Calibri" w:hAnsi="Times New Roman" w:cs="Times New Roman"/>
                <w:sz w:val="24"/>
                <w:szCs w:val="24"/>
              </w:rPr>
              <w:t xml:space="preserve">skaidri </w:t>
            </w:r>
            <w:r w:rsidRPr="00FB7F9C">
              <w:rPr>
                <w:rFonts w:ascii="Times New Roman" w:eastAsia="Calibri" w:hAnsi="Times New Roman" w:cs="Times New Roman"/>
                <w:sz w:val="24"/>
                <w:szCs w:val="24"/>
              </w:rPr>
              <w:t xml:space="preserve">norādīts, ka Veselības inspekcijai iesniedzama informācija par  dāvinājuma un ziedojuma saņēmēju. </w:t>
            </w:r>
          </w:p>
          <w:p w14:paraId="008B32A3" w14:textId="77777777" w:rsidR="00B42FB7" w:rsidRPr="00B42FB7" w:rsidRDefault="00B42FB7" w:rsidP="00B42FB7">
            <w:pPr>
              <w:spacing w:line="240" w:lineRule="auto"/>
              <w:ind w:left="52"/>
              <w:jc w:val="both"/>
              <w:rPr>
                <w:rFonts w:ascii="Times New Roman" w:eastAsia="Calibri" w:hAnsi="Times New Roman" w:cs="Times New Roman"/>
                <w:sz w:val="24"/>
                <w:szCs w:val="24"/>
              </w:rPr>
            </w:pPr>
            <w:r w:rsidRPr="00B42FB7">
              <w:rPr>
                <w:rFonts w:ascii="Times New Roman" w:eastAsia="Calibri" w:hAnsi="Times New Roman" w:cs="Times New Roman"/>
                <w:sz w:val="24"/>
                <w:szCs w:val="24"/>
              </w:rPr>
              <w:t>Noteikumos nav konkrēti definēts, ka Noteikumi attiecināmi arī uz zāļu reģistrācijas īpašnieku vai tā pilnvarotā pārstāvja sniegto atbalstu, tai skaitā ziedojumiem un dāvinājumiem, farmaceitiskās darbības subjektiem (aptiekām, aptieku filiālēm un zāļu lieltirgotavām), kuri apvieno farmaceitus un farmaceitu asistentus, kuri atbilstoši Noteikumu 2.2.apakšpunktam ir uzskatāmi par speciālistiem, jo tiem ir tiesības izplatīt zāles, kā arī publikāciju apmaksu šiem speciālistiem. Analogi kā sniegtais atbalsts ārstniecības iestādēm, biedrībām un nodibinājumiem, kuri apvieno speciālistus, arī sniegtais atbalsts farmaceitiskās darbības subjektiem un publikāciju apmaksa farmaceitiem un farmaceitu asistentiem var radīt ietekmi uz to izvēli zāļu izsniegšanā, veicinot reklamēto zāļu pārdošanas apjomu.</w:t>
            </w:r>
          </w:p>
          <w:p w14:paraId="58E72BA8" w14:textId="03687D37" w:rsidR="000C48D5" w:rsidRPr="00FB7F9C" w:rsidRDefault="000C48D5" w:rsidP="000C48D5">
            <w:pPr>
              <w:jc w:val="both"/>
              <w:rPr>
                <w:rFonts w:ascii="Times New Roman" w:hAnsi="Times New Roman" w:cs="Times New Roman"/>
                <w:sz w:val="24"/>
                <w:szCs w:val="24"/>
              </w:rPr>
            </w:pPr>
            <w:r w:rsidRPr="00FB7F9C">
              <w:rPr>
                <w:rFonts w:ascii="Times New Roman" w:hAnsi="Times New Roman" w:cs="Times New Roman"/>
                <w:sz w:val="24"/>
                <w:szCs w:val="24"/>
              </w:rPr>
              <w:t>Korupcijas novēršanas un apkarošanas birojs 2012.</w:t>
            </w:r>
            <w:r w:rsidR="00ED3404" w:rsidRPr="00FB7F9C">
              <w:rPr>
                <w:rFonts w:ascii="Times New Roman" w:hAnsi="Times New Roman" w:cs="Times New Roman"/>
                <w:sz w:val="24"/>
                <w:szCs w:val="24"/>
              </w:rPr>
              <w:t xml:space="preserve"> </w:t>
            </w:r>
            <w:r w:rsidRPr="00FB7F9C">
              <w:rPr>
                <w:rFonts w:ascii="Times New Roman" w:hAnsi="Times New Roman" w:cs="Times New Roman"/>
                <w:sz w:val="24"/>
                <w:szCs w:val="24"/>
              </w:rPr>
              <w:t xml:space="preserve">gada pārskatā „Korupcijas riski veselības aprūpē” norāda, ka „korupcijas risks var rasties, kad komersants ietekmē ārstu, lai tas, izmantojot savu dienesta stāvokli un autoritāti, veicinātu komersanta ražoto preču vai sniegto pakalpojumu pieprasījumu. Lai mazinātu korupcijas riska iespējas, ir nepieciešams noteikt prasību farmācijas vai izplatīšanas komercsabiedrībām deklarēt Veselības ministrijai vai citai institūcijai (un publicējot savā tīmekļa vietnē) savus izdevumus, kas saistīti ar ārstniecības personu sponsorēšanu vai atlīdzību, deklarācijā norādot ārstniecības personas vārdu, uzvārdu, </w:t>
            </w:r>
            <w:r w:rsidRPr="00FB7F9C">
              <w:rPr>
                <w:rFonts w:ascii="Times New Roman" w:hAnsi="Times New Roman" w:cs="Times New Roman"/>
                <w:sz w:val="24"/>
                <w:szCs w:val="24"/>
              </w:rPr>
              <w:lastRenderedPageBreak/>
              <w:t xml:space="preserve">tā darbavietu, ieņemamo amatu, atlīdzības apjomu un maksājuma pamatojumu.” </w:t>
            </w:r>
          </w:p>
          <w:p w14:paraId="40C10803" w14:textId="4C9A47E8" w:rsidR="001349B4" w:rsidRPr="00FB7F9C" w:rsidRDefault="000C48D5" w:rsidP="000C48D5">
            <w:pPr>
              <w:jc w:val="both"/>
              <w:rPr>
                <w:rFonts w:ascii="Times New Roman" w:hAnsi="Times New Roman" w:cs="Times New Roman"/>
                <w:sz w:val="24"/>
                <w:szCs w:val="24"/>
              </w:rPr>
            </w:pPr>
            <w:r w:rsidRPr="00FB7F9C">
              <w:rPr>
                <w:rFonts w:ascii="Times New Roman" w:hAnsi="Times New Roman" w:cs="Times New Roman"/>
                <w:sz w:val="24"/>
                <w:szCs w:val="24"/>
              </w:rPr>
              <w:t>Minētās informācijas sniegšanu un publiskošanu</w:t>
            </w:r>
            <w:r w:rsidR="00FD2C1D" w:rsidRPr="00FB7F9C">
              <w:rPr>
                <w:rFonts w:ascii="Times New Roman" w:hAnsi="Times New Roman" w:cs="Times New Roman"/>
                <w:sz w:val="24"/>
                <w:szCs w:val="24"/>
              </w:rPr>
              <w:t xml:space="preserve"> </w:t>
            </w:r>
            <w:r w:rsidRPr="00FB7F9C">
              <w:rPr>
                <w:rFonts w:ascii="Times New Roman" w:hAnsi="Times New Roman" w:cs="Times New Roman"/>
                <w:sz w:val="24"/>
                <w:szCs w:val="24"/>
              </w:rPr>
              <w:t xml:space="preserve">paredz arī citu valstu normatīvie akti Eiropas valstīs (tostarp, Igaunijā, Lietuvā, </w:t>
            </w:r>
            <w:r w:rsidR="00444AC0" w:rsidRPr="00FB7F9C">
              <w:rPr>
                <w:rFonts w:ascii="Times New Roman" w:hAnsi="Times New Roman" w:cs="Times New Roman"/>
                <w:sz w:val="24"/>
                <w:szCs w:val="24"/>
              </w:rPr>
              <w:t xml:space="preserve">Dānijā, </w:t>
            </w:r>
            <w:r w:rsidR="00FD2C1D" w:rsidRPr="00FB7F9C">
              <w:rPr>
                <w:rFonts w:ascii="Times New Roman" w:hAnsi="Times New Roman" w:cs="Times New Roman"/>
                <w:sz w:val="24"/>
                <w:szCs w:val="24"/>
              </w:rPr>
              <w:t xml:space="preserve">Francijā, Grieķijā, Portugālē, </w:t>
            </w:r>
            <w:r w:rsidR="00444AC0" w:rsidRPr="00FB7F9C">
              <w:rPr>
                <w:rFonts w:ascii="Times New Roman" w:hAnsi="Times New Roman" w:cs="Times New Roman"/>
                <w:sz w:val="24"/>
                <w:szCs w:val="24"/>
              </w:rPr>
              <w:t xml:space="preserve">Rumānijā, </w:t>
            </w:r>
            <w:r w:rsidR="00FD2C1D" w:rsidRPr="00FB7F9C">
              <w:rPr>
                <w:rFonts w:ascii="Times New Roman" w:hAnsi="Times New Roman" w:cs="Times New Roman"/>
                <w:sz w:val="24"/>
                <w:szCs w:val="24"/>
              </w:rPr>
              <w:t>Nīderlandē,</w:t>
            </w:r>
            <w:r w:rsidRPr="00FB7F9C">
              <w:rPr>
                <w:rFonts w:ascii="Times New Roman" w:hAnsi="Times New Roman" w:cs="Times New Roman"/>
                <w:sz w:val="24"/>
                <w:szCs w:val="24"/>
              </w:rPr>
              <w:t xml:space="preserve"> </w:t>
            </w:r>
            <w:r w:rsidR="00FD2C1D" w:rsidRPr="00FB7F9C">
              <w:rPr>
                <w:rFonts w:ascii="Times New Roman" w:hAnsi="Times New Roman" w:cs="Times New Roman"/>
                <w:sz w:val="24"/>
                <w:szCs w:val="24"/>
              </w:rPr>
              <w:t xml:space="preserve"> Ungārijā, </w:t>
            </w:r>
            <w:r w:rsidRPr="00FB7F9C">
              <w:rPr>
                <w:rFonts w:ascii="Times New Roman" w:hAnsi="Times New Roman" w:cs="Times New Roman"/>
                <w:sz w:val="24"/>
                <w:szCs w:val="24"/>
              </w:rPr>
              <w:t xml:space="preserve">u.c.), kā arī Eiropas Savienības Komisijas iniciatīva par Ētikas un Pārskatāmības normu ievērošanu farmaceitiskajā sektorā. </w:t>
            </w:r>
          </w:p>
          <w:p w14:paraId="452C4ADF" w14:textId="4072FF07" w:rsidR="000C48D5" w:rsidRPr="00FB7F9C" w:rsidRDefault="00E06799" w:rsidP="000C48D5">
            <w:pPr>
              <w:jc w:val="both"/>
              <w:rPr>
                <w:rFonts w:ascii="Times New Roman" w:hAnsi="Times New Roman" w:cs="Times New Roman"/>
                <w:sz w:val="24"/>
                <w:szCs w:val="24"/>
              </w:rPr>
            </w:pPr>
            <w:r w:rsidRPr="00FB7F9C">
              <w:rPr>
                <w:rFonts w:ascii="Times New Roman" w:hAnsi="Times New Roman" w:cs="Times New Roman"/>
                <w:sz w:val="24"/>
                <w:szCs w:val="24"/>
              </w:rPr>
              <w:t>F</w:t>
            </w:r>
            <w:r w:rsidR="001349B4" w:rsidRPr="00FB7F9C">
              <w:rPr>
                <w:rFonts w:ascii="Times New Roman" w:hAnsi="Times New Roman" w:cs="Times New Roman"/>
                <w:sz w:val="24"/>
                <w:szCs w:val="24"/>
              </w:rPr>
              <w:t xml:space="preserve">armācijas industrijas pārstāvji – Starptautisko inovatīvo farmaceitisko firmu asociācija (SIFFA) un Latvijas </w:t>
            </w:r>
            <w:proofErr w:type="spellStart"/>
            <w:r w:rsidR="001349B4" w:rsidRPr="00FB7F9C">
              <w:rPr>
                <w:rFonts w:ascii="Times New Roman" w:hAnsi="Times New Roman" w:cs="Times New Roman"/>
                <w:sz w:val="24"/>
                <w:szCs w:val="24"/>
              </w:rPr>
              <w:t>Patentbrīvo</w:t>
            </w:r>
            <w:proofErr w:type="spellEnd"/>
            <w:r w:rsidR="001349B4" w:rsidRPr="00FB7F9C">
              <w:rPr>
                <w:rFonts w:ascii="Times New Roman" w:hAnsi="Times New Roman" w:cs="Times New Roman"/>
                <w:sz w:val="24"/>
                <w:szCs w:val="24"/>
              </w:rPr>
              <w:t xml:space="preserve"> medikamentu asociācija (LPMA) – </w:t>
            </w:r>
            <w:r w:rsidRPr="00FB7F9C">
              <w:rPr>
                <w:rFonts w:ascii="Times New Roman" w:hAnsi="Times New Roman" w:cs="Times New Roman"/>
                <w:sz w:val="24"/>
                <w:szCs w:val="24"/>
              </w:rPr>
              <w:t>rosina</w:t>
            </w:r>
            <w:r w:rsidR="001349B4" w:rsidRPr="00FB7F9C">
              <w:rPr>
                <w:rFonts w:ascii="Times New Roman" w:hAnsi="Times New Roman" w:cs="Times New Roman"/>
                <w:sz w:val="24"/>
                <w:szCs w:val="24"/>
              </w:rPr>
              <w:t xml:space="preserve"> ietvert </w:t>
            </w:r>
            <w:r w:rsidR="00A86794" w:rsidRPr="00FB7F9C">
              <w:rPr>
                <w:rFonts w:ascii="Times New Roman" w:hAnsi="Times New Roman" w:cs="Times New Roman"/>
                <w:sz w:val="24"/>
                <w:szCs w:val="24"/>
              </w:rPr>
              <w:t xml:space="preserve">Noteikumos </w:t>
            </w:r>
            <w:r w:rsidRPr="00FB7F9C">
              <w:rPr>
                <w:rFonts w:ascii="Times New Roman" w:hAnsi="Times New Roman" w:cs="Times New Roman"/>
                <w:sz w:val="24"/>
                <w:szCs w:val="24"/>
              </w:rPr>
              <w:t xml:space="preserve">papildu </w:t>
            </w:r>
            <w:r w:rsidR="001349B4" w:rsidRPr="00FB7F9C">
              <w:rPr>
                <w:rFonts w:ascii="Times New Roman" w:hAnsi="Times New Roman" w:cs="Times New Roman"/>
                <w:sz w:val="24"/>
                <w:szCs w:val="24"/>
              </w:rPr>
              <w:t xml:space="preserve">normu </w:t>
            </w:r>
            <w:r w:rsidR="00A86794" w:rsidRPr="00FB7F9C">
              <w:rPr>
                <w:rFonts w:ascii="Times New Roman" w:hAnsi="Times New Roman" w:cs="Times New Roman"/>
                <w:sz w:val="24"/>
                <w:szCs w:val="24"/>
              </w:rPr>
              <w:t>par nepieciešamību ik gadus paziņot apmaksātās summas par publikācijām speciālistiem (</w:t>
            </w:r>
            <w:r w:rsidR="00A965E5" w:rsidRPr="00FB7F9C">
              <w:rPr>
                <w:rFonts w:ascii="Times New Roman" w:hAnsi="Times New Roman" w:cs="Times New Roman"/>
                <w:sz w:val="24"/>
                <w:szCs w:val="24"/>
              </w:rPr>
              <w:t xml:space="preserve">katram </w:t>
            </w:r>
            <w:r w:rsidR="00A86794" w:rsidRPr="00FB7F9C">
              <w:rPr>
                <w:rFonts w:ascii="Times New Roman" w:hAnsi="Times New Roman" w:cs="Times New Roman"/>
                <w:sz w:val="24"/>
                <w:szCs w:val="24"/>
              </w:rPr>
              <w:t>individuā</w:t>
            </w:r>
            <w:r w:rsidR="006B032C" w:rsidRPr="00FB7F9C">
              <w:rPr>
                <w:rFonts w:ascii="Times New Roman" w:hAnsi="Times New Roman" w:cs="Times New Roman"/>
                <w:sz w:val="24"/>
                <w:szCs w:val="24"/>
              </w:rPr>
              <w:t>li</w:t>
            </w:r>
            <w:r w:rsidR="00A965E5" w:rsidRPr="00FB7F9C">
              <w:rPr>
                <w:rFonts w:ascii="Times New Roman" w:hAnsi="Times New Roman" w:cs="Times New Roman"/>
                <w:sz w:val="24"/>
                <w:szCs w:val="24"/>
              </w:rPr>
              <w:t xml:space="preserve">) un </w:t>
            </w:r>
            <w:r w:rsidR="00B1387D" w:rsidRPr="00FB7F9C">
              <w:rPr>
                <w:rFonts w:ascii="Times New Roman" w:hAnsi="Times New Roman" w:cs="Times New Roman"/>
                <w:sz w:val="24"/>
                <w:szCs w:val="24"/>
              </w:rPr>
              <w:t xml:space="preserve">ziņot </w:t>
            </w:r>
            <w:r w:rsidR="00A965E5" w:rsidRPr="00FB7F9C">
              <w:rPr>
                <w:rFonts w:ascii="Times New Roman" w:hAnsi="Times New Roman" w:cs="Times New Roman"/>
                <w:sz w:val="24"/>
                <w:szCs w:val="24"/>
              </w:rPr>
              <w:t xml:space="preserve">arī </w:t>
            </w:r>
            <w:r w:rsidR="00B1387D" w:rsidRPr="00FB7F9C">
              <w:rPr>
                <w:rFonts w:ascii="Times New Roman" w:hAnsi="Times New Roman" w:cs="Times New Roman"/>
                <w:sz w:val="24"/>
                <w:szCs w:val="24"/>
              </w:rPr>
              <w:t xml:space="preserve">par </w:t>
            </w:r>
            <w:r w:rsidR="00A86794" w:rsidRPr="00FB7F9C">
              <w:rPr>
                <w:rFonts w:ascii="Times New Roman" w:hAnsi="Times New Roman" w:cs="Times New Roman"/>
                <w:sz w:val="24"/>
                <w:szCs w:val="24"/>
              </w:rPr>
              <w:t>zāļu izpētei un attīstībai veltī</w:t>
            </w:r>
            <w:r w:rsidR="001349B4" w:rsidRPr="00FB7F9C">
              <w:rPr>
                <w:rFonts w:ascii="Times New Roman" w:hAnsi="Times New Roman" w:cs="Times New Roman"/>
                <w:sz w:val="24"/>
                <w:szCs w:val="24"/>
              </w:rPr>
              <w:t>t</w:t>
            </w:r>
            <w:r w:rsidR="00A86794" w:rsidRPr="00FB7F9C">
              <w:rPr>
                <w:rFonts w:ascii="Times New Roman" w:hAnsi="Times New Roman" w:cs="Times New Roman"/>
                <w:sz w:val="24"/>
                <w:szCs w:val="24"/>
              </w:rPr>
              <w:t xml:space="preserve">o </w:t>
            </w:r>
            <w:r w:rsidR="00B1387D" w:rsidRPr="00FB7F9C">
              <w:rPr>
                <w:rFonts w:ascii="Times New Roman" w:hAnsi="Times New Roman" w:cs="Times New Roman"/>
                <w:sz w:val="24"/>
                <w:szCs w:val="24"/>
              </w:rPr>
              <w:t xml:space="preserve">apjomu </w:t>
            </w:r>
            <w:r w:rsidR="00A86794" w:rsidRPr="00FB7F9C">
              <w:rPr>
                <w:rFonts w:ascii="Times New Roman" w:hAnsi="Times New Roman" w:cs="Times New Roman"/>
                <w:sz w:val="24"/>
                <w:szCs w:val="24"/>
              </w:rPr>
              <w:t>(</w:t>
            </w:r>
            <w:r w:rsidR="00A965E5" w:rsidRPr="00FB7F9C">
              <w:rPr>
                <w:rFonts w:ascii="Times New Roman" w:hAnsi="Times New Roman" w:cs="Times New Roman"/>
                <w:sz w:val="24"/>
                <w:szCs w:val="24"/>
              </w:rPr>
              <w:t>kopējo summu</w:t>
            </w:r>
            <w:r w:rsidR="00A86794" w:rsidRPr="00FB7F9C">
              <w:rPr>
                <w:rFonts w:ascii="Times New Roman" w:hAnsi="Times New Roman" w:cs="Times New Roman"/>
                <w:sz w:val="24"/>
                <w:szCs w:val="24"/>
              </w:rPr>
              <w:t>), tā</w:t>
            </w:r>
            <w:r w:rsidR="001349B4" w:rsidRPr="00FB7F9C">
              <w:rPr>
                <w:rFonts w:ascii="Times New Roman" w:hAnsi="Times New Roman" w:cs="Times New Roman"/>
                <w:sz w:val="24"/>
                <w:szCs w:val="24"/>
              </w:rPr>
              <w:t xml:space="preserve">dējādi padarot farmācijas industrijas darbību sabiedrībai vēl caurskatāmāku. SIFFA un LPMA </w:t>
            </w:r>
            <w:r w:rsidR="00A965E5" w:rsidRPr="00FB7F9C">
              <w:rPr>
                <w:rFonts w:ascii="Times New Roman" w:hAnsi="Times New Roman" w:cs="Times New Roman"/>
                <w:sz w:val="24"/>
                <w:szCs w:val="24"/>
              </w:rPr>
              <w:t xml:space="preserve">biedri </w:t>
            </w:r>
            <w:r w:rsidR="001349B4" w:rsidRPr="00FB7F9C">
              <w:rPr>
                <w:rFonts w:ascii="Times New Roman" w:hAnsi="Times New Roman" w:cs="Times New Roman"/>
                <w:sz w:val="24"/>
                <w:szCs w:val="24"/>
              </w:rPr>
              <w:t>jau kopš 2016.</w:t>
            </w:r>
            <w:r w:rsidR="00ED3404" w:rsidRPr="00FB7F9C">
              <w:rPr>
                <w:rFonts w:ascii="Times New Roman" w:hAnsi="Times New Roman" w:cs="Times New Roman"/>
                <w:sz w:val="24"/>
                <w:szCs w:val="24"/>
              </w:rPr>
              <w:t xml:space="preserve"> </w:t>
            </w:r>
            <w:r w:rsidR="001349B4" w:rsidRPr="00FB7F9C">
              <w:rPr>
                <w:rFonts w:ascii="Times New Roman" w:hAnsi="Times New Roman" w:cs="Times New Roman"/>
                <w:sz w:val="24"/>
                <w:szCs w:val="24"/>
              </w:rPr>
              <w:t xml:space="preserve">gada publisko veselības aprūpes organizācijām un speciālistiem sniegto atbalstu savās mājaslapās, kur </w:t>
            </w:r>
            <w:r w:rsidR="00A86794" w:rsidRPr="00FB7F9C">
              <w:rPr>
                <w:rFonts w:ascii="Times New Roman" w:hAnsi="Times New Roman" w:cs="Times New Roman"/>
                <w:sz w:val="24"/>
                <w:szCs w:val="24"/>
              </w:rPr>
              <w:t xml:space="preserve">cita starpā </w:t>
            </w:r>
            <w:r w:rsidR="001349B4" w:rsidRPr="00FB7F9C">
              <w:rPr>
                <w:rFonts w:ascii="Times New Roman" w:hAnsi="Times New Roman" w:cs="Times New Roman"/>
                <w:sz w:val="24"/>
                <w:szCs w:val="24"/>
              </w:rPr>
              <w:t xml:space="preserve">tiek ietverta arī informācija par </w:t>
            </w:r>
            <w:r w:rsidR="00A86794" w:rsidRPr="00FB7F9C">
              <w:rPr>
                <w:rFonts w:ascii="Times New Roman" w:hAnsi="Times New Roman" w:cs="Times New Roman"/>
                <w:sz w:val="24"/>
                <w:szCs w:val="24"/>
              </w:rPr>
              <w:t xml:space="preserve">konkrētu </w:t>
            </w:r>
            <w:r w:rsidR="001349B4" w:rsidRPr="00FB7F9C">
              <w:rPr>
                <w:rFonts w:ascii="Times New Roman" w:hAnsi="Times New Roman" w:cs="Times New Roman"/>
                <w:sz w:val="24"/>
                <w:szCs w:val="24"/>
              </w:rPr>
              <w:t xml:space="preserve">speciālistu publikāciju apmaksu un </w:t>
            </w:r>
            <w:r w:rsidR="00A86794" w:rsidRPr="00FB7F9C">
              <w:rPr>
                <w:rFonts w:ascii="Times New Roman" w:hAnsi="Times New Roman" w:cs="Times New Roman"/>
                <w:sz w:val="24"/>
                <w:szCs w:val="24"/>
              </w:rPr>
              <w:t xml:space="preserve">izlietoto summu </w:t>
            </w:r>
            <w:r w:rsidR="001349B4" w:rsidRPr="00FB7F9C">
              <w:rPr>
                <w:rFonts w:ascii="Times New Roman" w:hAnsi="Times New Roman" w:cs="Times New Roman"/>
                <w:sz w:val="24"/>
                <w:szCs w:val="24"/>
              </w:rPr>
              <w:t>zāļu pētījumiem un attīstīb</w:t>
            </w:r>
            <w:r w:rsidR="00A86794" w:rsidRPr="00FB7F9C">
              <w:rPr>
                <w:rFonts w:ascii="Times New Roman" w:hAnsi="Times New Roman" w:cs="Times New Roman"/>
                <w:sz w:val="24"/>
                <w:szCs w:val="24"/>
              </w:rPr>
              <w:t xml:space="preserve">ai, kas šobrīd nav ietvertas </w:t>
            </w:r>
            <w:r w:rsidR="001349B4" w:rsidRPr="00FB7F9C">
              <w:rPr>
                <w:rFonts w:ascii="Times New Roman" w:hAnsi="Times New Roman" w:cs="Times New Roman"/>
                <w:sz w:val="24"/>
                <w:szCs w:val="24"/>
              </w:rPr>
              <w:t xml:space="preserve">Noteikumos. </w:t>
            </w:r>
            <w:r w:rsidR="00A965E5" w:rsidRPr="00FB7F9C">
              <w:rPr>
                <w:rFonts w:ascii="Times New Roman" w:hAnsi="Times New Roman" w:cs="Times New Roman"/>
                <w:sz w:val="24"/>
                <w:szCs w:val="24"/>
              </w:rPr>
              <w:t>Tāpat visiem z</w:t>
            </w:r>
            <w:r w:rsidR="001349B4" w:rsidRPr="00FB7F9C">
              <w:rPr>
                <w:rFonts w:ascii="Times New Roman" w:hAnsi="Times New Roman" w:cs="Times New Roman"/>
                <w:sz w:val="24"/>
                <w:szCs w:val="24"/>
              </w:rPr>
              <w:t>āļu ražotāji</w:t>
            </w:r>
            <w:r w:rsidR="00A965E5" w:rsidRPr="00FB7F9C">
              <w:rPr>
                <w:rFonts w:ascii="Times New Roman" w:hAnsi="Times New Roman" w:cs="Times New Roman"/>
                <w:sz w:val="24"/>
                <w:szCs w:val="24"/>
              </w:rPr>
              <w:t>em</w:t>
            </w:r>
            <w:r w:rsidR="001349B4" w:rsidRPr="00FB7F9C">
              <w:rPr>
                <w:rFonts w:ascii="Times New Roman" w:hAnsi="Times New Roman" w:cs="Times New Roman"/>
                <w:sz w:val="24"/>
                <w:szCs w:val="24"/>
              </w:rPr>
              <w:t xml:space="preserve"> ik gadus </w:t>
            </w:r>
            <w:r w:rsidR="00A965E5" w:rsidRPr="00FB7F9C">
              <w:rPr>
                <w:rFonts w:ascii="Times New Roman" w:hAnsi="Times New Roman" w:cs="Times New Roman"/>
                <w:sz w:val="24"/>
                <w:szCs w:val="24"/>
              </w:rPr>
              <w:t>jā</w:t>
            </w:r>
            <w:r w:rsidR="001349B4" w:rsidRPr="00FB7F9C">
              <w:rPr>
                <w:rFonts w:ascii="Times New Roman" w:hAnsi="Times New Roman" w:cs="Times New Roman"/>
                <w:sz w:val="24"/>
                <w:szCs w:val="24"/>
              </w:rPr>
              <w:t>paziņo informācij</w:t>
            </w:r>
            <w:r w:rsidR="00A965E5" w:rsidRPr="00FB7F9C">
              <w:rPr>
                <w:rFonts w:ascii="Times New Roman" w:hAnsi="Times New Roman" w:cs="Times New Roman"/>
                <w:sz w:val="24"/>
                <w:szCs w:val="24"/>
              </w:rPr>
              <w:t>a</w:t>
            </w:r>
            <w:r w:rsidR="001349B4" w:rsidRPr="00FB7F9C">
              <w:rPr>
                <w:rFonts w:ascii="Times New Roman" w:hAnsi="Times New Roman" w:cs="Times New Roman"/>
                <w:sz w:val="24"/>
                <w:szCs w:val="24"/>
              </w:rPr>
              <w:t xml:space="preserve"> Veselības inspekcijas mājaslapā saskaņā ar Noteikumiem</w:t>
            </w:r>
            <w:r w:rsidRPr="00FB7F9C">
              <w:rPr>
                <w:rFonts w:ascii="Times New Roman" w:hAnsi="Times New Roman" w:cs="Times New Roman"/>
                <w:sz w:val="24"/>
                <w:szCs w:val="24"/>
              </w:rPr>
              <w:t>, kas gandrīz pilnībā pārsedzas ar Eiropas Farmācijas industriju asociācijas (</w:t>
            </w:r>
            <w:r w:rsidRPr="00FB7F9C">
              <w:rPr>
                <w:rFonts w:ascii="Times New Roman" w:hAnsi="Times New Roman" w:cs="Times New Roman"/>
                <w:i/>
                <w:iCs/>
                <w:sz w:val="24"/>
                <w:szCs w:val="24"/>
              </w:rPr>
              <w:t>EFPIA</w:t>
            </w:r>
            <w:r w:rsidRPr="00FB7F9C">
              <w:rPr>
                <w:rFonts w:ascii="Times New Roman" w:hAnsi="Times New Roman" w:cs="Times New Roman"/>
                <w:sz w:val="24"/>
                <w:szCs w:val="24"/>
              </w:rPr>
              <w:t xml:space="preserve">) </w:t>
            </w:r>
            <w:r w:rsidR="00FD2C1D" w:rsidRPr="00FB7F9C">
              <w:rPr>
                <w:rFonts w:ascii="Times New Roman" w:hAnsi="Times New Roman" w:cs="Times New Roman"/>
                <w:sz w:val="24"/>
                <w:szCs w:val="24"/>
              </w:rPr>
              <w:t>atklātības kodeksā ietverto</w:t>
            </w:r>
            <w:r w:rsidR="001349B4" w:rsidRPr="00FB7F9C">
              <w:rPr>
                <w:rFonts w:ascii="Times New Roman" w:hAnsi="Times New Roman" w:cs="Times New Roman"/>
                <w:sz w:val="24"/>
                <w:szCs w:val="24"/>
              </w:rPr>
              <w:t>.</w:t>
            </w:r>
            <w:r w:rsidR="006B032C" w:rsidRPr="00FB7F9C">
              <w:rPr>
                <w:rFonts w:ascii="Times New Roman" w:hAnsi="Times New Roman" w:cs="Times New Roman"/>
                <w:sz w:val="24"/>
                <w:szCs w:val="24"/>
              </w:rPr>
              <w:t xml:space="preserve"> Ja </w:t>
            </w:r>
            <w:r w:rsidR="00B1387D" w:rsidRPr="00FB7F9C">
              <w:rPr>
                <w:rFonts w:ascii="Times New Roman" w:hAnsi="Times New Roman" w:cs="Times New Roman"/>
                <w:sz w:val="24"/>
                <w:szCs w:val="24"/>
              </w:rPr>
              <w:t xml:space="preserve">Noteikumi tiktu papildināti ar </w:t>
            </w:r>
            <w:r w:rsidR="006B032C" w:rsidRPr="00FB7F9C">
              <w:rPr>
                <w:rFonts w:ascii="Times New Roman" w:hAnsi="Times New Roman" w:cs="Times New Roman"/>
                <w:sz w:val="24"/>
                <w:szCs w:val="24"/>
              </w:rPr>
              <w:t>minēt</w:t>
            </w:r>
            <w:r w:rsidR="00B1387D" w:rsidRPr="00FB7F9C">
              <w:rPr>
                <w:rFonts w:ascii="Times New Roman" w:hAnsi="Times New Roman" w:cs="Times New Roman"/>
                <w:sz w:val="24"/>
                <w:szCs w:val="24"/>
              </w:rPr>
              <w:t>ajām</w:t>
            </w:r>
            <w:r w:rsidR="006B032C" w:rsidRPr="00FB7F9C">
              <w:rPr>
                <w:rFonts w:ascii="Times New Roman" w:hAnsi="Times New Roman" w:cs="Times New Roman"/>
                <w:sz w:val="24"/>
                <w:szCs w:val="24"/>
              </w:rPr>
              <w:t xml:space="preserve"> norm</w:t>
            </w:r>
            <w:r w:rsidR="00B1387D" w:rsidRPr="00FB7F9C">
              <w:rPr>
                <w:rFonts w:ascii="Times New Roman" w:hAnsi="Times New Roman" w:cs="Times New Roman"/>
                <w:sz w:val="24"/>
                <w:szCs w:val="24"/>
              </w:rPr>
              <w:t>ām</w:t>
            </w:r>
            <w:r w:rsidR="006B032C" w:rsidRPr="00FB7F9C">
              <w:rPr>
                <w:rFonts w:ascii="Times New Roman" w:hAnsi="Times New Roman" w:cs="Times New Roman"/>
                <w:sz w:val="24"/>
                <w:szCs w:val="24"/>
              </w:rPr>
              <w:t>, tad datu paziņošana notiktu vienīgi Veselības inspekcijas mājaslapā</w:t>
            </w:r>
            <w:r w:rsidR="00B1387D" w:rsidRPr="00FB7F9C">
              <w:rPr>
                <w:rFonts w:ascii="Times New Roman" w:hAnsi="Times New Roman" w:cs="Times New Roman"/>
                <w:sz w:val="24"/>
                <w:szCs w:val="24"/>
              </w:rPr>
              <w:t xml:space="preserve">, </w:t>
            </w:r>
            <w:r w:rsidRPr="00FB7F9C">
              <w:rPr>
                <w:rFonts w:ascii="Times New Roman" w:hAnsi="Times New Roman" w:cs="Times New Roman"/>
                <w:sz w:val="24"/>
                <w:szCs w:val="24"/>
              </w:rPr>
              <w:t>zāļu ražotāji būtu atslogoti no nepieciešamības šo informāciju dublēt</w:t>
            </w:r>
            <w:r w:rsidR="00A965E5" w:rsidRPr="00FB7F9C">
              <w:rPr>
                <w:rFonts w:ascii="Times New Roman" w:hAnsi="Times New Roman" w:cs="Times New Roman"/>
                <w:sz w:val="24"/>
                <w:szCs w:val="24"/>
              </w:rPr>
              <w:t xml:space="preserve">, </w:t>
            </w:r>
            <w:r w:rsidRPr="00FB7F9C">
              <w:rPr>
                <w:rFonts w:ascii="Times New Roman" w:hAnsi="Times New Roman" w:cs="Times New Roman"/>
                <w:sz w:val="24"/>
                <w:szCs w:val="24"/>
              </w:rPr>
              <w:t>un</w:t>
            </w:r>
            <w:r w:rsidR="006B032C" w:rsidRPr="00FB7F9C">
              <w:rPr>
                <w:rFonts w:ascii="Times New Roman" w:hAnsi="Times New Roman" w:cs="Times New Roman"/>
                <w:sz w:val="24"/>
                <w:szCs w:val="24"/>
              </w:rPr>
              <w:t xml:space="preserve"> </w:t>
            </w:r>
            <w:r w:rsidRPr="00FB7F9C">
              <w:rPr>
                <w:rFonts w:ascii="Times New Roman" w:hAnsi="Times New Roman" w:cs="Times New Roman"/>
                <w:sz w:val="24"/>
                <w:szCs w:val="24"/>
              </w:rPr>
              <w:t xml:space="preserve">tā </w:t>
            </w:r>
            <w:r w:rsidR="006B032C" w:rsidRPr="00FB7F9C">
              <w:rPr>
                <w:rFonts w:ascii="Times New Roman" w:hAnsi="Times New Roman" w:cs="Times New Roman"/>
                <w:sz w:val="24"/>
                <w:szCs w:val="24"/>
              </w:rPr>
              <w:t xml:space="preserve">būtu </w:t>
            </w:r>
            <w:r w:rsidR="00FD2C1D" w:rsidRPr="00FB7F9C">
              <w:rPr>
                <w:rFonts w:ascii="Times New Roman" w:hAnsi="Times New Roman" w:cs="Times New Roman"/>
                <w:sz w:val="24"/>
                <w:szCs w:val="24"/>
              </w:rPr>
              <w:t xml:space="preserve">vienota un </w:t>
            </w:r>
            <w:r w:rsidR="006B032C" w:rsidRPr="00FB7F9C">
              <w:rPr>
                <w:rFonts w:ascii="Times New Roman" w:hAnsi="Times New Roman" w:cs="Times New Roman"/>
                <w:sz w:val="24"/>
                <w:szCs w:val="24"/>
              </w:rPr>
              <w:t>saistoša visiem tirgus dalībniekiem tādā pat apmērā, kā to līdz šim veic</w:t>
            </w:r>
            <w:r w:rsidR="00A965E5" w:rsidRPr="00FB7F9C">
              <w:rPr>
                <w:rFonts w:ascii="Times New Roman" w:hAnsi="Times New Roman" w:cs="Times New Roman"/>
                <w:sz w:val="24"/>
                <w:szCs w:val="24"/>
              </w:rPr>
              <w:t>a</w:t>
            </w:r>
            <w:r w:rsidR="006B032C" w:rsidRPr="00FB7F9C">
              <w:rPr>
                <w:rFonts w:ascii="Times New Roman" w:hAnsi="Times New Roman" w:cs="Times New Roman"/>
                <w:sz w:val="24"/>
                <w:szCs w:val="24"/>
              </w:rPr>
              <w:t xml:space="preserve"> SIFFA un LPMA, vadoties no </w:t>
            </w:r>
            <w:r w:rsidR="006B032C" w:rsidRPr="00FB7F9C">
              <w:rPr>
                <w:rFonts w:ascii="Times New Roman" w:hAnsi="Times New Roman" w:cs="Times New Roman"/>
                <w:i/>
                <w:iCs/>
                <w:sz w:val="24"/>
                <w:szCs w:val="24"/>
              </w:rPr>
              <w:t>EFPIA</w:t>
            </w:r>
            <w:r w:rsidR="006B032C" w:rsidRPr="00FB7F9C">
              <w:rPr>
                <w:rFonts w:ascii="Times New Roman" w:hAnsi="Times New Roman" w:cs="Times New Roman"/>
                <w:sz w:val="24"/>
                <w:szCs w:val="24"/>
              </w:rPr>
              <w:t xml:space="preserve"> Prakses kodeksa </w:t>
            </w:r>
            <w:r w:rsidR="00700619" w:rsidRPr="00FB7F9C">
              <w:rPr>
                <w:rFonts w:ascii="Times New Roman" w:hAnsi="Times New Roman" w:cs="Times New Roman"/>
                <w:sz w:val="24"/>
                <w:szCs w:val="24"/>
              </w:rPr>
              <w:t>(</w:t>
            </w:r>
            <w:r w:rsidR="00ED3404" w:rsidRPr="00FB7F9C">
              <w:rPr>
                <w:rFonts w:ascii="Times New Roman" w:hAnsi="Times New Roman" w:cs="Times New Roman"/>
                <w:sz w:val="24"/>
                <w:szCs w:val="24"/>
              </w:rPr>
              <w:t>š</w:t>
            </w:r>
            <w:r w:rsidR="00FD2C1D" w:rsidRPr="00FB7F9C">
              <w:rPr>
                <w:rFonts w:ascii="Times New Roman" w:hAnsi="Times New Roman" w:cs="Times New Roman"/>
                <w:sz w:val="24"/>
                <w:szCs w:val="24"/>
              </w:rPr>
              <w:t xml:space="preserve">ādi lēmumi harmonizēt EFPIA normas, iekļaujot </w:t>
            </w:r>
            <w:r w:rsidR="00700619" w:rsidRPr="00FB7F9C">
              <w:rPr>
                <w:rFonts w:ascii="Times New Roman" w:hAnsi="Times New Roman" w:cs="Times New Roman"/>
                <w:sz w:val="24"/>
                <w:szCs w:val="24"/>
              </w:rPr>
              <w:t>publiskojamo informāciju arī</w:t>
            </w:r>
            <w:r w:rsidR="00FD2C1D" w:rsidRPr="00FB7F9C">
              <w:rPr>
                <w:rFonts w:ascii="Times New Roman" w:hAnsi="Times New Roman" w:cs="Times New Roman"/>
                <w:sz w:val="24"/>
                <w:szCs w:val="24"/>
              </w:rPr>
              <w:t xml:space="preserve"> </w:t>
            </w:r>
            <w:r w:rsidR="00700619" w:rsidRPr="00FB7F9C">
              <w:rPr>
                <w:rFonts w:ascii="Times New Roman" w:hAnsi="Times New Roman" w:cs="Times New Roman"/>
                <w:sz w:val="24"/>
                <w:szCs w:val="24"/>
              </w:rPr>
              <w:t>valstu normatīvajos aktos</w:t>
            </w:r>
            <w:r w:rsidR="00FD2C1D" w:rsidRPr="00FB7F9C">
              <w:rPr>
                <w:rFonts w:ascii="Times New Roman" w:hAnsi="Times New Roman" w:cs="Times New Roman"/>
                <w:sz w:val="24"/>
                <w:szCs w:val="24"/>
              </w:rPr>
              <w:t xml:space="preserve">, jau ir  </w:t>
            </w:r>
            <w:r w:rsidR="00700619" w:rsidRPr="00FB7F9C">
              <w:rPr>
                <w:rFonts w:ascii="Times New Roman" w:hAnsi="Times New Roman" w:cs="Times New Roman"/>
                <w:sz w:val="24"/>
                <w:szCs w:val="24"/>
              </w:rPr>
              <w:t xml:space="preserve">pieņemti </w:t>
            </w:r>
            <w:r w:rsidR="00FD2C1D" w:rsidRPr="00FB7F9C">
              <w:rPr>
                <w:rFonts w:ascii="Times New Roman" w:hAnsi="Times New Roman" w:cs="Times New Roman"/>
                <w:sz w:val="24"/>
                <w:szCs w:val="24"/>
              </w:rPr>
              <w:t>Lietuvā, Dānijā, Francijā, Grieķijā, Polijā, Portugālē, Rumānijā, Nīderlandē,  Ungārijā, u.c</w:t>
            </w:r>
            <w:r w:rsidR="00700619" w:rsidRPr="00FB7F9C">
              <w:rPr>
                <w:rFonts w:ascii="Times New Roman" w:hAnsi="Times New Roman" w:cs="Times New Roman"/>
                <w:sz w:val="24"/>
                <w:szCs w:val="24"/>
              </w:rPr>
              <w:t>. valstīs)</w:t>
            </w:r>
            <w:r w:rsidR="00ED3404" w:rsidRPr="00FB7F9C">
              <w:rPr>
                <w:rFonts w:ascii="Times New Roman" w:hAnsi="Times New Roman" w:cs="Times New Roman"/>
                <w:sz w:val="24"/>
                <w:szCs w:val="24"/>
              </w:rPr>
              <w:t>.</w:t>
            </w:r>
            <w:r w:rsidR="00FD2C1D" w:rsidRPr="00FB7F9C">
              <w:rPr>
                <w:rFonts w:ascii="Times New Roman" w:hAnsi="Times New Roman" w:cs="Times New Roman"/>
                <w:sz w:val="24"/>
                <w:szCs w:val="24"/>
              </w:rPr>
              <w:t xml:space="preserve"> </w:t>
            </w:r>
            <w:r w:rsidR="00B1387D" w:rsidRPr="00FB7F9C">
              <w:rPr>
                <w:rFonts w:ascii="Times New Roman" w:hAnsi="Times New Roman" w:cs="Times New Roman"/>
                <w:sz w:val="24"/>
                <w:szCs w:val="24"/>
              </w:rPr>
              <w:t>T</w:t>
            </w:r>
            <w:r w:rsidR="006B032C" w:rsidRPr="00FB7F9C">
              <w:rPr>
                <w:rFonts w:ascii="Times New Roman" w:hAnsi="Times New Roman" w:cs="Times New Roman"/>
                <w:sz w:val="24"/>
                <w:szCs w:val="24"/>
              </w:rPr>
              <w:t xml:space="preserve">as ļautu sabiedrībai gūt vēl caurspīdīgāku ieskatu par industriju, iepazīstoties ar publiskoto </w:t>
            </w:r>
            <w:r w:rsidRPr="00FB7F9C">
              <w:rPr>
                <w:rFonts w:ascii="Times New Roman" w:hAnsi="Times New Roman" w:cs="Times New Roman"/>
                <w:sz w:val="24"/>
                <w:szCs w:val="24"/>
              </w:rPr>
              <w:t xml:space="preserve">vēl plašāko </w:t>
            </w:r>
            <w:r w:rsidR="006B032C" w:rsidRPr="00FB7F9C">
              <w:rPr>
                <w:rFonts w:ascii="Times New Roman" w:hAnsi="Times New Roman" w:cs="Times New Roman"/>
                <w:sz w:val="24"/>
                <w:szCs w:val="24"/>
              </w:rPr>
              <w:t>informāciju vienuviet</w:t>
            </w:r>
            <w:r w:rsidR="00B1387D" w:rsidRPr="00FB7F9C">
              <w:rPr>
                <w:rFonts w:ascii="Times New Roman" w:hAnsi="Times New Roman" w:cs="Times New Roman"/>
                <w:sz w:val="24"/>
                <w:szCs w:val="24"/>
              </w:rPr>
              <w:t xml:space="preserve"> Veselības inspekcijas mājaslapā</w:t>
            </w:r>
            <w:r w:rsidR="006B032C" w:rsidRPr="00FB7F9C">
              <w:rPr>
                <w:rFonts w:ascii="Times New Roman" w:hAnsi="Times New Roman" w:cs="Times New Roman"/>
                <w:sz w:val="24"/>
                <w:szCs w:val="24"/>
              </w:rPr>
              <w:t>.</w:t>
            </w:r>
            <w:r w:rsidR="005A6751" w:rsidRPr="00FB7F9C">
              <w:rPr>
                <w:rFonts w:ascii="Times New Roman" w:hAnsi="Times New Roman" w:cs="Times New Roman"/>
                <w:sz w:val="24"/>
                <w:szCs w:val="24"/>
              </w:rPr>
              <w:t xml:space="preserve"> Priekšlikumi Noteikumu projektam no SIFFA un LPMA ir saņemti </w:t>
            </w:r>
            <w:r w:rsidR="00ED3404" w:rsidRPr="00FB7F9C">
              <w:rPr>
                <w:rFonts w:ascii="Times New Roman" w:hAnsi="Times New Roman" w:cs="Times New Roman"/>
                <w:sz w:val="24"/>
                <w:szCs w:val="24"/>
              </w:rPr>
              <w:t xml:space="preserve">2020. gada 22. jūlijā. </w:t>
            </w:r>
          </w:p>
          <w:p w14:paraId="3FD1ED9B" w14:textId="6D5A3A62" w:rsidR="00C74DE7" w:rsidRPr="00FB7F9C" w:rsidRDefault="00D97D32" w:rsidP="00876E41">
            <w:pPr>
              <w:jc w:val="both"/>
              <w:rPr>
                <w:rFonts w:ascii="Times New Roman" w:hAnsi="Times New Roman"/>
                <w:sz w:val="24"/>
                <w:szCs w:val="24"/>
              </w:rPr>
            </w:pPr>
            <w:r w:rsidRPr="00FB7F9C">
              <w:rPr>
                <w:rFonts w:ascii="Times New Roman" w:hAnsi="Times New Roman"/>
                <w:sz w:val="24"/>
                <w:szCs w:val="24"/>
              </w:rPr>
              <w:t xml:space="preserve">Ņemot vērā minēto, nepieciešams pilnveidot prasības, atklātumu un caurskatāmību, paredzot arī konkrētu speciālistu apmaksāto publikāciju deklarēšanu, kā arī attiecīgās dokumentācijas saglabāšanu un pieejamību Veselības inspekcijas amatpersonām uzraudzības nolūkos. Noteikumi jāpilnveido, paredzot, ka Noteikumi attiecināmi arī uz tām personām paredzēto zāļu reklāmu, kurām ir tiesības izrakstīt vai izplatīt zāles, ietverot arī pasākumus ar profesionālu un zinātnisku ievirzi, ja tiek organizēti semināri, konferences, kongresi, konkursi, izstādes un citi pasākumi, kuros tiek reklamētas zāles. Noteikumos paredzēts </w:t>
            </w:r>
            <w:r w:rsidRPr="00FB7F9C">
              <w:rPr>
                <w:rFonts w:ascii="Times New Roman" w:hAnsi="Times New Roman"/>
                <w:sz w:val="24"/>
                <w:szCs w:val="24"/>
              </w:rPr>
              <w:lastRenderedPageBreak/>
              <w:t xml:space="preserve">noteikt, ka tie cita starpā attiecas arī uz zāļu ražotāju pētījumiem un attīstībai izlietotām summām un informāciju par publikāciju apmaksu speciālistiem, kā arī Noteikumus paredzēts papildināt, ka </w:t>
            </w:r>
            <w:r w:rsidRPr="00C61C2B">
              <w:rPr>
                <w:rFonts w:ascii="Times New Roman" w:hAnsi="Times New Roman"/>
                <w:sz w:val="24"/>
                <w:szCs w:val="24"/>
              </w:rPr>
              <w:t>pasākumos ar zinātnisku un profesionālu ievirzi var piedalīties farmaceitiskas darbības subjektu speciālisti.</w:t>
            </w:r>
            <w:r w:rsidRPr="00FB7F9C">
              <w:rPr>
                <w:rFonts w:ascii="Times New Roman" w:hAnsi="Times New Roman"/>
                <w:sz w:val="24"/>
                <w:szCs w:val="24"/>
              </w:rPr>
              <w:t xml:space="preserve"> Tāpat Noteikumos paredzēts noteikt, ka z</w:t>
            </w:r>
            <w:r w:rsidRPr="00FB7F9C">
              <w:rPr>
                <w:rFonts w:ascii="Times New Roman" w:eastAsia="Times New Roman" w:hAnsi="Times New Roman"/>
                <w:sz w:val="24"/>
                <w:szCs w:val="24"/>
                <w:lang w:eastAsia="lv-LV"/>
              </w:rPr>
              <w:t>āļu reģistrācijas īpašnieks vai tā pilnvarotais pārstāvis, vai cita persona, kas ir reklāmas devējs vai reklāmas izplatītājs</w:t>
            </w:r>
            <w:r w:rsidRPr="00FB7F9C">
              <w:rPr>
                <w:rFonts w:ascii="Times New Roman" w:hAnsi="Times New Roman"/>
                <w:sz w:val="24"/>
                <w:szCs w:val="24"/>
              </w:rPr>
              <w:t>, ir tiesīgi apmaksāt (sponsorēt) speciālistu publikācijas, pienākumu nodrošināt dokumentu un informācijas saglabāšanu par konkrētu speciālistu atbalstu, kā arī sniegt paziņojumu par zāļu izpētē un attīstībā izlietotajām summām. Tāpat paredzēts noteikt, kāda satura informācija un kādā veidā (rakstiski vai elektroniski) par minēto atbalstu zāļu reģistrācijas īpašnieks vai tā pilnvarotais pārstāvis, vai cita persona, kas ir reklāmas devējs sniedz Veselības inspekcijai. Tādējādi Noteikumu projekta 2.2.6., 2.2.8., 31.</w:t>
            </w:r>
            <w:r w:rsidRPr="00FB7F9C">
              <w:rPr>
                <w:rFonts w:ascii="Times New Roman" w:hAnsi="Times New Roman"/>
                <w:sz w:val="24"/>
                <w:szCs w:val="24"/>
                <w:vertAlign w:val="superscript"/>
              </w:rPr>
              <w:t>1</w:t>
            </w:r>
            <w:r w:rsidRPr="00FB7F9C">
              <w:rPr>
                <w:rFonts w:ascii="Times New Roman" w:hAnsi="Times New Roman"/>
                <w:sz w:val="24"/>
                <w:szCs w:val="24"/>
              </w:rPr>
              <w:t xml:space="preserve"> un 32.</w:t>
            </w:r>
            <w:r w:rsidRPr="00FB7F9C">
              <w:rPr>
                <w:rFonts w:ascii="Times New Roman" w:hAnsi="Times New Roman"/>
                <w:sz w:val="24"/>
                <w:szCs w:val="24"/>
                <w:vertAlign w:val="superscript"/>
              </w:rPr>
              <w:t>2.</w:t>
            </w:r>
            <w:r w:rsidRPr="00FB7F9C">
              <w:rPr>
                <w:rFonts w:ascii="Times New Roman" w:hAnsi="Times New Roman"/>
                <w:sz w:val="24"/>
                <w:szCs w:val="24"/>
              </w:rPr>
              <w:t xml:space="preserve"> punkti minēto problēmu atrisinās pilnībā, jo novērsīs iespēju atsevišķas tiesību normas skaidrot neatbilstoši to būtībai un precizēs tiesību subjektus, kuriem šie Noteikumi saistoši un nodrošinās atklātumu un caurskatāmību, kā arī reklāmas uzraudzību, mazinot iespējamos korupcijas riskus veselības aprūpē un veicinot zāļu ražotājfirmu un izplatītāju ar zāļu reklāmu saistīto mārketinga izdevumu caurskatāmību.</w:t>
            </w:r>
          </w:p>
          <w:p w14:paraId="35DA4491" w14:textId="529E126B" w:rsidR="00DF75F6" w:rsidRPr="00FB7F9C" w:rsidRDefault="00E61F4B" w:rsidP="00876E41">
            <w:pPr>
              <w:jc w:val="both"/>
              <w:rPr>
                <w:rFonts w:ascii="Times New Roman" w:hAnsi="Times New Roman" w:cs="Times New Roman"/>
                <w:sz w:val="24"/>
                <w:szCs w:val="24"/>
              </w:rPr>
            </w:pPr>
            <w:r>
              <w:rPr>
                <w:rFonts w:ascii="Times New Roman" w:hAnsi="Times New Roman" w:cs="Times New Roman"/>
                <w:sz w:val="24"/>
                <w:szCs w:val="24"/>
              </w:rPr>
              <w:t>2</w:t>
            </w:r>
            <w:r w:rsidR="00A66E40" w:rsidRPr="00FB7F9C">
              <w:rPr>
                <w:rFonts w:ascii="Times New Roman" w:hAnsi="Times New Roman" w:cs="Times New Roman"/>
                <w:sz w:val="24"/>
                <w:szCs w:val="24"/>
              </w:rPr>
              <w:t>) Noteikumu projekt</w:t>
            </w:r>
            <w:r w:rsidR="0099638C" w:rsidRPr="00FB7F9C">
              <w:rPr>
                <w:rFonts w:ascii="Times New Roman" w:hAnsi="Times New Roman" w:cs="Times New Roman"/>
                <w:sz w:val="24"/>
                <w:szCs w:val="24"/>
              </w:rPr>
              <w:t>ā iekļautie grozījumi pēc būtības precizē esošo kārtību Noteikumos</w:t>
            </w:r>
            <w:r w:rsidR="009F03C3" w:rsidRPr="00FB7F9C">
              <w:rPr>
                <w:rFonts w:ascii="Times New Roman" w:hAnsi="Times New Roman" w:cs="Times New Roman"/>
                <w:sz w:val="24"/>
                <w:szCs w:val="24"/>
              </w:rPr>
              <w:t>,</w:t>
            </w:r>
            <w:r w:rsidR="00A66E40" w:rsidRPr="00FB7F9C">
              <w:rPr>
                <w:rFonts w:ascii="Times New Roman" w:hAnsi="Times New Roman" w:cs="Times New Roman"/>
                <w:sz w:val="24"/>
                <w:szCs w:val="24"/>
              </w:rPr>
              <w:t xml:space="preserve"> </w:t>
            </w:r>
            <w:r w:rsidR="00E03197" w:rsidRPr="00FB7F9C">
              <w:rPr>
                <w:rFonts w:ascii="Times New Roman" w:hAnsi="Times New Roman" w:cs="Times New Roman"/>
                <w:sz w:val="24"/>
                <w:szCs w:val="24"/>
              </w:rPr>
              <w:t>nosakot</w:t>
            </w:r>
            <w:r w:rsidR="00A66E40" w:rsidRPr="00FB7F9C">
              <w:rPr>
                <w:rFonts w:ascii="Times New Roman" w:hAnsi="Times New Roman" w:cs="Times New Roman"/>
                <w:sz w:val="24"/>
                <w:szCs w:val="24"/>
              </w:rPr>
              <w:t>, k</w:t>
            </w:r>
            <w:r w:rsidR="00E03197" w:rsidRPr="00FB7F9C">
              <w:rPr>
                <w:rFonts w:ascii="Times New Roman" w:hAnsi="Times New Roman" w:cs="Times New Roman"/>
                <w:sz w:val="24"/>
                <w:szCs w:val="24"/>
              </w:rPr>
              <w:t>a</w:t>
            </w:r>
            <w:r w:rsidR="00A66E40" w:rsidRPr="00FB7F9C">
              <w:rPr>
                <w:rFonts w:ascii="Times New Roman" w:hAnsi="Times New Roman" w:cs="Times New Roman"/>
                <w:sz w:val="24"/>
                <w:szCs w:val="24"/>
              </w:rPr>
              <w:t xml:space="preserve"> </w:t>
            </w:r>
            <w:r w:rsidR="00025255" w:rsidRPr="00FB7F9C">
              <w:rPr>
                <w:rFonts w:ascii="Times New Roman" w:hAnsi="Times New Roman" w:cs="Times New Roman"/>
                <w:sz w:val="24"/>
                <w:szCs w:val="24"/>
              </w:rPr>
              <w:t xml:space="preserve">tikai </w:t>
            </w:r>
            <w:r w:rsidR="009F03C3" w:rsidRPr="00FB7F9C">
              <w:rPr>
                <w:rFonts w:ascii="Times New Roman" w:hAnsi="Times New Roman" w:cs="Times New Roman"/>
                <w:sz w:val="24"/>
                <w:szCs w:val="24"/>
              </w:rPr>
              <w:t>Veselības inspekcijas tīmekļa vietnē sniedzama informāciju par sniegto atbalstu un iesaistītajiem speciālistiem, pētījumiem izlietoto finansējumu, dāvinājumu un ziedojumu saņēmēju</w:t>
            </w:r>
            <w:r w:rsidR="00E03197" w:rsidRPr="00FB7F9C">
              <w:rPr>
                <w:rFonts w:ascii="Times New Roman" w:hAnsi="Times New Roman" w:cs="Times New Roman"/>
                <w:sz w:val="24"/>
                <w:szCs w:val="24"/>
              </w:rPr>
              <w:t>.</w:t>
            </w:r>
            <w:r w:rsidR="009F03C3" w:rsidRPr="00FB7F9C">
              <w:rPr>
                <w:rFonts w:ascii="Times New Roman" w:hAnsi="Times New Roman" w:cs="Times New Roman"/>
                <w:sz w:val="24"/>
                <w:szCs w:val="24"/>
              </w:rPr>
              <w:t xml:space="preserve"> </w:t>
            </w:r>
            <w:r w:rsidR="00E03197" w:rsidRPr="00FB7F9C">
              <w:rPr>
                <w:rFonts w:ascii="Times New Roman" w:hAnsi="Times New Roman" w:cs="Times New Roman"/>
                <w:sz w:val="24"/>
                <w:szCs w:val="24"/>
              </w:rPr>
              <w:t xml:space="preserve">Līdz ar ko ar grozījumiem tiks </w:t>
            </w:r>
            <w:r w:rsidR="00446AD7" w:rsidRPr="00FB7F9C">
              <w:rPr>
                <w:rFonts w:ascii="Times New Roman" w:hAnsi="Times New Roman" w:cs="Times New Roman"/>
                <w:sz w:val="24"/>
                <w:szCs w:val="24"/>
              </w:rPr>
              <w:t>novērsta</w:t>
            </w:r>
            <w:r w:rsidR="009F03C3" w:rsidRPr="00FB7F9C">
              <w:rPr>
                <w:rFonts w:ascii="Times New Roman" w:hAnsi="Times New Roman" w:cs="Times New Roman"/>
                <w:sz w:val="24"/>
                <w:szCs w:val="24"/>
              </w:rPr>
              <w:t xml:space="preserve"> informācijas dublēšan</w:t>
            </w:r>
            <w:r w:rsidR="00E03197" w:rsidRPr="00FB7F9C">
              <w:rPr>
                <w:rFonts w:ascii="Times New Roman" w:hAnsi="Times New Roman" w:cs="Times New Roman"/>
                <w:sz w:val="24"/>
                <w:szCs w:val="24"/>
              </w:rPr>
              <w:t>a</w:t>
            </w:r>
            <w:r w:rsidR="00AF30EF" w:rsidRPr="00FB7F9C">
              <w:rPr>
                <w:rFonts w:ascii="Times New Roman" w:hAnsi="Times New Roman" w:cs="Times New Roman"/>
                <w:sz w:val="24"/>
                <w:szCs w:val="24"/>
              </w:rPr>
              <w:t xml:space="preserve">, </w:t>
            </w:r>
            <w:r w:rsidR="00446AD7" w:rsidRPr="00FB7F9C">
              <w:rPr>
                <w:rFonts w:ascii="Times New Roman" w:hAnsi="Times New Roman" w:cs="Times New Roman"/>
                <w:sz w:val="24"/>
                <w:szCs w:val="24"/>
              </w:rPr>
              <w:t>samazino</w:t>
            </w:r>
            <w:r w:rsidR="00E03197" w:rsidRPr="00FB7F9C">
              <w:rPr>
                <w:rFonts w:ascii="Times New Roman" w:hAnsi="Times New Roman" w:cs="Times New Roman"/>
                <w:sz w:val="24"/>
                <w:szCs w:val="24"/>
              </w:rPr>
              <w:t xml:space="preserve">t administratīvo slogu, kā arī </w:t>
            </w:r>
            <w:r w:rsidR="00AF30EF" w:rsidRPr="00FB7F9C">
              <w:rPr>
                <w:rFonts w:ascii="Times New Roman" w:hAnsi="Times New Roman" w:cs="Times New Roman"/>
                <w:sz w:val="24"/>
                <w:szCs w:val="24"/>
              </w:rPr>
              <w:t xml:space="preserve">vienlaikus paredzot šīs informācijas nodošanu tieši </w:t>
            </w:r>
            <w:r w:rsidR="00E03197" w:rsidRPr="00FB7F9C">
              <w:rPr>
                <w:rFonts w:ascii="Times New Roman" w:hAnsi="Times New Roman" w:cs="Times New Roman"/>
                <w:sz w:val="24"/>
                <w:szCs w:val="24"/>
              </w:rPr>
              <w:t>kontrolējošajai</w:t>
            </w:r>
            <w:r w:rsidR="00AF30EF" w:rsidRPr="00FB7F9C">
              <w:rPr>
                <w:rFonts w:ascii="Times New Roman" w:hAnsi="Times New Roman" w:cs="Times New Roman"/>
                <w:sz w:val="24"/>
                <w:szCs w:val="24"/>
              </w:rPr>
              <w:t xml:space="preserve"> iestādei, </w:t>
            </w:r>
            <w:r w:rsidR="005F38B6" w:rsidRPr="00FB7F9C">
              <w:rPr>
                <w:rFonts w:ascii="Times New Roman" w:hAnsi="Times New Roman" w:cs="Times New Roman"/>
                <w:sz w:val="24"/>
                <w:szCs w:val="24"/>
              </w:rPr>
              <w:t>tādā veidā</w:t>
            </w:r>
            <w:r w:rsidR="00AF30EF" w:rsidRPr="00FB7F9C">
              <w:rPr>
                <w:rFonts w:ascii="Times New Roman" w:hAnsi="Times New Roman" w:cs="Times New Roman"/>
                <w:sz w:val="24"/>
                <w:szCs w:val="24"/>
              </w:rPr>
              <w:t xml:space="preserve"> veicin</w:t>
            </w:r>
            <w:r w:rsidR="005F38B6" w:rsidRPr="00FB7F9C">
              <w:rPr>
                <w:rFonts w:ascii="Times New Roman" w:hAnsi="Times New Roman" w:cs="Times New Roman"/>
                <w:sz w:val="24"/>
                <w:szCs w:val="24"/>
              </w:rPr>
              <w:t>ot</w:t>
            </w:r>
            <w:r w:rsidR="00AF30EF" w:rsidRPr="00FB7F9C">
              <w:rPr>
                <w:rFonts w:ascii="Times New Roman" w:hAnsi="Times New Roman" w:cs="Times New Roman"/>
                <w:sz w:val="24"/>
                <w:szCs w:val="24"/>
              </w:rPr>
              <w:t xml:space="preserve"> atklātību un caurskatāmību, </w:t>
            </w:r>
            <w:r w:rsidR="005F38B6" w:rsidRPr="00FB7F9C">
              <w:rPr>
                <w:rFonts w:ascii="Times New Roman" w:hAnsi="Times New Roman" w:cs="Times New Roman"/>
                <w:sz w:val="24"/>
                <w:szCs w:val="24"/>
              </w:rPr>
              <w:t>kā</w:t>
            </w:r>
            <w:r w:rsidR="00446AD7" w:rsidRPr="00FB7F9C">
              <w:rPr>
                <w:rFonts w:ascii="Times New Roman" w:hAnsi="Times New Roman" w:cs="Times New Roman"/>
                <w:sz w:val="24"/>
                <w:szCs w:val="24"/>
              </w:rPr>
              <w:t xml:space="preserve"> arī</w:t>
            </w:r>
            <w:r w:rsidR="00AF30EF" w:rsidRPr="00FB7F9C">
              <w:rPr>
                <w:rFonts w:ascii="Times New Roman" w:hAnsi="Times New Roman" w:cs="Times New Roman"/>
                <w:sz w:val="24"/>
                <w:szCs w:val="24"/>
              </w:rPr>
              <w:t xml:space="preserve"> ierobežo</w:t>
            </w:r>
            <w:r w:rsidR="005F38B6" w:rsidRPr="00FB7F9C">
              <w:rPr>
                <w:rFonts w:ascii="Times New Roman" w:hAnsi="Times New Roman" w:cs="Times New Roman"/>
                <w:sz w:val="24"/>
                <w:szCs w:val="24"/>
              </w:rPr>
              <w:t>jot iespējamos</w:t>
            </w:r>
            <w:r w:rsidR="00AF30EF" w:rsidRPr="00FB7F9C">
              <w:rPr>
                <w:rFonts w:ascii="Times New Roman" w:hAnsi="Times New Roman" w:cs="Times New Roman"/>
                <w:sz w:val="24"/>
                <w:szCs w:val="24"/>
              </w:rPr>
              <w:t xml:space="preserve"> korupcijas riskus. Tāpat ar Noteikumu projektu paredzēts</w:t>
            </w:r>
            <w:r w:rsidR="00A66E40" w:rsidRPr="00FB7F9C">
              <w:rPr>
                <w:rFonts w:ascii="Times New Roman" w:hAnsi="Times New Roman" w:cs="Times New Roman"/>
                <w:sz w:val="24"/>
                <w:szCs w:val="24"/>
              </w:rPr>
              <w:t xml:space="preserve"> </w:t>
            </w:r>
            <w:r w:rsidR="00AF30EF" w:rsidRPr="00FB7F9C">
              <w:rPr>
                <w:rFonts w:ascii="Times New Roman" w:hAnsi="Times New Roman" w:cs="Times New Roman"/>
                <w:sz w:val="24"/>
                <w:szCs w:val="24"/>
              </w:rPr>
              <w:t>reglamentēt</w:t>
            </w:r>
            <w:r w:rsidR="009F03C3" w:rsidRPr="00FB7F9C">
              <w:rPr>
                <w:rFonts w:ascii="Times New Roman" w:hAnsi="Times New Roman" w:cs="Times New Roman"/>
                <w:sz w:val="24"/>
                <w:szCs w:val="24"/>
              </w:rPr>
              <w:t xml:space="preserve"> speciālista izvēl</w:t>
            </w:r>
            <w:r w:rsidR="00AF30EF" w:rsidRPr="00FB7F9C">
              <w:rPr>
                <w:rFonts w:ascii="Times New Roman" w:hAnsi="Times New Roman" w:cs="Times New Roman"/>
                <w:sz w:val="24"/>
                <w:szCs w:val="24"/>
              </w:rPr>
              <w:t>i</w:t>
            </w:r>
            <w:r w:rsidR="009F03C3" w:rsidRPr="00FB7F9C">
              <w:rPr>
                <w:rFonts w:ascii="Times New Roman" w:hAnsi="Times New Roman" w:cs="Times New Roman"/>
                <w:sz w:val="24"/>
                <w:szCs w:val="24"/>
              </w:rPr>
              <w:t xml:space="preserve"> zāļu izrakstīšan</w:t>
            </w:r>
            <w:r w:rsidR="00AF30EF" w:rsidRPr="00FB7F9C">
              <w:rPr>
                <w:rFonts w:ascii="Times New Roman" w:hAnsi="Times New Roman" w:cs="Times New Roman"/>
                <w:sz w:val="24"/>
                <w:szCs w:val="24"/>
              </w:rPr>
              <w:t>ā</w:t>
            </w:r>
            <w:r w:rsidR="009F03C3" w:rsidRPr="00FB7F9C">
              <w:rPr>
                <w:rFonts w:ascii="Times New Roman" w:hAnsi="Times New Roman" w:cs="Times New Roman"/>
                <w:sz w:val="24"/>
                <w:szCs w:val="24"/>
              </w:rPr>
              <w:t xml:space="preserve"> vai lietošanā ārstniecībai nolūkā veicināt reklamēto zāļu tirdzniecību</w:t>
            </w:r>
            <w:r w:rsidR="004B295F" w:rsidRPr="00FB7F9C">
              <w:rPr>
                <w:rFonts w:ascii="Times New Roman" w:hAnsi="Times New Roman" w:cs="Times New Roman"/>
                <w:sz w:val="24"/>
                <w:szCs w:val="24"/>
              </w:rPr>
              <w:t>,</w:t>
            </w:r>
            <w:r w:rsidR="009F03C3" w:rsidRPr="00FB7F9C">
              <w:rPr>
                <w:rFonts w:ascii="Times New Roman" w:hAnsi="Times New Roman" w:cs="Times New Roman"/>
                <w:sz w:val="24"/>
                <w:szCs w:val="24"/>
              </w:rPr>
              <w:t xml:space="preserve"> </w:t>
            </w:r>
            <w:r w:rsidR="004B295F" w:rsidRPr="00FB7F9C">
              <w:rPr>
                <w:rFonts w:ascii="Times New Roman" w:hAnsi="Times New Roman" w:cs="Times New Roman"/>
                <w:sz w:val="24"/>
                <w:szCs w:val="24"/>
              </w:rPr>
              <w:t>novēršot to</w:t>
            </w:r>
            <w:r w:rsidR="00A66E40" w:rsidRPr="00FB7F9C">
              <w:rPr>
                <w:rFonts w:ascii="Times New Roman" w:hAnsi="Times New Roman" w:cs="Times New Roman"/>
                <w:sz w:val="24"/>
                <w:szCs w:val="24"/>
              </w:rPr>
              <w:t xml:space="preserve"> nepamatot</w:t>
            </w:r>
            <w:r w:rsidR="004B295F" w:rsidRPr="00FB7F9C">
              <w:rPr>
                <w:rFonts w:ascii="Times New Roman" w:hAnsi="Times New Roman" w:cs="Times New Roman"/>
                <w:sz w:val="24"/>
                <w:szCs w:val="24"/>
              </w:rPr>
              <w:t>u izmantošanu</w:t>
            </w:r>
            <w:r w:rsidR="00A66E40" w:rsidRPr="00FB7F9C">
              <w:rPr>
                <w:rFonts w:ascii="Times New Roman" w:hAnsi="Times New Roman" w:cs="Times New Roman"/>
                <w:sz w:val="24"/>
                <w:szCs w:val="24"/>
              </w:rPr>
              <w:t xml:space="preserve"> komercdarbības interesēs, bet gan </w:t>
            </w:r>
            <w:proofErr w:type="spellStart"/>
            <w:r w:rsidR="004B295F" w:rsidRPr="00FB7F9C">
              <w:rPr>
                <w:rFonts w:ascii="Times New Roman" w:hAnsi="Times New Roman" w:cs="Times New Roman"/>
                <w:sz w:val="24"/>
                <w:szCs w:val="24"/>
              </w:rPr>
              <w:t>efektivizējot</w:t>
            </w:r>
            <w:proofErr w:type="spellEnd"/>
            <w:r w:rsidR="004B295F" w:rsidRPr="00FB7F9C">
              <w:rPr>
                <w:rFonts w:ascii="Times New Roman" w:hAnsi="Times New Roman" w:cs="Times New Roman"/>
                <w:sz w:val="24"/>
                <w:szCs w:val="24"/>
              </w:rPr>
              <w:t xml:space="preserve"> </w:t>
            </w:r>
            <w:r w:rsidR="00A66E40" w:rsidRPr="00FB7F9C">
              <w:rPr>
                <w:rFonts w:ascii="Times New Roman" w:hAnsi="Times New Roman" w:cs="Times New Roman"/>
                <w:sz w:val="24"/>
                <w:szCs w:val="24"/>
              </w:rPr>
              <w:t>farmaceitiskās aprūpes saistīto mērķu īstenošan</w:t>
            </w:r>
            <w:r w:rsidR="004B295F" w:rsidRPr="00FB7F9C">
              <w:rPr>
                <w:rFonts w:ascii="Times New Roman" w:hAnsi="Times New Roman" w:cs="Times New Roman"/>
                <w:sz w:val="24"/>
                <w:szCs w:val="24"/>
              </w:rPr>
              <w:t>u</w:t>
            </w:r>
            <w:r w:rsidR="00A66E40" w:rsidRPr="00FB7F9C">
              <w:rPr>
                <w:rFonts w:ascii="Times New Roman" w:hAnsi="Times New Roman" w:cs="Times New Roman"/>
                <w:sz w:val="24"/>
                <w:szCs w:val="24"/>
              </w:rPr>
              <w:t xml:space="preserve">. Ņemot vērā, ka </w:t>
            </w:r>
            <w:r w:rsidR="00025255" w:rsidRPr="00FB7F9C">
              <w:rPr>
                <w:rFonts w:ascii="Times New Roman" w:hAnsi="Times New Roman" w:cs="Times New Roman"/>
                <w:sz w:val="24"/>
                <w:szCs w:val="24"/>
              </w:rPr>
              <w:t xml:space="preserve">šobrīd esošā kārtība par informācijas sniegšanu un apjomu var tikt izmantota </w:t>
            </w:r>
            <w:r w:rsidR="00A66E40" w:rsidRPr="00FB7F9C">
              <w:rPr>
                <w:rFonts w:ascii="Times New Roman" w:hAnsi="Times New Roman" w:cs="Times New Roman"/>
                <w:sz w:val="24"/>
                <w:szCs w:val="24"/>
              </w:rPr>
              <w:t>nego</w:t>
            </w:r>
            <w:r w:rsidR="00AF30EF" w:rsidRPr="00FB7F9C">
              <w:rPr>
                <w:rFonts w:ascii="Times New Roman" w:hAnsi="Times New Roman" w:cs="Times New Roman"/>
                <w:sz w:val="24"/>
                <w:szCs w:val="24"/>
              </w:rPr>
              <w:t>d</w:t>
            </w:r>
            <w:r w:rsidR="00A66E40" w:rsidRPr="00FB7F9C">
              <w:rPr>
                <w:rFonts w:ascii="Times New Roman" w:hAnsi="Times New Roman" w:cs="Times New Roman"/>
                <w:sz w:val="24"/>
                <w:szCs w:val="24"/>
              </w:rPr>
              <w:t xml:space="preserve">prātīgi </w:t>
            </w:r>
            <w:r w:rsidR="00446AD7" w:rsidRPr="00FB7F9C">
              <w:rPr>
                <w:rFonts w:ascii="Times New Roman" w:hAnsi="Times New Roman" w:cs="Times New Roman"/>
                <w:sz w:val="24"/>
                <w:szCs w:val="24"/>
              </w:rPr>
              <w:t>un</w:t>
            </w:r>
            <w:r w:rsidR="00AF30EF" w:rsidRPr="00FB7F9C">
              <w:rPr>
                <w:rFonts w:ascii="Times New Roman" w:hAnsi="Times New Roman" w:cs="Times New Roman"/>
                <w:sz w:val="24"/>
                <w:szCs w:val="24"/>
              </w:rPr>
              <w:t xml:space="preserve"> uzskatām</w:t>
            </w:r>
            <w:r w:rsidR="00025255" w:rsidRPr="00FB7F9C">
              <w:rPr>
                <w:rFonts w:ascii="Times New Roman" w:hAnsi="Times New Roman" w:cs="Times New Roman"/>
                <w:sz w:val="24"/>
                <w:szCs w:val="24"/>
              </w:rPr>
              <w:t>a</w:t>
            </w:r>
            <w:r w:rsidR="00AF30EF" w:rsidRPr="00FB7F9C">
              <w:rPr>
                <w:rFonts w:ascii="Times New Roman" w:hAnsi="Times New Roman" w:cs="Times New Roman"/>
                <w:sz w:val="24"/>
                <w:szCs w:val="24"/>
              </w:rPr>
              <w:t xml:space="preserve"> par </w:t>
            </w:r>
            <w:proofErr w:type="spellStart"/>
            <w:r w:rsidR="00A66E40" w:rsidRPr="00FB7F9C">
              <w:rPr>
                <w:rFonts w:ascii="Times New Roman" w:hAnsi="Times New Roman" w:cs="Times New Roman"/>
                <w:sz w:val="24"/>
                <w:szCs w:val="24"/>
              </w:rPr>
              <w:t>mazefektīv</w:t>
            </w:r>
            <w:r w:rsidR="00025255" w:rsidRPr="00FB7F9C">
              <w:rPr>
                <w:rFonts w:ascii="Times New Roman" w:hAnsi="Times New Roman" w:cs="Times New Roman"/>
                <w:sz w:val="24"/>
                <w:szCs w:val="24"/>
              </w:rPr>
              <w:t>u</w:t>
            </w:r>
            <w:proofErr w:type="spellEnd"/>
            <w:r w:rsidR="00A66E40" w:rsidRPr="00FB7F9C">
              <w:rPr>
                <w:rFonts w:ascii="Times New Roman" w:hAnsi="Times New Roman" w:cs="Times New Roman"/>
                <w:sz w:val="24"/>
                <w:szCs w:val="24"/>
              </w:rPr>
              <w:t>, precizējams</w:t>
            </w:r>
            <w:r w:rsidR="00AF30EF" w:rsidRPr="00FB7F9C">
              <w:rPr>
                <w:rFonts w:ascii="Times New Roman" w:hAnsi="Times New Roman" w:cs="Times New Roman"/>
                <w:sz w:val="24"/>
                <w:szCs w:val="24"/>
              </w:rPr>
              <w:t xml:space="preserve"> normatīvais regulējums</w:t>
            </w:r>
            <w:r w:rsidR="00A66E40" w:rsidRPr="00FB7F9C">
              <w:rPr>
                <w:rFonts w:ascii="Times New Roman" w:hAnsi="Times New Roman" w:cs="Times New Roman"/>
                <w:sz w:val="24"/>
                <w:szCs w:val="24"/>
              </w:rPr>
              <w:t>, lai novērstu praksē konstatētās nepilnības.</w:t>
            </w:r>
          </w:p>
          <w:p w14:paraId="136707B0" w14:textId="3CDA9C53" w:rsidR="00C849ED" w:rsidRPr="00FB7F9C" w:rsidRDefault="00E61F4B" w:rsidP="00DF75F6">
            <w:pPr>
              <w:pStyle w:val="Title"/>
              <w:jc w:val="both"/>
              <w:outlineLvl w:val="0"/>
              <w:rPr>
                <w:sz w:val="24"/>
                <w:szCs w:val="24"/>
                <w:shd w:val="clear" w:color="auto" w:fill="FFFFFF"/>
              </w:rPr>
            </w:pPr>
            <w:r>
              <w:rPr>
                <w:sz w:val="24"/>
                <w:szCs w:val="24"/>
              </w:rPr>
              <w:t>3</w:t>
            </w:r>
            <w:r w:rsidR="00DF75F6" w:rsidRPr="00FB7F9C">
              <w:rPr>
                <w:sz w:val="24"/>
                <w:szCs w:val="24"/>
              </w:rPr>
              <w:t xml:space="preserve">) </w:t>
            </w:r>
            <w:r w:rsidR="00084C73" w:rsidRPr="00FB7F9C">
              <w:rPr>
                <w:sz w:val="24"/>
                <w:szCs w:val="24"/>
              </w:rPr>
              <w:t xml:space="preserve">Ar </w:t>
            </w:r>
            <w:r w:rsidR="00DF75F6" w:rsidRPr="00FB7F9C">
              <w:rPr>
                <w:sz w:val="24"/>
                <w:szCs w:val="24"/>
              </w:rPr>
              <w:t>Noteikumu projekta 8. punkt</w:t>
            </w:r>
            <w:r w:rsidR="00084C73" w:rsidRPr="00FB7F9C">
              <w:rPr>
                <w:sz w:val="24"/>
                <w:szCs w:val="24"/>
              </w:rPr>
              <w:t>u</w:t>
            </w:r>
            <w:r w:rsidR="00DF75F6" w:rsidRPr="00FB7F9C">
              <w:rPr>
                <w:sz w:val="24"/>
                <w:szCs w:val="24"/>
              </w:rPr>
              <w:t xml:space="preserve"> </w:t>
            </w:r>
            <w:r w:rsidR="00084C73" w:rsidRPr="00FB7F9C">
              <w:rPr>
                <w:sz w:val="24"/>
                <w:szCs w:val="24"/>
              </w:rPr>
              <w:t>paredzēts</w:t>
            </w:r>
            <w:r w:rsidR="00DF75F6" w:rsidRPr="00FB7F9C">
              <w:rPr>
                <w:sz w:val="24"/>
                <w:szCs w:val="24"/>
              </w:rPr>
              <w:t xml:space="preserve"> </w:t>
            </w:r>
            <w:r w:rsidR="00084C73" w:rsidRPr="00FB7F9C">
              <w:rPr>
                <w:sz w:val="24"/>
                <w:szCs w:val="24"/>
              </w:rPr>
              <w:t>N</w:t>
            </w:r>
            <w:r w:rsidR="00DF75F6" w:rsidRPr="00FB7F9C">
              <w:rPr>
                <w:sz w:val="24"/>
                <w:szCs w:val="24"/>
              </w:rPr>
              <w:t xml:space="preserve">oteikumus papildināt ar 42. punktu, izsakot, ka </w:t>
            </w:r>
            <w:r w:rsidR="00AA205E" w:rsidRPr="00FB7F9C">
              <w:rPr>
                <w:sz w:val="24"/>
                <w:szCs w:val="24"/>
              </w:rPr>
              <w:t>,,</w:t>
            </w:r>
            <w:r w:rsidR="00DF75F6" w:rsidRPr="00FB7F9C">
              <w:rPr>
                <w:sz w:val="24"/>
                <w:szCs w:val="24"/>
                <w:lang w:eastAsia="lv-LV"/>
              </w:rPr>
              <w:t>Noteikumu 32.</w:t>
            </w:r>
            <w:r w:rsidR="00DF75F6" w:rsidRPr="00FB7F9C">
              <w:rPr>
                <w:sz w:val="24"/>
                <w:szCs w:val="24"/>
                <w:vertAlign w:val="superscript"/>
                <w:lang w:eastAsia="lv-LV"/>
              </w:rPr>
              <w:t>2</w:t>
            </w:r>
            <w:r w:rsidR="00DF75F6" w:rsidRPr="00FB7F9C">
              <w:rPr>
                <w:sz w:val="24"/>
                <w:szCs w:val="24"/>
                <w:lang w:eastAsia="lv-LV"/>
              </w:rPr>
              <w:t xml:space="preserve"> </w:t>
            </w:r>
            <w:r w:rsidR="00DF75F6" w:rsidRPr="00FB7F9C">
              <w:rPr>
                <w:sz w:val="24"/>
                <w:szCs w:val="24"/>
              </w:rPr>
              <w:t>4. un 32.</w:t>
            </w:r>
            <w:r w:rsidR="00DF75F6" w:rsidRPr="00FB7F9C">
              <w:rPr>
                <w:sz w:val="24"/>
                <w:szCs w:val="24"/>
                <w:vertAlign w:val="superscript"/>
              </w:rPr>
              <w:t>2</w:t>
            </w:r>
            <w:r w:rsidR="00DF75F6" w:rsidRPr="00FB7F9C">
              <w:rPr>
                <w:sz w:val="24"/>
                <w:szCs w:val="24"/>
              </w:rPr>
              <w:t xml:space="preserve"> 5. apakšpunktos </w:t>
            </w:r>
            <w:r w:rsidR="00DF75F6" w:rsidRPr="00FB7F9C">
              <w:rPr>
                <w:sz w:val="24"/>
                <w:szCs w:val="24"/>
                <w:lang w:eastAsia="lv-LV"/>
              </w:rPr>
              <w:t xml:space="preserve">minētās prasības stājas </w:t>
            </w:r>
            <w:r w:rsidR="0089306A" w:rsidRPr="00FB7F9C">
              <w:rPr>
                <w:sz w:val="24"/>
                <w:szCs w:val="24"/>
                <w:lang w:eastAsia="lv-LV"/>
              </w:rPr>
              <w:t xml:space="preserve">spēkā </w:t>
            </w:r>
            <w:r w:rsidR="009A5F18" w:rsidRPr="00FB7F9C">
              <w:rPr>
                <w:szCs w:val="28"/>
                <w:lang w:eastAsia="lv-LV"/>
              </w:rPr>
              <w:t xml:space="preserve"> </w:t>
            </w:r>
            <w:r w:rsidR="009A5F18" w:rsidRPr="00FB7F9C">
              <w:rPr>
                <w:sz w:val="24"/>
                <w:szCs w:val="24"/>
                <w:lang w:eastAsia="lv-LV"/>
              </w:rPr>
              <w:t xml:space="preserve">minētās prasības stājas  spēkā </w:t>
            </w:r>
            <w:r w:rsidR="009A5F18" w:rsidRPr="00FB7F9C">
              <w:rPr>
                <w:sz w:val="24"/>
                <w:szCs w:val="24"/>
                <w:shd w:val="clear" w:color="auto" w:fill="FFFFFF"/>
              </w:rPr>
              <w:t>2021. gada 1. aprīlī.</w:t>
            </w:r>
            <w:r w:rsidR="0089306A" w:rsidRPr="00FB7F9C">
              <w:rPr>
                <w:sz w:val="24"/>
                <w:szCs w:val="24"/>
                <w:shd w:val="clear" w:color="auto" w:fill="FFFFFF"/>
              </w:rPr>
              <w:t>”</w:t>
            </w:r>
            <w:r w:rsidR="00DF75F6" w:rsidRPr="00FB7F9C">
              <w:rPr>
                <w:sz w:val="24"/>
                <w:szCs w:val="24"/>
                <w:shd w:val="clear" w:color="auto" w:fill="FFFFFF"/>
              </w:rPr>
              <w:t xml:space="preserve"> </w:t>
            </w:r>
          </w:p>
          <w:p w14:paraId="79491B44" w14:textId="5DAC54BD" w:rsidR="00446AD7" w:rsidRPr="00FB7F9C" w:rsidRDefault="00401C5E" w:rsidP="00401C5E">
            <w:pPr>
              <w:pStyle w:val="Title"/>
              <w:jc w:val="both"/>
              <w:outlineLvl w:val="0"/>
              <w:rPr>
                <w:sz w:val="24"/>
                <w:szCs w:val="24"/>
                <w:shd w:val="clear" w:color="auto" w:fill="FFFFFF"/>
              </w:rPr>
            </w:pPr>
            <w:r w:rsidRPr="00FB7F9C">
              <w:rPr>
                <w:sz w:val="24"/>
                <w:szCs w:val="24"/>
                <w:shd w:val="clear" w:color="auto" w:fill="FFFFFF"/>
              </w:rPr>
              <w:t>Līdz a</w:t>
            </w:r>
            <w:r w:rsidR="00DF75F6" w:rsidRPr="00FB7F9C">
              <w:rPr>
                <w:sz w:val="24"/>
                <w:szCs w:val="24"/>
                <w:shd w:val="clear" w:color="auto" w:fill="FFFFFF"/>
              </w:rPr>
              <w:t>r š</w:t>
            </w:r>
            <w:r w:rsidR="009A5F18" w:rsidRPr="00FB7F9C">
              <w:rPr>
                <w:sz w:val="24"/>
                <w:szCs w:val="24"/>
                <w:shd w:val="clear" w:color="auto" w:fill="FFFFFF"/>
              </w:rPr>
              <w:t>ā</w:t>
            </w:r>
            <w:r w:rsidR="00462C73" w:rsidRPr="00FB7F9C">
              <w:rPr>
                <w:sz w:val="24"/>
                <w:szCs w:val="24"/>
                <w:shd w:val="clear" w:color="auto" w:fill="FFFFFF"/>
              </w:rPr>
              <w:t xml:space="preserve"> punkt</w:t>
            </w:r>
            <w:r w:rsidRPr="00FB7F9C">
              <w:rPr>
                <w:sz w:val="24"/>
                <w:szCs w:val="24"/>
                <w:shd w:val="clear" w:color="auto" w:fill="FFFFFF"/>
              </w:rPr>
              <w:t>a</w:t>
            </w:r>
            <w:r w:rsidR="00462C73" w:rsidRPr="00FB7F9C">
              <w:rPr>
                <w:sz w:val="24"/>
                <w:szCs w:val="24"/>
                <w:shd w:val="clear" w:color="auto" w:fill="FFFFFF"/>
              </w:rPr>
              <w:t xml:space="preserve"> ieviešanu</w:t>
            </w:r>
            <w:r w:rsidR="00DF75F6" w:rsidRPr="00FB7F9C">
              <w:rPr>
                <w:sz w:val="24"/>
                <w:szCs w:val="24"/>
                <w:shd w:val="clear" w:color="auto" w:fill="FFFFFF"/>
              </w:rPr>
              <w:t xml:space="preserve"> paredzēts, ka Noteikumu 32.</w:t>
            </w:r>
            <w:r w:rsidR="00DF75F6" w:rsidRPr="00FB7F9C">
              <w:rPr>
                <w:sz w:val="24"/>
                <w:szCs w:val="24"/>
                <w:shd w:val="clear" w:color="auto" w:fill="FFFFFF"/>
                <w:vertAlign w:val="superscript"/>
              </w:rPr>
              <w:t>1</w:t>
            </w:r>
            <w:r w:rsidR="00DF75F6" w:rsidRPr="00FB7F9C">
              <w:rPr>
                <w:sz w:val="24"/>
                <w:szCs w:val="24"/>
                <w:shd w:val="clear" w:color="auto" w:fill="FFFFFF"/>
              </w:rPr>
              <w:t> pant</w:t>
            </w:r>
            <w:r w:rsidR="009A5F18" w:rsidRPr="00FB7F9C">
              <w:rPr>
                <w:sz w:val="24"/>
                <w:szCs w:val="24"/>
                <w:shd w:val="clear" w:color="auto" w:fill="FFFFFF"/>
              </w:rPr>
              <w:t>ā</w:t>
            </w:r>
            <w:r w:rsidR="00DF75F6" w:rsidRPr="00FB7F9C">
              <w:rPr>
                <w:sz w:val="24"/>
                <w:szCs w:val="24"/>
                <w:shd w:val="clear" w:color="auto" w:fill="FFFFFF"/>
              </w:rPr>
              <w:t xml:space="preserve"> minētajām personām</w:t>
            </w:r>
            <w:r w:rsidR="009A5F18" w:rsidRPr="00FB7F9C">
              <w:rPr>
                <w:sz w:val="24"/>
                <w:szCs w:val="24"/>
                <w:shd w:val="clear" w:color="auto" w:fill="FFFFFF"/>
              </w:rPr>
              <w:t xml:space="preserve"> </w:t>
            </w:r>
            <w:r w:rsidR="00DF75F6" w:rsidRPr="00FB7F9C">
              <w:rPr>
                <w:sz w:val="24"/>
                <w:szCs w:val="24"/>
                <w:shd w:val="clear" w:color="auto" w:fill="FFFFFF"/>
              </w:rPr>
              <w:t>paziņojum</w:t>
            </w:r>
            <w:r w:rsidR="009A5F18" w:rsidRPr="00FB7F9C">
              <w:rPr>
                <w:sz w:val="24"/>
                <w:szCs w:val="24"/>
                <w:shd w:val="clear" w:color="auto" w:fill="FFFFFF"/>
              </w:rPr>
              <w:t>s</w:t>
            </w:r>
            <w:r w:rsidR="00DF75F6" w:rsidRPr="00FB7F9C">
              <w:rPr>
                <w:sz w:val="24"/>
                <w:szCs w:val="24"/>
                <w:shd w:val="clear" w:color="auto" w:fill="FFFFFF"/>
              </w:rPr>
              <w:t xml:space="preserve"> par 2020.gada datiem </w:t>
            </w:r>
            <w:r w:rsidR="009A5F18" w:rsidRPr="00FB7F9C">
              <w:rPr>
                <w:sz w:val="24"/>
                <w:szCs w:val="24"/>
                <w:shd w:val="clear" w:color="auto" w:fill="FFFFFF"/>
              </w:rPr>
              <w:t xml:space="preserve">jāiesniedz </w:t>
            </w:r>
            <w:r w:rsidR="00C849ED" w:rsidRPr="00FB7F9C">
              <w:rPr>
                <w:sz w:val="24"/>
                <w:szCs w:val="24"/>
                <w:shd w:val="clear" w:color="auto" w:fill="FFFFFF"/>
              </w:rPr>
              <w:t>Noteikumu 32.</w:t>
            </w:r>
            <w:r w:rsidR="00C849ED" w:rsidRPr="00FB7F9C">
              <w:rPr>
                <w:sz w:val="24"/>
                <w:szCs w:val="24"/>
                <w:shd w:val="clear" w:color="auto" w:fill="FFFFFF"/>
                <w:vertAlign w:val="superscript"/>
              </w:rPr>
              <w:t>2</w:t>
            </w:r>
            <w:r w:rsidR="00C849ED" w:rsidRPr="00FB7F9C">
              <w:rPr>
                <w:sz w:val="24"/>
                <w:szCs w:val="24"/>
                <w:shd w:val="clear" w:color="auto" w:fill="FFFFFF"/>
              </w:rPr>
              <w:t> pantā norādītajā termiņā</w:t>
            </w:r>
            <w:r w:rsidR="009A5F18" w:rsidRPr="00FB7F9C">
              <w:rPr>
                <w:sz w:val="24"/>
                <w:szCs w:val="24"/>
                <w:shd w:val="clear" w:color="auto" w:fill="FFFFFF"/>
              </w:rPr>
              <w:t xml:space="preserve">, </w:t>
            </w:r>
            <w:r w:rsidR="00DF75F6" w:rsidRPr="00FB7F9C">
              <w:rPr>
                <w:sz w:val="24"/>
                <w:szCs w:val="24"/>
                <w:shd w:val="clear" w:color="auto" w:fill="FFFFFF"/>
              </w:rPr>
              <w:t>izmantojot Veselības inspekcijas tīmekļa vietn</w:t>
            </w:r>
            <w:r w:rsidR="00C849ED" w:rsidRPr="00FB7F9C">
              <w:rPr>
                <w:sz w:val="24"/>
                <w:szCs w:val="24"/>
                <w:shd w:val="clear" w:color="auto" w:fill="FFFFFF"/>
              </w:rPr>
              <w:t>ē pieejamo paziņojuma formu</w:t>
            </w:r>
            <w:r w:rsidR="00DF75F6" w:rsidRPr="00FB7F9C">
              <w:rPr>
                <w:sz w:val="24"/>
                <w:szCs w:val="24"/>
                <w:shd w:val="clear" w:color="auto" w:fill="FFFFFF"/>
              </w:rPr>
              <w:t>, </w:t>
            </w:r>
            <w:r w:rsidR="009A5F18" w:rsidRPr="00FB7F9C">
              <w:rPr>
                <w:sz w:val="24"/>
                <w:szCs w:val="24"/>
                <w:shd w:val="clear" w:color="auto" w:fill="FFFFFF"/>
              </w:rPr>
              <w:t xml:space="preserve">kas </w:t>
            </w:r>
            <w:r w:rsidR="009A5F18" w:rsidRPr="00FB7F9C">
              <w:rPr>
                <w:sz w:val="24"/>
                <w:szCs w:val="24"/>
                <w:shd w:val="clear" w:color="auto" w:fill="FFFFFF"/>
              </w:rPr>
              <w:lastRenderedPageBreak/>
              <w:t>papildināma ar</w:t>
            </w:r>
            <w:r w:rsidR="00DF75F6" w:rsidRPr="00FB7F9C">
              <w:rPr>
                <w:sz w:val="24"/>
                <w:szCs w:val="24"/>
                <w:shd w:val="clear" w:color="auto" w:fill="FFFFFF"/>
              </w:rPr>
              <w:t xml:space="preserve"> informāciju </w:t>
            </w:r>
            <w:r w:rsidR="009A5F18" w:rsidRPr="00FB7F9C">
              <w:rPr>
                <w:sz w:val="24"/>
                <w:szCs w:val="24"/>
                <w:shd w:val="clear" w:color="auto" w:fill="FFFFFF"/>
              </w:rPr>
              <w:t>p</w:t>
            </w:r>
            <w:r w:rsidR="00DF75F6" w:rsidRPr="00FB7F9C">
              <w:rPr>
                <w:sz w:val="24"/>
                <w:szCs w:val="24"/>
                <w:shd w:val="clear" w:color="auto" w:fill="FFFFFF"/>
              </w:rPr>
              <w:t>ar pētījumiem un attīstībai izlietotām summām (tajā skaitā arī par dāvinājumu un ziedojumu saņēmēju), kā arī par informāciju un publikāciju apmaksu speciālistiem, minot katra speciālista vārdu, uzvārdu, specialitāti un saņemtās atlīdzības apmēru.</w:t>
            </w:r>
            <w:r w:rsidR="00462C73" w:rsidRPr="00FB7F9C">
              <w:rPr>
                <w:sz w:val="24"/>
                <w:szCs w:val="24"/>
                <w:shd w:val="clear" w:color="auto" w:fill="FFFFFF"/>
              </w:rPr>
              <w:t xml:space="preserve"> Paziņojumi, k</w:t>
            </w:r>
            <w:r w:rsidRPr="00FB7F9C">
              <w:rPr>
                <w:sz w:val="24"/>
                <w:szCs w:val="24"/>
                <w:shd w:val="clear" w:color="auto" w:fill="FFFFFF"/>
              </w:rPr>
              <w:t>uru iesniegšana uzsākta līdz š</w:t>
            </w:r>
            <w:r w:rsidR="009A5F18" w:rsidRPr="00FB7F9C">
              <w:rPr>
                <w:sz w:val="24"/>
                <w:szCs w:val="24"/>
                <w:shd w:val="clear" w:color="auto" w:fill="FFFFFF"/>
              </w:rPr>
              <w:t>ā</w:t>
            </w:r>
            <w:r w:rsidRPr="00FB7F9C">
              <w:rPr>
                <w:sz w:val="24"/>
                <w:szCs w:val="24"/>
                <w:shd w:val="clear" w:color="auto" w:fill="FFFFFF"/>
              </w:rPr>
              <w:t xml:space="preserve"> </w:t>
            </w:r>
            <w:r w:rsidR="009A5F18" w:rsidRPr="00FB7F9C">
              <w:rPr>
                <w:sz w:val="24"/>
                <w:szCs w:val="24"/>
                <w:shd w:val="clear" w:color="auto" w:fill="FFFFFF"/>
              </w:rPr>
              <w:t>punkta</w:t>
            </w:r>
            <w:r w:rsidRPr="00FB7F9C">
              <w:rPr>
                <w:sz w:val="24"/>
                <w:szCs w:val="24"/>
                <w:shd w:val="clear" w:color="auto" w:fill="FFFFFF"/>
              </w:rPr>
              <w:t xml:space="preserve"> spēk</w:t>
            </w:r>
            <w:r w:rsidR="009A5F18" w:rsidRPr="00FB7F9C">
              <w:rPr>
                <w:sz w:val="24"/>
                <w:szCs w:val="24"/>
                <w:shd w:val="clear" w:color="auto" w:fill="FFFFFF"/>
              </w:rPr>
              <w:t>ā</w:t>
            </w:r>
            <w:r w:rsidRPr="00FB7F9C">
              <w:rPr>
                <w:sz w:val="24"/>
                <w:szCs w:val="24"/>
                <w:shd w:val="clear" w:color="auto" w:fill="FFFFFF"/>
              </w:rPr>
              <w:t xml:space="preserve"> stāšanās dienai, ir </w:t>
            </w:r>
            <w:r w:rsidR="009A5F18" w:rsidRPr="00FB7F9C">
              <w:rPr>
                <w:sz w:val="24"/>
                <w:szCs w:val="24"/>
                <w:shd w:val="clear" w:color="auto" w:fill="FFFFFF"/>
              </w:rPr>
              <w:t>jāpapildina</w:t>
            </w:r>
            <w:r w:rsidRPr="00FB7F9C">
              <w:rPr>
                <w:sz w:val="24"/>
                <w:szCs w:val="24"/>
                <w:shd w:val="clear" w:color="auto" w:fill="FFFFFF"/>
              </w:rPr>
              <w:t xml:space="preserve"> ar Noteikumu </w:t>
            </w:r>
            <w:r w:rsidRPr="00FB7F9C">
              <w:rPr>
                <w:sz w:val="24"/>
                <w:szCs w:val="24"/>
                <w:lang w:eastAsia="lv-LV"/>
              </w:rPr>
              <w:t>32.</w:t>
            </w:r>
            <w:r w:rsidRPr="00FB7F9C">
              <w:rPr>
                <w:sz w:val="24"/>
                <w:szCs w:val="24"/>
                <w:vertAlign w:val="superscript"/>
                <w:lang w:eastAsia="lv-LV"/>
              </w:rPr>
              <w:t>2</w:t>
            </w:r>
            <w:r w:rsidRPr="00FB7F9C">
              <w:rPr>
                <w:sz w:val="24"/>
                <w:szCs w:val="24"/>
                <w:lang w:eastAsia="lv-LV"/>
              </w:rPr>
              <w:t xml:space="preserve"> </w:t>
            </w:r>
            <w:r w:rsidRPr="00FB7F9C">
              <w:rPr>
                <w:sz w:val="24"/>
                <w:szCs w:val="24"/>
              </w:rPr>
              <w:t>4. un 32.</w:t>
            </w:r>
            <w:r w:rsidRPr="00FB7F9C">
              <w:rPr>
                <w:sz w:val="24"/>
                <w:szCs w:val="24"/>
                <w:vertAlign w:val="superscript"/>
              </w:rPr>
              <w:t>2</w:t>
            </w:r>
            <w:r w:rsidRPr="00FB7F9C">
              <w:rPr>
                <w:sz w:val="24"/>
                <w:szCs w:val="24"/>
              </w:rPr>
              <w:t xml:space="preserve"> 5. apakšpunktos </w:t>
            </w:r>
            <w:r w:rsidRPr="00FB7F9C">
              <w:rPr>
                <w:sz w:val="24"/>
                <w:szCs w:val="24"/>
                <w:lang w:eastAsia="lv-LV"/>
              </w:rPr>
              <w:t>minētajām prasībām</w:t>
            </w:r>
            <w:r w:rsidR="009A5F18" w:rsidRPr="00FB7F9C">
              <w:rPr>
                <w:sz w:val="24"/>
                <w:szCs w:val="24"/>
                <w:lang w:eastAsia="lv-LV"/>
              </w:rPr>
              <w:t>.</w:t>
            </w:r>
          </w:p>
        </w:tc>
      </w:tr>
      <w:tr w:rsidR="00FB7F9C" w:rsidRPr="00FB7F9C" w14:paraId="19C91BA6" w14:textId="77777777" w:rsidTr="00980CAA">
        <w:trPr>
          <w:trHeight w:val="372"/>
        </w:trPr>
        <w:tc>
          <w:tcPr>
            <w:tcW w:w="125" w:type="pct"/>
            <w:tcBorders>
              <w:top w:val="outset" w:sz="6" w:space="0" w:color="414142"/>
              <w:left w:val="outset" w:sz="6" w:space="0" w:color="414142"/>
              <w:bottom w:val="outset" w:sz="6" w:space="0" w:color="414142"/>
              <w:right w:val="outset" w:sz="6" w:space="0" w:color="414142"/>
            </w:tcBorders>
            <w:hideMark/>
          </w:tcPr>
          <w:p w14:paraId="3A7ECB22" w14:textId="77777777" w:rsidR="00BE47F1" w:rsidRPr="00FB7F9C" w:rsidRDefault="00BE47F1" w:rsidP="00980C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lastRenderedPageBreak/>
              <w:t>3.</w:t>
            </w:r>
          </w:p>
        </w:tc>
        <w:tc>
          <w:tcPr>
            <w:tcW w:w="1529" w:type="pct"/>
            <w:tcBorders>
              <w:top w:val="outset" w:sz="6" w:space="0" w:color="414142"/>
              <w:left w:val="outset" w:sz="6" w:space="0" w:color="414142"/>
              <w:bottom w:val="outset" w:sz="6" w:space="0" w:color="414142"/>
              <w:right w:val="outset" w:sz="6" w:space="0" w:color="414142"/>
            </w:tcBorders>
            <w:hideMark/>
          </w:tcPr>
          <w:p w14:paraId="2D43B936"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Projekta izstrādē iesaistītās institūcijas un publiskas personas kapitālsabiedrības</w:t>
            </w:r>
          </w:p>
        </w:tc>
        <w:tc>
          <w:tcPr>
            <w:tcW w:w="3346" w:type="pct"/>
            <w:tcBorders>
              <w:top w:val="outset" w:sz="6" w:space="0" w:color="414142"/>
              <w:left w:val="outset" w:sz="6" w:space="0" w:color="414142"/>
              <w:bottom w:val="outset" w:sz="6" w:space="0" w:color="414142"/>
              <w:right w:val="outset" w:sz="6" w:space="0" w:color="414142"/>
            </w:tcBorders>
            <w:hideMark/>
          </w:tcPr>
          <w:p w14:paraId="1A2508A3" w14:textId="5794AD2D" w:rsidR="00BE47F1" w:rsidRPr="00FB7F9C" w:rsidRDefault="00BE47F1" w:rsidP="00980CAA">
            <w:pPr>
              <w:spacing w:after="0" w:line="240" w:lineRule="auto"/>
              <w:jc w:val="both"/>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 xml:space="preserve">Veselības ministrija, </w:t>
            </w:r>
            <w:r w:rsidR="000A50EE" w:rsidRPr="00FB7F9C">
              <w:rPr>
                <w:rFonts w:ascii="Times New Roman" w:eastAsia="Times New Roman" w:hAnsi="Times New Roman" w:cs="Times New Roman"/>
                <w:sz w:val="24"/>
                <w:szCs w:val="24"/>
                <w:lang w:eastAsia="lv-LV"/>
              </w:rPr>
              <w:t>Veselības inspekcija</w:t>
            </w:r>
          </w:p>
        </w:tc>
      </w:tr>
      <w:tr w:rsidR="00FB7F9C" w:rsidRPr="00FB7F9C" w14:paraId="238876A2" w14:textId="77777777" w:rsidTr="00980CAA">
        <w:tc>
          <w:tcPr>
            <w:tcW w:w="125" w:type="pct"/>
            <w:tcBorders>
              <w:top w:val="outset" w:sz="6" w:space="0" w:color="414142"/>
              <w:left w:val="outset" w:sz="6" w:space="0" w:color="414142"/>
              <w:bottom w:val="outset" w:sz="6" w:space="0" w:color="414142"/>
              <w:right w:val="outset" w:sz="6" w:space="0" w:color="414142"/>
            </w:tcBorders>
            <w:hideMark/>
          </w:tcPr>
          <w:p w14:paraId="53367F41" w14:textId="77777777" w:rsidR="00BE47F1" w:rsidRPr="00FB7F9C" w:rsidRDefault="00BE47F1" w:rsidP="00980C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4.</w:t>
            </w:r>
          </w:p>
        </w:tc>
        <w:tc>
          <w:tcPr>
            <w:tcW w:w="1529" w:type="pct"/>
            <w:tcBorders>
              <w:top w:val="outset" w:sz="6" w:space="0" w:color="414142"/>
              <w:left w:val="outset" w:sz="6" w:space="0" w:color="414142"/>
              <w:bottom w:val="outset" w:sz="6" w:space="0" w:color="414142"/>
              <w:right w:val="outset" w:sz="6" w:space="0" w:color="414142"/>
            </w:tcBorders>
            <w:hideMark/>
          </w:tcPr>
          <w:p w14:paraId="6CBCB32F"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Cita informācija</w:t>
            </w:r>
          </w:p>
        </w:tc>
        <w:tc>
          <w:tcPr>
            <w:tcW w:w="3346" w:type="pct"/>
            <w:tcBorders>
              <w:top w:val="outset" w:sz="6" w:space="0" w:color="414142"/>
              <w:left w:val="outset" w:sz="6" w:space="0" w:color="414142"/>
              <w:bottom w:val="outset" w:sz="6" w:space="0" w:color="414142"/>
              <w:right w:val="outset" w:sz="6" w:space="0" w:color="414142"/>
            </w:tcBorders>
            <w:hideMark/>
          </w:tcPr>
          <w:p w14:paraId="1E32F25C" w14:textId="77777777" w:rsidR="00BE47F1" w:rsidRPr="00FB7F9C" w:rsidRDefault="00BE47F1" w:rsidP="00980CAA">
            <w:pPr>
              <w:spacing w:after="0" w:line="240" w:lineRule="auto"/>
              <w:jc w:val="both"/>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 xml:space="preserve"> Nav</w:t>
            </w:r>
          </w:p>
        </w:tc>
      </w:tr>
    </w:tbl>
    <w:p w14:paraId="453BFC11" w14:textId="77777777" w:rsidR="00BE47F1" w:rsidRPr="00FB7F9C" w:rsidRDefault="00BE47F1" w:rsidP="00BE47F1">
      <w:pPr>
        <w:jc w:val="both"/>
        <w:rPr>
          <w:rFonts w:ascii="Times New Roman" w:hAnsi="Times New Roman" w:cs="Times New Roman"/>
          <w:sz w:val="24"/>
          <w:szCs w:val="24"/>
        </w:rPr>
      </w:pPr>
      <w:r w:rsidRPr="00FB7F9C">
        <w:rPr>
          <w:rFonts w:ascii="Times New Roman" w:hAnsi="Times New Roman" w:cs="Times New Roman"/>
          <w:sz w:val="24"/>
          <w:szCs w:val="24"/>
        </w:rPr>
        <w:br w:type="textWrapping" w:clear="all"/>
      </w:r>
    </w:p>
    <w:tbl>
      <w:tblPr>
        <w:tblW w:w="5003" w:type="pct"/>
        <w:tblInd w:w="-3"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1"/>
        <w:gridCol w:w="2985"/>
        <w:gridCol w:w="6162"/>
      </w:tblGrid>
      <w:tr w:rsidR="00FB7F9C" w:rsidRPr="00FB7F9C" w14:paraId="6466B8AC" w14:textId="77777777" w:rsidTr="00980CAA">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9420280" w14:textId="77777777" w:rsidR="00BE47F1" w:rsidRPr="00FB7F9C" w:rsidRDefault="00BE47F1" w:rsidP="00980CA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B7F9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B7F9C" w:rsidRPr="00FB7F9C" w14:paraId="3D80DED1" w14:textId="77777777" w:rsidTr="00980CAA">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3C785F6"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86B024A"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 xml:space="preserve">Sabiedrības </w:t>
            </w:r>
            <w:proofErr w:type="spellStart"/>
            <w:r w:rsidRPr="00FB7F9C">
              <w:rPr>
                <w:rFonts w:ascii="Times New Roman" w:eastAsia="Times New Roman" w:hAnsi="Times New Roman" w:cs="Times New Roman"/>
                <w:sz w:val="24"/>
                <w:szCs w:val="24"/>
                <w:lang w:eastAsia="lv-LV"/>
              </w:rPr>
              <w:t>mērķgrupas</w:t>
            </w:r>
            <w:proofErr w:type="spellEnd"/>
            <w:r w:rsidRPr="00FB7F9C">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79D00C9D" w14:textId="49DA78CF" w:rsidR="00BE47F1" w:rsidRPr="00FB7F9C" w:rsidRDefault="000A50EE" w:rsidP="00980CAA">
            <w:pPr>
              <w:spacing w:after="0" w:line="240" w:lineRule="auto"/>
              <w:jc w:val="both"/>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Z</w:t>
            </w:r>
            <w:r w:rsidR="00E63537" w:rsidRPr="00FB7F9C">
              <w:rPr>
                <w:rFonts w:ascii="Times New Roman" w:eastAsia="Times New Roman" w:hAnsi="Times New Roman" w:cs="Times New Roman"/>
                <w:sz w:val="24"/>
                <w:szCs w:val="24"/>
                <w:lang w:eastAsia="lv-LV"/>
              </w:rPr>
              <w:t xml:space="preserve">āļu reģistrācijas apliecības turētāji (īpašnieki) </w:t>
            </w:r>
          </w:p>
        </w:tc>
      </w:tr>
      <w:tr w:rsidR="00FB7F9C" w:rsidRPr="00FB7F9C" w14:paraId="6909BBBA" w14:textId="77777777" w:rsidTr="00980CAA">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3F0D477"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9139939"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FE9D7D5" w14:textId="396821F1" w:rsidR="000B062B" w:rsidRPr="00FB7F9C" w:rsidRDefault="00700619" w:rsidP="00FB7D22">
            <w:pPr>
              <w:jc w:val="both"/>
              <w:rPr>
                <w:rFonts w:ascii="Times New Roman" w:hAnsi="Times New Roman" w:cs="Times New Roman"/>
                <w:sz w:val="24"/>
                <w:szCs w:val="24"/>
              </w:rPr>
            </w:pPr>
            <w:r w:rsidRPr="00FB7F9C">
              <w:rPr>
                <w:rFonts w:ascii="Times New Roman" w:eastAsia="Times New Roman" w:hAnsi="Times New Roman" w:cs="Times New Roman"/>
                <w:sz w:val="24"/>
                <w:szCs w:val="24"/>
                <w:lang w:eastAsia="lv-LV"/>
              </w:rPr>
              <w:t>L</w:t>
            </w:r>
            <w:r w:rsidR="00FB7D22" w:rsidRPr="00FB7F9C">
              <w:rPr>
                <w:rFonts w:ascii="Times New Roman" w:eastAsia="Times New Roman" w:hAnsi="Times New Roman" w:cs="Times New Roman"/>
                <w:sz w:val="24"/>
                <w:szCs w:val="24"/>
                <w:lang w:eastAsia="lv-LV"/>
              </w:rPr>
              <w:t xml:space="preserve">abāka </w:t>
            </w:r>
            <w:r w:rsidR="00FB7D22" w:rsidRPr="00FB7F9C">
              <w:rPr>
                <w:rFonts w:ascii="Times New Roman" w:hAnsi="Times New Roman" w:cs="Times New Roman"/>
                <w:sz w:val="24"/>
                <w:szCs w:val="24"/>
              </w:rPr>
              <w:t>reklāmas uzraudzība, mazināti iespējamie korupcijas riski veselības aprūpē; veicināta industrijas ar zāļu reklāmu saistīto mārketinga izdevumu caurskatāmīb</w:t>
            </w:r>
            <w:r w:rsidR="00ED3404" w:rsidRPr="00FB7F9C">
              <w:rPr>
                <w:rFonts w:ascii="Times New Roman" w:hAnsi="Times New Roman" w:cs="Times New Roman"/>
                <w:sz w:val="24"/>
                <w:szCs w:val="24"/>
              </w:rPr>
              <w:t>a</w:t>
            </w:r>
            <w:r w:rsidRPr="00FB7F9C">
              <w:rPr>
                <w:rFonts w:ascii="Times New Roman" w:hAnsi="Times New Roman" w:cs="Times New Roman"/>
                <w:sz w:val="24"/>
                <w:szCs w:val="24"/>
              </w:rPr>
              <w:t>; m</w:t>
            </w:r>
            <w:r w:rsidRPr="00FB7F9C">
              <w:rPr>
                <w:rFonts w:ascii="Times New Roman" w:eastAsia="Times New Roman" w:hAnsi="Times New Roman" w:cs="Times New Roman"/>
                <w:sz w:val="24"/>
                <w:szCs w:val="24"/>
                <w:lang w:eastAsia="lv-LV"/>
              </w:rPr>
              <w:t>azināts administratīvais slogs zāļu ražotāju pārstāvjiem.</w:t>
            </w:r>
          </w:p>
        </w:tc>
      </w:tr>
      <w:tr w:rsidR="00FB7F9C" w:rsidRPr="00FB7F9C" w14:paraId="21A12FB8" w14:textId="77777777" w:rsidTr="00980CAA">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573B500"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2F38017"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285C9F2"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Projekts šo jomu neskar</w:t>
            </w:r>
          </w:p>
        </w:tc>
      </w:tr>
      <w:tr w:rsidR="00FB7F9C" w:rsidRPr="00FB7F9C" w14:paraId="352EE02D" w14:textId="77777777" w:rsidTr="00980CAA">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FB06169"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6C95E27E"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hAnsi="Times New Roman" w:cs="Times New Roman"/>
                <w:sz w:val="24"/>
                <w:szCs w:val="24"/>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D1EE473" w14:textId="77777777" w:rsidR="00BE47F1" w:rsidRPr="00FB7F9C" w:rsidRDefault="00BE47F1" w:rsidP="00980CAA">
            <w:pPr>
              <w:spacing w:before="100" w:beforeAutospacing="1" w:after="100" w:afterAutospacing="1" w:line="293" w:lineRule="atLeast"/>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Projekts šo jomu neskar</w:t>
            </w:r>
          </w:p>
        </w:tc>
      </w:tr>
      <w:tr w:rsidR="00FB7F9C" w:rsidRPr="00FB7F9C" w14:paraId="7B359A31" w14:textId="77777777" w:rsidTr="0098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cantSplit/>
        </w:trPr>
        <w:tc>
          <w:tcPr>
            <w:tcW w:w="250" w:type="pct"/>
            <w:hideMark/>
          </w:tcPr>
          <w:p w14:paraId="625AF45D" w14:textId="77777777" w:rsidR="00BE47F1" w:rsidRPr="00FB7F9C" w:rsidRDefault="00BE47F1" w:rsidP="00980CAA">
            <w:pPr>
              <w:rPr>
                <w:rFonts w:ascii="Times New Roman" w:hAnsi="Times New Roman" w:cs="Times New Roman"/>
                <w:sz w:val="24"/>
                <w:szCs w:val="24"/>
              </w:rPr>
            </w:pPr>
            <w:r w:rsidRPr="00FB7F9C">
              <w:rPr>
                <w:rFonts w:ascii="Times New Roman" w:hAnsi="Times New Roman" w:cs="Times New Roman"/>
                <w:sz w:val="24"/>
                <w:szCs w:val="24"/>
              </w:rPr>
              <w:t>5.</w:t>
            </w:r>
          </w:p>
        </w:tc>
        <w:tc>
          <w:tcPr>
            <w:tcW w:w="1550" w:type="pct"/>
            <w:hideMark/>
          </w:tcPr>
          <w:p w14:paraId="565D81B4" w14:textId="77777777" w:rsidR="00BE47F1" w:rsidRPr="00FB7F9C" w:rsidRDefault="00BE47F1" w:rsidP="00980CAA">
            <w:pPr>
              <w:rPr>
                <w:rFonts w:ascii="Times New Roman" w:hAnsi="Times New Roman" w:cs="Times New Roman"/>
                <w:sz w:val="24"/>
                <w:szCs w:val="24"/>
              </w:rPr>
            </w:pPr>
            <w:r w:rsidRPr="00FB7F9C">
              <w:rPr>
                <w:rFonts w:ascii="Times New Roman" w:hAnsi="Times New Roman" w:cs="Times New Roman"/>
                <w:sz w:val="24"/>
                <w:szCs w:val="24"/>
              </w:rPr>
              <w:t>Cita informācija</w:t>
            </w:r>
          </w:p>
        </w:tc>
        <w:tc>
          <w:tcPr>
            <w:tcW w:w="3200" w:type="pct"/>
            <w:hideMark/>
          </w:tcPr>
          <w:p w14:paraId="5C45C223" w14:textId="77777777" w:rsidR="00BE47F1" w:rsidRPr="00FB7F9C" w:rsidRDefault="00BE47F1" w:rsidP="00980CAA">
            <w:pPr>
              <w:rPr>
                <w:rFonts w:ascii="Times New Roman" w:hAnsi="Times New Roman" w:cs="Times New Roman"/>
                <w:sz w:val="24"/>
                <w:szCs w:val="24"/>
              </w:rPr>
            </w:pPr>
            <w:r w:rsidRPr="00FB7F9C">
              <w:rPr>
                <w:rFonts w:ascii="Times New Roman" w:hAnsi="Times New Roman" w:cs="Times New Roman"/>
                <w:sz w:val="24"/>
                <w:szCs w:val="24"/>
              </w:rPr>
              <w:t>Nav</w:t>
            </w:r>
          </w:p>
        </w:tc>
      </w:tr>
    </w:tbl>
    <w:p w14:paraId="37C25897" w14:textId="77777777" w:rsidR="007B57CB" w:rsidRPr="00FB7F9C" w:rsidRDefault="007B57CB" w:rsidP="007B57CB">
      <w:pPr>
        <w:jc w:val="both"/>
        <w:rPr>
          <w:rFonts w:ascii="Times New Roman" w:hAnsi="Times New Roman" w:cs="Times New Roman"/>
          <w:sz w:val="24"/>
          <w:szCs w:val="24"/>
        </w:rPr>
      </w:pPr>
    </w:p>
    <w:tbl>
      <w:tblPr>
        <w:tblW w:w="4992"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07"/>
      </w:tblGrid>
      <w:tr w:rsidR="00FB7F9C" w:rsidRPr="00FB7F9C" w14:paraId="22CA89F6" w14:textId="77777777" w:rsidTr="003E7A84">
        <w:trPr>
          <w:trHeight w:val="57"/>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CD5F37" w14:textId="77777777" w:rsidR="007B57CB" w:rsidRPr="00FB7F9C" w:rsidRDefault="007B57CB" w:rsidP="003E7A8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B7F9C">
              <w:rPr>
                <w:rFonts w:ascii="Times New Roman" w:eastAsia="Times New Roman" w:hAnsi="Times New Roman" w:cs="Times New Roman"/>
                <w:b/>
                <w:bCs/>
                <w:sz w:val="24"/>
                <w:szCs w:val="24"/>
                <w:lang w:eastAsia="lv-LV"/>
              </w:rPr>
              <w:t>III. Tiesību akta projekta ietekme uz valsts budžetu un pašvaldību budžetiem</w:t>
            </w:r>
          </w:p>
        </w:tc>
      </w:tr>
      <w:tr w:rsidR="00FB7F9C" w:rsidRPr="00FB7F9C" w14:paraId="6C00145B" w14:textId="77777777" w:rsidTr="003E7A84">
        <w:trPr>
          <w:trHeight w:val="590"/>
        </w:trPr>
        <w:tc>
          <w:tcPr>
            <w:tcW w:w="5000" w:type="pct"/>
            <w:tcBorders>
              <w:top w:val="outset" w:sz="6" w:space="0" w:color="414142"/>
              <w:left w:val="outset" w:sz="6" w:space="0" w:color="414142"/>
              <w:right w:val="outset" w:sz="6" w:space="0" w:color="414142"/>
            </w:tcBorders>
            <w:shd w:val="clear" w:color="auto" w:fill="FFFFFF"/>
            <w:vAlign w:val="center"/>
            <w:hideMark/>
          </w:tcPr>
          <w:p w14:paraId="4F1B790F" w14:textId="77777777" w:rsidR="007B57CB" w:rsidRPr="00FB7F9C" w:rsidRDefault="007B57CB" w:rsidP="003E7A84">
            <w:pPr>
              <w:spacing w:before="100" w:beforeAutospacing="1" w:after="100" w:afterAutospacing="1" w:line="293" w:lineRule="atLeast"/>
              <w:rPr>
                <w:rFonts w:ascii="Arial" w:eastAsia="Times New Roman" w:hAnsi="Arial" w:cs="Arial"/>
                <w:sz w:val="20"/>
                <w:szCs w:val="20"/>
                <w:lang w:eastAsia="lv-LV"/>
              </w:rPr>
            </w:pPr>
            <w:r w:rsidRPr="00FB7F9C">
              <w:rPr>
                <w:rFonts w:ascii="Times New Roman" w:eastAsia="Times New Roman" w:hAnsi="Times New Roman" w:cs="Times New Roman"/>
                <w:iCs/>
                <w:sz w:val="24"/>
                <w:szCs w:val="24"/>
                <w:lang w:eastAsia="lv-LV"/>
              </w:rPr>
              <w:t>Projekts šo jomu neskar</w:t>
            </w:r>
          </w:p>
        </w:tc>
      </w:tr>
    </w:tbl>
    <w:p w14:paraId="6ACDEB35" w14:textId="77777777" w:rsidR="00BE47F1" w:rsidRPr="00FB7F9C" w:rsidRDefault="00BE47F1" w:rsidP="00700619">
      <w:pPr>
        <w:pStyle w:val="Title"/>
        <w:jc w:val="both"/>
        <w:rPr>
          <w:sz w:val="24"/>
          <w:szCs w:val="24"/>
        </w:rPr>
      </w:pPr>
    </w:p>
    <w:p w14:paraId="78C54F1B" w14:textId="77777777" w:rsidR="00BE47F1" w:rsidRPr="00FB7F9C" w:rsidRDefault="00BE47F1" w:rsidP="00BE47F1">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22"/>
      </w:tblGrid>
      <w:tr w:rsidR="00FB7F9C" w:rsidRPr="00FB7F9C" w14:paraId="648187A6" w14:textId="77777777" w:rsidTr="00980CAA">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78AC94" w14:textId="77777777" w:rsidR="00BE47F1" w:rsidRPr="00FB7F9C" w:rsidRDefault="00BE47F1" w:rsidP="00980CA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B7F9C">
              <w:rPr>
                <w:rFonts w:ascii="Times New Roman" w:eastAsia="Times New Roman" w:hAnsi="Times New Roman" w:cs="Times New Roman"/>
                <w:b/>
                <w:bCs/>
                <w:sz w:val="24"/>
                <w:szCs w:val="24"/>
                <w:lang w:eastAsia="lv-LV"/>
              </w:rPr>
              <w:t>IV. Tiesību akta projekta ietekme uz spēkā esošo tiesību normu sistēmu</w:t>
            </w:r>
          </w:p>
        </w:tc>
      </w:tr>
      <w:tr w:rsidR="00FB7F9C" w:rsidRPr="00FB7F9C" w14:paraId="3AA1A39F" w14:textId="77777777" w:rsidTr="00980CAA">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00B4FEDA" w14:textId="65CC14EA" w:rsidR="00742975" w:rsidRPr="00FB7F9C" w:rsidRDefault="00742975" w:rsidP="00742975">
            <w:pPr>
              <w:spacing w:before="100" w:beforeAutospacing="1" w:after="100" w:afterAutospacing="1" w:line="293" w:lineRule="atLeast"/>
              <w:rPr>
                <w:rFonts w:ascii="Times New Roman" w:eastAsia="Times New Roman" w:hAnsi="Times New Roman" w:cs="Times New Roman"/>
                <w:b/>
                <w:bCs/>
                <w:sz w:val="24"/>
                <w:szCs w:val="24"/>
                <w:lang w:eastAsia="lv-LV"/>
              </w:rPr>
            </w:pPr>
            <w:r w:rsidRPr="00FB7F9C">
              <w:rPr>
                <w:rFonts w:ascii="Times New Roman" w:eastAsia="Times New Roman" w:hAnsi="Times New Roman" w:cs="Times New Roman"/>
                <w:iCs/>
                <w:sz w:val="24"/>
                <w:szCs w:val="24"/>
                <w:lang w:eastAsia="lv-LV"/>
              </w:rPr>
              <w:t>Projekts šo jomu neskar</w:t>
            </w:r>
          </w:p>
        </w:tc>
      </w:tr>
    </w:tbl>
    <w:p w14:paraId="2CA8D050" w14:textId="5DC0C1DB" w:rsidR="00BE47F1" w:rsidRPr="00FB7F9C" w:rsidRDefault="00BE47F1" w:rsidP="00BE47F1">
      <w:pPr>
        <w:jc w:val="both"/>
        <w:rPr>
          <w:rFonts w:ascii="Times New Roman" w:hAnsi="Times New Roman" w:cs="Times New Roman"/>
          <w:sz w:val="24"/>
          <w:szCs w:val="24"/>
        </w:rPr>
      </w:pPr>
    </w:p>
    <w:tbl>
      <w:tblPr>
        <w:tblW w:w="500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8"/>
        <w:gridCol w:w="1448"/>
        <w:gridCol w:w="7948"/>
      </w:tblGrid>
      <w:tr w:rsidR="00FB7F9C" w:rsidRPr="00FB7F9C" w14:paraId="019C458E" w14:textId="77777777" w:rsidTr="006E4C8E">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34C4FBF" w14:textId="77777777" w:rsidR="00BE47F1" w:rsidRPr="00FB7F9C" w:rsidRDefault="00BE47F1" w:rsidP="00980CA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B7F9C">
              <w:rPr>
                <w:rFonts w:ascii="Times New Roman" w:eastAsia="Times New Roman" w:hAnsi="Times New Roman" w:cs="Times New Roman"/>
                <w:b/>
                <w:bCs/>
                <w:sz w:val="24"/>
                <w:szCs w:val="24"/>
                <w:lang w:eastAsia="lv-LV"/>
              </w:rPr>
              <w:t>VI. Sabiedrības līdzdalība un komunikācijas aktivitātes</w:t>
            </w:r>
          </w:p>
        </w:tc>
      </w:tr>
      <w:tr w:rsidR="00FB7F9C" w:rsidRPr="00FB7F9C" w14:paraId="64261D23" w14:textId="77777777" w:rsidTr="006E4C8E">
        <w:trPr>
          <w:trHeight w:val="432"/>
          <w:jc w:val="center"/>
        </w:trPr>
        <w:tc>
          <w:tcPr>
            <w:tcW w:w="117" w:type="pct"/>
            <w:tcBorders>
              <w:top w:val="outset" w:sz="6" w:space="0" w:color="414142"/>
              <w:left w:val="outset" w:sz="6" w:space="0" w:color="414142"/>
              <w:bottom w:val="outset" w:sz="6" w:space="0" w:color="414142"/>
              <w:right w:val="outset" w:sz="6" w:space="0" w:color="414142"/>
            </w:tcBorders>
            <w:hideMark/>
          </w:tcPr>
          <w:p w14:paraId="63251307"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1.</w:t>
            </w:r>
          </w:p>
        </w:tc>
        <w:tc>
          <w:tcPr>
            <w:tcW w:w="742" w:type="pct"/>
            <w:tcBorders>
              <w:top w:val="outset" w:sz="6" w:space="0" w:color="414142"/>
              <w:left w:val="outset" w:sz="6" w:space="0" w:color="414142"/>
              <w:bottom w:val="outset" w:sz="6" w:space="0" w:color="414142"/>
              <w:right w:val="outset" w:sz="6" w:space="0" w:color="414142"/>
            </w:tcBorders>
            <w:hideMark/>
          </w:tcPr>
          <w:p w14:paraId="2057E776" w14:textId="77777777" w:rsidR="00BE47F1" w:rsidRPr="00411EEF" w:rsidRDefault="00BE47F1" w:rsidP="00980CAA">
            <w:pPr>
              <w:spacing w:after="0" w:line="240" w:lineRule="auto"/>
              <w:rPr>
                <w:rFonts w:ascii="Times New Roman" w:eastAsia="Times New Roman" w:hAnsi="Times New Roman" w:cs="Times New Roman"/>
                <w:sz w:val="24"/>
                <w:szCs w:val="24"/>
                <w:lang w:eastAsia="lv-LV"/>
              </w:rPr>
            </w:pPr>
            <w:r w:rsidRPr="00411EEF">
              <w:rPr>
                <w:rFonts w:ascii="Times New Roman" w:eastAsia="Times New Roman" w:hAnsi="Times New Roman" w:cs="Times New Roman"/>
                <w:sz w:val="24"/>
                <w:szCs w:val="24"/>
                <w:lang w:eastAsia="lv-LV"/>
              </w:rPr>
              <w:t xml:space="preserve">Plānotās sabiedrības līdzdalības un komunikācijas aktivitātes </w:t>
            </w:r>
            <w:r w:rsidRPr="00411EEF">
              <w:rPr>
                <w:rFonts w:ascii="Times New Roman" w:eastAsia="Times New Roman" w:hAnsi="Times New Roman" w:cs="Times New Roman"/>
                <w:sz w:val="24"/>
                <w:szCs w:val="24"/>
                <w:lang w:eastAsia="lv-LV"/>
              </w:rPr>
              <w:lastRenderedPageBreak/>
              <w:t>saistībā ar projektu</w:t>
            </w:r>
          </w:p>
        </w:tc>
        <w:tc>
          <w:tcPr>
            <w:tcW w:w="4140" w:type="pct"/>
            <w:tcBorders>
              <w:top w:val="outset" w:sz="6" w:space="0" w:color="414142"/>
              <w:left w:val="outset" w:sz="6" w:space="0" w:color="414142"/>
              <w:bottom w:val="outset" w:sz="6" w:space="0" w:color="414142"/>
              <w:right w:val="outset" w:sz="6" w:space="0" w:color="414142"/>
            </w:tcBorders>
            <w:hideMark/>
          </w:tcPr>
          <w:p w14:paraId="008D838B" w14:textId="30D638C5" w:rsidR="006E4C8E" w:rsidRPr="00411EEF" w:rsidRDefault="006E4C8E" w:rsidP="006E4C8E">
            <w:pPr>
              <w:spacing w:after="0" w:line="240" w:lineRule="auto"/>
              <w:rPr>
                <w:rFonts w:ascii="Times New Roman" w:eastAsia="Times New Roman" w:hAnsi="Times New Roman" w:cs="Times New Roman"/>
                <w:iCs/>
                <w:sz w:val="24"/>
                <w:szCs w:val="24"/>
                <w:lang w:eastAsia="lv-LV"/>
              </w:rPr>
            </w:pPr>
            <w:r w:rsidRPr="00411EEF">
              <w:rPr>
                <w:rFonts w:ascii="Times New Roman" w:eastAsia="Times New Roman" w:hAnsi="Times New Roman" w:cs="Times New Roman"/>
                <w:iCs/>
                <w:sz w:val="24"/>
                <w:szCs w:val="24"/>
                <w:lang w:eastAsia="lv-LV"/>
              </w:rPr>
              <w:lastRenderedPageBreak/>
              <w:t xml:space="preserve">Uzaicinājums uz sabiedrības līdzdalību sabiedriskajā apspriedē par noteikumu projektu, kā arī pats noteikumu projekts 2021. gada </w:t>
            </w:r>
            <w:r w:rsidR="00411EEF" w:rsidRPr="00411EEF">
              <w:rPr>
                <w:rFonts w:ascii="Times New Roman" w:eastAsia="Times New Roman" w:hAnsi="Times New Roman" w:cs="Times New Roman"/>
                <w:iCs/>
                <w:sz w:val="24"/>
                <w:szCs w:val="24"/>
                <w:lang w:eastAsia="lv-LV"/>
              </w:rPr>
              <w:t>18. janvārī</w:t>
            </w:r>
            <w:r w:rsidRPr="00411EEF">
              <w:rPr>
                <w:rFonts w:ascii="Times New Roman" w:eastAsia="Times New Roman" w:hAnsi="Times New Roman" w:cs="Times New Roman"/>
                <w:iCs/>
                <w:sz w:val="24"/>
                <w:szCs w:val="24"/>
                <w:lang w:eastAsia="lv-LV"/>
              </w:rPr>
              <w:t xml:space="preserve"> tika publicēts Veselības ministrijas, kā arī Valsts kancelejas tīmekļa vietnē.</w:t>
            </w:r>
          </w:p>
          <w:p w14:paraId="51D8A76C" w14:textId="7F9BA9F4" w:rsidR="006E4C8E" w:rsidRPr="00411EEF" w:rsidRDefault="006E4C8E" w:rsidP="006E4C8E">
            <w:pPr>
              <w:spacing w:after="0" w:line="240" w:lineRule="auto"/>
              <w:rPr>
                <w:rFonts w:ascii="Times New Roman" w:eastAsia="Times New Roman" w:hAnsi="Times New Roman" w:cs="Times New Roman"/>
                <w:iCs/>
                <w:sz w:val="24"/>
                <w:szCs w:val="24"/>
                <w:lang w:eastAsia="lv-LV"/>
              </w:rPr>
            </w:pPr>
          </w:p>
          <w:p w14:paraId="31031124" w14:textId="0DF81DD4" w:rsidR="00411EEF" w:rsidRPr="00411EEF" w:rsidRDefault="006E4C8E" w:rsidP="006E4C8E">
            <w:pPr>
              <w:spacing w:after="0" w:line="240" w:lineRule="auto"/>
              <w:rPr>
                <w:rFonts w:ascii="Times New Roman" w:hAnsi="Times New Roman" w:cs="Times New Roman"/>
                <w:sz w:val="24"/>
                <w:szCs w:val="24"/>
              </w:rPr>
            </w:pPr>
            <w:r w:rsidRPr="00411EEF">
              <w:rPr>
                <w:rFonts w:ascii="Times New Roman" w:eastAsia="Times New Roman" w:hAnsi="Times New Roman" w:cs="Times New Roman"/>
                <w:iCs/>
                <w:sz w:val="24"/>
                <w:szCs w:val="24"/>
                <w:lang w:eastAsia="lv-LV"/>
              </w:rPr>
              <w:t xml:space="preserve">Saite uz Veselības ministrijas tīmekļa vietni: </w:t>
            </w:r>
            <w:hyperlink r:id="rId8" w:history="1">
              <w:r w:rsidR="00411EEF" w:rsidRPr="00411EEF">
                <w:rPr>
                  <w:rStyle w:val="Hyperlink"/>
                  <w:rFonts w:ascii="Times New Roman" w:hAnsi="Times New Roman" w:cs="Times New Roman"/>
                  <w:sz w:val="24"/>
                  <w:szCs w:val="24"/>
                </w:rPr>
                <w:t>https://www.vm.gov.lv/lv/jaunums/sabiedriska-apspriede-grozijumiem-ministru-</w:t>
              </w:r>
              <w:r w:rsidR="00411EEF" w:rsidRPr="00411EEF">
                <w:rPr>
                  <w:rStyle w:val="Hyperlink"/>
                  <w:rFonts w:ascii="Times New Roman" w:hAnsi="Times New Roman" w:cs="Times New Roman"/>
                  <w:sz w:val="24"/>
                  <w:szCs w:val="24"/>
                </w:rPr>
                <w:lastRenderedPageBreak/>
                <w:t>kabineta-2011gada-17maija-noteikumos-nr-378-zalu-reklamesanas-kartiba-un-kartiba-kada-zalu-razotajs-vai-importetajs-ir-tiesigs-nodot-arstiem-bezmaksas-zalu-paraugus</w:t>
              </w:r>
            </w:hyperlink>
          </w:p>
          <w:p w14:paraId="779537C8" w14:textId="77777777" w:rsidR="00411EEF" w:rsidRPr="00411EEF" w:rsidRDefault="00411EEF" w:rsidP="006E4C8E">
            <w:pPr>
              <w:spacing w:after="0" w:line="240" w:lineRule="auto"/>
              <w:rPr>
                <w:rFonts w:ascii="Times New Roman" w:hAnsi="Times New Roman" w:cs="Times New Roman"/>
                <w:sz w:val="24"/>
                <w:szCs w:val="24"/>
              </w:rPr>
            </w:pPr>
          </w:p>
          <w:p w14:paraId="488BF961" w14:textId="3A26A503" w:rsidR="006E4C8E" w:rsidRPr="00411EEF" w:rsidRDefault="006E4C8E" w:rsidP="006E4C8E">
            <w:pPr>
              <w:spacing w:after="0" w:line="240" w:lineRule="auto"/>
              <w:rPr>
                <w:rFonts w:ascii="Times New Roman" w:eastAsia="Times New Roman" w:hAnsi="Times New Roman" w:cs="Times New Roman"/>
                <w:iCs/>
                <w:sz w:val="24"/>
                <w:szCs w:val="24"/>
                <w:lang w:eastAsia="lv-LV"/>
              </w:rPr>
            </w:pPr>
            <w:r w:rsidRPr="00411EEF">
              <w:rPr>
                <w:rFonts w:ascii="Times New Roman" w:eastAsia="Times New Roman" w:hAnsi="Times New Roman" w:cs="Times New Roman"/>
                <w:iCs/>
                <w:sz w:val="24"/>
                <w:szCs w:val="24"/>
                <w:lang w:eastAsia="lv-LV"/>
              </w:rPr>
              <w:t>Saite uz Valsts kancelejas tīmekļa vietni:</w:t>
            </w:r>
          </w:p>
          <w:p w14:paraId="19591E77" w14:textId="42B50B1D" w:rsidR="006E4C8E" w:rsidRPr="00411EEF" w:rsidRDefault="001746E0" w:rsidP="006E4C8E">
            <w:pPr>
              <w:spacing w:after="0" w:line="240" w:lineRule="auto"/>
              <w:rPr>
                <w:rFonts w:ascii="Times New Roman" w:hAnsi="Times New Roman" w:cs="Times New Roman"/>
                <w:sz w:val="24"/>
                <w:szCs w:val="24"/>
              </w:rPr>
            </w:pPr>
            <w:hyperlink r:id="rId9" w:history="1">
              <w:r w:rsidR="00411EEF" w:rsidRPr="00411EEF">
                <w:rPr>
                  <w:rStyle w:val="Hyperlink"/>
                  <w:rFonts w:ascii="Times New Roman" w:hAnsi="Times New Roman" w:cs="Times New Roman"/>
                  <w:sz w:val="24"/>
                  <w:szCs w:val="24"/>
                </w:rPr>
                <w:t>https://www.mk.gov.lv/lv/ministru-kabineta-diskusiju-dokumenti</w:t>
              </w:r>
            </w:hyperlink>
          </w:p>
          <w:p w14:paraId="49BEE288" w14:textId="77777777" w:rsidR="00411EEF" w:rsidRPr="00411EEF" w:rsidRDefault="00411EEF" w:rsidP="006E4C8E">
            <w:pPr>
              <w:spacing w:after="0" w:line="240" w:lineRule="auto"/>
              <w:rPr>
                <w:rFonts w:ascii="Times New Roman" w:eastAsia="Times New Roman" w:hAnsi="Times New Roman" w:cs="Times New Roman"/>
                <w:iCs/>
                <w:sz w:val="24"/>
                <w:szCs w:val="24"/>
                <w:lang w:eastAsia="lv-LV"/>
              </w:rPr>
            </w:pPr>
          </w:p>
          <w:p w14:paraId="11D40009" w14:textId="151F54CF" w:rsidR="006E4C8E" w:rsidRPr="00411EEF" w:rsidRDefault="006E4C8E" w:rsidP="006E4C8E">
            <w:pPr>
              <w:spacing w:after="0" w:line="240" w:lineRule="auto"/>
              <w:rPr>
                <w:rFonts w:ascii="Times New Roman" w:eastAsia="Times New Roman" w:hAnsi="Times New Roman" w:cs="Times New Roman"/>
                <w:iCs/>
                <w:sz w:val="24"/>
                <w:szCs w:val="24"/>
                <w:lang w:eastAsia="lv-LV"/>
              </w:rPr>
            </w:pPr>
            <w:r w:rsidRPr="00411EEF">
              <w:rPr>
                <w:rFonts w:ascii="Times New Roman" w:eastAsia="Times New Roman" w:hAnsi="Times New Roman" w:cs="Times New Roman"/>
                <w:iCs/>
                <w:sz w:val="24"/>
                <w:szCs w:val="24"/>
                <w:lang w:eastAsia="lv-LV"/>
              </w:rPr>
              <w:t>Iebildumus un/vai priekšlikumus Veselības ministrijai bija iespējams iesniegt līdz 202</w:t>
            </w:r>
            <w:r w:rsidR="00411EEF">
              <w:rPr>
                <w:rFonts w:ascii="Times New Roman" w:eastAsia="Times New Roman" w:hAnsi="Times New Roman" w:cs="Times New Roman"/>
                <w:iCs/>
                <w:sz w:val="24"/>
                <w:szCs w:val="24"/>
                <w:lang w:eastAsia="lv-LV"/>
              </w:rPr>
              <w:t>1</w:t>
            </w:r>
            <w:r w:rsidRPr="00411EEF">
              <w:rPr>
                <w:rFonts w:ascii="Times New Roman" w:eastAsia="Times New Roman" w:hAnsi="Times New Roman" w:cs="Times New Roman"/>
                <w:iCs/>
                <w:sz w:val="24"/>
                <w:szCs w:val="24"/>
                <w:lang w:eastAsia="lv-LV"/>
              </w:rPr>
              <w:t xml:space="preserve">. gada </w:t>
            </w:r>
            <w:r w:rsidR="00411EEF">
              <w:rPr>
                <w:rFonts w:ascii="Times New Roman" w:eastAsia="Times New Roman" w:hAnsi="Times New Roman" w:cs="Times New Roman"/>
                <w:iCs/>
                <w:sz w:val="24"/>
                <w:szCs w:val="24"/>
                <w:lang w:eastAsia="lv-LV"/>
              </w:rPr>
              <w:t>2. februārim</w:t>
            </w:r>
            <w:r w:rsidRPr="00411EEF">
              <w:rPr>
                <w:rFonts w:ascii="Times New Roman" w:eastAsia="Times New Roman" w:hAnsi="Times New Roman" w:cs="Times New Roman"/>
                <w:iCs/>
                <w:sz w:val="24"/>
                <w:szCs w:val="24"/>
                <w:lang w:eastAsia="lv-LV"/>
              </w:rPr>
              <w:t>.</w:t>
            </w:r>
          </w:p>
          <w:p w14:paraId="53F11E59" w14:textId="2D751AAF" w:rsidR="00BE47F1" w:rsidRPr="00411EEF" w:rsidRDefault="00BE47F1" w:rsidP="00E12258">
            <w:pPr>
              <w:spacing w:after="0" w:line="240" w:lineRule="auto"/>
              <w:jc w:val="both"/>
              <w:rPr>
                <w:rFonts w:ascii="Times New Roman" w:eastAsia="Times New Roman" w:hAnsi="Times New Roman" w:cs="Times New Roman"/>
                <w:sz w:val="24"/>
                <w:szCs w:val="24"/>
                <w:lang w:eastAsia="lv-LV"/>
              </w:rPr>
            </w:pPr>
          </w:p>
        </w:tc>
      </w:tr>
      <w:tr w:rsidR="00FB7F9C" w:rsidRPr="00FB7F9C" w14:paraId="1A4659F0" w14:textId="77777777" w:rsidTr="006E4C8E">
        <w:trPr>
          <w:trHeight w:val="264"/>
          <w:jc w:val="center"/>
        </w:trPr>
        <w:tc>
          <w:tcPr>
            <w:tcW w:w="117" w:type="pct"/>
            <w:tcBorders>
              <w:top w:val="outset" w:sz="6" w:space="0" w:color="414142"/>
              <w:left w:val="outset" w:sz="6" w:space="0" w:color="414142"/>
              <w:bottom w:val="outset" w:sz="6" w:space="0" w:color="414142"/>
              <w:right w:val="outset" w:sz="6" w:space="0" w:color="414142"/>
            </w:tcBorders>
            <w:hideMark/>
          </w:tcPr>
          <w:p w14:paraId="2538BBA2"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lastRenderedPageBreak/>
              <w:t>2.</w:t>
            </w:r>
          </w:p>
        </w:tc>
        <w:tc>
          <w:tcPr>
            <w:tcW w:w="742" w:type="pct"/>
            <w:tcBorders>
              <w:top w:val="outset" w:sz="6" w:space="0" w:color="414142"/>
              <w:left w:val="outset" w:sz="6" w:space="0" w:color="414142"/>
              <w:bottom w:val="outset" w:sz="6" w:space="0" w:color="414142"/>
              <w:right w:val="outset" w:sz="6" w:space="0" w:color="414142"/>
            </w:tcBorders>
            <w:hideMark/>
          </w:tcPr>
          <w:p w14:paraId="0C82E941"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Sabiedrības līdzdalība projekta izstrādē</w:t>
            </w:r>
          </w:p>
        </w:tc>
        <w:tc>
          <w:tcPr>
            <w:tcW w:w="4140" w:type="pct"/>
            <w:tcBorders>
              <w:top w:val="outset" w:sz="6" w:space="0" w:color="414142"/>
              <w:left w:val="outset" w:sz="6" w:space="0" w:color="414142"/>
              <w:bottom w:val="outset" w:sz="6" w:space="0" w:color="414142"/>
              <w:right w:val="outset" w:sz="6" w:space="0" w:color="414142"/>
            </w:tcBorders>
            <w:hideMark/>
          </w:tcPr>
          <w:p w14:paraId="153B2D52" w14:textId="73DCCA67" w:rsidR="00BE47F1" w:rsidRPr="00FB7F9C" w:rsidRDefault="00194FBB" w:rsidP="00F038C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2021. gada 10. februārī tika noorganizēta sabiedriskās apspriedes sanāksme (</w:t>
            </w:r>
            <w:proofErr w:type="spellStart"/>
            <w:r>
              <w:rPr>
                <w:rFonts w:ascii="Times New Roman" w:eastAsia="Times New Roman" w:hAnsi="Times New Roman" w:cs="Times New Roman"/>
                <w:iCs/>
                <w:sz w:val="24"/>
                <w:szCs w:val="24"/>
                <w:lang w:eastAsia="lv-LV"/>
              </w:rPr>
              <w:t>tiešsaites</w:t>
            </w:r>
            <w:proofErr w:type="spellEnd"/>
            <w:r>
              <w:rPr>
                <w:rFonts w:ascii="Times New Roman" w:eastAsia="Times New Roman" w:hAnsi="Times New Roman" w:cs="Times New Roman"/>
                <w:iCs/>
                <w:sz w:val="24"/>
                <w:szCs w:val="24"/>
                <w:lang w:eastAsia="lv-LV"/>
              </w:rPr>
              <w:t xml:space="preserve"> režīmā), kur</w:t>
            </w:r>
            <w:r w:rsidR="00F038C3">
              <w:rPr>
                <w:rFonts w:ascii="Times New Roman" w:eastAsia="Times New Roman" w:hAnsi="Times New Roman" w:cs="Times New Roman"/>
                <w:iCs/>
                <w:sz w:val="24"/>
                <w:szCs w:val="24"/>
                <w:lang w:eastAsia="lv-LV"/>
              </w:rPr>
              <w:t>ā piedalījās</w:t>
            </w:r>
            <w:r>
              <w:rPr>
                <w:rFonts w:ascii="Times New Roman" w:eastAsia="Times New Roman" w:hAnsi="Times New Roman" w:cs="Times New Roman"/>
                <w:iCs/>
                <w:sz w:val="24"/>
                <w:szCs w:val="24"/>
                <w:lang w:eastAsia="lv-LV"/>
              </w:rPr>
              <w:t xml:space="preserve"> </w:t>
            </w:r>
            <w:r w:rsidR="00CF2E5E">
              <w:rPr>
                <w:rFonts w:ascii="Times New Roman" w:eastAsia="Times New Roman" w:hAnsi="Times New Roman" w:cs="Times New Roman"/>
                <w:iCs/>
                <w:sz w:val="24"/>
                <w:szCs w:val="24"/>
                <w:lang w:eastAsia="lv-LV"/>
              </w:rPr>
              <w:t xml:space="preserve">SIFFA </w:t>
            </w:r>
            <w:r>
              <w:rPr>
                <w:rFonts w:ascii="Times New Roman" w:eastAsia="Times New Roman" w:hAnsi="Times New Roman" w:cs="Times New Roman"/>
                <w:iCs/>
                <w:sz w:val="24"/>
                <w:szCs w:val="24"/>
                <w:lang w:eastAsia="lv-LV"/>
              </w:rPr>
              <w:t>un Veselības inspekcija</w:t>
            </w:r>
            <w:r w:rsidR="00F038C3">
              <w:rPr>
                <w:rFonts w:ascii="Times New Roman" w:eastAsia="Times New Roman" w:hAnsi="Times New Roman" w:cs="Times New Roman"/>
                <w:iCs/>
                <w:sz w:val="24"/>
                <w:szCs w:val="24"/>
                <w:lang w:eastAsia="lv-LV"/>
              </w:rPr>
              <w:t>s pārstāvji.</w:t>
            </w:r>
            <w:r>
              <w:rPr>
                <w:rFonts w:ascii="Times New Roman" w:eastAsia="Times New Roman" w:hAnsi="Times New Roman" w:cs="Times New Roman"/>
                <w:iCs/>
                <w:sz w:val="24"/>
                <w:szCs w:val="24"/>
                <w:lang w:eastAsia="lv-LV"/>
              </w:rPr>
              <w:t xml:space="preserve"> </w:t>
            </w:r>
          </w:p>
        </w:tc>
      </w:tr>
      <w:tr w:rsidR="00FB7F9C" w:rsidRPr="00FB7F9C" w14:paraId="6FBF514B" w14:textId="77777777" w:rsidTr="006E4C8E">
        <w:trPr>
          <w:trHeight w:val="372"/>
          <w:jc w:val="center"/>
        </w:trPr>
        <w:tc>
          <w:tcPr>
            <w:tcW w:w="117" w:type="pct"/>
            <w:tcBorders>
              <w:top w:val="outset" w:sz="6" w:space="0" w:color="414142"/>
              <w:left w:val="outset" w:sz="6" w:space="0" w:color="414142"/>
              <w:bottom w:val="outset" w:sz="6" w:space="0" w:color="414142"/>
              <w:right w:val="outset" w:sz="6" w:space="0" w:color="414142"/>
            </w:tcBorders>
            <w:hideMark/>
          </w:tcPr>
          <w:p w14:paraId="17F51A0A"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3.</w:t>
            </w:r>
          </w:p>
        </w:tc>
        <w:tc>
          <w:tcPr>
            <w:tcW w:w="742" w:type="pct"/>
            <w:tcBorders>
              <w:top w:val="outset" w:sz="6" w:space="0" w:color="414142"/>
              <w:left w:val="outset" w:sz="6" w:space="0" w:color="414142"/>
              <w:bottom w:val="outset" w:sz="6" w:space="0" w:color="414142"/>
              <w:right w:val="outset" w:sz="6" w:space="0" w:color="414142"/>
            </w:tcBorders>
            <w:hideMark/>
          </w:tcPr>
          <w:p w14:paraId="30F4C0E8"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Sabiedrības līdzdalības rezultāti</w:t>
            </w:r>
          </w:p>
        </w:tc>
        <w:tc>
          <w:tcPr>
            <w:tcW w:w="4140" w:type="pct"/>
            <w:tcBorders>
              <w:top w:val="outset" w:sz="6" w:space="0" w:color="414142"/>
              <w:left w:val="outset" w:sz="6" w:space="0" w:color="414142"/>
              <w:bottom w:val="outset" w:sz="6" w:space="0" w:color="414142"/>
              <w:right w:val="outset" w:sz="6" w:space="0" w:color="414142"/>
            </w:tcBorders>
            <w:hideMark/>
          </w:tcPr>
          <w:p w14:paraId="389964DD" w14:textId="2684B08B" w:rsidR="00BE47F1" w:rsidRPr="00985295" w:rsidRDefault="00F038C3" w:rsidP="00980CAA">
            <w:pPr>
              <w:spacing w:after="0" w:line="240" w:lineRule="auto"/>
              <w:jc w:val="both"/>
              <w:rPr>
                <w:rFonts w:ascii="Times New Roman" w:eastAsia="Times New Roman" w:hAnsi="Times New Roman" w:cs="Times New Roman"/>
                <w:sz w:val="24"/>
                <w:szCs w:val="24"/>
                <w:lang w:val="en-US" w:eastAsia="lv-LV"/>
              </w:rPr>
            </w:pPr>
            <w:r w:rsidRPr="00EE0EAE">
              <w:rPr>
                <w:rFonts w:ascii="Times New Roman" w:eastAsia="Times New Roman" w:hAnsi="Times New Roman" w:cs="Times New Roman"/>
                <w:sz w:val="24"/>
                <w:szCs w:val="24"/>
                <w:lang w:eastAsia="lv-LV"/>
              </w:rPr>
              <w:t xml:space="preserve">Līdzdalības rezultātā </w:t>
            </w:r>
            <w:r w:rsidR="00D414ED">
              <w:rPr>
                <w:rFonts w:ascii="Times New Roman" w:eastAsia="Times New Roman" w:hAnsi="Times New Roman" w:cs="Times New Roman"/>
                <w:sz w:val="24"/>
                <w:szCs w:val="24"/>
                <w:lang w:eastAsia="lv-LV"/>
              </w:rPr>
              <w:t xml:space="preserve">izvērtēti sabiedrības sanāksmes dalībnieku sniegtie priekšlikumi, </w:t>
            </w:r>
            <w:r w:rsidR="006B23EF">
              <w:rPr>
                <w:rFonts w:ascii="Times New Roman" w:eastAsia="Times New Roman" w:hAnsi="Times New Roman" w:cs="Times New Roman"/>
                <w:sz w:val="24"/>
                <w:szCs w:val="24"/>
                <w:lang w:eastAsia="lv-LV"/>
              </w:rPr>
              <w:t xml:space="preserve">panākts atbalsts turpmākai datu iesniegšanai, </w:t>
            </w:r>
            <w:r w:rsidR="006B23EF" w:rsidRPr="006B23EF">
              <w:rPr>
                <w:rFonts w:ascii="Times New Roman" w:hAnsi="Times New Roman" w:cs="Times New Roman"/>
                <w:sz w:val="24"/>
                <w:szCs w:val="24"/>
                <w:lang w:val="en-US"/>
              </w:rPr>
              <w:t>kas saistīti ar nep</w:t>
            </w:r>
            <w:r w:rsidR="006B23EF">
              <w:rPr>
                <w:rFonts w:ascii="Times New Roman" w:hAnsi="Times New Roman" w:cs="Times New Roman"/>
                <w:sz w:val="24"/>
                <w:szCs w:val="24"/>
                <w:lang w:val="en-US"/>
              </w:rPr>
              <w:t>ie</w:t>
            </w:r>
            <w:r w:rsidR="006B23EF" w:rsidRPr="006B23EF">
              <w:rPr>
                <w:rFonts w:ascii="Times New Roman" w:hAnsi="Times New Roman" w:cs="Times New Roman"/>
                <w:sz w:val="24"/>
                <w:szCs w:val="24"/>
                <w:lang w:val="en-US"/>
              </w:rPr>
              <w:t>ciešamību paziņot par apmaksātajām summām katram speciālistam un zāļu izpētei un attī</w:t>
            </w:r>
            <w:r w:rsidR="006B23EF">
              <w:rPr>
                <w:rFonts w:ascii="Times New Roman" w:hAnsi="Times New Roman" w:cs="Times New Roman"/>
                <w:sz w:val="24"/>
                <w:szCs w:val="24"/>
                <w:lang w:val="en-US"/>
              </w:rPr>
              <w:t>s</w:t>
            </w:r>
            <w:r w:rsidR="006B23EF" w:rsidRPr="006B23EF">
              <w:rPr>
                <w:rFonts w:ascii="Times New Roman" w:hAnsi="Times New Roman" w:cs="Times New Roman"/>
                <w:sz w:val="24"/>
                <w:szCs w:val="24"/>
                <w:lang w:val="en-US"/>
              </w:rPr>
              <w:t>tībai veltītām summām, paziņošanu nodrošināt, iesnie</w:t>
            </w:r>
            <w:r w:rsidR="006B23EF">
              <w:rPr>
                <w:rFonts w:ascii="Times New Roman" w:hAnsi="Times New Roman" w:cs="Times New Roman"/>
                <w:sz w:val="24"/>
                <w:szCs w:val="24"/>
                <w:lang w:val="en-US"/>
              </w:rPr>
              <w:t>dzot to</w:t>
            </w:r>
            <w:r w:rsidR="006B23EF" w:rsidRPr="006B23EF">
              <w:rPr>
                <w:rFonts w:ascii="Times New Roman" w:hAnsi="Times New Roman" w:cs="Times New Roman"/>
                <w:sz w:val="24"/>
                <w:szCs w:val="24"/>
                <w:lang w:val="en-US"/>
              </w:rPr>
              <w:t xml:space="preserve"> vienīgi V</w:t>
            </w:r>
            <w:r w:rsidR="006B23EF">
              <w:rPr>
                <w:rFonts w:ascii="Times New Roman" w:hAnsi="Times New Roman" w:cs="Times New Roman"/>
                <w:sz w:val="24"/>
                <w:szCs w:val="24"/>
                <w:lang w:val="en-US"/>
              </w:rPr>
              <w:t>eselības inspekcijas tīmekļa vietnē.</w:t>
            </w:r>
          </w:p>
        </w:tc>
      </w:tr>
      <w:tr w:rsidR="00BE47F1" w:rsidRPr="00FB7F9C" w14:paraId="1EC2CB54" w14:textId="77777777" w:rsidTr="006E4C8E">
        <w:trPr>
          <w:trHeight w:val="372"/>
          <w:jc w:val="center"/>
        </w:trPr>
        <w:tc>
          <w:tcPr>
            <w:tcW w:w="117" w:type="pct"/>
            <w:tcBorders>
              <w:top w:val="outset" w:sz="6" w:space="0" w:color="414142"/>
              <w:left w:val="outset" w:sz="6" w:space="0" w:color="414142"/>
              <w:bottom w:val="outset" w:sz="6" w:space="0" w:color="414142"/>
              <w:right w:val="outset" w:sz="6" w:space="0" w:color="414142"/>
            </w:tcBorders>
            <w:hideMark/>
          </w:tcPr>
          <w:p w14:paraId="199E9060"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4.</w:t>
            </w:r>
          </w:p>
        </w:tc>
        <w:tc>
          <w:tcPr>
            <w:tcW w:w="742" w:type="pct"/>
            <w:tcBorders>
              <w:top w:val="outset" w:sz="6" w:space="0" w:color="414142"/>
              <w:left w:val="outset" w:sz="6" w:space="0" w:color="414142"/>
              <w:bottom w:val="outset" w:sz="6" w:space="0" w:color="414142"/>
              <w:right w:val="outset" w:sz="6" w:space="0" w:color="414142"/>
            </w:tcBorders>
            <w:hideMark/>
          </w:tcPr>
          <w:p w14:paraId="73157C87"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Cita informācija</w:t>
            </w:r>
          </w:p>
        </w:tc>
        <w:tc>
          <w:tcPr>
            <w:tcW w:w="4140" w:type="pct"/>
            <w:tcBorders>
              <w:top w:val="outset" w:sz="6" w:space="0" w:color="414142"/>
              <w:left w:val="outset" w:sz="6" w:space="0" w:color="414142"/>
              <w:bottom w:val="outset" w:sz="6" w:space="0" w:color="414142"/>
              <w:right w:val="outset" w:sz="6" w:space="0" w:color="414142"/>
            </w:tcBorders>
            <w:hideMark/>
          </w:tcPr>
          <w:p w14:paraId="1A573617" w14:textId="77777777" w:rsidR="00BE47F1" w:rsidRPr="00FB7F9C" w:rsidRDefault="00BE47F1" w:rsidP="00980CAA">
            <w:pPr>
              <w:spacing w:after="0" w:line="240" w:lineRule="auto"/>
              <w:jc w:val="both"/>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Nav</w:t>
            </w:r>
          </w:p>
        </w:tc>
      </w:tr>
    </w:tbl>
    <w:p w14:paraId="31FF071F" w14:textId="77777777" w:rsidR="00BE47F1" w:rsidRPr="00FB7F9C" w:rsidRDefault="00BE47F1" w:rsidP="00BE47F1">
      <w:pPr>
        <w:jc w:val="both"/>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1"/>
        <w:gridCol w:w="3656"/>
        <w:gridCol w:w="5485"/>
      </w:tblGrid>
      <w:tr w:rsidR="00FB7F9C" w:rsidRPr="00FB7F9C" w14:paraId="4757CB09" w14:textId="77777777" w:rsidTr="00980CAA">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FC0ED2E" w14:textId="77777777" w:rsidR="00BE47F1" w:rsidRPr="00FB7F9C" w:rsidRDefault="00BE47F1" w:rsidP="00980CA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B7F9C">
              <w:rPr>
                <w:rFonts w:ascii="Times New Roman" w:eastAsia="Times New Roman" w:hAnsi="Times New Roman" w:cs="Times New Roman"/>
                <w:b/>
                <w:bCs/>
                <w:sz w:val="24"/>
                <w:szCs w:val="24"/>
                <w:lang w:eastAsia="lv-LV"/>
              </w:rPr>
              <w:t>VII. Tiesību akta projekta izpildes nodrošināšana un tās ietekme uz institūcijām</w:t>
            </w:r>
          </w:p>
        </w:tc>
      </w:tr>
      <w:tr w:rsidR="00FB7F9C" w:rsidRPr="00FB7F9C" w14:paraId="53F88530" w14:textId="77777777" w:rsidTr="00980CAA">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0E15037F"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5733CFD7"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79B9477D" w14:textId="4FDB0323"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Veselības inspekcija</w:t>
            </w:r>
          </w:p>
        </w:tc>
      </w:tr>
      <w:tr w:rsidR="00FB7F9C" w:rsidRPr="00FB7F9C" w14:paraId="1B92185A" w14:textId="77777777" w:rsidTr="00980CAA">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01A692B"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0414B39"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Projekta izpildes ietekme uz pārvaldes funkcijām un institucionālo struktūru.</w:t>
            </w:r>
          </w:p>
          <w:p w14:paraId="33EF90D1" w14:textId="77777777" w:rsidR="00BE47F1" w:rsidRPr="00FB7F9C" w:rsidRDefault="00BE47F1" w:rsidP="00980CAA">
            <w:pPr>
              <w:spacing w:before="100" w:beforeAutospacing="1" w:after="100" w:afterAutospacing="1" w:line="293" w:lineRule="atLeast"/>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0893723C"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Projekts šo jomu neskar</w:t>
            </w:r>
          </w:p>
        </w:tc>
      </w:tr>
      <w:tr w:rsidR="00BE47F1" w:rsidRPr="00FB7F9C" w14:paraId="04D4ED76" w14:textId="77777777" w:rsidTr="00980CAA">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4EBD0325"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442E8319"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47683C0F" w14:textId="77777777" w:rsidR="00BE47F1" w:rsidRPr="00FB7F9C" w:rsidRDefault="00BE47F1" w:rsidP="00980CAA">
            <w:pPr>
              <w:spacing w:after="0" w:line="240" w:lineRule="auto"/>
              <w:rPr>
                <w:rFonts w:ascii="Times New Roman" w:eastAsia="Times New Roman" w:hAnsi="Times New Roman" w:cs="Times New Roman"/>
                <w:sz w:val="24"/>
                <w:szCs w:val="24"/>
                <w:lang w:eastAsia="lv-LV"/>
              </w:rPr>
            </w:pPr>
            <w:r w:rsidRPr="00FB7F9C">
              <w:rPr>
                <w:rFonts w:ascii="Times New Roman" w:eastAsia="Times New Roman" w:hAnsi="Times New Roman" w:cs="Times New Roman"/>
                <w:sz w:val="24"/>
                <w:szCs w:val="24"/>
                <w:lang w:eastAsia="lv-LV"/>
              </w:rPr>
              <w:t>Nav</w:t>
            </w:r>
          </w:p>
        </w:tc>
      </w:tr>
    </w:tbl>
    <w:p w14:paraId="0453AC83" w14:textId="77777777" w:rsidR="00A73CCC" w:rsidRPr="00FB7F9C" w:rsidRDefault="00A73CCC" w:rsidP="00BE47F1">
      <w:pPr>
        <w:tabs>
          <w:tab w:val="left" w:pos="7230"/>
          <w:tab w:val="right" w:pos="9072"/>
        </w:tabs>
        <w:ind w:right="-765"/>
        <w:rPr>
          <w:rFonts w:ascii="Times New Roman" w:eastAsia="Calibri" w:hAnsi="Times New Roman" w:cs="Times New Roman"/>
          <w:sz w:val="28"/>
          <w:szCs w:val="28"/>
        </w:rPr>
      </w:pPr>
    </w:p>
    <w:p w14:paraId="1CF3AC4D" w14:textId="2B8B833B" w:rsidR="00BE47F1" w:rsidRPr="00FB7F9C" w:rsidRDefault="00BE47F1" w:rsidP="00BE47F1">
      <w:pPr>
        <w:tabs>
          <w:tab w:val="left" w:pos="7230"/>
          <w:tab w:val="right" w:pos="9072"/>
        </w:tabs>
        <w:ind w:right="-765"/>
        <w:rPr>
          <w:rFonts w:ascii="Times New Roman" w:eastAsia="Calibri" w:hAnsi="Times New Roman" w:cs="Times New Roman"/>
          <w:sz w:val="28"/>
          <w:szCs w:val="28"/>
        </w:rPr>
      </w:pPr>
      <w:r w:rsidRPr="00FB7F9C">
        <w:rPr>
          <w:rFonts w:ascii="Times New Roman" w:eastAsia="Calibri" w:hAnsi="Times New Roman" w:cs="Times New Roman"/>
          <w:sz w:val="28"/>
          <w:szCs w:val="28"/>
        </w:rPr>
        <w:t>Veselības ministr</w:t>
      </w:r>
      <w:r w:rsidR="00DE050F" w:rsidRPr="00FB7F9C">
        <w:rPr>
          <w:rFonts w:ascii="Times New Roman" w:eastAsia="Calibri" w:hAnsi="Times New Roman" w:cs="Times New Roman"/>
          <w:sz w:val="28"/>
          <w:szCs w:val="28"/>
        </w:rPr>
        <w:t>s</w:t>
      </w:r>
      <w:r w:rsidRPr="00FB7F9C">
        <w:rPr>
          <w:rFonts w:ascii="Times New Roman" w:eastAsia="Calibri" w:hAnsi="Times New Roman" w:cs="Times New Roman"/>
          <w:sz w:val="28"/>
          <w:szCs w:val="28"/>
        </w:rPr>
        <w:tab/>
        <w:t xml:space="preserve">                   </w:t>
      </w:r>
      <w:r w:rsidR="00DE050F" w:rsidRPr="00FB7F9C">
        <w:rPr>
          <w:rFonts w:ascii="Times New Roman" w:eastAsia="Calibri" w:hAnsi="Times New Roman" w:cs="Times New Roman"/>
          <w:sz w:val="28"/>
          <w:szCs w:val="28"/>
        </w:rPr>
        <w:t>D. Pavļuts</w:t>
      </w:r>
    </w:p>
    <w:p w14:paraId="4B25B913" w14:textId="77777777" w:rsidR="00BE47F1" w:rsidRPr="00FB7F9C" w:rsidRDefault="00BE47F1" w:rsidP="00BE47F1">
      <w:pPr>
        <w:tabs>
          <w:tab w:val="left" w:pos="7230"/>
          <w:tab w:val="right" w:pos="9072"/>
        </w:tabs>
        <w:ind w:right="-765"/>
        <w:rPr>
          <w:rFonts w:ascii="Times New Roman" w:eastAsia="Calibri" w:hAnsi="Times New Roman" w:cs="Times New Roman"/>
          <w:sz w:val="28"/>
          <w:szCs w:val="28"/>
        </w:rPr>
      </w:pPr>
    </w:p>
    <w:p w14:paraId="0139E31A" w14:textId="1098A50B" w:rsidR="00BE47F1" w:rsidRPr="00FB7F9C" w:rsidRDefault="00BE47F1" w:rsidP="00BE47F1">
      <w:pPr>
        <w:tabs>
          <w:tab w:val="left" w:pos="7230"/>
          <w:tab w:val="right" w:pos="9072"/>
        </w:tabs>
        <w:ind w:right="-765"/>
        <w:rPr>
          <w:rFonts w:ascii="Times New Roman" w:hAnsi="Times New Roman" w:cs="Times New Roman"/>
          <w:sz w:val="28"/>
          <w:szCs w:val="28"/>
        </w:rPr>
      </w:pPr>
      <w:r w:rsidRPr="00FB7F9C">
        <w:rPr>
          <w:rFonts w:ascii="Times New Roman" w:eastAsia="Calibri" w:hAnsi="Times New Roman" w:cs="Times New Roman"/>
          <w:sz w:val="28"/>
          <w:szCs w:val="28"/>
        </w:rPr>
        <w:t>Vīza: Valsts sekretāre</w:t>
      </w:r>
      <w:r w:rsidRPr="00FB7F9C">
        <w:rPr>
          <w:rFonts w:ascii="Times New Roman" w:eastAsia="Calibri" w:hAnsi="Times New Roman" w:cs="Times New Roman"/>
          <w:sz w:val="28"/>
          <w:szCs w:val="28"/>
        </w:rPr>
        <w:tab/>
        <w:t>D</w:t>
      </w:r>
      <w:r w:rsidR="00C40B85" w:rsidRPr="00FB7F9C">
        <w:rPr>
          <w:rFonts w:ascii="Times New Roman" w:eastAsia="Calibri" w:hAnsi="Times New Roman" w:cs="Times New Roman"/>
          <w:sz w:val="28"/>
          <w:szCs w:val="28"/>
        </w:rPr>
        <w:t>.</w:t>
      </w:r>
      <w:r w:rsidRPr="00FB7F9C">
        <w:rPr>
          <w:rFonts w:ascii="Times New Roman" w:eastAsia="Calibri" w:hAnsi="Times New Roman" w:cs="Times New Roman"/>
          <w:sz w:val="28"/>
          <w:szCs w:val="28"/>
        </w:rPr>
        <w:t xml:space="preserve"> </w:t>
      </w:r>
      <w:proofErr w:type="spellStart"/>
      <w:r w:rsidRPr="00FB7F9C">
        <w:rPr>
          <w:rFonts w:ascii="Times New Roman" w:eastAsia="Calibri" w:hAnsi="Times New Roman" w:cs="Times New Roman"/>
          <w:sz w:val="28"/>
          <w:szCs w:val="28"/>
        </w:rPr>
        <w:t>Mūrmane-Umbraško</w:t>
      </w:r>
      <w:proofErr w:type="spellEnd"/>
    </w:p>
    <w:p w14:paraId="24C9FDB7" w14:textId="77777777" w:rsidR="00BE47F1" w:rsidRPr="00FB7F9C" w:rsidRDefault="00BE47F1" w:rsidP="00BE47F1">
      <w:pPr>
        <w:tabs>
          <w:tab w:val="left" w:pos="6237"/>
        </w:tabs>
        <w:spacing w:after="0" w:line="240" w:lineRule="auto"/>
        <w:rPr>
          <w:rFonts w:ascii="Times New Roman" w:eastAsia="Calibri" w:hAnsi="Times New Roman" w:cs="Times New Roman"/>
          <w:sz w:val="24"/>
          <w:szCs w:val="24"/>
        </w:rPr>
      </w:pPr>
    </w:p>
    <w:p w14:paraId="3C8CC882" w14:textId="190DCF1F" w:rsidR="00076AF1" w:rsidRPr="00FB7F9C" w:rsidRDefault="00076AF1" w:rsidP="000B062B">
      <w:pPr>
        <w:tabs>
          <w:tab w:val="left" w:pos="6237"/>
        </w:tabs>
        <w:spacing w:after="0" w:line="240" w:lineRule="auto"/>
        <w:rPr>
          <w:rFonts w:ascii="Times New Roman" w:hAnsi="Times New Roman" w:cs="Times New Roman"/>
          <w:sz w:val="24"/>
          <w:szCs w:val="28"/>
        </w:rPr>
      </w:pPr>
    </w:p>
    <w:p w14:paraId="41CF8E36" w14:textId="77777777" w:rsidR="00A73CCC" w:rsidRPr="00FB7F9C" w:rsidRDefault="00A73CCC" w:rsidP="000B062B">
      <w:pPr>
        <w:tabs>
          <w:tab w:val="left" w:pos="6237"/>
        </w:tabs>
        <w:spacing w:after="0" w:line="240" w:lineRule="auto"/>
        <w:rPr>
          <w:rFonts w:ascii="Times New Roman" w:hAnsi="Times New Roman" w:cs="Times New Roman"/>
          <w:sz w:val="24"/>
          <w:szCs w:val="28"/>
        </w:rPr>
      </w:pPr>
    </w:p>
    <w:p w14:paraId="76917058" w14:textId="70097491" w:rsidR="00076AF1" w:rsidRPr="00FB7F9C" w:rsidRDefault="007B57CB" w:rsidP="000B062B">
      <w:pPr>
        <w:tabs>
          <w:tab w:val="left" w:pos="6237"/>
        </w:tabs>
        <w:spacing w:after="0" w:line="240" w:lineRule="auto"/>
        <w:rPr>
          <w:rFonts w:ascii="Times New Roman" w:hAnsi="Times New Roman" w:cs="Times New Roman"/>
          <w:sz w:val="24"/>
          <w:szCs w:val="28"/>
        </w:rPr>
      </w:pPr>
      <w:r w:rsidRPr="00FB7F9C">
        <w:rPr>
          <w:rFonts w:ascii="Times New Roman" w:hAnsi="Times New Roman" w:cs="Times New Roman"/>
          <w:sz w:val="24"/>
          <w:szCs w:val="28"/>
        </w:rPr>
        <w:t xml:space="preserve">Inese </w:t>
      </w:r>
      <w:proofErr w:type="spellStart"/>
      <w:r w:rsidRPr="00FB7F9C">
        <w:rPr>
          <w:rFonts w:ascii="Times New Roman" w:hAnsi="Times New Roman" w:cs="Times New Roman"/>
          <w:sz w:val="24"/>
          <w:szCs w:val="28"/>
        </w:rPr>
        <w:t>Kaupere</w:t>
      </w:r>
      <w:proofErr w:type="spellEnd"/>
      <w:r w:rsidR="00DE6A2F" w:rsidRPr="00FB7F9C">
        <w:rPr>
          <w:rFonts w:ascii="Times New Roman" w:hAnsi="Times New Roman" w:cs="Times New Roman"/>
          <w:sz w:val="24"/>
          <w:szCs w:val="28"/>
        </w:rPr>
        <w:t>, 67876114</w:t>
      </w:r>
    </w:p>
    <w:p w14:paraId="586E207F" w14:textId="78753F5F" w:rsidR="00E06799" w:rsidRPr="00FB7F9C" w:rsidRDefault="001746E0" w:rsidP="000B062B">
      <w:pPr>
        <w:tabs>
          <w:tab w:val="left" w:pos="6237"/>
        </w:tabs>
        <w:spacing w:after="0" w:line="240" w:lineRule="auto"/>
        <w:rPr>
          <w:rFonts w:ascii="Times New Roman" w:hAnsi="Times New Roman" w:cs="Times New Roman"/>
          <w:sz w:val="24"/>
          <w:szCs w:val="28"/>
        </w:rPr>
      </w:pPr>
      <w:hyperlink r:id="rId10" w:history="1">
        <w:r w:rsidR="00E06799" w:rsidRPr="00FB7F9C">
          <w:rPr>
            <w:rStyle w:val="Hyperlink"/>
            <w:rFonts w:ascii="Times New Roman" w:hAnsi="Times New Roman" w:cs="Times New Roman"/>
            <w:color w:val="auto"/>
            <w:sz w:val="24"/>
            <w:szCs w:val="28"/>
            <w:u w:val="none"/>
          </w:rPr>
          <w:t>Inese.Kaupere@vm.gov.lv</w:t>
        </w:r>
      </w:hyperlink>
      <w:r w:rsidR="00E06799" w:rsidRPr="00FB7F9C">
        <w:rPr>
          <w:rFonts w:ascii="Times New Roman" w:hAnsi="Times New Roman" w:cs="Times New Roman"/>
          <w:sz w:val="24"/>
          <w:szCs w:val="28"/>
        </w:rPr>
        <w:t xml:space="preserve"> </w:t>
      </w:r>
    </w:p>
    <w:p w14:paraId="5BE9EBB5" w14:textId="35C9E001" w:rsidR="000B062B" w:rsidRPr="00FB7F9C" w:rsidRDefault="000B062B" w:rsidP="000B062B">
      <w:pPr>
        <w:tabs>
          <w:tab w:val="left" w:pos="6237"/>
        </w:tabs>
        <w:spacing w:after="0" w:line="240" w:lineRule="auto"/>
        <w:rPr>
          <w:rFonts w:ascii="Times New Roman" w:hAnsi="Times New Roman" w:cs="Times New Roman"/>
          <w:sz w:val="24"/>
          <w:szCs w:val="28"/>
        </w:rPr>
      </w:pPr>
    </w:p>
    <w:p w14:paraId="1CA34D9F" w14:textId="77777777" w:rsidR="00DE6A2F" w:rsidRPr="00FB7F9C" w:rsidRDefault="00DE6A2F" w:rsidP="000B062B">
      <w:pPr>
        <w:tabs>
          <w:tab w:val="left" w:pos="6237"/>
        </w:tabs>
        <w:spacing w:after="0" w:line="240" w:lineRule="auto"/>
        <w:rPr>
          <w:rFonts w:ascii="Times New Roman" w:hAnsi="Times New Roman" w:cs="Times New Roman"/>
          <w:sz w:val="24"/>
          <w:szCs w:val="28"/>
        </w:rPr>
      </w:pPr>
    </w:p>
    <w:p w14:paraId="3679D13E" w14:textId="089781BB" w:rsidR="00BE47F1" w:rsidRPr="00FB7F9C" w:rsidRDefault="00DE6A2F" w:rsidP="000B062B">
      <w:pPr>
        <w:tabs>
          <w:tab w:val="left" w:pos="6237"/>
        </w:tabs>
        <w:spacing w:after="0" w:line="240" w:lineRule="auto"/>
        <w:rPr>
          <w:rFonts w:ascii="Times New Roman" w:eastAsia="Calibri" w:hAnsi="Times New Roman" w:cs="Times New Roman"/>
          <w:sz w:val="24"/>
          <w:szCs w:val="24"/>
        </w:rPr>
      </w:pPr>
      <w:r w:rsidRPr="00FB7F9C">
        <w:rPr>
          <w:rFonts w:ascii="Times New Roman" w:eastAsia="Calibri" w:hAnsi="Times New Roman" w:cs="Times New Roman"/>
          <w:sz w:val="24"/>
          <w:szCs w:val="24"/>
        </w:rPr>
        <w:t>K</w:t>
      </w:r>
      <w:r w:rsidR="00062D85" w:rsidRPr="00FB7F9C">
        <w:rPr>
          <w:rFonts w:ascii="Times New Roman" w:eastAsia="Calibri" w:hAnsi="Times New Roman" w:cs="Times New Roman"/>
          <w:sz w:val="24"/>
          <w:szCs w:val="24"/>
        </w:rPr>
        <w:t xml:space="preserve">ristīne </w:t>
      </w:r>
      <w:r w:rsidRPr="00FB7F9C">
        <w:rPr>
          <w:rFonts w:ascii="Times New Roman" w:eastAsia="Calibri" w:hAnsi="Times New Roman" w:cs="Times New Roman"/>
          <w:sz w:val="24"/>
          <w:szCs w:val="24"/>
        </w:rPr>
        <w:t>Kalniņa, 6787611</w:t>
      </w:r>
      <w:r w:rsidR="004F5229" w:rsidRPr="00FB7F9C">
        <w:rPr>
          <w:rFonts w:ascii="Times New Roman" w:eastAsia="Calibri" w:hAnsi="Times New Roman" w:cs="Times New Roman"/>
          <w:sz w:val="24"/>
          <w:szCs w:val="24"/>
        </w:rPr>
        <w:t>6</w:t>
      </w:r>
    </w:p>
    <w:p w14:paraId="1216BD1E" w14:textId="003C5D0F" w:rsidR="00DE6A2F" w:rsidRPr="00FB7F9C" w:rsidRDefault="001746E0" w:rsidP="000B062B">
      <w:pPr>
        <w:tabs>
          <w:tab w:val="left" w:pos="6237"/>
        </w:tabs>
        <w:spacing w:after="0" w:line="240" w:lineRule="auto"/>
        <w:rPr>
          <w:rFonts w:ascii="Times New Roman" w:eastAsia="Calibri" w:hAnsi="Times New Roman" w:cs="Times New Roman"/>
          <w:sz w:val="24"/>
          <w:szCs w:val="24"/>
        </w:rPr>
      </w:pPr>
      <w:hyperlink r:id="rId11" w:history="1">
        <w:r w:rsidR="00DE6A2F" w:rsidRPr="00FB7F9C">
          <w:rPr>
            <w:rStyle w:val="Hyperlink"/>
            <w:rFonts w:ascii="Times New Roman" w:eastAsia="Calibri" w:hAnsi="Times New Roman" w:cs="Times New Roman"/>
            <w:color w:val="auto"/>
            <w:sz w:val="24"/>
            <w:szCs w:val="24"/>
            <w:u w:val="none"/>
          </w:rPr>
          <w:t>Kristine.Kalnina@vm.gov.lv</w:t>
        </w:r>
      </w:hyperlink>
    </w:p>
    <w:sectPr w:rsidR="00DE6A2F" w:rsidRPr="00FB7F9C" w:rsidSect="00741104">
      <w:headerReference w:type="default" r:id="rId12"/>
      <w:footerReference w:type="default" r:id="rId13"/>
      <w:footerReference w:type="first" r:id="rId14"/>
      <w:pgSz w:w="11906" w:h="16838"/>
      <w:pgMar w:top="85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C5B6C" w14:textId="77777777" w:rsidR="00A6686C" w:rsidRDefault="00A6686C" w:rsidP="00CB7F50">
      <w:pPr>
        <w:spacing w:after="0" w:line="240" w:lineRule="auto"/>
      </w:pPr>
      <w:r>
        <w:separator/>
      </w:r>
    </w:p>
  </w:endnote>
  <w:endnote w:type="continuationSeparator" w:id="0">
    <w:p w14:paraId="1E669A8F" w14:textId="77777777" w:rsidR="00A6686C" w:rsidRDefault="00A6686C" w:rsidP="00CB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2217" w14:textId="16C2EF45" w:rsidR="00A86794" w:rsidRDefault="00A86794" w:rsidP="00876267">
    <w:pPr>
      <w:pStyle w:val="Footer"/>
    </w:pPr>
    <w:bookmarkStart w:id="0" w:name="_Hlk30500116"/>
    <w:r w:rsidRPr="00C62749">
      <w:t>VManot_</w:t>
    </w:r>
    <w:r w:rsidR="00706987">
      <w:t>1</w:t>
    </w:r>
    <w:r w:rsidR="001746E0">
      <w:t>8022021</w:t>
    </w:r>
    <w:r w:rsidRPr="00C62749">
      <w:t>_</w:t>
    </w:r>
    <w:r w:rsidRPr="009A051C">
      <w:t xml:space="preserve"> </w:t>
    </w:r>
    <w:r>
      <w:t>MK</w:t>
    </w:r>
    <w:r w:rsidR="00E06799">
      <w:t>378</w:t>
    </w:r>
  </w:p>
  <w:bookmarkEnd w:id="0"/>
  <w:p w14:paraId="250A06E5" w14:textId="5A321922" w:rsidR="00A86794" w:rsidRPr="00876267" w:rsidRDefault="00A86794" w:rsidP="00876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849B6" w14:textId="4C88A132" w:rsidR="00A86794" w:rsidRDefault="00A86794" w:rsidP="0017706D">
    <w:pPr>
      <w:pStyle w:val="Footer"/>
    </w:pPr>
    <w:r w:rsidRPr="00C62749">
      <w:t>VManot_</w:t>
    </w:r>
    <w:r w:rsidR="00706987">
      <w:t>1</w:t>
    </w:r>
    <w:r w:rsidR="001746E0">
      <w:t>8022021</w:t>
    </w:r>
    <w:r w:rsidRPr="00C62749">
      <w:t>_</w:t>
    </w:r>
    <w:r w:rsidRPr="009A051C">
      <w:t xml:space="preserve"> </w:t>
    </w:r>
    <w:r w:rsidR="00ED42A5">
      <w:t>MK378</w:t>
    </w:r>
  </w:p>
  <w:p w14:paraId="394CA937" w14:textId="2941D034" w:rsidR="00A86794" w:rsidRPr="00742975" w:rsidRDefault="00A86794" w:rsidP="00742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91214" w14:textId="77777777" w:rsidR="00A6686C" w:rsidRDefault="00A6686C" w:rsidP="00CB7F50">
      <w:pPr>
        <w:spacing w:after="0" w:line="240" w:lineRule="auto"/>
      </w:pPr>
      <w:r>
        <w:separator/>
      </w:r>
    </w:p>
  </w:footnote>
  <w:footnote w:type="continuationSeparator" w:id="0">
    <w:p w14:paraId="47449965" w14:textId="77777777" w:rsidR="00A6686C" w:rsidRDefault="00A6686C" w:rsidP="00CB7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7777773"/>
      <w:docPartObj>
        <w:docPartGallery w:val="Page Numbers (Top of Page)"/>
        <w:docPartUnique/>
      </w:docPartObj>
    </w:sdtPr>
    <w:sdtEndPr>
      <w:rPr>
        <w:noProof/>
      </w:rPr>
    </w:sdtEndPr>
    <w:sdtContent>
      <w:p w14:paraId="7E969985" w14:textId="00D7376D" w:rsidR="00A86794" w:rsidRDefault="00A86794">
        <w:pPr>
          <w:pStyle w:val="Header"/>
          <w:jc w:val="center"/>
        </w:pPr>
        <w:r>
          <w:fldChar w:fldCharType="begin"/>
        </w:r>
        <w:r>
          <w:instrText xml:space="preserve"> PAGE   \* MERGEFORMAT </w:instrText>
        </w:r>
        <w:r>
          <w:fldChar w:fldCharType="separate"/>
        </w:r>
        <w:r w:rsidR="00ED42A5">
          <w:rPr>
            <w:noProof/>
          </w:rPr>
          <w:t>5</w:t>
        </w:r>
        <w:r>
          <w:rPr>
            <w:noProof/>
          </w:rPr>
          <w:fldChar w:fldCharType="end"/>
        </w:r>
      </w:p>
    </w:sdtContent>
  </w:sdt>
  <w:p w14:paraId="3AE3BA4C" w14:textId="77777777" w:rsidR="00A86794" w:rsidRDefault="00A8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00E91"/>
    <w:multiLevelType w:val="hybridMultilevel"/>
    <w:tmpl w:val="8006D40A"/>
    <w:lvl w:ilvl="0" w:tplc="6A48B6C0">
      <w:start w:val="1"/>
      <w:numFmt w:val="decimal"/>
      <w:lvlText w:val="%1."/>
      <w:lvlJc w:val="left"/>
      <w:pPr>
        <w:ind w:left="2770" w:hanging="360"/>
      </w:pPr>
      <w:rPr>
        <w:rFonts w:ascii="TimesNewRomanPSMT" w:hAnsi="TimesNewRomanPSMT" w:hint="default"/>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1" w15:restartNumberingAfterBreak="0">
    <w:nsid w:val="3DB057F6"/>
    <w:multiLevelType w:val="hybridMultilevel"/>
    <w:tmpl w:val="27BE1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B909BB"/>
    <w:multiLevelType w:val="hybridMultilevel"/>
    <w:tmpl w:val="D28E37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1C07EAB"/>
    <w:multiLevelType w:val="hybridMultilevel"/>
    <w:tmpl w:val="C1CEB354"/>
    <w:lvl w:ilvl="0" w:tplc="F8521B7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75F63AD0"/>
    <w:multiLevelType w:val="hybridMultilevel"/>
    <w:tmpl w:val="0F6C12FC"/>
    <w:lvl w:ilvl="0" w:tplc="D5CC8942">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781"/>
    <w:rsid w:val="00007A14"/>
    <w:rsid w:val="00015CE5"/>
    <w:rsid w:val="00023773"/>
    <w:rsid w:val="00023FF0"/>
    <w:rsid w:val="00025255"/>
    <w:rsid w:val="00025C2D"/>
    <w:rsid w:val="0003254C"/>
    <w:rsid w:val="0003615A"/>
    <w:rsid w:val="00041A4E"/>
    <w:rsid w:val="00046645"/>
    <w:rsid w:val="00062D85"/>
    <w:rsid w:val="0006780A"/>
    <w:rsid w:val="00076AF1"/>
    <w:rsid w:val="00083DDC"/>
    <w:rsid w:val="00084C73"/>
    <w:rsid w:val="00091C41"/>
    <w:rsid w:val="0009393C"/>
    <w:rsid w:val="00095EAF"/>
    <w:rsid w:val="000A50EE"/>
    <w:rsid w:val="000A729B"/>
    <w:rsid w:val="000B062B"/>
    <w:rsid w:val="000B0D3A"/>
    <w:rsid w:val="000B2691"/>
    <w:rsid w:val="000B308E"/>
    <w:rsid w:val="000B7042"/>
    <w:rsid w:val="000C3683"/>
    <w:rsid w:val="000C48D5"/>
    <w:rsid w:val="000C601E"/>
    <w:rsid w:val="000E3528"/>
    <w:rsid w:val="000E576E"/>
    <w:rsid w:val="00105CC6"/>
    <w:rsid w:val="00112817"/>
    <w:rsid w:val="00112C85"/>
    <w:rsid w:val="00132633"/>
    <w:rsid w:val="001349B4"/>
    <w:rsid w:val="00146F72"/>
    <w:rsid w:val="00153AFD"/>
    <w:rsid w:val="00163B70"/>
    <w:rsid w:val="001746E0"/>
    <w:rsid w:val="0017706D"/>
    <w:rsid w:val="00177941"/>
    <w:rsid w:val="00183B16"/>
    <w:rsid w:val="00194FBB"/>
    <w:rsid w:val="001A0917"/>
    <w:rsid w:val="001A57B9"/>
    <w:rsid w:val="001B6919"/>
    <w:rsid w:val="001C1333"/>
    <w:rsid w:val="001D03F1"/>
    <w:rsid w:val="001D0647"/>
    <w:rsid w:val="001E6F4A"/>
    <w:rsid w:val="001F2FE8"/>
    <w:rsid w:val="001F7D71"/>
    <w:rsid w:val="00204F70"/>
    <w:rsid w:val="00211297"/>
    <w:rsid w:val="00220FAD"/>
    <w:rsid w:val="00230B6C"/>
    <w:rsid w:val="002319C0"/>
    <w:rsid w:val="00233229"/>
    <w:rsid w:val="002448A6"/>
    <w:rsid w:val="002457FF"/>
    <w:rsid w:val="00250BFF"/>
    <w:rsid w:val="00251681"/>
    <w:rsid w:val="0027252C"/>
    <w:rsid w:val="0027316F"/>
    <w:rsid w:val="002815A0"/>
    <w:rsid w:val="002921B0"/>
    <w:rsid w:val="002A5B43"/>
    <w:rsid w:val="002C127F"/>
    <w:rsid w:val="002C51D3"/>
    <w:rsid w:val="002D5E91"/>
    <w:rsid w:val="002D7CCE"/>
    <w:rsid w:val="002E5AA8"/>
    <w:rsid w:val="002F6748"/>
    <w:rsid w:val="00300422"/>
    <w:rsid w:val="003005AF"/>
    <w:rsid w:val="003005EF"/>
    <w:rsid w:val="00305F01"/>
    <w:rsid w:val="00307A94"/>
    <w:rsid w:val="003308DA"/>
    <w:rsid w:val="00342278"/>
    <w:rsid w:val="00343A04"/>
    <w:rsid w:val="00350009"/>
    <w:rsid w:val="0038015A"/>
    <w:rsid w:val="00381FAC"/>
    <w:rsid w:val="0038303B"/>
    <w:rsid w:val="003A0043"/>
    <w:rsid w:val="003A5D68"/>
    <w:rsid w:val="003B3517"/>
    <w:rsid w:val="003C0320"/>
    <w:rsid w:val="003E6BDF"/>
    <w:rsid w:val="003F02E1"/>
    <w:rsid w:val="00401C5E"/>
    <w:rsid w:val="00411EEF"/>
    <w:rsid w:val="00416F7C"/>
    <w:rsid w:val="0041751C"/>
    <w:rsid w:val="00432EDF"/>
    <w:rsid w:val="00443BEE"/>
    <w:rsid w:val="00444AC0"/>
    <w:rsid w:val="0044520B"/>
    <w:rsid w:val="00446AD7"/>
    <w:rsid w:val="004531EF"/>
    <w:rsid w:val="0045744E"/>
    <w:rsid w:val="00462C73"/>
    <w:rsid w:val="004644EE"/>
    <w:rsid w:val="0048172E"/>
    <w:rsid w:val="004B022C"/>
    <w:rsid w:val="004B295F"/>
    <w:rsid w:val="004D0619"/>
    <w:rsid w:val="004E5C13"/>
    <w:rsid w:val="004F1F9E"/>
    <w:rsid w:val="004F5229"/>
    <w:rsid w:val="00503101"/>
    <w:rsid w:val="00504D8C"/>
    <w:rsid w:val="00530266"/>
    <w:rsid w:val="0053645A"/>
    <w:rsid w:val="00571F4E"/>
    <w:rsid w:val="005776FA"/>
    <w:rsid w:val="00584EC2"/>
    <w:rsid w:val="00585996"/>
    <w:rsid w:val="00592745"/>
    <w:rsid w:val="00592A88"/>
    <w:rsid w:val="00595E45"/>
    <w:rsid w:val="005A6751"/>
    <w:rsid w:val="005C7E39"/>
    <w:rsid w:val="005D771B"/>
    <w:rsid w:val="005D7856"/>
    <w:rsid w:val="005E74B9"/>
    <w:rsid w:val="005F38B6"/>
    <w:rsid w:val="005F7656"/>
    <w:rsid w:val="00601FA8"/>
    <w:rsid w:val="00602B30"/>
    <w:rsid w:val="006204BA"/>
    <w:rsid w:val="00620FD4"/>
    <w:rsid w:val="00635199"/>
    <w:rsid w:val="006374B4"/>
    <w:rsid w:val="00651128"/>
    <w:rsid w:val="00651CA0"/>
    <w:rsid w:val="00654B3A"/>
    <w:rsid w:val="006552D1"/>
    <w:rsid w:val="00657F0E"/>
    <w:rsid w:val="006730C4"/>
    <w:rsid w:val="0068207C"/>
    <w:rsid w:val="006B032C"/>
    <w:rsid w:val="006B23EF"/>
    <w:rsid w:val="006B366D"/>
    <w:rsid w:val="006B57C6"/>
    <w:rsid w:val="006C7A8B"/>
    <w:rsid w:val="006D0558"/>
    <w:rsid w:val="006E4C8E"/>
    <w:rsid w:val="00700619"/>
    <w:rsid w:val="00705042"/>
    <w:rsid w:val="00705121"/>
    <w:rsid w:val="00706987"/>
    <w:rsid w:val="00707D06"/>
    <w:rsid w:val="00715460"/>
    <w:rsid w:val="0073511F"/>
    <w:rsid w:val="00741104"/>
    <w:rsid w:val="00741E2B"/>
    <w:rsid w:val="00742975"/>
    <w:rsid w:val="007460C4"/>
    <w:rsid w:val="00751D4A"/>
    <w:rsid w:val="00755E6D"/>
    <w:rsid w:val="00770316"/>
    <w:rsid w:val="0077071E"/>
    <w:rsid w:val="00775934"/>
    <w:rsid w:val="00776DEC"/>
    <w:rsid w:val="0077747A"/>
    <w:rsid w:val="007903B9"/>
    <w:rsid w:val="00791F7B"/>
    <w:rsid w:val="007A184F"/>
    <w:rsid w:val="007B57CB"/>
    <w:rsid w:val="007C0B74"/>
    <w:rsid w:val="007C29EE"/>
    <w:rsid w:val="007F700E"/>
    <w:rsid w:val="00804894"/>
    <w:rsid w:val="008049F2"/>
    <w:rsid w:val="00813033"/>
    <w:rsid w:val="0082085F"/>
    <w:rsid w:val="00823A47"/>
    <w:rsid w:val="00825B58"/>
    <w:rsid w:val="0082794D"/>
    <w:rsid w:val="0083007D"/>
    <w:rsid w:val="00833DE8"/>
    <w:rsid w:val="00833E8E"/>
    <w:rsid w:val="0083718C"/>
    <w:rsid w:val="00844263"/>
    <w:rsid w:val="008528CD"/>
    <w:rsid w:val="00857C74"/>
    <w:rsid w:val="00872A30"/>
    <w:rsid w:val="00876267"/>
    <w:rsid w:val="008768CF"/>
    <w:rsid w:val="00876E41"/>
    <w:rsid w:val="008849FA"/>
    <w:rsid w:val="00890091"/>
    <w:rsid w:val="0089306A"/>
    <w:rsid w:val="008B2517"/>
    <w:rsid w:val="008B25BF"/>
    <w:rsid w:val="008C03A7"/>
    <w:rsid w:val="008D340A"/>
    <w:rsid w:val="008D4C1A"/>
    <w:rsid w:val="008E6781"/>
    <w:rsid w:val="008F3C76"/>
    <w:rsid w:val="008F6156"/>
    <w:rsid w:val="00900F65"/>
    <w:rsid w:val="009017EA"/>
    <w:rsid w:val="00903880"/>
    <w:rsid w:val="00904196"/>
    <w:rsid w:val="00906F70"/>
    <w:rsid w:val="0092491D"/>
    <w:rsid w:val="00933D68"/>
    <w:rsid w:val="00936017"/>
    <w:rsid w:val="00956200"/>
    <w:rsid w:val="00965076"/>
    <w:rsid w:val="0097079C"/>
    <w:rsid w:val="00980CAA"/>
    <w:rsid w:val="0098160C"/>
    <w:rsid w:val="00985295"/>
    <w:rsid w:val="00995A85"/>
    <w:rsid w:val="0099600C"/>
    <w:rsid w:val="0099638C"/>
    <w:rsid w:val="00997700"/>
    <w:rsid w:val="009A051C"/>
    <w:rsid w:val="009A5F18"/>
    <w:rsid w:val="009B1B6C"/>
    <w:rsid w:val="009D3959"/>
    <w:rsid w:val="009E5EA4"/>
    <w:rsid w:val="009F03C3"/>
    <w:rsid w:val="00A058B8"/>
    <w:rsid w:val="00A126F7"/>
    <w:rsid w:val="00A17B79"/>
    <w:rsid w:val="00A56208"/>
    <w:rsid w:val="00A6405F"/>
    <w:rsid w:val="00A6686C"/>
    <w:rsid w:val="00A66E40"/>
    <w:rsid w:val="00A73CCC"/>
    <w:rsid w:val="00A756BF"/>
    <w:rsid w:val="00A860B9"/>
    <w:rsid w:val="00A86794"/>
    <w:rsid w:val="00A9059F"/>
    <w:rsid w:val="00A94345"/>
    <w:rsid w:val="00A965E5"/>
    <w:rsid w:val="00AA1EE4"/>
    <w:rsid w:val="00AA205E"/>
    <w:rsid w:val="00AA2A80"/>
    <w:rsid w:val="00AA3E20"/>
    <w:rsid w:val="00AC43B4"/>
    <w:rsid w:val="00AD5546"/>
    <w:rsid w:val="00AE03A2"/>
    <w:rsid w:val="00AE22FD"/>
    <w:rsid w:val="00AE3DFA"/>
    <w:rsid w:val="00AE67F1"/>
    <w:rsid w:val="00AF30EF"/>
    <w:rsid w:val="00B0167E"/>
    <w:rsid w:val="00B1387D"/>
    <w:rsid w:val="00B21120"/>
    <w:rsid w:val="00B32D86"/>
    <w:rsid w:val="00B3354E"/>
    <w:rsid w:val="00B42FB7"/>
    <w:rsid w:val="00B57916"/>
    <w:rsid w:val="00B60436"/>
    <w:rsid w:val="00B67EA7"/>
    <w:rsid w:val="00B80176"/>
    <w:rsid w:val="00B80A20"/>
    <w:rsid w:val="00B8533A"/>
    <w:rsid w:val="00B85F4C"/>
    <w:rsid w:val="00B872CB"/>
    <w:rsid w:val="00B87D40"/>
    <w:rsid w:val="00B94BFB"/>
    <w:rsid w:val="00BA2EFB"/>
    <w:rsid w:val="00BA3336"/>
    <w:rsid w:val="00BB2A2B"/>
    <w:rsid w:val="00BC7BFD"/>
    <w:rsid w:val="00BD44D6"/>
    <w:rsid w:val="00BE47F1"/>
    <w:rsid w:val="00BE69C0"/>
    <w:rsid w:val="00BF1134"/>
    <w:rsid w:val="00BF34DB"/>
    <w:rsid w:val="00C059FE"/>
    <w:rsid w:val="00C130FF"/>
    <w:rsid w:val="00C135FC"/>
    <w:rsid w:val="00C350FF"/>
    <w:rsid w:val="00C40B85"/>
    <w:rsid w:val="00C52698"/>
    <w:rsid w:val="00C553F4"/>
    <w:rsid w:val="00C61C2B"/>
    <w:rsid w:val="00C61CF2"/>
    <w:rsid w:val="00C625DE"/>
    <w:rsid w:val="00C62749"/>
    <w:rsid w:val="00C63F77"/>
    <w:rsid w:val="00C70040"/>
    <w:rsid w:val="00C735CA"/>
    <w:rsid w:val="00C74DE7"/>
    <w:rsid w:val="00C82876"/>
    <w:rsid w:val="00C849ED"/>
    <w:rsid w:val="00CA22F6"/>
    <w:rsid w:val="00CA3824"/>
    <w:rsid w:val="00CB249C"/>
    <w:rsid w:val="00CB574F"/>
    <w:rsid w:val="00CB7F50"/>
    <w:rsid w:val="00CC08CB"/>
    <w:rsid w:val="00CC569A"/>
    <w:rsid w:val="00CC66A6"/>
    <w:rsid w:val="00CD37E0"/>
    <w:rsid w:val="00CE33B2"/>
    <w:rsid w:val="00CF2E5E"/>
    <w:rsid w:val="00D31EF1"/>
    <w:rsid w:val="00D414ED"/>
    <w:rsid w:val="00D46616"/>
    <w:rsid w:val="00D52564"/>
    <w:rsid w:val="00D64082"/>
    <w:rsid w:val="00D65E13"/>
    <w:rsid w:val="00D7520D"/>
    <w:rsid w:val="00D97D32"/>
    <w:rsid w:val="00DA7BBA"/>
    <w:rsid w:val="00DB4F27"/>
    <w:rsid w:val="00DD0534"/>
    <w:rsid w:val="00DE050F"/>
    <w:rsid w:val="00DE145C"/>
    <w:rsid w:val="00DE4747"/>
    <w:rsid w:val="00DE6A2F"/>
    <w:rsid w:val="00DF75F6"/>
    <w:rsid w:val="00E03197"/>
    <w:rsid w:val="00E06799"/>
    <w:rsid w:val="00E10F17"/>
    <w:rsid w:val="00E120A5"/>
    <w:rsid w:val="00E12258"/>
    <w:rsid w:val="00E35F8C"/>
    <w:rsid w:val="00E61F4B"/>
    <w:rsid w:val="00E63537"/>
    <w:rsid w:val="00E70E5E"/>
    <w:rsid w:val="00E760F2"/>
    <w:rsid w:val="00E76E70"/>
    <w:rsid w:val="00E86D00"/>
    <w:rsid w:val="00E87197"/>
    <w:rsid w:val="00E876B6"/>
    <w:rsid w:val="00E95FEE"/>
    <w:rsid w:val="00EB2FBC"/>
    <w:rsid w:val="00EB32F2"/>
    <w:rsid w:val="00EB5420"/>
    <w:rsid w:val="00EC0347"/>
    <w:rsid w:val="00EC071E"/>
    <w:rsid w:val="00EC102B"/>
    <w:rsid w:val="00EC6F58"/>
    <w:rsid w:val="00ED3404"/>
    <w:rsid w:val="00ED42A5"/>
    <w:rsid w:val="00ED60CD"/>
    <w:rsid w:val="00ED6ACF"/>
    <w:rsid w:val="00EE5D4A"/>
    <w:rsid w:val="00EE620A"/>
    <w:rsid w:val="00F02895"/>
    <w:rsid w:val="00F038C3"/>
    <w:rsid w:val="00F2221A"/>
    <w:rsid w:val="00F229FD"/>
    <w:rsid w:val="00F3595D"/>
    <w:rsid w:val="00F36580"/>
    <w:rsid w:val="00F759F5"/>
    <w:rsid w:val="00FA1FFA"/>
    <w:rsid w:val="00FA72FD"/>
    <w:rsid w:val="00FB7D22"/>
    <w:rsid w:val="00FB7F9C"/>
    <w:rsid w:val="00FC6EC3"/>
    <w:rsid w:val="00FD2C1D"/>
    <w:rsid w:val="00FE35CA"/>
    <w:rsid w:val="00FE6AA2"/>
    <w:rsid w:val="00FF44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345C"/>
  <w15:docId w15:val="{113905BD-98B8-43FF-8FC8-28FB618D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D68"/>
    <w:rPr>
      <w:rFonts w:ascii="Segoe UI" w:hAnsi="Segoe UI" w:cs="Segoe UI"/>
      <w:sz w:val="18"/>
      <w:szCs w:val="18"/>
    </w:rPr>
  </w:style>
  <w:style w:type="character" w:styleId="CommentReference">
    <w:name w:val="annotation reference"/>
    <w:basedOn w:val="DefaultParagraphFont"/>
    <w:uiPriority w:val="99"/>
    <w:semiHidden/>
    <w:unhideWhenUsed/>
    <w:rsid w:val="001F7D71"/>
    <w:rPr>
      <w:sz w:val="16"/>
      <w:szCs w:val="16"/>
    </w:rPr>
  </w:style>
  <w:style w:type="paragraph" w:styleId="CommentText">
    <w:name w:val="annotation text"/>
    <w:basedOn w:val="Normal"/>
    <w:link w:val="CommentTextChar"/>
    <w:uiPriority w:val="99"/>
    <w:unhideWhenUsed/>
    <w:rsid w:val="001F7D71"/>
    <w:pPr>
      <w:spacing w:line="240" w:lineRule="auto"/>
    </w:pPr>
    <w:rPr>
      <w:sz w:val="20"/>
      <w:szCs w:val="20"/>
    </w:rPr>
  </w:style>
  <w:style w:type="character" w:customStyle="1" w:styleId="CommentTextChar">
    <w:name w:val="Comment Text Char"/>
    <w:basedOn w:val="DefaultParagraphFont"/>
    <w:link w:val="CommentText"/>
    <w:uiPriority w:val="99"/>
    <w:rsid w:val="001F7D71"/>
    <w:rPr>
      <w:sz w:val="20"/>
      <w:szCs w:val="20"/>
    </w:rPr>
  </w:style>
  <w:style w:type="paragraph" w:styleId="CommentSubject">
    <w:name w:val="annotation subject"/>
    <w:basedOn w:val="CommentText"/>
    <w:next w:val="CommentText"/>
    <w:link w:val="CommentSubjectChar"/>
    <w:uiPriority w:val="99"/>
    <w:semiHidden/>
    <w:unhideWhenUsed/>
    <w:rsid w:val="001F7D71"/>
    <w:rPr>
      <w:b/>
      <w:bCs/>
    </w:rPr>
  </w:style>
  <w:style w:type="character" w:customStyle="1" w:styleId="CommentSubjectChar">
    <w:name w:val="Comment Subject Char"/>
    <w:basedOn w:val="CommentTextChar"/>
    <w:link w:val="CommentSubject"/>
    <w:uiPriority w:val="99"/>
    <w:semiHidden/>
    <w:rsid w:val="001F7D71"/>
    <w:rPr>
      <w:b/>
      <w:bCs/>
      <w:sz w:val="20"/>
      <w:szCs w:val="20"/>
    </w:rPr>
  </w:style>
  <w:style w:type="paragraph" w:styleId="Title">
    <w:name w:val="Title"/>
    <w:basedOn w:val="Normal"/>
    <w:link w:val="TitleChar"/>
    <w:qFormat/>
    <w:rsid w:val="002815A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815A0"/>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CB7F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7F50"/>
  </w:style>
  <w:style w:type="paragraph" w:styleId="Footer">
    <w:name w:val="footer"/>
    <w:basedOn w:val="Normal"/>
    <w:link w:val="FooterChar"/>
    <w:uiPriority w:val="99"/>
    <w:unhideWhenUsed/>
    <w:rsid w:val="00CB7F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7F50"/>
  </w:style>
  <w:style w:type="character" w:styleId="Hyperlink">
    <w:name w:val="Hyperlink"/>
    <w:basedOn w:val="DefaultParagraphFont"/>
    <w:uiPriority w:val="99"/>
    <w:unhideWhenUsed/>
    <w:rsid w:val="00844263"/>
    <w:rPr>
      <w:color w:val="0563C1" w:themeColor="hyperlink"/>
      <w:u w:val="single"/>
    </w:rPr>
  </w:style>
  <w:style w:type="character" w:customStyle="1" w:styleId="UnresolvedMention1">
    <w:name w:val="Unresolved Mention1"/>
    <w:basedOn w:val="DefaultParagraphFont"/>
    <w:uiPriority w:val="99"/>
    <w:semiHidden/>
    <w:unhideWhenUsed/>
    <w:rsid w:val="00844263"/>
    <w:rPr>
      <w:color w:val="808080"/>
      <w:shd w:val="clear" w:color="auto" w:fill="E6E6E6"/>
    </w:rPr>
  </w:style>
  <w:style w:type="paragraph" w:customStyle="1" w:styleId="tv213">
    <w:name w:val="tv213"/>
    <w:basedOn w:val="Normal"/>
    <w:rsid w:val="00A9059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F2FE8"/>
    <w:pPr>
      <w:ind w:left="720"/>
      <w:contextualSpacing/>
    </w:pPr>
  </w:style>
  <w:style w:type="paragraph" w:styleId="NoSpacing">
    <w:name w:val="No Spacing"/>
    <w:uiPriority w:val="1"/>
    <w:qFormat/>
    <w:rsid w:val="00FA1FFA"/>
    <w:pPr>
      <w:spacing w:after="0" w:line="240" w:lineRule="auto"/>
    </w:pPr>
  </w:style>
  <w:style w:type="paragraph" w:customStyle="1" w:styleId="xmsonormal">
    <w:name w:val="x_msonormal"/>
    <w:basedOn w:val="Normal"/>
    <w:rsid w:val="007903B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7C29EE"/>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7C29E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B32D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rsid w:val="00B32D8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E06799"/>
    <w:rPr>
      <w:color w:val="605E5C"/>
      <w:shd w:val="clear" w:color="auto" w:fill="E1DFDD"/>
    </w:rPr>
  </w:style>
  <w:style w:type="character" w:styleId="UnresolvedMention">
    <w:name w:val="Unresolved Mention"/>
    <w:basedOn w:val="DefaultParagraphFont"/>
    <w:uiPriority w:val="99"/>
    <w:semiHidden/>
    <w:unhideWhenUsed/>
    <w:rsid w:val="00BA2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955671">
      <w:bodyDiv w:val="1"/>
      <w:marLeft w:val="0"/>
      <w:marRight w:val="0"/>
      <w:marTop w:val="0"/>
      <w:marBottom w:val="0"/>
      <w:divBdr>
        <w:top w:val="none" w:sz="0" w:space="0" w:color="auto"/>
        <w:left w:val="none" w:sz="0" w:space="0" w:color="auto"/>
        <w:bottom w:val="none" w:sz="0" w:space="0" w:color="auto"/>
        <w:right w:val="none" w:sz="0" w:space="0" w:color="auto"/>
      </w:divBdr>
    </w:div>
    <w:div w:id="610236657">
      <w:bodyDiv w:val="1"/>
      <w:marLeft w:val="0"/>
      <w:marRight w:val="0"/>
      <w:marTop w:val="0"/>
      <w:marBottom w:val="0"/>
      <w:divBdr>
        <w:top w:val="none" w:sz="0" w:space="0" w:color="auto"/>
        <w:left w:val="none" w:sz="0" w:space="0" w:color="auto"/>
        <w:bottom w:val="none" w:sz="0" w:space="0" w:color="auto"/>
        <w:right w:val="none" w:sz="0" w:space="0" w:color="auto"/>
      </w:divBdr>
    </w:div>
    <w:div w:id="1239246056">
      <w:bodyDiv w:val="1"/>
      <w:marLeft w:val="0"/>
      <w:marRight w:val="0"/>
      <w:marTop w:val="0"/>
      <w:marBottom w:val="0"/>
      <w:divBdr>
        <w:top w:val="none" w:sz="0" w:space="0" w:color="auto"/>
        <w:left w:val="none" w:sz="0" w:space="0" w:color="auto"/>
        <w:bottom w:val="none" w:sz="0" w:space="0" w:color="auto"/>
        <w:right w:val="none" w:sz="0" w:space="0" w:color="auto"/>
      </w:divBdr>
      <w:divsChild>
        <w:div w:id="561334726">
          <w:marLeft w:val="0"/>
          <w:marRight w:val="0"/>
          <w:marTop w:val="0"/>
          <w:marBottom w:val="0"/>
          <w:divBdr>
            <w:top w:val="none" w:sz="0" w:space="0" w:color="auto"/>
            <w:left w:val="none" w:sz="0" w:space="0" w:color="auto"/>
            <w:bottom w:val="none" w:sz="0" w:space="0" w:color="auto"/>
            <w:right w:val="none" w:sz="0" w:space="0" w:color="auto"/>
          </w:divBdr>
          <w:divsChild>
            <w:div w:id="1248658616">
              <w:marLeft w:val="0"/>
              <w:marRight w:val="0"/>
              <w:marTop w:val="0"/>
              <w:marBottom w:val="0"/>
              <w:divBdr>
                <w:top w:val="none" w:sz="0" w:space="0" w:color="auto"/>
                <w:left w:val="none" w:sz="0" w:space="0" w:color="auto"/>
                <w:bottom w:val="none" w:sz="0" w:space="0" w:color="auto"/>
                <w:right w:val="none" w:sz="0" w:space="0" w:color="auto"/>
              </w:divBdr>
              <w:divsChild>
                <w:div w:id="4052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28807">
      <w:bodyDiv w:val="1"/>
      <w:marLeft w:val="0"/>
      <w:marRight w:val="0"/>
      <w:marTop w:val="0"/>
      <w:marBottom w:val="0"/>
      <w:divBdr>
        <w:top w:val="none" w:sz="0" w:space="0" w:color="auto"/>
        <w:left w:val="none" w:sz="0" w:space="0" w:color="auto"/>
        <w:bottom w:val="none" w:sz="0" w:space="0" w:color="auto"/>
        <w:right w:val="none" w:sz="0" w:space="0" w:color="auto"/>
      </w:divBdr>
    </w:div>
    <w:div w:id="1715154531">
      <w:bodyDiv w:val="1"/>
      <w:marLeft w:val="0"/>
      <w:marRight w:val="0"/>
      <w:marTop w:val="0"/>
      <w:marBottom w:val="0"/>
      <w:divBdr>
        <w:top w:val="none" w:sz="0" w:space="0" w:color="auto"/>
        <w:left w:val="none" w:sz="0" w:space="0" w:color="auto"/>
        <w:bottom w:val="none" w:sz="0" w:space="0" w:color="auto"/>
        <w:right w:val="none" w:sz="0" w:space="0" w:color="auto"/>
      </w:divBdr>
    </w:div>
    <w:div w:id="1804418052">
      <w:bodyDiv w:val="1"/>
      <w:marLeft w:val="0"/>
      <w:marRight w:val="0"/>
      <w:marTop w:val="0"/>
      <w:marBottom w:val="0"/>
      <w:divBdr>
        <w:top w:val="none" w:sz="0" w:space="0" w:color="auto"/>
        <w:left w:val="none" w:sz="0" w:space="0" w:color="auto"/>
        <w:bottom w:val="none" w:sz="0" w:space="0" w:color="auto"/>
        <w:right w:val="none" w:sz="0" w:space="0" w:color="auto"/>
      </w:divBdr>
    </w:div>
    <w:div w:id="1926568745">
      <w:bodyDiv w:val="1"/>
      <w:marLeft w:val="0"/>
      <w:marRight w:val="0"/>
      <w:marTop w:val="0"/>
      <w:marBottom w:val="0"/>
      <w:divBdr>
        <w:top w:val="none" w:sz="0" w:space="0" w:color="auto"/>
        <w:left w:val="none" w:sz="0" w:space="0" w:color="auto"/>
        <w:bottom w:val="none" w:sz="0" w:space="0" w:color="auto"/>
        <w:right w:val="none" w:sz="0" w:space="0" w:color="auto"/>
      </w:divBdr>
    </w:div>
    <w:div w:id="1929580099">
      <w:bodyDiv w:val="1"/>
      <w:marLeft w:val="0"/>
      <w:marRight w:val="0"/>
      <w:marTop w:val="0"/>
      <w:marBottom w:val="0"/>
      <w:divBdr>
        <w:top w:val="none" w:sz="0" w:space="0" w:color="auto"/>
        <w:left w:val="none" w:sz="0" w:space="0" w:color="auto"/>
        <w:bottom w:val="none" w:sz="0" w:space="0" w:color="auto"/>
        <w:right w:val="none" w:sz="0" w:space="0" w:color="auto"/>
      </w:divBdr>
    </w:div>
    <w:div w:id="210957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m.gov.lv/lv/jaunums/sabiedriska-apspriede-grozijumiem-ministru-kabineta-2011gada-17maija-noteikumos-nr-378-zalu-reklamesanas-kartiba-un-kartiba-kada-zalu-razotajs-vai-importetajs-ir-tiesigs-nodot-arstiem-bezmaksas-zalu-paraugu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Kalnina@v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ese.Kaupere@vm.gov.lv" TargetMode="External"/><Relationship Id="rId4" Type="http://schemas.openxmlformats.org/officeDocument/2006/relationships/settings" Target="settings.xml"/><Relationship Id="rId9" Type="http://schemas.openxmlformats.org/officeDocument/2006/relationships/hyperlink" Target="https://www.mk.gov.lv/lv/ministru-kabineta-diskusiju-dokument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A113A-3571-45C7-820F-27CFAD04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2094</TotalTime>
  <Pages>6</Pages>
  <Words>9935</Words>
  <Characters>5663</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Grīgs</dc:creator>
  <dc:description>Grīgs,  67876116_x000d_
Arturs.Grigs@vm.gov.lv</dc:description>
  <cp:lastModifiedBy>Kristīne Kalniņa</cp:lastModifiedBy>
  <cp:revision>63</cp:revision>
  <cp:lastPrinted>2018-06-11T13:17:00Z</cp:lastPrinted>
  <dcterms:created xsi:type="dcterms:W3CDTF">2020-10-19T14:13:00Z</dcterms:created>
  <dcterms:modified xsi:type="dcterms:W3CDTF">2021-02-23T14:25:00Z</dcterms:modified>
</cp:coreProperties>
</file>