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123CE53E"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864909">
        <w:rPr>
          <w:rFonts w:ascii="Times New Roman" w:eastAsia="Times New Roman" w:hAnsi="Times New Roman" w:cs="Times New Roman"/>
          <w:b/>
          <w:sz w:val="28"/>
          <w:szCs w:val="28"/>
          <w:lang w:eastAsia="lv-LV"/>
        </w:rPr>
        <w:t>s</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58625BE0" w:rsidR="009A5509" w:rsidRPr="009958BD" w:rsidRDefault="0079208C" w:rsidP="00F54C5E">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bookmarkEnd w:id="0"/>
            <w:r w:rsidR="00EC5CDD" w:rsidRPr="00783BE4">
              <w:rPr>
                <w:rFonts w:ascii="Times New Roman" w:eastAsia="Times New Roman" w:hAnsi="Times New Roman" w:cs="Times New Roman"/>
                <w:bCs/>
                <w:iCs/>
                <w:sz w:val="24"/>
                <w:szCs w:val="24"/>
                <w:lang w:eastAsia="lv-LV"/>
              </w:rPr>
              <w:t>Ministru kabineta rīkojuma projekta “Grozījum</w:t>
            </w:r>
            <w:r w:rsidR="00864909">
              <w:rPr>
                <w:rFonts w:ascii="Times New Roman" w:eastAsia="Times New Roman" w:hAnsi="Times New Roman" w:cs="Times New Roman"/>
                <w:bCs/>
                <w:iCs/>
                <w:sz w:val="24"/>
                <w:szCs w:val="24"/>
                <w:lang w:eastAsia="lv-LV"/>
              </w:rPr>
              <w:t>s</w:t>
            </w:r>
            <w:r w:rsidR="00EC5CDD" w:rsidRPr="00783BE4">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(turpmāk – </w:t>
            </w:r>
            <w:r w:rsidR="00EC5CDD" w:rsidRPr="00783BE4">
              <w:rPr>
                <w:rFonts w:ascii="Times New Roman" w:eastAsia="Times New Roman" w:hAnsi="Times New Roman" w:cs="Times New Roman"/>
                <w:iCs/>
                <w:sz w:val="24"/>
                <w:szCs w:val="24"/>
                <w:lang w:eastAsia="lv-LV"/>
              </w:rPr>
              <w:t>projekts) mērķis ir</w:t>
            </w:r>
            <w:r w:rsidR="00EC5CDD">
              <w:rPr>
                <w:rFonts w:ascii="Times New Roman" w:eastAsia="Times New Roman" w:hAnsi="Times New Roman" w:cs="Times New Roman"/>
                <w:iCs/>
                <w:sz w:val="24"/>
                <w:szCs w:val="24"/>
                <w:lang w:eastAsia="lv-LV"/>
              </w:rPr>
              <w:t xml:space="preserve"> </w:t>
            </w:r>
            <w:r w:rsidR="00D70ECF">
              <w:rPr>
                <w:rFonts w:ascii="Times New Roman" w:eastAsia="Times New Roman" w:hAnsi="Times New Roman"/>
                <w:sz w:val="24"/>
                <w:szCs w:val="24"/>
                <w:lang w:eastAsia="lv-LV"/>
              </w:rPr>
              <w:t xml:space="preserve">pagarināt </w:t>
            </w:r>
            <w:r w:rsidR="00994C40">
              <w:rPr>
                <w:rFonts w:ascii="Times New Roman" w:eastAsia="Times New Roman" w:hAnsi="Times New Roman"/>
                <w:sz w:val="24"/>
                <w:szCs w:val="24"/>
                <w:lang w:eastAsia="lv-LV"/>
              </w:rPr>
              <w:t>aizliegumu iebraukt Latvijā nebūtisku iemeslu dēļ</w:t>
            </w:r>
            <w:r w:rsidR="00001950">
              <w:rPr>
                <w:rFonts w:ascii="Times New Roman" w:eastAsia="Times New Roman" w:hAnsi="Times New Roman" w:cs="Times New Roman"/>
                <w:color w:val="000000"/>
                <w:sz w:val="24"/>
                <w:szCs w:val="24"/>
                <w:bdr w:val="none" w:sz="0" w:space="0" w:color="auto" w:frame="1"/>
                <w:lang w:eastAsia="lv-LV"/>
              </w:rPr>
              <w:t>.</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946"/>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904"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FB3731">
        <w:trPr>
          <w:trHeight w:val="3257"/>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4D027E3C" w14:textId="6157D01F" w:rsidR="005B5F81" w:rsidRPr="00FB3731" w:rsidRDefault="005B5F81" w:rsidP="00FB373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904" w:type="dxa"/>
            <w:tcBorders>
              <w:top w:val="outset" w:sz="6" w:space="0" w:color="auto"/>
              <w:left w:val="outset" w:sz="6" w:space="0" w:color="auto"/>
              <w:bottom w:val="outset" w:sz="6" w:space="0" w:color="auto"/>
              <w:right w:val="outset" w:sz="6" w:space="0" w:color="auto"/>
            </w:tcBorders>
          </w:tcPr>
          <w:p w14:paraId="708B5D79" w14:textId="154D5F4C" w:rsidR="009A1518" w:rsidRPr="00FB3731" w:rsidRDefault="00FB3731" w:rsidP="009A1518">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FB3731">
              <w:rPr>
                <w:rFonts w:ascii="Times New Roman" w:eastAsia="Times New Roman" w:hAnsi="Times New Roman" w:cs="Times New Roman"/>
                <w:color w:val="000000"/>
                <w:sz w:val="24"/>
                <w:szCs w:val="24"/>
                <w:lang w:eastAsia="lv-LV"/>
              </w:rPr>
              <w:t>Ņemot vērā to, ka Latvijā joprojām saglabājas ļoti augsts Covid-19 izplatības risks un ES valstīs ir plaši izplatīts jaunai</w:t>
            </w:r>
            <w:r w:rsidR="00864909">
              <w:rPr>
                <w:rFonts w:ascii="Times New Roman" w:eastAsia="Times New Roman" w:hAnsi="Times New Roman" w:cs="Times New Roman"/>
                <w:color w:val="000000"/>
                <w:sz w:val="24"/>
                <w:szCs w:val="24"/>
                <w:lang w:eastAsia="lv-LV"/>
              </w:rPr>
              <w:t>s</w:t>
            </w:r>
            <w:r w:rsidRPr="00FB3731">
              <w:rPr>
                <w:rFonts w:ascii="Times New Roman" w:eastAsia="Times New Roman" w:hAnsi="Times New Roman" w:cs="Times New Roman"/>
                <w:color w:val="000000"/>
                <w:sz w:val="24"/>
                <w:szCs w:val="24"/>
                <w:lang w:eastAsia="lv-LV"/>
              </w:rPr>
              <w:t xml:space="preserve"> SARS-CoV-2 paveids, ka</w:t>
            </w:r>
            <w:r w:rsidR="00864909">
              <w:rPr>
                <w:rFonts w:ascii="Times New Roman" w:eastAsia="Times New Roman" w:hAnsi="Times New Roman" w:cs="Times New Roman"/>
                <w:color w:val="000000"/>
                <w:sz w:val="24"/>
                <w:szCs w:val="24"/>
                <w:lang w:eastAsia="lv-LV"/>
              </w:rPr>
              <w:t>s</w:t>
            </w:r>
            <w:r w:rsidRPr="00FB3731">
              <w:rPr>
                <w:rFonts w:ascii="Times New Roman" w:eastAsia="Times New Roman" w:hAnsi="Times New Roman" w:cs="Times New Roman"/>
                <w:color w:val="000000"/>
                <w:sz w:val="24"/>
                <w:szCs w:val="24"/>
                <w:lang w:eastAsia="lv-LV"/>
              </w:rPr>
              <w:t xml:space="preserve"> ir 30 reizes infekciozāks par šobrīd izplatīto Covid-19 paveidu</w:t>
            </w:r>
            <w:r w:rsidR="00864909">
              <w:rPr>
                <w:rFonts w:ascii="Times New Roman" w:eastAsia="Times New Roman" w:hAnsi="Times New Roman" w:cs="Times New Roman"/>
                <w:color w:val="000000"/>
                <w:sz w:val="24"/>
                <w:szCs w:val="24"/>
                <w:lang w:eastAsia="lv-LV"/>
              </w:rPr>
              <w:t>, n</w:t>
            </w:r>
            <w:r w:rsidRPr="00FB3731">
              <w:rPr>
                <w:rFonts w:ascii="Times New Roman" w:eastAsia="Times New Roman" w:hAnsi="Times New Roman" w:cs="Times New Roman"/>
                <w:color w:val="000000"/>
                <w:sz w:val="24"/>
                <w:szCs w:val="24"/>
                <w:lang w:eastAsia="lv-LV"/>
              </w:rPr>
              <w:t>epieciešams maksimāli ierobežot šī jaunā Covid-19 ierosinātāja ievešanu no ārvalstīm. Pēdējās nedēļas laikā ir reģistrēti 8 jaunā Covid-19 paveida gadījumi Latvijā, bet</w:t>
            </w:r>
            <w:r w:rsidR="00864909">
              <w:rPr>
                <w:rFonts w:ascii="Times New Roman" w:eastAsia="Times New Roman" w:hAnsi="Times New Roman" w:cs="Times New Roman"/>
                <w:color w:val="000000"/>
                <w:sz w:val="24"/>
                <w:szCs w:val="24"/>
                <w:lang w:eastAsia="lv-LV"/>
              </w:rPr>
              <w:t>,</w:t>
            </w:r>
            <w:r w:rsidRPr="00FB3731">
              <w:rPr>
                <w:rFonts w:ascii="Times New Roman" w:eastAsia="Times New Roman" w:hAnsi="Times New Roman" w:cs="Times New Roman"/>
                <w:color w:val="000000"/>
                <w:sz w:val="24"/>
                <w:szCs w:val="24"/>
                <w:lang w:eastAsia="lv-LV"/>
              </w:rPr>
              <w:t xml:space="preserve"> pieaugot šo jauno vīrusa paveidu izplatībai</w:t>
            </w:r>
            <w:r w:rsidR="00864909">
              <w:rPr>
                <w:rFonts w:ascii="Times New Roman" w:eastAsia="Times New Roman" w:hAnsi="Times New Roman" w:cs="Times New Roman"/>
                <w:color w:val="000000"/>
                <w:sz w:val="24"/>
                <w:szCs w:val="24"/>
                <w:lang w:eastAsia="lv-LV"/>
              </w:rPr>
              <w:t>,</w:t>
            </w:r>
            <w:r w:rsidRPr="00FB3731">
              <w:rPr>
                <w:rFonts w:ascii="Times New Roman" w:eastAsia="Times New Roman" w:hAnsi="Times New Roman" w:cs="Times New Roman"/>
                <w:color w:val="000000"/>
                <w:sz w:val="24"/>
                <w:szCs w:val="24"/>
                <w:lang w:eastAsia="lv-LV"/>
              </w:rPr>
              <w:t xml:space="preserve"> pastāv iespējamība, ka tuvāko pāris nedēļu laikā stacionēto </w:t>
            </w:r>
            <w:r w:rsidR="00864909">
              <w:rPr>
                <w:rFonts w:ascii="Times New Roman" w:eastAsia="Times New Roman" w:hAnsi="Times New Roman" w:cs="Times New Roman"/>
                <w:color w:val="000000"/>
                <w:sz w:val="24"/>
                <w:szCs w:val="24"/>
                <w:lang w:eastAsia="lv-LV"/>
              </w:rPr>
              <w:t>C</w:t>
            </w:r>
            <w:r w:rsidRPr="00FB3731">
              <w:rPr>
                <w:rFonts w:ascii="Times New Roman" w:eastAsia="Times New Roman" w:hAnsi="Times New Roman" w:cs="Times New Roman"/>
                <w:color w:val="000000"/>
                <w:sz w:val="24"/>
                <w:szCs w:val="24"/>
                <w:lang w:eastAsia="lv-LV"/>
              </w:rPr>
              <w:t>ovid-19 pacientu skaits trīskāršosies</w:t>
            </w:r>
            <w:r w:rsidR="00864909">
              <w:rPr>
                <w:rFonts w:ascii="Times New Roman" w:eastAsia="Times New Roman" w:hAnsi="Times New Roman" w:cs="Times New Roman"/>
                <w:color w:val="000000"/>
                <w:sz w:val="24"/>
                <w:szCs w:val="24"/>
                <w:lang w:eastAsia="lv-LV"/>
              </w:rPr>
              <w:t>. Šobrīd</w:t>
            </w:r>
            <w:r w:rsidRPr="00FB3731">
              <w:rPr>
                <w:rFonts w:ascii="Times New Roman" w:eastAsia="Times New Roman" w:hAnsi="Times New Roman" w:cs="Times New Roman"/>
                <w:color w:val="000000"/>
                <w:sz w:val="24"/>
                <w:szCs w:val="24"/>
                <w:lang w:eastAsia="lv-LV"/>
              </w:rPr>
              <w:t xml:space="preserve"> slimnīcās atrodas vairāk kā 800 Covid-19 pacientu. Ņemto vērā minēto</w:t>
            </w:r>
            <w:r w:rsidR="00864909">
              <w:rPr>
                <w:rFonts w:ascii="Times New Roman" w:eastAsia="Times New Roman" w:hAnsi="Times New Roman" w:cs="Times New Roman"/>
                <w:color w:val="000000"/>
                <w:sz w:val="24"/>
                <w:szCs w:val="24"/>
                <w:lang w:eastAsia="lv-LV"/>
              </w:rPr>
              <w:t>,</w:t>
            </w:r>
            <w:r w:rsidRPr="00FB3731">
              <w:rPr>
                <w:rFonts w:ascii="Times New Roman" w:eastAsia="Times New Roman" w:hAnsi="Times New Roman" w:cs="Times New Roman"/>
                <w:color w:val="000000"/>
                <w:sz w:val="24"/>
                <w:szCs w:val="24"/>
                <w:lang w:eastAsia="lv-LV"/>
              </w:rPr>
              <w:t xml:space="preserve"> ir jāierobežo personu bez būtiska iemesla ieceļošana Latvijā, ko paredz grozījumu projekts.</w:t>
            </w:r>
          </w:p>
        </w:tc>
      </w:tr>
      <w:tr w:rsidR="00783BE4" w:rsidRPr="00783BE4" w14:paraId="2957C4E1"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346"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904" w:type="dxa"/>
            <w:tcBorders>
              <w:top w:val="outset" w:sz="6" w:space="0" w:color="auto"/>
              <w:left w:val="outset" w:sz="6" w:space="0" w:color="auto"/>
              <w:bottom w:val="outset" w:sz="6" w:space="0" w:color="auto"/>
              <w:right w:val="outset" w:sz="6" w:space="0" w:color="auto"/>
            </w:tcBorders>
            <w:hideMark/>
          </w:tcPr>
          <w:p w14:paraId="3C371CC7" w14:textId="608E5F4E" w:rsidR="005B5F81" w:rsidRPr="00783BE4" w:rsidRDefault="000E266D" w:rsidP="007F499B">
            <w:pPr>
              <w:pStyle w:val="NormalWeb"/>
              <w:spacing w:before="0" w:after="0"/>
              <w:jc w:val="both"/>
              <w:rPr>
                <w:iCs/>
              </w:rPr>
            </w:pPr>
            <w:r w:rsidRPr="00783BE4">
              <w:rPr>
                <w:noProof/>
              </w:rPr>
              <w:t xml:space="preserve">Veselības ministrija, </w:t>
            </w:r>
            <w:r w:rsidR="00EF1D8C" w:rsidRPr="00634BD1">
              <w:rPr>
                <w:noProof/>
              </w:rPr>
              <w:t>Krīzes vadības koordinācijas grupa Covid-19 izplatības ierobežošanai.</w:t>
            </w:r>
          </w:p>
        </w:tc>
      </w:tr>
      <w:tr w:rsidR="00783BE4" w:rsidRPr="00783BE4" w14:paraId="56C93A9F"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904"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Sabiedrības mērķgrupas, kuras </w:t>
            </w:r>
            <w:r w:rsidRPr="00783BE4">
              <w:rPr>
                <w:rFonts w:ascii="Times New Roman" w:eastAsia="Times New Roman" w:hAnsi="Times New Roman" w:cs="Times New Roman"/>
                <w:iCs/>
                <w:sz w:val="24"/>
                <w:szCs w:val="24"/>
                <w:lang w:eastAsia="lv-LV"/>
              </w:rPr>
              <w:lastRenderedPageBreak/>
              <w:t>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D3DAC70" w14:textId="6D897D60" w:rsidR="00EC5CDD" w:rsidRPr="00783BE4" w:rsidRDefault="00EC5CDD" w:rsidP="00EC5CDD">
            <w:pPr>
              <w:pStyle w:val="NormalWeb"/>
              <w:spacing w:before="0" w:after="0"/>
              <w:jc w:val="both"/>
              <w:rPr>
                <w:iCs/>
                <w:noProof/>
              </w:rPr>
            </w:pPr>
            <w:r w:rsidRPr="00783BE4">
              <w:rPr>
                <w:noProof/>
              </w:rPr>
              <w:lastRenderedPageBreak/>
              <w:t xml:space="preserve">Projekta tiesiskais regulējums attiecas uz visu sabiedrību kopumā, ieceļotājiem, </w:t>
            </w:r>
            <w:r w:rsidRPr="00783BE4">
              <w:rPr>
                <w:bCs/>
              </w:rPr>
              <w:t>uz</w:t>
            </w:r>
            <w:r w:rsidRPr="00783BE4">
              <w:rPr>
                <w:noProof/>
              </w:rPr>
              <w:t xml:space="preserve"> visiem </w:t>
            </w:r>
            <w:r w:rsidRPr="00783BE4">
              <w:rPr>
                <w:iCs/>
                <w:noProof/>
              </w:rPr>
              <w:t xml:space="preserve">subjektiem (fiziskām un </w:t>
            </w:r>
            <w:r w:rsidRPr="00783BE4">
              <w:rPr>
                <w:iCs/>
                <w:noProof/>
              </w:rPr>
              <w:lastRenderedPageBreak/>
              <w:t>juridiskām personām), kuriem ir saistoša epidemioloģiskās drošības prasību ievērošana</w:t>
            </w:r>
            <w:r w:rsidR="00CB0538">
              <w:rPr>
                <w:iCs/>
                <w:noProof/>
              </w:rPr>
              <w:t>.</w:t>
            </w:r>
          </w:p>
          <w:p w14:paraId="2D2ACD47" w14:textId="77777777" w:rsidR="00A07928" w:rsidRPr="00783BE4" w:rsidRDefault="00A07928" w:rsidP="00706FD4">
            <w:pPr>
              <w:pStyle w:val="NormalWeb"/>
              <w:spacing w:before="0" w:after="0"/>
              <w:jc w:val="both"/>
              <w:rPr>
                <w:noProof/>
              </w:rPr>
            </w:pPr>
          </w:p>
        </w:tc>
      </w:tr>
      <w:tr w:rsidR="00EC5CDD" w:rsidRPr="00783BE4" w14:paraId="3789C25C"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14980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2.</w:t>
            </w:r>
          </w:p>
        </w:tc>
        <w:tc>
          <w:tcPr>
            <w:tcW w:w="1310" w:type="pct"/>
            <w:tcBorders>
              <w:top w:val="outset" w:sz="6" w:space="0" w:color="auto"/>
              <w:left w:val="outset" w:sz="6" w:space="0" w:color="auto"/>
              <w:bottom w:val="outset" w:sz="6" w:space="0" w:color="auto"/>
              <w:right w:val="outset" w:sz="6" w:space="0" w:color="auto"/>
            </w:tcBorders>
            <w:hideMark/>
          </w:tcPr>
          <w:p w14:paraId="2BE1B4D1"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783BE4" w:rsidRDefault="00EC5CDD" w:rsidP="00EC5CDD">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A39694E" w14:textId="7772FDCE"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tc>
      </w:tr>
      <w:tr w:rsidR="00EC5CDD" w:rsidRPr="00783BE4" w14:paraId="322ECBE6"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AF201E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310" w:type="pct"/>
            <w:tcBorders>
              <w:top w:val="outset" w:sz="6" w:space="0" w:color="auto"/>
              <w:left w:val="outset" w:sz="6" w:space="0" w:color="auto"/>
              <w:bottom w:val="outset" w:sz="6" w:space="0" w:color="auto"/>
              <w:right w:val="outset" w:sz="6" w:space="0" w:color="auto"/>
            </w:tcBorders>
            <w:hideMark/>
          </w:tcPr>
          <w:p w14:paraId="7140343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7200363"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EC5CDD" w:rsidRPr="00783BE4" w14:paraId="3DFAB3F8"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85115B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69BADB2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0775B69"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EC5CDD" w:rsidRPr="00783BE4" w14:paraId="7D7EA63A"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5D70F5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3674DC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C49FD13"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val="en-US" w:eastAsia="lv-LV"/>
              </w:rPr>
            </w:pPr>
            <w:r w:rsidRPr="00783BE4">
              <w:rPr>
                <w:rFonts w:ascii="Times New Roman" w:eastAsia="Times New Roman" w:hAnsi="Times New Roman" w:cs="Times New Roman"/>
                <w:bCs/>
                <w:iCs/>
                <w:sz w:val="24"/>
                <w:szCs w:val="24"/>
                <w:lang w:val="en-US" w:eastAsia="lv-LV"/>
              </w:rPr>
              <w:t>Projekts šo jomu neskar</w:t>
            </w:r>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1872"/>
        <w:gridCol w:w="6653"/>
      </w:tblGrid>
      <w:tr w:rsidR="00783BE4" w:rsidRPr="00783BE4"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783BE4" w14:paraId="2445E28B"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017" w:type="pct"/>
            <w:tcBorders>
              <w:top w:val="outset" w:sz="6" w:space="0" w:color="auto"/>
              <w:left w:val="outset" w:sz="6" w:space="0" w:color="auto"/>
              <w:bottom w:val="outset" w:sz="6" w:space="0" w:color="auto"/>
              <w:right w:val="outset" w:sz="6" w:space="0" w:color="auto"/>
            </w:tcBorders>
            <w:hideMark/>
          </w:tcPr>
          <w:p w14:paraId="285B150A"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Saistītie tiesību aktu projekti</w:t>
            </w:r>
          </w:p>
        </w:tc>
        <w:tc>
          <w:tcPr>
            <w:tcW w:w="3649" w:type="pct"/>
            <w:tcBorders>
              <w:top w:val="outset" w:sz="6" w:space="0" w:color="auto"/>
              <w:left w:val="outset" w:sz="6" w:space="0" w:color="auto"/>
              <w:bottom w:val="outset" w:sz="6" w:space="0" w:color="auto"/>
              <w:right w:val="outset" w:sz="6" w:space="0" w:color="auto"/>
            </w:tcBorders>
            <w:hideMark/>
          </w:tcPr>
          <w:p w14:paraId="4942D72E" w14:textId="40482DB9" w:rsidR="005B5F81" w:rsidRPr="00783BE4" w:rsidRDefault="00BF1274"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r w:rsidR="00864909">
              <w:rPr>
                <w:rFonts w:ascii="Times New Roman" w:hAnsi="Times New Roman" w:cs="Times New Roman"/>
                <w:sz w:val="24"/>
                <w:szCs w:val="24"/>
              </w:rPr>
              <w:t>.</w:t>
            </w:r>
          </w:p>
        </w:tc>
      </w:tr>
      <w:tr w:rsidR="00783BE4" w:rsidRPr="00783BE4" w14:paraId="23679A18"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2.</w:t>
            </w:r>
          </w:p>
        </w:tc>
        <w:tc>
          <w:tcPr>
            <w:tcW w:w="1017" w:type="pct"/>
            <w:tcBorders>
              <w:top w:val="outset" w:sz="6" w:space="0" w:color="auto"/>
              <w:left w:val="outset" w:sz="6" w:space="0" w:color="auto"/>
              <w:bottom w:val="outset" w:sz="6" w:space="0" w:color="auto"/>
              <w:right w:val="outset" w:sz="6" w:space="0" w:color="auto"/>
            </w:tcBorders>
            <w:hideMark/>
          </w:tcPr>
          <w:p w14:paraId="247E1876"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Atbildīgā institūcija</w:t>
            </w:r>
          </w:p>
        </w:tc>
        <w:tc>
          <w:tcPr>
            <w:tcW w:w="3649" w:type="pct"/>
            <w:tcBorders>
              <w:top w:val="outset" w:sz="6" w:space="0" w:color="auto"/>
              <w:left w:val="outset" w:sz="6" w:space="0" w:color="auto"/>
              <w:bottom w:val="outset" w:sz="6" w:space="0" w:color="auto"/>
              <w:right w:val="outset" w:sz="6" w:space="0" w:color="auto"/>
            </w:tcBorders>
            <w:hideMark/>
          </w:tcPr>
          <w:p w14:paraId="147D3BB0" w14:textId="214FDD38" w:rsidR="005B5F81" w:rsidRPr="00783BE4" w:rsidRDefault="00FB3731" w:rsidP="007F499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Ārlietu ministrija, Iekšlietu ministrija</w:t>
            </w:r>
          </w:p>
        </w:tc>
      </w:tr>
      <w:tr w:rsidR="005B5F81" w:rsidRPr="00783BE4" w14:paraId="4E1845D7"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3.</w:t>
            </w:r>
          </w:p>
        </w:tc>
        <w:tc>
          <w:tcPr>
            <w:tcW w:w="1017" w:type="pct"/>
            <w:tcBorders>
              <w:top w:val="outset" w:sz="6" w:space="0" w:color="auto"/>
              <w:left w:val="outset" w:sz="6" w:space="0" w:color="auto"/>
              <w:bottom w:val="outset" w:sz="6" w:space="0" w:color="auto"/>
              <w:right w:val="outset" w:sz="6" w:space="0" w:color="auto"/>
            </w:tcBorders>
            <w:hideMark/>
          </w:tcPr>
          <w:p w14:paraId="0B62E98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CA697BE" w14:textId="438FDEBE" w:rsidR="005B5F81" w:rsidRPr="00783BE4" w:rsidRDefault="00FB3731" w:rsidP="006C16A1">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143C1FA7" w14:textId="77777777" w:rsidR="005B5F81" w:rsidRPr="006C16A1" w:rsidRDefault="005B5F81" w:rsidP="005B5F81">
      <w:pPr>
        <w:spacing w:after="0" w:line="240" w:lineRule="auto"/>
        <w:rPr>
          <w:rFonts w:ascii="Times New Roman" w:eastAsia="Times New Roman" w:hAnsi="Times New Roman" w:cs="Times New Roman"/>
          <w:iCs/>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6C16A1" w:rsidRDefault="005B5F81" w:rsidP="005B5F81">
      <w:pPr>
        <w:spacing w:after="0" w:line="240" w:lineRule="auto"/>
        <w:rPr>
          <w:rFonts w:ascii="Times New Roman" w:eastAsia="Times New Roman" w:hAnsi="Times New Roman" w:cs="Times New Roman"/>
          <w:iCs/>
          <w:lang w:eastAsia="lv-LV"/>
        </w:rPr>
      </w:pPr>
      <w:r w:rsidRPr="006C16A1">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264"/>
        <w:gridCol w:w="5377"/>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3234"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F5609D3" w14:textId="66F87131" w:rsidR="005B5F81" w:rsidRPr="00783BE4" w:rsidRDefault="00EC5CDD"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783BE4" w:rsidRPr="00783BE4" w14:paraId="1760FF0F"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3234"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3234"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3234" w:type="dxa"/>
            <w:tcBorders>
              <w:top w:val="outset" w:sz="6" w:space="0" w:color="auto"/>
              <w:left w:val="outset" w:sz="6" w:space="0" w:color="auto"/>
              <w:bottom w:val="outset" w:sz="6" w:space="0" w:color="auto"/>
              <w:right w:val="outset" w:sz="6" w:space="0" w:color="auto"/>
            </w:tcBorders>
            <w:hideMark/>
          </w:tcPr>
          <w:p w14:paraId="18EA7D02"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1.</w:t>
            </w:r>
          </w:p>
        </w:tc>
        <w:tc>
          <w:tcPr>
            <w:tcW w:w="1709"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32A43223" w14:textId="50EBAE4A" w:rsidR="005B5F81" w:rsidRPr="00FB3731" w:rsidRDefault="00FB3731" w:rsidP="007F499B">
            <w:pPr>
              <w:spacing w:after="0" w:line="240" w:lineRule="auto"/>
              <w:jc w:val="both"/>
              <w:rPr>
                <w:rFonts w:ascii="Times New Roman" w:eastAsia="Times New Roman" w:hAnsi="Times New Roman" w:cs="Times New Roman"/>
                <w:iCs/>
                <w:sz w:val="24"/>
                <w:szCs w:val="24"/>
                <w:lang w:eastAsia="lv-LV"/>
              </w:rPr>
            </w:pPr>
            <w:r w:rsidRPr="00FB3731">
              <w:rPr>
                <w:rFonts w:ascii="Times New Roman" w:hAnsi="Times New Roman" w:cs="Times New Roman"/>
                <w:noProof/>
                <w:sz w:val="24"/>
                <w:szCs w:val="24"/>
              </w:rPr>
              <w:t>Krīzes vadības koordinācijas grupa Covid-19 izplatības ierobežošanai.</w:t>
            </w:r>
          </w:p>
        </w:tc>
      </w:tr>
      <w:tr w:rsidR="00783BE4" w:rsidRPr="00783BE4" w14:paraId="7F42ABD8"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hideMark/>
          </w:tcPr>
          <w:p w14:paraId="5B325584" w14:textId="70D268A6"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783BE4" w14:paraId="5AA866BA"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6C16A1" w:rsidRDefault="005B5F81" w:rsidP="005B5F81">
      <w:pPr>
        <w:pStyle w:val="NoSpacing"/>
        <w:rPr>
          <w:rFonts w:ascii="Times New Roman" w:hAnsi="Times New Roman" w:cs="Times New Roman"/>
        </w:rPr>
      </w:pPr>
    </w:p>
    <w:p w14:paraId="696E42BC" w14:textId="77777777" w:rsidR="005B5F81" w:rsidRPr="006C16A1" w:rsidRDefault="005B5F81" w:rsidP="005B5F81">
      <w:pPr>
        <w:pStyle w:val="NoSpacing"/>
        <w:rPr>
          <w:rFonts w:ascii="Times New Roman" w:hAnsi="Times New Roman" w:cs="Times New Roman"/>
        </w:rPr>
      </w:pPr>
    </w:p>
    <w:p w14:paraId="46031604" w14:textId="1F72643B"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w:t>
      </w:r>
      <w:r w:rsidR="00DE78F8">
        <w:rPr>
          <w:rFonts w:ascii="Times New Roman" w:hAnsi="Times New Roman" w:cs="Times New Roman"/>
          <w:bCs/>
          <w:sz w:val="28"/>
          <w:szCs w:val="28"/>
        </w:rPr>
        <w:t>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w:t>
      </w:r>
      <w:r w:rsidR="00DE78F8">
        <w:rPr>
          <w:rFonts w:ascii="Times New Roman" w:hAnsi="Times New Roman" w:cs="Times New Roman"/>
          <w:bCs/>
          <w:sz w:val="28"/>
          <w:szCs w:val="28"/>
        </w:rPr>
        <w:t xml:space="preserve">          D</w:t>
      </w:r>
      <w:r w:rsidRPr="00783BE4">
        <w:rPr>
          <w:rFonts w:ascii="Times New Roman" w:hAnsi="Times New Roman" w:cs="Times New Roman"/>
          <w:bCs/>
          <w:sz w:val="28"/>
          <w:szCs w:val="28"/>
        </w:rPr>
        <w:t xml:space="preserve">. </w:t>
      </w:r>
      <w:r w:rsidR="00DE78F8">
        <w:rPr>
          <w:rFonts w:ascii="Times New Roman" w:hAnsi="Times New Roman" w:cs="Times New Roman"/>
          <w:bCs/>
          <w:sz w:val="28"/>
          <w:szCs w:val="28"/>
        </w:rPr>
        <w:t>Pavļuts</w:t>
      </w:r>
    </w:p>
    <w:p w14:paraId="16B7476E" w14:textId="3C64B8BE" w:rsidR="00A07928" w:rsidRPr="006C16A1" w:rsidRDefault="00A07928" w:rsidP="00A07928">
      <w:pPr>
        <w:spacing w:after="0" w:line="240" w:lineRule="auto"/>
        <w:ind w:right="13"/>
        <w:jc w:val="both"/>
        <w:rPr>
          <w:rFonts w:ascii="Times New Roman" w:hAnsi="Times New Roman" w:cs="Times New Roman"/>
          <w:bCs/>
          <w:sz w:val="24"/>
          <w:szCs w:val="24"/>
        </w:rPr>
      </w:pPr>
    </w:p>
    <w:p w14:paraId="7F102D42" w14:textId="77777777" w:rsidR="006C16A1" w:rsidRPr="006C16A1" w:rsidRDefault="006C16A1" w:rsidP="00A07928">
      <w:pPr>
        <w:spacing w:after="0" w:line="240" w:lineRule="auto"/>
        <w:ind w:right="13"/>
        <w:jc w:val="both"/>
        <w:rPr>
          <w:rFonts w:ascii="Times New Roman" w:hAnsi="Times New Roman" w:cs="Times New Roman"/>
          <w:bCs/>
          <w:sz w:val="24"/>
          <w:szCs w:val="24"/>
        </w:rPr>
      </w:pPr>
    </w:p>
    <w:p w14:paraId="098F65B9" w14:textId="78F569C5" w:rsidR="00EC5CDD" w:rsidRPr="00CB0538" w:rsidRDefault="00A07928" w:rsidP="00CB053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Mūrmane-Umbrašk</w:t>
      </w:r>
      <w:r w:rsidR="002E05C7">
        <w:rPr>
          <w:rFonts w:ascii="Times New Roman" w:hAnsi="Times New Roman" w:cs="Times New Roman"/>
          <w:bCs/>
          <w:sz w:val="28"/>
          <w:szCs w:val="28"/>
        </w:rPr>
        <w:t>o</w:t>
      </w:r>
    </w:p>
    <w:sectPr w:rsidR="00EC5CDD" w:rsidRPr="00CB0538" w:rsidSect="00C13A99">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AEF7" w14:textId="77777777" w:rsidR="00864909" w:rsidRDefault="0086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BCB" w14:textId="3ECEF891"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864909">
      <w:rPr>
        <w:rFonts w:ascii="Times New Roman" w:hAnsi="Times New Roman" w:cs="Times New Roman"/>
        <w:sz w:val="20"/>
        <w:szCs w:val="20"/>
      </w:rPr>
      <w:t>24</w:t>
    </w:r>
    <w:r w:rsidR="00EC188D">
      <w:rPr>
        <w:rFonts w:ascii="Times New Roman" w:hAnsi="Times New Roman" w:cs="Times New Roman"/>
        <w:sz w:val="20"/>
        <w:szCs w:val="20"/>
      </w:rPr>
      <w:t>02</w:t>
    </w:r>
    <w:r w:rsidR="00706FD4">
      <w:rPr>
        <w:rFonts w:ascii="Times New Roman" w:hAnsi="Times New Roman" w:cs="Times New Roman"/>
        <w:sz w:val="20"/>
        <w:szCs w:val="20"/>
      </w:rPr>
      <w:t>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B30C" w14:textId="702E8192"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VManot_</w:t>
    </w:r>
    <w:r w:rsidR="00864909">
      <w:rPr>
        <w:rFonts w:ascii="Times New Roman" w:hAnsi="Times New Roman" w:cs="Times New Roman"/>
        <w:sz w:val="20"/>
        <w:szCs w:val="20"/>
      </w:rPr>
      <w:t>240</w:t>
    </w:r>
    <w:r w:rsidR="00B91BE8">
      <w:rPr>
        <w:rFonts w:ascii="Times New Roman" w:hAnsi="Times New Roman" w:cs="Times New Roman"/>
        <w:sz w:val="20"/>
        <w:szCs w:val="20"/>
      </w:rPr>
      <w:t>2</w:t>
    </w:r>
    <w:r w:rsidR="00706FD4">
      <w:rPr>
        <w:rFonts w:ascii="Times New Roman" w:hAnsi="Times New Roman" w:cs="Times New Roman"/>
        <w:sz w:val="20"/>
        <w:szCs w:val="20"/>
      </w:rPr>
      <w:t>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2112" w14:textId="77777777" w:rsidR="00864909" w:rsidRDefault="00864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9D01" w14:textId="77777777" w:rsidR="00864909" w:rsidRDefault="0086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3"/>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2"/>
  </w:num>
  <w:num w:numId="20">
    <w:abstractNumId w:val="3"/>
  </w:num>
  <w:num w:numId="21">
    <w:abstractNumId w:val="25"/>
  </w:num>
  <w:num w:numId="22">
    <w:abstractNumId w:val="38"/>
  </w:num>
  <w:num w:numId="23">
    <w:abstractNumId w:val="12"/>
  </w:num>
  <w:num w:numId="24">
    <w:abstractNumId w:val="35"/>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7"/>
  </w:num>
  <w:num w:numId="36">
    <w:abstractNumId w:val="30"/>
  </w:num>
  <w:num w:numId="37">
    <w:abstractNumId w:val="21"/>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1950"/>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0FE1"/>
    <w:rsid w:val="00061A0D"/>
    <w:rsid w:val="0006410F"/>
    <w:rsid w:val="0006518C"/>
    <w:rsid w:val="00072BC9"/>
    <w:rsid w:val="000732A9"/>
    <w:rsid w:val="000744E1"/>
    <w:rsid w:val="0007689C"/>
    <w:rsid w:val="00080773"/>
    <w:rsid w:val="000910FB"/>
    <w:rsid w:val="0009124A"/>
    <w:rsid w:val="00091B8D"/>
    <w:rsid w:val="00092E43"/>
    <w:rsid w:val="00096D45"/>
    <w:rsid w:val="000A2D05"/>
    <w:rsid w:val="000A6F4B"/>
    <w:rsid w:val="000A7030"/>
    <w:rsid w:val="000B2741"/>
    <w:rsid w:val="000B2FB1"/>
    <w:rsid w:val="000B4DD0"/>
    <w:rsid w:val="000B5D94"/>
    <w:rsid w:val="000C1CBD"/>
    <w:rsid w:val="000C31F6"/>
    <w:rsid w:val="000C4880"/>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343C4"/>
    <w:rsid w:val="00142CD1"/>
    <w:rsid w:val="0014317A"/>
    <w:rsid w:val="00145FF6"/>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0CFE"/>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25F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6A1"/>
    <w:rsid w:val="006C1B7F"/>
    <w:rsid w:val="006C38AC"/>
    <w:rsid w:val="006C3CD9"/>
    <w:rsid w:val="006C4BF1"/>
    <w:rsid w:val="006C7A8F"/>
    <w:rsid w:val="006D1E64"/>
    <w:rsid w:val="006D33AB"/>
    <w:rsid w:val="006D3731"/>
    <w:rsid w:val="006D6484"/>
    <w:rsid w:val="006D72F6"/>
    <w:rsid w:val="006D7E1A"/>
    <w:rsid w:val="006E0558"/>
    <w:rsid w:val="006E1081"/>
    <w:rsid w:val="006E5905"/>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909"/>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8F7225"/>
    <w:rsid w:val="009075FC"/>
    <w:rsid w:val="0091568B"/>
    <w:rsid w:val="00916B26"/>
    <w:rsid w:val="00917AAA"/>
    <w:rsid w:val="0092190E"/>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4C40"/>
    <w:rsid w:val="009958BD"/>
    <w:rsid w:val="009959DA"/>
    <w:rsid w:val="009A1518"/>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424F"/>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1BE8"/>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2657"/>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1BC3"/>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0538"/>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1D6B"/>
    <w:rsid w:val="00D65CD9"/>
    <w:rsid w:val="00D70ECF"/>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74AF"/>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188D"/>
    <w:rsid w:val="00EC4AA3"/>
    <w:rsid w:val="00EC5A9B"/>
    <w:rsid w:val="00EC5CDD"/>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5015"/>
    <w:rsid w:val="00F361FA"/>
    <w:rsid w:val="00F36553"/>
    <w:rsid w:val="00F47ED8"/>
    <w:rsid w:val="00F523F9"/>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731"/>
    <w:rsid w:val="00FB3A29"/>
    <w:rsid w:val="00FC05F1"/>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D59A-8DEE-4D51-96CE-5885659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3853</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Anita Segliņa</cp:lastModifiedBy>
  <cp:revision>3</cp:revision>
  <cp:lastPrinted>2020-06-04T16:18:00Z</cp:lastPrinted>
  <dcterms:created xsi:type="dcterms:W3CDTF">2021-02-24T16:45:00Z</dcterms:created>
  <dcterms:modified xsi:type="dcterms:W3CDTF">2021-02-24T17:22:00Z</dcterms:modified>
</cp:coreProperties>
</file>