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8DFDA" w14:textId="77777777" w:rsidR="00F20C69" w:rsidRDefault="00F20C69" w:rsidP="00781276">
      <w:pPr>
        <w:jc w:val="center"/>
        <w:rPr>
          <w:b/>
          <w:sz w:val="28"/>
          <w:szCs w:val="28"/>
        </w:rPr>
      </w:pPr>
    </w:p>
    <w:p w14:paraId="2FB6498A" w14:textId="57BE755A" w:rsidR="001C7B87" w:rsidRDefault="001C7B87" w:rsidP="00781276">
      <w:pPr>
        <w:jc w:val="center"/>
        <w:rPr>
          <w:b/>
          <w:sz w:val="28"/>
          <w:szCs w:val="28"/>
        </w:rPr>
      </w:pPr>
      <w:r w:rsidRPr="001C7B87">
        <w:rPr>
          <w:b/>
          <w:sz w:val="28"/>
          <w:szCs w:val="28"/>
        </w:rPr>
        <w:t>Ministru kabineta noteikumu projekta</w:t>
      </w:r>
    </w:p>
    <w:p w14:paraId="7F300A1F" w14:textId="07C91D9D" w:rsidR="0002029A" w:rsidRDefault="00C93E7A" w:rsidP="00781276">
      <w:pPr>
        <w:jc w:val="center"/>
        <w:rPr>
          <w:b/>
          <w:sz w:val="28"/>
          <w:szCs w:val="28"/>
        </w:rPr>
      </w:pPr>
      <w:r w:rsidRPr="002335A1">
        <w:rPr>
          <w:b/>
          <w:sz w:val="28"/>
          <w:szCs w:val="28"/>
        </w:rPr>
        <w:t xml:space="preserve"> </w:t>
      </w:r>
      <w:r w:rsidR="00781276" w:rsidRPr="002335A1">
        <w:rPr>
          <w:b/>
          <w:sz w:val="28"/>
          <w:szCs w:val="28"/>
        </w:rPr>
        <w:t>“</w:t>
      </w:r>
      <w:r w:rsidR="00B41A60" w:rsidRPr="00B41A60">
        <w:rPr>
          <w:b/>
          <w:sz w:val="28"/>
          <w:szCs w:val="28"/>
        </w:rPr>
        <w:t xml:space="preserve">Grozījumi Ministru kabineta 2010. gada 2. februāra noteikumos Nr. 104 </w:t>
      </w:r>
      <w:r w:rsidR="00037B6D">
        <w:rPr>
          <w:b/>
          <w:sz w:val="28"/>
          <w:szCs w:val="28"/>
        </w:rPr>
        <w:t>“</w:t>
      </w:r>
      <w:r w:rsidR="00B41A60" w:rsidRPr="00B41A60">
        <w:rPr>
          <w:b/>
          <w:sz w:val="28"/>
          <w:szCs w:val="28"/>
        </w:rPr>
        <w:t>Pārtikas uzņēmumu atzīšanas un reģistrācijas kārtība</w:t>
      </w:r>
      <w:r w:rsidR="00037B6D">
        <w:rPr>
          <w:b/>
          <w:sz w:val="28"/>
          <w:szCs w:val="28"/>
        </w:rPr>
        <w:t>”</w:t>
      </w:r>
      <w:r w:rsidR="00781276" w:rsidRPr="002335A1">
        <w:rPr>
          <w:b/>
          <w:sz w:val="28"/>
          <w:szCs w:val="28"/>
        </w:rPr>
        <w:t>”</w:t>
      </w:r>
      <w:r w:rsidR="00781276" w:rsidRPr="000B3E98">
        <w:rPr>
          <w:b/>
          <w:bCs/>
          <w:color w:val="414142"/>
          <w:sz w:val="28"/>
          <w:szCs w:val="28"/>
        </w:rPr>
        <w:t xml:space="preserve"> </w:t>
      </w:r>
      <w:r w:rsidR="0002029A" w:rsidRPr="000B3E98">
        <w:rPr>
          <w:b/>
          <w:sz w:val="28"/>
          <w:szCs w:val="28"/>
        </w:rPr>
        <w:t>sākotnējās ietekmes novērtējuma ziņojums (anotācija)</w:t>
      </w:r>
    </w:p>
    <w:p w14:paraId="71014E8B" w14:textId="77777777" w:rsidR="00DB7E76" w:rsidRPr="000B3E98" w:rsidRDefault="00DB7E76" w:rsidP="00781276">
      <w:pPr>
        <w:jc w:val="center"/>
        <w:rPr>
          <w:b/>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2315"/>
        <w:gridCol w:w="6237"/>
      </w:tblGrid>
      <w:tr w:rsidR="00E81117" w:rsidRPr="00497D66" w14:paraId="5B610AFC" w14:textId="77777777" w:rsidTr="00AE6B74">
        <w:tc>
          <w:tcPr>
            <w:tcW w:w="9072" w:type="dxa"/>
            <w:gridSpan w:val="3"/>
          </w:tcPr>
          <w:p w14:paraId="5A2F15B8" w14:textId="77777777" w:rsidR="00E81117" w:rsidRPr="00AC231C" w:rsidRDefault="00E81117" w:rsidP="00AC231C">
            <w:pPr>
              <w:pStyle w:val="Sarakstarindkopa"/>
              <w:ind w:left="1080"/>
              <w:jc w:val="center"/>
              <w:rPr>
                <w:b/>
              </w:rPr>
            </w:pPr>
            <w:r w:rsidRPr="00AC231C">
              <w:rPr>
                <w:b/>
              </w:rPr>
              <w:t>Tiesību akta projekta anotācijas kopsavilkums</w:t>
            </w:r>
          </w:p>
        </w:tc>
      </w:tr>
      <w:tr w:rsidR="00E81117" w:rsidRPr="00FD6C6A" w14:paraId="49D2BB76" w14:textId="77777777" w:rsidTr="00AE6B74">
        <w:trPr>
          <w:trHeight w:val="269"/>
        </w:trPr>
        <w:tc>
          <w:tcPr>
            <w:tcW w:w="2835" w:type="dxa"/>
            <w:gridSpan w:val="2"/>
          </w:tcPr>
          <w:p w14:paraId="34EF48E7" w14:textId="77777777" w:rsidR="00E81117" w:rsidRPr="00910802" w:rsidRDefault="00E81117" w:rsidP="00E81117">
            <w:bookmarkStart w:id="0" w:name="_Hlk65570641"/>
            <w:r w:rsidRPr="00910802">
              <w:t>Mērķis, risinājums un projekta spēkā stāšanās laiks</w:t>
            </w:r>
          </w:p>
        </w:tc>
        <w:tc>
          <w:tcPr>
            <w:tcW w:w="6237" w:type="dxa"/>
          </w:tcPr>
          <w:p w14:paraId="7CE58077" w14:textId="6EF9B006" w:rsidR="00104548" w:rsidRDefault="00AA4C90" w:rsidP="008E30CD">
            <w:pPr>
              <w:widowControl w:val="0"/>
              <w:jc w:val="both"/>
              <w:rPr>
                <w:iCs/>
                <w:shd w:val="clear" w:color="auto" w:fill="FFFFFF"/>
              </w:rPr>
            </w:pPr>
            <w:bookmarkStart w:id="1" w:name="_Hlk65566661"/>
            <w:r w:rsidRPr="00AA4C90">
              <w:rPr>
                <w:bCs/>
                <w:iCs/>
                <w:shd w:val="clear" w:color="auto" w:fill="FFFFFF"/>
              </w:rPr>
              <w:t xml:space="preserve">Ministru kabineta noteikumu projekts “Grozījumi Ministru kabineta 2010. gada 2. februāra noteikumos Nr. 104 “Pārtikas uzņēmumu atzīšanas un reģistrācijas kārtība”” </w:t>
            </w:r>
            <w:r w:rsidR="001E1E1F">
              <w:rPr>
                <w:bCs/>
                <w:iCs/>
                <w:shd w:val="clear" w:color="auto" w:fill="FFFFFF"/>
              </w:rPr>
              <w:t xml:space="preserve">(turpmāk – noteikumu projekts) </w:t>
            </w:r>
            <w:r w:rsidRPr="00AA4C90">
              <w:rPr>
                <w:bCs/>
                <w:iCs/>
                <w:shd w:val="clear" w:color="auto" w:fill="FFFFFF"/>
              </w:rPr>
              <w:t xml:space="preserve">ir </w:t>
            </w:r>
            <w:r w:rsidR="005B1F41">
              <w:rPr>
                <w:bCs/>
                <w:iCs/>
                <w:shd w:val="clear" w:color="auto" w:fill="FFFFFF"/>
              </w:rPr>
              <w:t>sagatavots</w:t>
            </w:r>
            <w:r w:rsidRPr="00AA4C90">
              <w:rPr>
                <w:bCs/>
                <w:iCs/>
                <w:shd w:val="clear" w:color="auto" w:fill="FFFFFF"/>
              </w:rPr>
              <w:t>, lai novērstu situācij</w:t>
            </w:r>
            <w:r w:rsidR="00AC46AE">
              <w:rPr>
                <w:bCs/>
                <w:iCs/>
                <w:shd w:val="clear" w:color="auto" w:fill="FFFFFF"/>
              </w:rPr>
              <w:t>u</w:t>
            </w:r>
            <w:r w:rsidRPr="00AA4C90">
              <w:rPr>
                <w:bCs/>
                <w:iCs/>
                <w:shd w:val="clear" w:color="auto" w:fill="FFFFFF"/>
              </w:rPr>
              <w:t xml:space="preserve">, </w:t>
            </w:r>
            <w:r w:rsidRPr="00AA4C90">
              <w:rPr>
                <w:iCs/>
                <w:shd w:val="clear" w:color="auto" w:fill="FFFFFF"/>
              </w:rPr>
              <w:t>ka</w:t>
            </w:r>
            <w:r w:rsidR="005B1F41">
              <w:rPr>
                <w:iCs/>
                <w:shd w:val="clear" w:color="auto" w:fill="FFFFFF"/>
              </w:rPr>
              <w:t>d</w:t>
            </w:r>
            <w:r w:rsidRPr="00AA4C90">
              <w:rPr>
                <w:iCs/>
                <w:shd w:val="clear" w:color="auto" w:fill="FFFFFF"/>
              </w:rPr>
              <w:t xml:space="preserve"> pārtikas uzņēmumos, kuri nodarbojas ar pārtikas produktu pārstrādi, tostarp ēdiena gatavošanu, un kurus nav nepieciešams atzīt, netiek ievērotas higiēnas un citas pārtikas apriti regulējošajos normatīvajos aktos noteiktās prasības.</w:t>
            </w:r>
            <w:r w:rsidR="00AC46AE">
              <w:rPr>
                <w:iCs/>
                <w:shd w:val="clear" w:color="auto" w:fill="FFFFFF"/>
              </w:rPr>
              <w:t xml:space="preserve"> </w:t>
            </w:r>
            <w:r w:rsidR="001E1E1F">
              <w:rPr>
                <w:iCs/>
                <w:shd w:val="clear" w:color="auto" w:fill="FFFFFF"/>
              </w:rPr>
              <w:t xml:space="preserve">Noteikumu projektā </w:t>
            </w:r>
            <w:r w:rsidRPr="00AA4C90">
              <w:rPr>
                <w:iCs/>
                <w:shd w:val="clear" w:color="auto" w:fill="FFFFFF"/>
              </w:rPr>
              <w:t>paredzēt</w:t>
            </w:r>
            <w:r w:rsidR="001E1E1F">
              <w:rPr>
                <w:iCs/>
                <w:shd w:val="clear" w:color="auto" w:fill="FFFFFF"/>
              </w:rPr>
              <w:t>s</w:t>
            </w:r>
            <w:r w:rsidRPr="00AA4C90">
              <w:rPr>
                <w:iCs/>
                <w:shd w:val="clear" w:color="auto" w:fill="FFFFFF"/>
              </w:rPr>
              <w:t xml:space="preserve">, ka Pārtikas un veterinārais dienests (turpmāk – PVD) uzsāk </w:t>
            </w:r>
            <w:r w:rsidR="001E1E1F" w:rsidRPr="00AA4C90">
              <w:rPr>
                <w:iCs/>
                <w:shd w:val="clear" w:color="auto" w:fill="FFFFFF"/>
              </w:rPr>
              <w:t>pārtikas uzņēmum</w:t>
            </w:r>
            <w:r w:rsidR="001E1E1F">
              <w:rPr>
                <w:iCs/>
                <w:shd w:val="clear" w:color="auto" w:fill="FFFFFF"/>
              </w:rPr>
              <w:t>a</w:t>
            </w:r>
            <w:r w:rsidR="001E1E1F" w:rsidRPr="00AA4C90">
              <w:rPr>
                <w:iCs/>
                <w:shd w:val="clear" w:color="auto" w:fill="FFFFFF"/>
              </w:rPr>
              <w:t xml:space="preserve"> </w:t>
            </w:r>
            <w:r w:rsidRPr="00AA4C90">
              <w:rPr>
                <w:iCs/>
                <w:shd w:val="clear" w:color="auto" w:fill="FFFFFF"/>
              </w:rPr>
              <w:t>pirmsreģistrācijas pārbaud</w:t>
            </w:r>
            <w:r w:rsidR="001E1E1F">
              <w:rPr>
                <w:iCs/>
                <w:shd w:val="clear" w:color="auto" w:fill="FFFFFF"/>
              </w:rPr>
              <w:t>i</w:t>
            </w:r>
            <w:r w:rsidRPr="00AA4C90">
              <w:rPr>
                <w:iCs/>
                <w:shd w:val="clear" w:color="auto" w:fill="FFFFFF"/>
              </w:rPr>
              <w:t xml:space="preserve"> un tikai pēc tās uzņēmums var tikt iekļauts PVD uzraudzības objektu reģistrā un drīkst uzsākt darbību pārtikas apritē</w:t>
            </w:r>
            <w:bookmarkEnd w:id="1"/>
            <w:r w:rsidRPr="00AA4C90">
              <w:rPr>
                <w:iCs/>
                <w:shd w:val="clear" w:color="auto" w:fill="FFFFFF"/>
              </w:rPr>
              <w:t>. Noteikum</w:t>
            </w:r>
            <w:r w:rsidR="001E1E1F">
              <w:rPr>
                <w:iCs/>
                <w:shd w:val="clear" w:color="auto" w:fill="FFFFFF"/>
              </w:rPr>
              <w:t>u projektā</w:t>
            </w:r>
            <w:r w:rsidRPr="00AA4C90">
              <w:rPr>
                <w:iCs/>
                <w:shd w:val="clear" w:color="auto" w:fill="FFFFFF"/>
              </w:rPr>
              <w:t xml:space="preserve"> noteikta pirmsreģistrācijas pārbaudes norise un lēmumu pieņemšanas termiņi.</w:t>
            </w:r>
            <w:r w:rsidR="00104548">
              <w:rPr>
                <w:iCs/>
                <w:shd w:val="clear" w:color="auto" w:fill="FFFFFF"/>
              </w:rPr>
              <w:t xml:space="preserve"> </w:t>
            </w:r>
          </w:p>
          <w:p w14:paraId="2848F2D6" w14:textId="12200550" w:rsidR="00AA4C90" w:rsidRPr="00AA4C90" w:rsidRDefault="005B1F41" w:rsidP="008E30CD">
            <w:pPr>
              <w:widowControl w:val="0"/>
              <w:jc w:val="both"/>
              <w:rPr>
                <w:iCs/>
                <w:shd w:val="clear" w:color="auto" w:fill="FFFFFF"/>
              </w:rPr>
            </w:pPr>
            <w:r>
              <w:rPr>
                <w:iCs/>
                <w:shd w:val="clear" w:color="auto" w:fill="FFFFFF"/>
              </w:rPr>
              <w:t>Turklāt</w:t>
            </w:r>
            <w:r w:rsidR="00AA4C90" w:rsidRPr="00AA4C90">
              <w:rPr>
                <w:iCs/>
                <w:shd w:val="clear" w:color="auto" w:fill="FFFFFF"/>
              </w:rPr>
              <w:t xml:space="preserve"> </w:t>
            </w:r>
            <w:r w:rsidR="00E872C5">
              <w:rPr>
                <w:iCs/>
                <w:shd w:val="clear" w:color="auto" w:fill="FFFFFF"/>
              </w:rPr>
              <w:t xml:space="preserve">ar noteikumu projektu tiks </w:t>
            </w:r>
            <w:r w:rsidR="00AA4C90" w:rsidRPr="00AA4C90">
              <w:rPr>
                <w:iCs/>
                <w:shd w:val="clear" w:color="auto" w:fill="FFFFFF"/>
              </w:rPr>
              <w:t>savstarpēji saskaņot</w:t>
            </w:r>
            <w:r w:rsidR="00E872C5">
              <w:rPr>
                <w:iCs/>
                <w:shd w:val="clear" w:color="auto" w:fill="FFFFFF"/>
              </w:rPr>
              <w:t>i</w:t>
            </w:r>
            <w:r w:rsidR="00AA4C90" w:rsidRPr="00AA4C90">
              <w:rPr>
                <w:iCs/>
                <w:shd w:val="clear" w:color="auto" w:fill="FFFFFF"/>
              </w:rPr>
              <w:t xml:space="preserve"> normatīv</w:t>
            </w:r>
            <w:r w:rsidR="00E872C5">
              <w:rPr>
                <w:iCs/>
                <w:shd w:val="clear" w:color="auto" w:fill="FFFFFF"/>
              </w:rPr>
              <w:t>ie</w:t>
            </w:r>
            <w:r w:rsidR="00AA4C90" w:rsidRPr="00AA4C90">
              <w:rPr>
                <w:iCs/>
                <w:shd w:val="clear" w:color="auto" w:fill="FFFFFF"/>
              </w:rPr>
              <w:t xml:space="preserve"> akt</w:t>
            </w:r>
            <w:r w:rsidR="00E872C5">
              <w:rPr>
                <w:iCs/>
                <w:shd w:val="clear" w:color="auto" w:fill="FFFFFF"/>
              </w:rPr>
              <w:t>i</w:t>
            </w:r>
            <w:r w:rsidR="00AA4C90" w:rsidRPr="00AA4C90">
              <w:rPr>
                <w:iCs/>
                <w:shd w:val="clear" w:color="auto" w:fill="FFFFFF"/>
              </w:rPr>
              <w:t xml:space="preserve"> </w:t>
            </w:r>
            <w:r w:rsidR="00104548">
              <w:rPr>
                <w:iCs/>
                <w:shd w:val="clear" w:color="auto" w:fill="FFFFFF"/>
              </w:rPr>
              <w:t>un noteikts</w:t>
            </w:r>
            <w:r w:rsidR="00AA4C90" w:rsidRPr="00AA4C90">
              <w:rPr>
                <w:iCs/>
                <w:shd w:val="clear" w:color="auto" w:fill="FFFFFF"/>
              </w:rPr>
              <w:t>, ka PVD uzraudzības objektu reģistrā</w:t>
            </w:r>
            <w:r w:rsidR="00104548" w:rsidRPr="00AA4C90">
              <w:rPr>
                <w:iCs/>
                <w:shd w:val="clear" w:color="auto" w:fill="FFFFFF"/>
              </w:rPr>
              <w:t xml:space="preserve"> jābūt reģistrētām</w:t>
            </w:r>
            <w:r w:rsidR="00104548">
              <w:t xml:space="preserve"> </w:t>
            </w:r>
            <w:r w:rsidR="00104548" w:rsidRPr="00104548">
              <w:rPr>
                <w:iCs/>
                <w:shd w:val="clear" w:color="auto" w:fill="FFFFFF"/>
              </w:rPr>
              <w:t>ilgstošas sociālās aprūpes un sociālās rehabilitācijas institūcij</w:t>
            </w:r>
            <w:r w:rsidR="00104548">
              <w:rPr>
                <w:iCs/>
                <w:shd w:val="clear" w:color="auto" w:fill="FFFFFF"/>
              </w:rPr>
              <w:t>ām</w:t>
            </w:r>
            <w:r w:rsidR="00104548" w:rsidRPr="00104548">
              <w:rPr>
                <w:iCs/>
                <w:shd w:val="clear" w:color="auto" w:fill="FFFFFF"/>
              </w:rPr>
              <w:t xml:space="preserve"> un sociālo pakalpojumu sniedzēju reģistrā reģistrēt</w:t>
            </w:r>
            <w:r w:rsidR="00104548">
              <w:rPr>
                <w:iCs/>
                <w:shd w:val="clear" w:color="auto" w:fill="FFFFFF"/>
              </w:rPr>
              <w:t>iem</w:t>
            </w:r>
            <w:r w:rsidR="00104548" w:rsidRPr="00104548">
              <w:rPr>
                <w:iCs/>
                <w:shd w:val="clear" w:color="auto" w:fill="FFFFFF"/>
              </w:rPr>
              <w:t xml:space="preserve"> sociālo pakalpojumu sniedzēj</w:t>
            </w:r>
            <w:r w:rsidR="00104548">
              <w:rPr>
                <w:iCs/>
                <w:shd w:val="clear" w:color="auto" w:fill="FFFFFF"/>
              </w:rPr>
              <w:t>iem</w:t>
            </w:r>
            <w:r w:rsidR="00104548" w:rsidRPr="00104548">
              <w:rPr>
                <w:iCs/>
                <w:shd w:val="clear" w:color="auto" w:fill="FFFFFF"/>
              </w:rPr>
              <w:t xml:space="preserve"> un pašvaldības sociāl</w:t>
            </w:r>
            <w:r w:rsidR="00104548">
              <w:rPr>
                <w:iCs/>
                <w:shd w:val="clear" w:color="auto" w:fill="FFFFFF"/>
              </w:rPr>
              <w:t>ajiem</w:t>
            </w:r>
            <w:r w:rsidR="00104548" w:rsidRPr="00104548">
              <w:rPr>
                <w:iCs/>
                <w:shd w:val="clear" w:color="auto" w:fill="FFFFFF"/>
              </w:rPr>
              <w:t xml:space="preserve"> dienest</w:t>
            </w:r>
            <w:r w:rsidR="00104548">
              <w:rPr>
                <w:iCs/>
                <w:shd w:val="clear" w:color="auto" w:fill="FFFFFF"/>
              </w:rPr>
              <w:t>iem</w:t>
            </w:r>
            <w:r w:rsidR="00104548" w:rsidRPr="00104548">
              <w:rPr>
                <w:iCs/>
                <w:shd w:val="clear" w:color="auto" w:fill="FFFFFF"/>
              </w:rPr>
              <w:t>, kas veic darbības pārtikas apritē</w:t>
            </w:r>
            <w:r w:rsidR="00104548">
              <w:rPr>
                <w:iCs/>
                <w:shd w:val="clear" w:color="auto" w:fill="FFFFFF"/>
              </w:rPr>
              <w:t>.</w:t>
            </w:r>
          </w:p>
          <w:p w14:paraId="1198C9F8" w14:textId="378CD71D" w:rsidR="00AA4C90" w:rsidRPr="00AA4C90" w:rsidRDefault="00AA4C90" w:rsidP="008E30CD">
            <w:pPr>
              <w:widowControl w:val="0"/>
              <w:jc w:val="both"/>
              <w:rPr>
                <w:iCs/>
                <w:shd w:val="clear" w:color="auto" w:fill="FFFFFF"/>
              </w:rPr>
            </w:pPr>
            <w:r w:rsidRPr="00AA4C90">
              <w:rPr>
                <w:iCs/>
                <w:shd w:val="clear" w:color="auto" w:fill="FFFFFF"/>
              </w:rPr>
              <w:t xml:space="preserve">Noteikumu </w:t>
            </w:r>
            <w:r w:rsidR="001E1E1F">
              <w:rPr>
                <w:iCs/>
                <w:shd w:val="clear" w:color="auto" w:fill="FFFFFF"/>
              </w:rPr>
              <w:t xml:space="preserve">projekta </w:t>
            </w:r>
            <w:r w:rsidRPr="00AA4C90">
              <w:rPr>
                <w:iCs/>
                <w:shd w:val="clear" w:color="auto" w:fill="FFFFFF"/>
              </w:rPr>
              <w:t>mērķis ir nodrošināt nekaitīgas pārtikas apriti. Ieviešot pirmsreģistrācijas pārbaudi pārtikas uzņēmumos, k</w:t>
            </w:r>
            <w:r w:rsidR="005B1F41">
              <w:rPr>
                <w:iCs/>
                <w:shd w:val="clear" w:color="auto" w:fill="FFFFFF"/>
              </w:rPr>
              <w:t>as</w:t>
            </w:r>
            <w:r w:rsidRPr="00AA4C90">
              <w:rPr>
                <w:iCs/>
                <w:shd w:val="clear" w:color="auto" w:fill="FFFFFF"/>
              </w:rPr>
              <w:t xml:space="preserve"> nodarbojas ar pārtikas produktu pārstrādi, tostarp ēdiena gatavošanu, un k</w:t>
            </w:r>
            <w:r w:rsidR="005B1F41">
              <w:rPr>
                <w:iCs/>
                <w:shd w:val="clear" w:color="auto" w:fill="FFFFFF"/>
              </w:rPr>
              <w:t>o</w:t>
            </w:r>
            <w:r w:rsidRPr="00AA4C90">
              <w:rPr>
                <w:iCs/>
                <w:shd w:val="clear" w:color="auto" w:fill="FFFFFF"/>
              </w:rPr>
              <w:t xml:space="preserve"> nav nepieciešams atzīt pirms iekļaušanas PVD uzraudzības ojektu reģistrā, situācija tiks pilnībā atrisināta.</w:t>
            </w:r>
          </w:p>
          <w:p w14:paraId="36D30047" w14:textId="77777777" w:rsidR="00E81117" w:rsidRDefault="00AA4C90" w:rsidP="00AE6B74">
            <w:pPr>
              <w:pStyle w:val="naisc"/>
              <w:widowControl w:val="0"/>
              <w:spacing w:before="0" w:beforeAutospacing="0" w:after="0" w:afterAutospacing="0"/>
              <w:jc w:val="both"/>
              <w:rPr>
                <w:iCs/>
                <w:shd w:val="clear" w:color="auto" w:fill="FFFFFF"/>
              </w:rPr>
            </w:pPr>
            <w:r w:rsidRPr="00AA4C90">
              <w:rPr>
                <w:iCs/>
                <w:shd w:val="clear" w:color="auto" w:fill="FFFFFF"/>
              </w:rPr>
              <w:t>Noteikum</w:t>
            </w:r>
            <w:r w:rsidR="00B00F51">
              <w:rPr>
                <w:iCs/>
                <w:shd w:val="clear" w:color="auto" w:fill="FFFFFF"/>
              </w:rPr>
              <w:t>u projekts</w:t>
            </w:r>
            <w:r w:rsidRPr="00AA4C90">
              <w:rPr>
                <w:iCs/>
                <w:shd w:val="clear" w:color="auto" w:fill="FFFFFF"/>
              </w:rPr>
              <w:t xml:space="preserve"> stāsies spēkā </w:t>
            </w:r>
            <w:r w:rsidR="00B00F51" w:rsidRPr="00B00F51">
              <w:rPr>
                <w:iCs/>
                <w:shd w:val="clear" w:color="auto" w:fill="FFFFFF"/>
              </w:rPr>
              <w:t>nākamajā dienā pēc t</w:t>
            </w:r>
            <w:r w:rsidR="00B00F51">
              <w:rPr>
                <w:iCs/>
                <w:shd w:val="clear" w:color="auto" w:fill="FFFFFF"/>
              </w:rPr>
              <w:t>ā</w:t>
            </w:r>
            <w:r w:rsidR="00B00F51" w:rsidRPr="00B00F51">
              <w:rPr>
                <w:iCs/>
                <w:shd w:val="clear" w:color="auto" w:fill="FFFFFF"/>
              </w:rPr>
              <w:t xml:space="preserve"> izsludināšanas</w:t>
            </w:r>
            <w:r w:rsidRPr="00AA4C90">
              <w:rPr>
                <w:iCs/>
                <w:shd w:val="clear" w:color="auto" w:fill="FFFFFF"/>
              </w:rPr>
              <w:t>.</w:t>
            </w:r>
          </w:p>
          <w:p w14:paraId="4DD39A49" w14:textId="07828FCB" w:rsidR="00F20C69" w:rsidRPr="00AA4C90" w:rsidRDefault="00F20C69" w:rsidP="00AE6B74">
            <w:pPr>
              <w:pStyle w:val="naisc"/>
              <w:widowControl w:val="0"/>
              <w:spacing w:before="0" w:beforeAutospacing="0" w:after="0" w:afterAutospacing="0"/>
              <w:jc w:val="both"/>
              <w:rPr>
                <w:shd w:val="clear" w:color="auto" w:fill="FFFFFF"/>
              </w:rPr>
            </w:pPr>
          </w:p>
        </w:tc>
      </w:tr>
      <w:bookmarkEnd w:id="0"/>
      <w:tr w:rsidR="00BA0DE8" w:rsidRPr="00093C22" w14:paraId="0AB1666C" w14:textId="77777777" w:rsidTr="00AE6B74">
        <w:tc>
          <w:tcPr>
            <w:tcW w:w="9072" w:type="dxa"/>
            <w:gridSpan w:val="3"/>
          </w:tcPr>
          <w:p w14:paraId="346E68A6" w14:textId="77777777" w:rsidR="00AC145B" w:rsidRPr="00093C22" w:rsidRDefault="00AC145B" w:rsidP="00C01FB8">
            <w:pPr>
              <w:pStyle w:val="naislab"/>
              <w:spacing w:before="0" w:after="0"/>
              <w:jc w:val="center"/>
              <w:outlineLvl w:val="0"/>
              <w:rPr>
                <w:b/>
              </w:rPr>
            </w:pPr>
            <w:r w:rsidRPr="00093C22">
              <w:rPr>
                <w:b/>
              </w:rPr>
              <w:t>I. Tiesību akta projekta izstrādes nepieciešamība</w:t>
            </w:r>
          </w:p>
        </w:tc>
      </w:tr>
      <w:tr w:rsidR="00BA0DE8" w:rsidRPr="00093C22" w14:paraId="01452B61" w14:textId="77777777" w:rsidTr="00AE6B74">
        <w:tc>
          <w:tcPr>
            <w:tcW w:w="520" w:type="dxa"/>
          </w:tcPr>
          <w:p w14:paraId="52B306F7" w14:textId="77777777" w:rsidR="00AC145B" w:rsidRPr="00093C22" w:rsidRDefault="00AC145B" w:rsidP="003037FE">
            <w:pPr>
              <w:pStyle w:val="naislab"/>
              <w:spacing w:before="0" w:after="0"/>
              <w:jc w:val="center"/>
              <w:outlineLvl w:val="0"/>
            </w:pPr>
            <w:r w:rsidRPr="00093C22">
              <w:t>1.</w:t>
            </w:r>
          </w:p>
        </w:tc>
        <w:tc>
          <w:tcPr>
            <w:tcW w:w="2315" w:type="dxa"/>
          </w:tcPr>
          <w:p w14:paraId="391F0161" w14:textId="77777777" w:rsidR="00AC145B" w:rsidRPr="00093C22" w:rsidRDefault="00AC145B" w:rsidP="003037FE">
            <w:pPr>
              <w:pStyle w:val="naislab"/>
              <w:spacing w:before="0" w:after="0"/>
              <w:jc w:val="both"/>
              <w:outlineLvl w:val="0"/>
            </w:pPr>
            <w:r w:rsidRPr="00093C22">
              <w:t>Pamatojums</w:t>
            </w:r>
          </w:p>
        </w:tc>
        <w:tc>
          <w:tcPr>
            <w:tcW w:w="6237" w:type="dxa"/>
          </w:tcPr>
          <w:p w14:paraId="1DFD4AB0" w14:textId="306BE6C4" w:rsidR="00B41A60" w:rsidRDefault="004D468C" w:rsidP="004D468C">
            <w:pPr>
              <w:pStyle w:val="naislab"/>
              <w:spacing w:before="0" w:after="0"/>
              <w:jc w:val="both"/>
              <w:outlineLvl w:val="0"/>
            </w:pPr>
            <w:r>
              <w:t>1.</w:t>
            </w:r>
            <w:r w:rsidR="008D40C0">
              <w:t xml:space="preserve"> </w:t>
            </w:r>
            <w:r w:rsidR="00B41A60">
              <w:t>Pārtikas aprites uzraudzības likuma 5. panta ceturtā daļa, Brīvas pakalpojumu sniegšanas likuma 15. panta piektā daļ</w:t>
            </w:r>
            <w:r w:rsidR="00E3170D">
              <w:t>a</w:t>
            </w:r>
            <w:r w:rsidR="008D40C0">
              <w:t>.</w:t>
            </w:r>
          </w:p>
          <w:p w14:paraId="7C6FCC96" w14:textId="6022F1A1" w:rsidR="004D468C" w:rsidRDefault="004D468C" w:rsidP="004D468C">
            <w:pPr>
              <w:pStyle w:val="naislab"/>
              <w:spacing w:before="0" w:after="0"/>
              <w:jc w:val="both"/>
              <w:outlineLvl w:val="0"/>
            </w:pPr>
            <w:r>
              <w:t>2.</w:t>
            </w:r>
            <w:r w:rsidR="008D40C0">
              <w:t xml:space="preserve"> </w:t>
            </w:r>
            <w:r w:rsidRPr="004D468C">
              <w:t>Eiropas Parlamenta un Padomes 2017. gada 15. marta Regula (ES) 2017/625</w:t>
            </w:r>
            <w:r w:rsidR="005B1F41">
              <w:t>,</w:t>
            </w:r>
            <w:r w:rsidRPr="004D468C">
              <w:t xml:space="preserve"> par oficiālajām kontrolēm un citām oficiālajām darbībām, kuras veic, lai nodrošinātu, ka tiek piemēroti pārtikas un barības aprites tiesību akti, noteikumi par dzīvnieku veselību un labturību, augu veselību un augu aizsardzības līdzekļiem, un ar ko groza Eiropas Parlamenta un Padomes Regulas (EK) Nr. 999/2001, (EK) Nr. 396/2005, (EK) Nr. 1069/2009, (EK) Nr. 1107/2009, (ES) Nr. 1151/2012, (ES) Nr. 652/2014, (ES) 2016/429 un (ES) 2016/2031, Padomes </w:t>
            </w:r>
            <w:r w:rsidRPr="004D468C">
              <w:lastRenderedPageBreak/>
              <w:t>Regulas (EK) Nr. 1/2005 un (EK) Nr. 1099/2009 un Padomes Direktīvas 98/58/EK, 1999/74/EK, 2007/43/EK, 2008/119/EK un 2008/120/EK un atceļ Eiropas Parlamenta un Padomes Regulas (EK) Nr. 854/2004 un (EK) Nr. 882/2004, Padomes Direktīvas 89/608/EEK, 89/662/EEK, 90/425/EEK, 91/496/EEK, 96/23/EK, 96/93/EK un 97/78/EK un Padomes Lēmumu 92/438/EEK (Oficiālo kontroļu regula) (turpmāk – Regula 2017/625).</w:t>
            </w:r>
          </w:p>
          <w:p w14:paraId="27A67689" w14:textId="26466E62" w:rsidR="004D468C" w:rsidRDefault="004D468C" w:rsidP="004D468C">
            <w:pPr>
              <w:pStyle w:val="naislab"/>
              <w:spacing w:before="0" w:after="0"/>
              <w:jc w:val="both"/>
              <w:outlineLvl w:val="0"/>
            </w:pPr>
            <w:r>
              <w:t xml:space="preserve">3. Komisijas </w:t>
            </w:r>
            <w:r w:rsidRPr="004D468C">
              <w:t>2019.</w:t>
            </w:r>
            <w:r w:rsidR="005B1F41">
              <w:t xml:space="preserve"> </w:t>
            </w:r>
            <w:r w:rsidRPr="004D468C">
              <w:t>gada 15.</w:t>
            </w:r>
            <w:r w:rsidR="005B1F41">
              <w:t xml:space="preserve"> </w:t>
            </w:r>
            <w:r w:rsidRPr="004D468C">
              <w:t xml:space="preserve">marta </w:t>
            </w:r>
            <w:r w:rsidR="008D40C0">
              <w:t>Ī</w:t>
            </w:r>
            <w:r w:rsidR="008D40C0" w:rsidRPr="004D468C">
              <w:t xml:space="preserve">stenošanas </w:t>
            </w:r>
            <w:r w:rsidR="008D40C0">
              <w:t>r</w:t>
            </w:r>
            <w:r w:rsidRPr="004D468C">
              <w:t xml:space="preserve">egula </w:t>
            </w:r>
            <w:r w:rsidR="008D444B">
              <w:t>(ES)</w:t>
            </w:r>
            <w:r w:rsidRPr="004D468C">
              <w:t xml:space="preserve"> 2019</w:t>
            </w:r>
            <w:r w:rsidR="008D444B">
              <w:t>/</w:t>
            </w:r>
            <w:r w:rsidR="008D444B" w:rsidRPr="004D468C">
              <w:t>627</w:t>
            </w:r>
            <w:r w:rsidR="008D40C0">
              <w:t>,</w:t>
            </w:r>
            <w:r w:rsidRPr="004D468C">
              <w:t xml:space="preserve"> ar ko nosaka vienotu praktisku kārtību lietošanai pārtikā paredzētu dzīvnieku izcelsmes produktu oficiālo kontroļu veikšanai saskaņā ar Eiropas Parlamenta un Padomes Regulu (ES) 2017/625 un attiecībā uz oficiālajām kontrolēm groza Komisijas Regulu (EK) Nr. 2074/2005</w:t>
            </w:r>
            <w:r>
              <w:t xml:space="preserve"> (turpmāk </w:t>
            </w:r>
            <w:r w:rsidR="008D40C0">
              <w:t xml:space="preserve">– </w:t>
            </w:r>
            <w:r>
              <w:t xml:space="preserve">Regula </w:t>
            </w:r>
            <w:r w:rsidR="008D444B">
              <w:t>2019/</w:t>
            </w:r>
            <w:r>
              <w:t>627)</w:t>
            </w:r>
            <w:r w:rsidR="008D40C0">
              <w:t>.</w:t>
            </w:r>
          </w:p>
          <w:p w14:paraId="0E44D64F" w14:textId="77777777" w:rsidR="005B554C" w:rsidRDefault="004D468C" w:rsidP="00B96C05">
            <w:pPr>
              <w:pStyle w:val="naislab"/>
              <w:spacing w:before="0" w:after="0"/>
              <w:jc w:val="both"/>
              <w:outlineLvl w:val="0"/>
            </w:pPr>
            <w:r>
              <w:t>4.</w:t>
            </w:r>
            <w:r w:rsidR="005B554C">
              <w:t xml:space="preserve"> </w:t>
            </w:r>
            <w:r w:rsidR="00C20472">
              <w:t>Zemkopības ministrijas</w:t>
            </w:r>
            <w:r w:rsidR="00E3170D">
              <w:t xml:space="preserve"> </w:t>
            </w:r>
            <w:r w:rsidR="005B554C">
              <w:t>iniciatīva.</w:t>
            </w:r>
          </w:p>
          <w:p w14:paraId="7584C34C" w14:textId="29A08616" w:rsidR="00F20C69" w:rsidRPr="00093C22" w:rsidRDefault="00F20C69" w:rsidP="00B96C05">
            <w:pPr>
              <w:pStyle w:val="naislab"/>
              <w:spacing w:before="0" w:after="0"/>
              <w:jc w:val="both"/>
              <w:outlineLvl w:val="0"/>
            </w:pPr>
          </w:p>
        </w:tc>
      </w:tr>
      <w:tr w:rsidR="0075433A" w:rsidRPr="0075433A" w14:paraId="0133966B" w14:textId="77777777" w:rsidTr="00AE6B74">
        <w:tc>
          <w:tcPr>
            <w:tcW w:w="520" w:type="dxa"/>
          </w:tcPr>
          <w:p w14:paraId="559DE9F3" w14:textId="77777777" w:rsidR="00AC145B" w:rsidRPr="00093C22" w:rsidRDefault="00AC145B" w:rsidP="003037FE">
            <w:pPr>
              <w:pStyle w:val="naislab"/>
              <w:spacing w:before="0" w:after="0"/>
              <w:jc w:val="center"/>
              <w:outlineLvl w:val="0"/>
            </w:pPr>
            <w:r w:rsidRPr="00093C22">
              <w:lastRenderedPageBreak/>
              <w:t>2.</w:t>
            </w:r>
          </w:p>
        </w:tc>
        <w:tc>
          <w:tcPr>
            <w:tcW w:w="2315" w:type="dxa"/>
          </w:tcPr>
          <w:p w14:paraId="2624F495" w14:textId="77777777" w:rsidR="002B5FDF" w:rsidRDefault="00AC145B" w:rsidP="0024283E">
            <w:pPr>
              <w:pStyle w:val="naislab"/>
              <w:spacing w:before="0" w:after="0"/>
              <w:jc w:val="both"/>
              <w:outlineLvl w:val="0"/>
            </w:pPr>
            <w:r w:rsidRPr="00093C22">
              <w:t>Pašreizējā situācija un problēmas, kuru risināšanai tiesību akta projekts izstrādāts, tiesiskā regulējuma mērķis un būtība</w:t>
            </w:r>
          </w:p>
          <w:p w14:paraId="72C7CD3F" w14:textId="77777777" w:rsidR="002B5FDF" w:rsidRPr="002B5FDF" w:rsidRDefault="002B5FDF" w:rsidP="002B5FDF"/>
          <w:p w14:paraId="7619D0E9" w14:textId="77777777" w:rsidR="002B5FDF" w:rsidRPr="002B5FDF" w:rsidRDefault="002B5FDF" w:rsidP="002B5FDF"/>
          <w:p w14:paraId="5770718E" w14:textId="77777777" w:rsidR="002B5FDF" w:rsidRPr="002B5FDF" w:rsidRDefault="002B5FDF" w:rsidP="002B5FDF"/>
          <w:p w14:paraId="0FC1389E" w14:textId="77777777" w:rsidR="002B5FDF" w:rsidRPr="002B5FDF" w:rsidRDefault="002B5FDF" w:rsidP="002B5FDF"/>
          <w:p w14:paraId="02A5CBAF" w14:textId="77777777" w:rsidR="002B5FDF" w:rsidRPr="002B5FDF" w:rsidRDefault="002B5FDF" w:rsidP="002B5FDF"/>
          <w:p w14:paraId="2D83BA96" w14:textId="77777777" w:rsidR="002B5FDF" w:rsidRPr="002B5FDF" w:rsidRDefault="002B5FDF" w:rsidP="002B5FDF"/>
          <w:p w14:paraId="3199E74F" w14:textId="77777777" w:rsidR="002B5FDF" w:rsidRPr="002B5FDF" w:rsidRDefault="002B5FDF" w:rsidP="002B5FDF"/>
          <w:p w14:paraId="784B91DF" w14:textId="77777777" w:rsidR="002B5FDF" w:rsidRPr="002B5FDF" w:rsidRDefault="002B5FDF" w:rsidP="002B5FDF"/>
          <w:p w14:paraId="0627FF7E" w14:textId="77777777" w:rsidR="002B5FDF" w:rsidRPr="002B5FDF" w:rsidRDefault="002B5FDF" w:rsidP="002B5FDF"/>
          <w:p w14:paraId="47813268" w14:textId="77777777" w:rsidR="002B5FDF" w:rsidRPr="002B5FDF" w:rsidRDefault="002B5FDF" w:rsidP="002B5FDF"/>
          <w:p w14:paraId="42778B02" w14:textId="77777777" w:rsidR="002B5FDF" w:rsidRPr="002B5FDF" w:rsidRDefault="002B5FDF" w:rsidP="002B5FDF"/>
          <w:p w14:paraId="7F1CB3A6" w14:textId="77777777" w:rsidR="002B5FDF" w:rsidRPr="002B5FDF" w:rsidRDefault="002B5FDF" w:rsidP="002B5FDF"/>
          <w:p w14:paraId="0B24E50A" w14:textId="77777777" w:rsidR="002B5FDF" w:rsidRPr="002B5FDF" w:rsidRDefault="002B5FDF" w:rsidP="002B5FDF"/>
          <w:p w14:paraId="21735C51" w14:textId="77777777" w:rsidR="002B5FDF" w:rsidRPr="002B5FDF" w:rsidRDefault="002B5FDF" w:rsidP="002B5FDF"/>
          <w:p w14:paraId="61A9654B" w14:textId="77777777" w:rsidR="002B5FDF" w:rsidRPr="002B5FDF" w:rsidRDefault="002B5FDF" w:rsidP="002B5FDF"/>
          <w:p w14:paraId="3A9FCE3B" w14:textId="77777777" w:rsidR="002B5FDF" w:rsidRPr="002B5FDF" w:rsidRDefault="002B5FDF" w:rsidP="002B5FDF"/>
          <w:p w14:paraId="1FB77B10" w14:textId="77777777" w:rsidR="002B5FDF" w:rsidRPr="002B5FDF" w:rsidRDefault="002B5FDF" w:rsidP="002B5FDF"/>
          <w:p w14:paraId="5CF8CF2E" w14:textId="77777777" w:rsidR="002B5FDF" w:rsidRPr="002B5FDF" w:rsidRDefault="002B5FDF" w:rsidP="002B5FDF"/>
          <w:p w14:paraId="503104A8" w14:textId="77777777" w:rsidR="002B5FDF" w:rsidRPr="002B5FDF" w:rsidRDefault="002B5FDF" w:rsidP="002B5FDF"/>
          <w:p w14:paraId="038C7EEC" w14:textId="77777777" w:rsidR="002B5FDF" w:rsidRPr="002B5FDF" w:rsidRDefault="002B5FDF" w:rsidP="002B5FDF"/>
          <w:p w14:paraId="3FEDC7B3" w14:textId="77777777" w:rsidR="002B5FDF" w:rsidRPr="002B5FDF" w:rsidRDefault="002B5FDF" w:rsidP="002B5FDF"/>
          <w:p w14:paraId="2012FF10" w14:textId="77777777" w:rsidR="002B5FDF" w:rsidRPr="002B5FDF" w:rsidRDefault="002B5FDF" w:rsidP="002B5FDF"/>
          <w:p w14:paraId="13CFC4E8" w14:textId="77777777" w:rsidR="00AC145B" w:rsidRPr="002B5FDF" w:rsidRDefault="00AC145B" w:rsidP="002B5FDF"/>
        </w:tc>
        <w:tc>
          <w:tcPr>
            <w:tcW w:w="6237" w:type="dxa"/>
            <w:shd w:val="clear" w:color="auto" w:fill="auto"/>
          </w:tcPr>
          <w:p w14:paraId="5DA909A4" w14:textId="235C8FC3" w:rsidR="001056A0" w:rsidRDefault="00BD27CA" w:rsidP="00F573D4">
            <w:pPr>
              <w:jc w:val="both"/>
              <w:rPr>
                <w:iCs/>
              </w:rPr>
            </w:pPr>
            <w:r>
              <w:rPr>
                <w:iCs/>
              </w:rPr>
              <w:t xml:space="preserve">Patlaban spēkā ir </w:t>
            </w:r>
            <w:r w:rsidR="00E3170D" w:rsidRPr="00E3170D">
              <w:rPr>
                <w:iCs/>
              </w:rPr>
              <w:t>Ministru kabineta 2010. gada 2. februāra noteikum</w:t>
            </w:r>
            <w:r w:rsidR="00E3170D">
              <w:rPr>
                <w:iCs/>
              </w:rPr>
              <w:t>i</w:t>
            </w:r>
            <w:r w:rsidR="00E3170D" w:rsidRPr="00E3170D">
              <w:rPr>
                <w:iCs/>
              </w:rPr>
              <w:t xml:space="preserve"> Nr. 104 </w:t>
            </w:r>
            <w:r w:rsidR="00C20472">
              <w:rPr>
                <w:iCs/>
              </w:rPr>
              <w:t>“</w:t>
            </w:r>
            <w:r w:rsidR="00E3170D" w:rsidRPr="00E3170D">
              <w:rPr>
                <w:iCs/>
              </w:rPr>
              <w:t>Pārtikas uzņēmumu atzīšanas un reģistrācijas kārtība</w:t>
            </w:r>
            <w:r w:rsidR="00C20472">
              <w:rPr>
                <w:iCs/>
              </w:rPr>
              <w:t>”</w:t>
            </w:r>
            <w:r w:rsidR="00E3170D" w:rsidRPr="00E3170D">
              <w:rPr>
                <w:iCs/>
              </w:rPr>
              <w:t xml:space="preserve">” </w:t>
            </w:r>
            <w:r w:rsidR="003149C6">
              <w:rPr>
                <w:iCs/>
              </w:rPr>
              <w:t>(turpmāk – noteikumi Nr.</w:t>
            </w:r>
            <w:r w:rsidR="00E3170D">
              <w:rPr>
                <w:iCs/>
              </w:rPr>
              <w:t>104</w:t>
            </w:r>
            <w:r w:rsidR="003149C6">
              <w:rPr>
                <w:iCs/>
              </w:rPr>
              <w:t>)</w:t>
            </w:r>
            <w:r w:rsidR="005B554C">
              <w:rPr>
                <w:iCs/>
              </w:rPr>
              <w:t>,</w:t>
            </w:r>
            <w:r>
              <w:t xml:space="preserve"> </w:t>
            </w:r>
            <w:r w:rsidRPr="00BD27CA">
              <w:rPr>
                <w:iCs/>
              </w:rPr>
              <w:t>k</w:t>
            </w:r>
            <w:r w:rsidR="005B1F41">
              <w:rPr>
                <w:iCs/>
              </w:rPr>
              <w:t>uros</w:t>
            </w:r>
            <w:r w:rsidRPr="00BD27CA">
              <w:rPr>
                <w:iCs/>
              </w:rPr>
              <w:t xml:space="preserve"> </w:t>
            </w:r>
            <w:r w:rsidR="00C218A3">
              <w:rPr>
                <w:iCs/>
              </w:rPr>
              <w:t>no</w:t>
            </w:r>
            <w:r w:rsidR="005B1F41">
              <w:rPr>
                <w:iCs/>
              </w:rPr>
              <w:t>teikts</w:t>
            </w:r>
            <w:r w:rsidR="00C218A3">
              <w:rPr>
                <w:iCs/>
              </w:rPr>
              <w:t xml:space="preserve">, ka </w:t>
            </w:r>
            <w:r w:rsidR="00C218A3" w:rsidRPr="00C218A3">
              <w:rPr>
                <w:iCs/>
              </w:rPr>
              <w:t xml:space="preserve">pārtikas apritē atļauts iesaistīties </w:t>
            </w:r>
            <w:r w:rsidR="00C218A3">
              <w:rPr>
                <w:iCs/>
              </w:rPr>
              <w:t xml:space="preserve">pārtikas </w:t>
            </w:r>
            <w:r w:rsidR="00C218A3" w:rsidRPr="00C218A3">
              <w:rPr>
                <w:iCs/>
              </w:rPr>
              <w:t>uzņēmumiem, kas ir iekļauti P</w:t>
            </w:r>
            <w:r w:rsidR="00C218A3">
              <w:rPr>
                <w:iCs/>
              </w:rPr>
              <w:t xml:space="preserve">ārtikas un veterinārā dienesta (turpmāk </w:t>
            </w:r>
            <w:r w:rsidR="00BA101D">
              <w:rPr>
                <w:iCs/>
              </w:rPr>
              <w:t>–</w:t>
            </w:r>
            <w:r w:rsidR="00C218A3">
              <w:rPr>
                <w:iCs/>
              </w:rPr>
              <w:t xml:space="preserve"> PV</w:t>
            </w:r>
            <w:r w:rsidR="00C218A3" w:rsidRPr="00C218A3">
              <w:rPr>
                <w:iCs/>
              </w:rPr>
              <w:t>D</w:t>
            </w:r>
            <w:r w:rsidR="00BA101D">
              <w:rPr>
                <w:iCs/>
              </w:rPr>
              <w:t>)</w:t>
            </w:r>
            <w:r w:rsidR="00C218A3" w:rsidRPr="00C218A3">
              <w:rPr>
                <w:iCs/>
              </w:rPr>
              <w:t xml:space="preserve"> uzraudzības objektu reģistrā</w:t>
            </w:r>
            <w:r w:rsidR="001056A0">
              <w:rPr>
                <w:iCs/>
              </w:rPr>
              <w:t xml:space="preserve">. </w:t>
            </w:r>
          </w:p>
          <w:p w14:paraId="5786B727" w14:textId="31297575" w:rsidR="00857669" w:rsidRDefault="007C4E21" w:rsidP="00D24DB5">
            <w:pPr>
              <w:jc w:val="both"/>
              <w:rPr>
                <w:iCs/>
              </w:rPr>
            </w:pPr>
            <w:r>
              <w:rPr>
                <w:iCs/>
              </w:rPr>
              <w:t>1.</w:t>
            </w:r>
            <w:r w:rsidR="004D468C" w:rsidRPr="004D468C">
              <w:rPr>
                <w:iCs/>
              </w:rPr>
              <w:t xml:space="preserve"> </w:t>
            </w:r>
            <w:r w:rsidR="005B1F41">
              <w:rPr>
                <w:iCs/>
              </w:rPr>
              <w:t>Tā kā</w:t>
            </w:r>
            <w:r w:rsidR="001F6345">
              <w:rPr>
                <w:iCs/>
              </w:rPr>
              <w:t xml:space="preserve"> </w:t>
            </w:r>
            <w:r w:rsidR="004D468C" w:rsidRPr="004D468C">
              <w:rPr>
                <w:iCs/>
              </w:rPr>
              <w:t>Regula 2017/625 atce</w:t>
            </w:r>
            <w:r w:rsidR="00B45397">
              <w:rPr>
                <w:iCs/>
              </w:rPr>
              <w:t>ļ</w:t>
            </w:r>
            <w:r w:rsidR="004D468C" w:rsidRPr="004D468C">
              <w:rPr>
                <w:iCs/>
              </w:rPr>
              <w:t xml:space="preserve"> Eiropas Parlamenta un Padomes 2004. gada 29. aprīļa Regulu (EK) Nr. 854/2004, ar ko paredz īpašus noteikumus par lietošanai pārtikā paredzētu dzīvnieku izcelsmes produktu oficiālās kontroles organizēšanu, un Eiropas Parlamenta un Padomes 2004. gada 29. aprīļa Regulu (EK) Nr. 882/2004, par oficiālo kontroli, ko veic, lai nodrošinātu atbilstības pārbaudi saistībā ar dzīvnieku barības un pārtikas aprites tiesību aktiem un dzīvnieku veselības un dzīvnieku labturības noteikumiem, </w:t>
            </w:r>
            <w:r w:rsidR="00B32DB3">
              <w:rPr>
                <w:iCs/>
              </w:rPr>
              <w:t>n</w:t>
            </w:r>
            <w:r w:rsidR="00A33741">
              <w:rPr>
                <w:iCs/>
              </w:rPr>
              <w:t>oteikumu Nr.</w:t>
            </w:r>
            <w:r w:rsidR="005B1F41">
              <w:rPr>
                <w:iCs/>
              </w:rPr>
              <w:t xml:space="preserve"> </w:t>
            </w:r>
            <w:r w:rsidR="00A33741">
              <w:rPr>
                <w:iCs/>
              </w:rPr>
              <w:t>104 1</w:t>
            </w:r>
            <w:r w:rsidR="004D468C" w:rsidRPr="004D468C">
              <w:rPr>
                <w:iCs/>
              </w:rPr>
              <w:t>.</w:t>
            </w:r>
            <w:r w:rsidR="005B1F41">
              <w:rPr>
                <w:iCs/>
              </w:rPr>
              <w:t> un</w:t>
            </w:r>
            <w:r w:rsidR="00A33741">
              <w:rPr>
                <w:iCs/>
              </w:rPr>
              <w:t xml:space="preserve"> 2.</w:t>
            </w:r>
            <w:r w:rsidR="005B1F41">
              <w:rPr>
                <w:iCs/>
              </w:rPr>
              <w:t> </w:t>
            </w:r>
            <w:r w:rsidR="00A33741">
              <w:rPr>
                <w:iCs/>
              </w:rPr>
              <w:t xml:space="preserve">punktā, </w:t>
            </w:r>
            <w:r w:rsidR="00B45397">
              <w:rPr>
                <w:iCs/>
              </w:rPr>
              <w:t>7.</w:t>
            </w:r>
            <w:r w:rsidR="00A33741">
              <w:rPr>
                <w:iCs/>
              </w:rPr>
              <w:t>1.</w:t>
            </w:r>
            <w:r w:rsidR="005B1F41">
              <w:rPr>
                <w:iCs/>
              </w:rPr>
              <w:t xml:space="preserve"> </w:t>
            </w:r>
            <w:r w:rsidR="00A33741">
              <w:rPr>
                <w:iCs/>
              </w:rPr>
              <w:t xml:space="preserve">apakšpunktā, </w:t>
            </w:r>
            <w:r w:rsidR="00857669" w:rsidRPr="00C9768A">
              <w:rPr>
                <w:iCs/>
              </w:rPr>
              <w:t>15.</w:t>
            </w:r>
            <w:r w:rsidR="005B1F41">
              <w:rPr>
                <w:iCs/>
              </w:rPr>
              <w:t xml:space="preserve"> </w:t>
            </w:r>
            <w:r w:rsidR="00857669" w:rsidRPr="00C9768A">
              <w:rPr>
                <w:iCs/>
              </w:rPr>
              <w:t>punktā,</w:t>
            </w:r>
            <w:r w:rsidR="00857669">
              <w:rPr>
                <w:iCs/>
              </w:rPr>
              <w:t xml:space="preserve"> </w:t>
            </w:r>
            <w:r w:rsidR="001F6345">
              <w:rPr>
                <w:iCs/>
              </w:rPr>
              <w:t>21.3. apakšpunktā</w:t>
            </w:r>
            <w:r w:rsidR="00A33741">
              <w:rPr>
                <w:iCs/>
              </w:rPr>
              <w:t xml:space="preserve"> un 22.punktā</w:t>
            </w:r>
            <w:r w:rsidR="004D468C" w:rsidRPr="004D468C">
              <w:rPr>
                <w:iCs/>
              </w:rPr>
              <w:t xml:space="preserve"> dotā</w:t>
            </w:r>
            <w:r w:rsidR="001F6345">
              <w:rPr>
                <w:iCs/>
              </w:rPr>
              <w:t>s</w:t>
            </w:r>
            <w:r w:rsidR="004D468C" w:rsidRPr="004D468C">
              <w:rPr>
                <w:iCs/>
              </w:rPr>
              <w:t xml:space="preserve"> atsauce</w:t>
            </w:r>
            <w:r w:rsidR="001F6345">
              <w:rPr>
                <w:iCs/>
              </w:rPr>
              <w:t>s</w:t>
            </w:r>
            <w:r w:rsidR="004D468C" w:rsidRPr="004D468C">
              <w:rPr>
                <w:iCs/>
              </w:rPr>
              <w:t xml:space="preserve"> uz minēt</w:t>
            </w:r>
            <w:r w:rsidR="001F6345">
              <w:rPr>
                <w:iCs/>
              </w:rPr>
              <w:t>ajām</w:t>
            </w:r>
            <w:r w:rsidR="004D468C" w:rsidRPr="004D468C">
              <w:rPr>
                <w:iCs/>
              </w:rPr>
              <w:t xml:space="preserve"> regul</w:t>
            </w:r>
            <w:r w:rsidR="001F6345">
              <w:rPr>
                <w:iCs/>
              </w:rPr>
              <w:t>ām</w:t>
            </w:r>
            <w:r w:rsidR="004D468C" w:rsidRPr="004D468C">
              <w:rPr>
                <w:iCs/>
              </w:rPr>
              <w:t xml:space="preserve"> jāaizstāj ar</w:t>
            </w:r>
            <w:r w:rsidR="001F6345">
              <w:rPr>
                <w:iCs/>
              </w:rPr>
              <w:t xml:space="preserve"> attiecīgām</w:t>
            </w:r>
            <w:r w:rsidR="004D468C" w:rsidRPr="004D468C">
              <w:rPr>
                <w:iCs/>
              </w:rPr>
              <w:t xml:space="preserve"> atsauc</w:t>
            </w:r>
            <w:r w:rsidR="001F6345">
              <w:rPr>
                <w:iCs/>
              </w:rPr>
              <w:t>ēm</w:t>
            </w:r>
            <w:r w:rsidR="004D468C" w:rsidRPr="004D468C">
              <w:rPr>
                <w:iCs/>
              </w:rPr>
              <w:t xml:space="preserve"> uz Regulu 2017/625</w:t>
            </w:r>
            <w:r w:rsidR="00746E4F">
              <w:rPr>
                <w:iCs/>
              </w:rPr>
              <w:t xml:space="preserve"> un</w:t>
            </w:r>
            <w:r>
              <w:rPr>
                <w:iCs/>
              </w:rPr>
              <w:t xml:space="preserve"> </w:t>
            </w:r>
            <w:r w:rsidR="00A33741" w:rsidRPr="00A33741">
              <w:rPr>
                <w:iCs/>
              </w:rPr>
              <w:t>Regul</w:t>
            </w:r>
            <w:r w:rsidR="00A33741">
              <w:rPr>
                <w:iCs/>
              </w:rPr>
              <w:t>u</w:t>
            </w:r>
            <w:r w:rsidR="00A33741" w:rsidRPr="00A33741">
              <w:rPr>
                <w:iCs/>
              </w:rPr>
              <w:t xml:space="preserve"> </w:t>
            </w:r>
            <w:r w:rsidR="00746E4F" w:rsidRPr="00A33741">
              <w:rPr>
                <w:iCs/>
              </w:rPr>
              <w:t>2019</w:t>
            </w:r>
            <w:r w:rsidR="00746E4F">
              <w:rPr>
                <w:iCs/>
              </w:rPr>
              <w:t>/</w:t>
            </w:r>
            <w:r w:rsidR="00A33741" w:rsidRPr="00A33741">
              <w:rPr>
                <w:iCs/>
              </w:rPr>
              <w:t>627</w:t>
            </w:r>
            <w:r w:rsidR="00746E4F">
              <w:rPr>
                <w:iCs/>
              </w:rPr>
              <w:t>, kā arī precizējamas atsauces</w:t>
            </w:r>
            <w:r>
              <w:rPr>
                <w:iCs/>
              </w:rPr>
              <w:t xml:space="preserve"> u</w:t>
            </w:r>
            <w:r w:rsidR="00746E4F">
              <w:rPr>
                <w:iCs/>
              </w:rPr>
              <w:t>z</w:t>
            </w:r>
            <w:r>
              <w:rPr>
                <w:iCs/>
              </w:rPr>
              <w:t xml:space="preserve"> </w:t>
            </w:r>
            <w:r w:rsidR="00746E4F" w:rsidRPr="00746E4F">
              <w:rPr>
                <w:iCs/>
              </w:rPr>
              <w:t>noteikum</w:t>
            </w:r>
            <w:r w:rsidR="00746E4F">
              <w:rPr>
                <w:iCs/>
              </w:rPr>
              <w:t>os</w:t>
            </w:r>
            <w:r w:rsidR="00746E4F" w:rsidRPr="00746E4F">
              <w:rPr>
                <w:iCs/>
              </w:rPr>
              <w:t xml:space="preserve"> Nr.</w:t>
            </w:r>
            <w:r w:rsidR="005B1F41">
              <w:rPr>
                <w:iCs/>
              </w:rPr>
              <w:t xml:space="preserve"> </w:t>
            </w:r>
            <w:r w:rsidR="00746E4F" w:rsidRPr="00746E4F">
              <w:rPr>
                <w:iCs/>
              </w:rPr>
              <w:t xml:space="preserve">104 </w:t>
            </w:r>
            <w:r w:rsidR="00746E4F">
              <w:rPr>
                <w:iCs/>
              </w:rPr>
              <w:t>jau minēt</w:t>
            </w:r>
            <w:r w:rsidR="005B1F41">
              <w:rPr>
                <w:iCs/>
              </w:rPr>
              <w:t>o</w:t>
            </w:r>
            <w:r w:rsidR="00746E4F" w:rsidRPr="00746E4F">
              <w:rPr>
                <w:iCs/>
              </w:rPr>
              <w:t xml:space="preserve"> </w:t>
            </w:r>
            <w:r w:rsidRPr="007C4E21">
              <w:rPr>
                <w:iCs/>
              </w:rPr>
              <w:t>Eiropas Parlamenta un Padomes 2004.</w:t>
            </w:r>
            <w:r w:rsidR="00A40A2C">
              <w:rPr>
                <w:iCs/>
              </w:rPr>
              <w:t xml:space="preserve"> </w:t>
            </w:r>
            <w:r w:rsidRPr="007C4E21">
              <w:rPr>
                <w:iCs/>
              </w:rPr>
              <w:t>gada 29.</w:t>
            </w:r>
            <w:r w:rsidR="00A40A2C">
              <w:rPr>
                <w:iCs/>
              </w:rPr>
              <w:t xml:space="preserve"> </w:t>
            </w:r>
            <w:r w:rsidRPr="007C4E21">
              <w:rPr>
                <w:iCs/>
              </w:rPr>
              <w:t>aprīļa Regul</w:t>
            </w:r>
            <w:r>
              <w:rPr>
                <w:iCs/>
              </w:rPr>
              <w:t>u</w:t>
            </w:r>
            <w:r w:rsidRPr="007C4E21">
              <w:rPr>
                <w:iCs/>
              </w:rPr>
              <w:t xml:space="preserve"> (EK) Nr. 853/2004, ar ko nosaka īpašus higiēnas noteikumus attiecībā uz dzīvnieku izcelsmes pārtiku</w:t>
            </w:r>
            <w:r w:rsidR="00746E4F">
              <w:rPr>
                <w:iCs/>
              </w:rPr>
              <w:t>,</w:t>
            </w:r>
            <w:r w:rsidR="003A1C40">
              <w:t xml:space="preserve"> (turpmāk </w:t>
            </w:r>
            <w:r w:rsidR="005B1F41">
              <w:t>–</w:t>
            </w:r>
            <w:r w:rsidR="003A1C40">
              <w:t xml:space="preserve"> </w:t>
            </w:r>
            <w:r w:rsidR="003A1C40" w:rsidRPr="003A1C40">
              <w:rPr>
                <w:iCs/>
              </w:rPr>
              <w:t>Regula Nr. 853/2004</w:t>
            </w:r>
            <w:r w:rsidR="003A1C40">
              <w:rPr>
                <w:iCs/>
              </w:rPr>
              <w:t>)</w:t>
            </w:r>
            <w:r w:rsidR="00746E4F">
              <w:rPr>
                <w:iCs/>
              </w:rPr>
              <w:t xml:space="preserve"> un</w:t>
            </w:r>
            <w:r w:rsidR="001F6345">
              <w:rPr>
                <w:iCs/>
              </w:rPr>
              <w:t xml:space="preserve"> </w:t>
            </w:r>
            <w:r w:rsidR="00746E4F" w:rsidRPr="00746E4F">
              <w:rPr>
                <w:iCs/>
              </w:rPr>
              <w:t>Eiropas Parlamenta un Padomes 2004. gada 29.</w:t>
            </w:r>
            <w:r w:rsidR="005B1F41">
              <w:rPr>
                <w:iCs/>
              </w:rPr>
              <w:t> </w:t>
            </w:r>
            <w:r w:rsidR="00746E4F" w:rsidRPr="00746E4F">
              <w:rPr>
                <w:iCs/>
              </w:rPr>
              <w:t>aprīļa Regul</w:t>
            </w:r>
            <w:r w:rsidR="00746E4F">
              <w:rPr>
                <w:iCs/>
              </w:rPr>
              <w:t>u</w:t>
            </w:r>
            <w:r w:rsidR="00746E4F" w:rsidRPr="00746E4F">
              <w:rPr>
                <w:iCs/>
              </w:rPr>
              <w:t xml:space="preserve"> (EK) Nr. 852/2004 par pārtikas produktu higiēnu</w:t>
            </w:r>
            <w:r w:rsidR="003A1C40">
              <w:rPr>
                <w:iCs/>
              </w:rPr>
              <w:t xml:space="preserve"> </w:t>
            </w:r>
            <w:r w:rsidR="003A1C40" w:rsidRPr="003A1C40">
              <w:rPr>
                <w:iCs/>
              </w:rPr>
              <w:t xml:space="preserve">(turpmāk </w:t>
            </w:r>
            <w:r w:rsidR="005B1F41">
              <w:rPr>
                <w:iCs/>
              </w:rPr>
              <w:t>–</w:t>
            </w:r>
            <w:r w:rsidR="003A1C40" w:rsidRPr="003A1C40">
              <w:rPr>
                <w:iCs/>
              </w:rPr>
              <w:t xml:space="preserve"> Regula Nr. 85</w:t>
            </w:r>
            <w:r w:rsidR="003A1C40">
              <w:rPr>
                <w:iCs/>
              </w:rPr>
              <w:t>2</w:t>
            </w:r>
            <w:r w:rsidR="003A1C40" w:rsidRPr="003A1C40">
              <w:rPr>
                <w:iCs/>
              </w:rPr>
              <w:t>/2004)</w:t>
            </w:r>
            <w:r w:rsidR="00746E4F">
              <w:rPr>
                <w:iCs/>
              </w:rPr>
              <w:t>.</w:t>
            </w:r>
          </w:p>
          <w:p w14:paraId="2F9FEDC2" w14:textId="43BDF12C" w:rsidR="001C36B7" w:rsidRDefault="007C4E21" w:rsidP="00D24DB5">
            <w:pPr>
              <w:jc w:val="both"/>
              <w:rPr>
                <w:iCs/>
              </w:rPr>
            </w:pPr>
            <w:r>
              <w:rPr>
                <w:iCs/>
              </w:rPr>
              <w:t>2</w:t>
            </w:r>
            <w:r w:rsidR="0044337D">
              <w:rPr>
                <w:iCs/>
              </w:rPr>
              <w:t>.</w:t>
            </w:r>
            <w:r w:rsidR="00C20472">
              <w:rPr>
                <w:iCs/>
              </w:rPr>
              <w:t xml:space="preserve"> </w:t>
            </w:r>
            <w:r w:rsidR="00181144" w:rsidRPr="00BD27CA">
              <w:rPr>
                <w:iCs/>
              </w:rPr>
              <w:t>Ministru kabineta 20</w:t>
            </w:r>
            <w:r w:rsidR="00BA101D">
              <w:rPr>
                <w:iCs/>
              </w:rPr>
              <w:t>20</w:t>
            </w:r>
            <w:r w:rsidR="00181144" w:rsidRPr="00BD27CA">
              <w:rPr>
                <w:iCs/>
              </w:rPr>
              <w:t>.</w:t>
            </w:r>
            <w:r w:rsidR="00181144">
              <w:rPr>
                <w:iCs/>
              </w:rPr>
              <w:t> </w:t>
            </w:r>
            <w:r w:rsidR="00181144" w:rsidRPr="00BD27CA">
              <w:rPr>
                <w:iCs/>
              </w:rPr>
              <w:t>gada 1</w:t>
            </w:r>
            <w:r w:rsidR="00BA101D">
              <w:rPr>
                <w:iCs/>
              </w:rPr>
              <w:t>1</w:t>
            </w:r>
            <w:r w:rsidR="00181144" w:rsidRPr="00BD27CA">
              <w:rPr>
                <w:iCs/>
              </w:rPr>
              <w:t>.</w:t>
            </w:r>
            <w:r w:rsidR="00181144">
              <w:rPr>
                <w:iCs/>
              </w:rPr>
              <w:t> </w:t>
            </w:r>
            <w:r w:rsidR="00BA101D">
              <w:rPr>
                <w:iCs/>
              </w:rPr>
              <w:t>august</w:t>
            </w:r>
            <w:r w:rsidR="00181144" w:rsidRPr="00BD27CA">
              <w:rPr>
                <w:iCs/>
              </w:rPr>
              <w:t>a noteikum</w:t>
            </w:r>
            <w:r w:rsidR="00181144">
              <w:rPr>
                <w:iCs/>
              </w:rPr>
              <w:t>u</w:t>
            </w:r>
            <w:r w:rsidR="00181144" w:rsidRPr="00BD27CA">
              <w:rPr>
                <w:iCs/>
              </w:rPr>
              <w:t xml:space="preserve"> Nr.</w:t>
            </w:r>
            <w:r w:rsidR="00181144">
              <w:rPr>
                <w:iCs/>
              </w:rPr>
              <w:t> </w:t>
            </w:r>
            <w:r w:rsidR="00BA101D">
              <w:rPr>
                <w:iCs/>
              </w:rPr>
              <w:t>514</w:t>
            </w:r>
            <w:r w:rsidR="00181144" w:rsidRPr="00BD27CA">
              <w:rPr>
                <w:iCs/>
              </w:rPr>
              <w:t xml:space="preserve"> </w:t>
            </w:r>
            <w:r w:rsidR="005B1F41">
              <w:rPr>
                <w:iCs/>
              </w:rPr>
              <w:t>“</w:t>
            </w:r>
            <w:r w:rsidR="00181144" w:rsidRPr="00BD27CA">
              <w:rPr>
                <w:iCs/>
              </w:rPr>
              <w:t>Prasības pārtikas izplatīšanai pēc minimālā derīguma termiņa beigām”</w:t>
            </w:r>
            <w:r w:rsidR="00D608A7">
              <w:rPr>
                <w:iCs/>
              </w:rPr>
              <w:t xml:space="preserve"> </w:t>
            </w:r>
            <w:r w:rsidR="001C36B7">
              <w:rPr>
                <w:iCs/>
              </w:rPr>
              <w:t>(turpmāk – noteikumi Nr.</w:t>
            </w:r>
            <w:r w:rsidR="005B1F41">
              <w:rPr>
                <w:iCs/>
              </w:rPr>
              <w:t> </w:t>
            </w:r>
            <w:r w:rsidR="001C36B7">
              <w:rPr>
                <w:iCs/>
              </w:rPr>
              <w:t>514) 3</w:t>
            </w:r>
            <w:r w:rsidR="00D608A7">
              <w:rPr>
                <w:iCs/>
              </w:rPr>
              <w:t>. punktā ir noteikts,</w:t>
            </w:r>
            <w:r w:rsidR="00181144">
              <w:rPr>
                <w:iCs/>
              </w:rPr>
              <w:t xml:space="preserve"> ka </w:t>
            </w:r>
            <w:r w:rsidR="00D608A7">
              <w:rPr>
                <w:iCs/>
              </w:rPr>
              <w:t>p</w:t>
            </w:r>
            <w:r w:rsidR="00D608A7" w:rsidRPr="00D608A7">
              <w:rPr>
                <w:iCs/>
              </w:rPr>
              <w:t>ārtikas uzņēmums pārtiku drīkst ziedot</w:t>
            </w:r>
            <w:r w:rsidR="00D608A7" w:rsidRPr="00D608A7" w:rsidDel="00D608A7">
              <w:rPr>
                <w:iCs/>
              </w:rPr>
              <w:t xml:space="preserve"> </w:t>
            </w:r>
            <w:r w:rsidR="00D608A7">
              <w:rPr>
                <w:iCs/>
              </w:rPr>
              <w:t>tieši</w:t>
            </w:r>
            <w:r w:rsidR="00181144" w:rsidRPr="009C73AC">
              <w:rPr>
                <w:iCs/>
              </w:rPr>
              <w:t xml:space="preserve"> </w:t>
            </w:r>
            <w:r w:rsidR="00181144">
              <w:rPr>
                <w:iCs/>
              </w:rPr>
              <w:t xml:space="preserve">ilgstošas </w:t>
            </w:r>
            <w:r w:rsidR="00181144" w:rsidRPr="009C73AC">
              <w:rPr>
                <w:iCs/>
              </w:rPr>
              <w:t xml:space="preserve">sociālās aprūpes </w:t>
            </w:r>
            <w:r w:rsidR="00181144" w:rsidRPr="00181144">
              <w:t>un sociālās rehabilitācijas</w:t>
            </w:r>
            <w:r w:rsidR="00181144" w:rsidRPr="001E0BD4">
              <w:rPr>
                <w:b/>
                <w:bCs/>
              </w:rPr>
              <w:t xml:space="preserve"> </w:t>
            </w:r>
            <w:r w:rsidR="00181144" w:rsidRPr="009C73AC">
              <w:rPr>
                <w:iCs/>
              </w:rPr>
              <w:t>institūcij</w:t>
            </w:r>
            <w:r w:rsidR="00D608A7">
              <w:rPr>
                <w:iCs/>
              </w:rPr>
              <w:t xml:space="preserve">ai </w:t>
            </w:r>
            <w:r w:rsidR="00D608A7" w:rsidRPr="00D608A7">
              <w:rPr>
                <w:iCs/>
              </w:rPr>
              <w:t xml:space="preserve">vai citam Sociālo pakalpojumu sniedzēju reģistrā reģistrētajam sociālo pakalpojumu sniedzējam (turpmāk – sociālo pakalpojumu sniedzējs), ja sociālo pakalpojumu sniedzējs nodrošina klientu ēdināšanu vai iespēju lietot līdzpaņemtu vai nodarbību laikā </w:t>
            </w:r>
            <w:r w:rsidR="00D608A7" w:rsidRPr="00D608A7">
              <w:rPr>
                <w:iCs/>
              </w:rPr>
              <w:lastRenderedPageBreak/>
              <w:t>pagatavotu ēdienu</w:t>
            </w:r>
            <w:r w:rsidR="00D608A7">
              <w:rPr>
                <w:iCs/>
              </w:rPr>
              <w:t xml:space="preserve">, kā arī </w:t>
            </w:r>
            <w:r w:rsidR="001C36B7">
              <w:rPr>
                <w:iCs/>
              </w:rPr>
              <w:t>nodot ziedošanai</w:t>
            </w:r>
            <w:r w:rsidR="001C36B7">
              <w:t xml:space="preserve"> </w:t>
            </w:r>
            <w:r w:rsidR="001C36B7" w:rsidRPr="001C36B7">
              <w:rPr>
                <w:iCs/>
              </w:rPr>
              <w:t>reliģiskajām organizācijām un to iestādēm, biedrībām un nodibinājumiem, kas nodarbojas ar labdarību,</w:t>
            </w:r>
            <w:r w:rsidR="001C36B7">
              <w:rPr>
                <w:iCs/>
              </w:rPr>
              <w:t xml:space="preserve"> </w:t>
            </w:r>
            <w:r w:rsidR="005B1F41">
              <w:rPr>
                <w:iCs/>
              </w:rPr>
              <w:t>vai</w:t>
            </w:r>
            <w:r w:rsidR="00181144" w:rsidRPr="009C73AC">
              <w:rPr>
                <w:iCs/>
              </w:rPr>
              <w:t xml:space="preserve"> pašvaldību sociālajiem dienestiem</w:t>
            </w:r>
            <w:r w:rsidR="001C36B7">
              <w:rPr>
                <w:iCs/>
              </w:rPr>
              <w:t xml:space="preserve"> (turpmāk – saņēmējs)</w:t>
            </w:r>
            <w:r w:rsidR="00181144">
              <w:rPr>
                <w:iCs/>
              </w:rPr>
              <w:t>.</w:t>
            </w:r>
            <w:r w:rsidR="00D608A7">
              <w:rPr>
                <w:iCs/>
              </w:rPr>
              <w:t xml:space="preserve"> </w:t>
            </w:r>
          </w:p>
          <w:p w14:paraId="3848CD8B" w14:textId="175ABB4D" w:rsidR="00B66700" w:rsidRPr="00D54983" w:rsidRDefault="001C36B7" w:rsidP="00D24DB5">
            <w:pPr>
              <w:jc w:val="both"/>
              <w:rPr>
                <w:iCs/>
              </w:rPr>
            </w:pPr>
            <w:r>
              <w:rPr>
                <w:iCs/>
              </w:rPr>
              <w:t>N</w:t>
            </w:r>
            <w:r w:rsidRPr="001C36B7">
              <w:rPr>
                <w:iCs/>
              </w:rPr>
              <w:t>oteikum</w:t>
            </w:r>
            <w:r>
              <w:rPr>
                <w:iCs/>
              </w:rPr>
              <w:t>u</w:t>
            </w:r>
            <w:r w:rsidRPr="001C36B7">
              <w:rPr>
                <w:iCs/>
              </w:rPr>
              <w:t xml:space="preserve"> Nr.</w:t>
            </w:r>
            <w:r w:rsidR="005B1F41">
              <w:rPr>
                <w:iCs/>
              </w:rPr>
              <w:t xml:space="preserve"> </w:t>
            </w:r>
            <w:r w:rsidRPr="001C36B7">
              <w:rPr>
                <w:iCs/>
              </w:rPr>
              <w:t>514</w:t>
            </w:r>
            <w:r>
              <w:rPr>
                <w:iCs/>
              </w:rPr>
              <w:t xml:space="preserve"> 4.</w:t>
            </w:r>
            <w:r w:rsidR="005B1F41">
              <w:rPr>
                <w:iCs/>
              </w:rPr>
              <w:t> </w:t>
            </w:r>
            <w:r>
              <w:rPr>
                <w:iCs/>
              </w:rPr>
              <w:t>punkt</w:t>
            </w:r>
            <w:r w:rsidR="005B1F41">
              <w:rPr>
                <w:iCs/>
              </w:rPr>
              <w:t>ā</w:t>
            </w:r>
            <w:r>
              <w:rPr>
                <w:iCs/>
              </w:rPr>
              <w:t xml:space="preserve"> </w:t>
            </w:r>
            <w:r w:rsidR="00D608A7">
              <w:rPr>
                <w:iCs/>
              </w:rPr>
              <w:t>no</w:t>
            </w:r>
            <w:r w:rsidR="005B1F41">
              <w:rPr>
                <w:iCs/>
              </w:rPr>
              <w:t>teikts</w:t>
            </w:r>
            <w:r w:rsidR="00D608A7">
              <w:rPr>
                <w:iCs/>
              </w:rPr>
              <w:t>, ka p</w:t>
            </w:r>
            <w:r w:rsidR="00D608A7" w:rsidRPr="00D608A7">
              <w:rPr>
                <w:iCs/>
              </w:rPr>
              <w:t>ārtiku ziedot un saņemt ir tiesīgs tikai Pārtikas un veterinārajā dienestā saskaņā ar normatīvajiem aktiem par pārtikas uzņēmumu atzīšanas un reģistrācijas kārtību reģistrēts ziedotājs vai attiecīgi sociālo pakalpojumu sniedzējs un saņēmējs.</w:t>
            </w:r>
          </w:p>
          <w:p w14:paraId="3315178B" w14:textId="44D0D92D" w:rsidR="0044337D" w:rsidRDefault="005B1F41" w:rsidP="00F573D4">
            <w:pPr>
              <w:jc w:val="both"/>
              <w:rPr>
                <w:iCs/>
              </w:rPr>
            </w:pPr>
            <w:r>
              <w:rPr>
                <w:iCs/>
              </w:rPr>
              <w:t>Ievērojot minēto,</w:t>
            </w:r>
            <w:r w:rsidR="001C36B7">
              <w:rPr>
                <w:iCs/>
              </w:rPr>
              <w:t xml:space="preserve"> nepieciešams </w:t>
            </w:r>
            <w:r w:rsidR="00A40A2C">
              <w:rPr>
                <w:iCs/>
              </w:rPr>
              <w:t xml:space="preserve">savstarpēji </w:t>
            </w:r>
            <w:r w:rsidR="001C36B7">
              <w:rPr>
                <w:iCs/>
              </w:rPr>
              <w:t>saskaņot normatīvos aktus, papildinot</w:t>
            </w:r>
            <w:r w:rsidR="00D54983">
              <w:rPr>
                <w:iCs/>
              </w:rPr>
              <w:t xml:space="preserve"> noteikum</w:t>
            </w:r>
            <w:r w:rsidR="00A40A2C">
              <w:rPr>
                <w:iCs/>
              </w:rPr>
              <w:t>u</w:t>
            </w:r>
            <w:r w:rsidR="00B73D14">
              <w:rPr>
                <w:iCs/>
              </w:rPr>
              <w:t>s</w:t>
            </w:r>
            <w:r w:rsidR="00D54983">
              <w:rPr>
                <w:iCs/>
              </w:rPr>
              <w:t xml:space="preserve"> Nr. 104 </w:t>
            </w:r>
            <w:r w:rsidR="00B73D14">
              <w:rPr>
                <w:iCs/>
              </w:rPr>
              <w:t xml:space="preserve">ar </w:t>
            </w:r>
            <w:r w:rsidR="00A40A2C">
              <w:rPr>
                <w:iCs/>
              </w:rPr>
              <w:t>23.</w:t>
            </w:r>
            <w:r w:rsidR="00B73D14">
              <w:rPr>
                <w:iCs/>
              </w:rPr>
              <w:t>4.</w:t>
            </w:r>
            <w:r>
              <w:rPr>
                <w:iCs/>
              </w:rPr>
              <w:t> </w:t>
            </w:r>
            <w:r w:rsidR="00635DB1">
              <w:rPr>
                <w:iCs/>
              </w:rPr>
              <w:t>apakšpunktu</w:t>
            </w:r>
            <w:r w:rsidR="00A40A2C">
              <w:rPr>
                <w:iCs/>
              </w:rPr>
              <w:t xml:space="preserve"> un </w:t>
            </w:r>
            <w:r w:rsidR="00D54983">
              <w:rPr>
                <w:iCs/>
              </w:rPr>
              <w:t>nosak</w:t>
            </w:r>
            <w:r w:rsidR="00A40A2C">
              <w:rPr>
                <w:iCs/>
              </w:rPr>
              <w:t>ot</w:t>
            </w:r>
            <w:r w:rsidR="00D54983">
              <w:rPr>
                <w:iCs/>
              </w:rPr>
              <w:t xml:space="preserve">, ka PVD reģistrē arī tādas ilgstošas </w:t>
            </w:r>
            <w:r w:rsidR="00D54983" w:rsidRPr="009C73AC">
              <w:rPr>
                <w:iCs/>
              </w:rPr>
              <w:t xml:space="preserve">sociālās aprūpes </w:t>
            </w:r>
            <w:r w:rsidR="00D54983" w:rsidRPr="00181144">
              <w:t>un sociālās rehabilitācijas</w:t>
            </w:r>
            <w:r w:rsidR="00D54983" w:rsidRPr="001E0BD4">
              <w:rPr>
                <w:b/>
                <w:bCs/>
              </w:rPr>
              <w:t xml:space="preserve"> </w:t>
            </w:r>
            <w:r w:rsidR="00D54983" w:rsidRPr="009C73AC">
              <w:rPr>
                <w:iCs/>
              </w:rPr>
              <w:t>institūcij</w:t>
            </w:r>
            <w:r w:rsidR="00D54983">
              <w:rPr>
                <w:iCs/>
              </w:rPr>
              <w:t>as</w:t>
            </w:r>
            <w:r w:rsidR="00D54983" w:rsidRPr="009C73AC">
              <w:rPr>
                <w:iCs/>
              </w:rPr>
              <w:t xml:space="preserve"> un </w:t>
            </w:r>
            <w:r w:rsidR="00B73D14" w:rsidRPr="00B73D14">
              <w:rPr>
                <w:iCs/>
              </w:rPr>
              <w:t>sociālo pakalpojumu sniedzēju reģistrā reģistrēt</w:t>
            </w:r>
            <w:r w:rsidR="00B73D14">
              <w:rPr>
                <w:iCs/>
              </w:rPr>
              <w:t>us</w:t>
            </w:r>
            <w:r w:rsidR="00B73D14" w:rsidRPr="00B73D14">
              <w:rPr>
                <w:iCs/>
              </w:rPr>
              <w:t xml:space="preserve"> sociālo pakalpojumu sniedzēj</w:t>
            </w:r>
            <w:r w:rsidR="00B73D14">
              <w:rPr>
                <w:iCs/>
              </w:rPr>
              <w:t>us un</w:t>
            </w:r>
            <w:r w:rsidR="00B73D14" w:rsidRPr="00B73D14">
              <w:rPr>
                <w:iCs/>
              </w:rPr>
              <w:t xml:space="preserve"> </w:t>
            </w:r>
            <w:r w:rsidR="00D54983" w:rsidRPr="009C73AC">
              <w:rPr>
                <w:iCs/>
              </w:rPr>
              <w:t>pašvaldību sociāl</w:t>
            </w:r>
            <w:r w:rsidR="00D54983">
              <w:rPr>
                <w:iCs/>
              </w:rPr>
              <w:t>os</w:t>
            </w:r>
            <w:r w:rsidR="00D54983" w:rsidRPr="009C73AC">
              <w:rPr>
                <w:iCs/>
              </w:rPr>
              <w:t xml:space="preserve"> dienest</w:t>
            </w:r>
            <w:r w:rsidR="00D54983">
              <w:rPr>
                <w:iCs/>
              </w:rPr>
              <w:t>us</w:t>
            </w:r>
            <w:r w:rsidR="0044337D">
              <w:rPr>
                <w:iCs/>
              </w:rPr>
              <w:t xml:space="preserve">, </w:t>
            </w:r>
            <w:r w:rsidR="00D54983">
              <w:rPr>
                <w:iCs/>
              </w:rPr>
              <w:t>kas</w:t>
            </w:r>
            <w:r w:rsidR="0044337D" w:rsidRPr="00D54983">
              <w:rPr>
                <w:iCs/>
              </w:rPr>
              <w:t xml:space="preserve"> darboj</w:t>
            </w:r>
            <w:r w:rsidR="00D54983">
              <w:rPr>
                <w:iCs/>
              </w:rPr>
              <w:t>a</w:t>
            </w:r>
            <w:r w:rsidR="0044337D" w:rsidRPr="00D54983">
              <w:rPr>
                <w:iCs/>
              </w:rPr>
              <w:t xml:space="preserve">s pārtikas </w:t>
            </w:r>
            <w:r w:rsidR="00D54983">
              <w:rPr>
                <w:iCs/>
              </w:rPr>
              <w:t>apritē</w:t>
            </w:r>
            <w:r w:rsidR="0044337D" w:rsidRPr="00D54983">
              <w:rPr>
                <w:iCs/>
              </w:rPr>
              <w:t>.</w:t>
            </w:r>
          </w:p>
          <w:p w14:paraId="4A277D81" w14:textId="4F19295A" w:rsidR="001056A0" w:rsidRPr="001056A0" w:rsidRDefault="007C4E21" w:rsidP="00F573D4">
            <w:pPr>
              <w:jc w:val="both"/>
              <w:rPr>
                <w:iCs/>
              </w:rPr>
            </w:pPr>
            <w:r>
              <w:rPr>
                <w:iCs/>
              </w:rPr>
              <w:t>3</w:t>
            </w:r>
            <w:r w:rsidR="0044337D">
              <w:rPr>
                <w:iCs/>
              </w:rPr>
              <w:t>.</w:t>
            </w:r>
            <w:r w:rsidR="00D24DB5">
              <w:rPr>
                <w:iCs/>
              </w:rPr>
              <w:t xml:space="preserve"> </w:t>
            </w:r>
            <w:r w:rsidR="00C801FD">
              <w:rPr>
                <w:iCs/>
              </w:rPr>
              <w:t>Patlaban noteikumos Nr. 104 noteikts, ka pārtikas uzņēmumi, k</w:t>
            </w:r>
            <w:r w:rsidR="005B1F41">
              <w:rPr>
                <w:iCs/>
              </w:rPr>
              <w:t>a</w:t>
            </w:r>
            <w:r w:rsidR="00C801FD">
              <w:rPr>
                <w:iCs/>
              </w:rPr>
              <w:t xml:space="preserve">m saskaņā ar </w:t>
            </w:r>
            <w:r w:rsidR="00311502" w:rsidRPr="00311502">
              <w:t xml:space="preserve">Regulas </w:t>
            </w:r>
            <w:r w:rsidR="00311502" w:rsidRPr="00AA4C90">
              <w:t>Nr. 853/2004 4.</w:t>
            </w:r>
            <w:r w:rsidR="00B73D14">
              <w:t xml:space="preserve"> </w:t>
            </w:r>
            <w:r w:rsidR="00311502" w:rsidRPr="00AA4C90">
              <w:t>pantā noteikto</w:t>
            </w:r>
            <w:r w:rsidR="00311502" w:rsidRPr="00AA4C90">
              <w:rPr>
                <w:iCs/>
              </w:rPr>
              <w:t xml:space="preserve"> </w:t>
            </w:r>
            <w:r w:rsidR="006D0D3C" w:rsidRPr="00AA4C90">
              <w:rPr>
                <w:iCs/>
              </w:rPr>
              <w:t>nav nepieciešama atzīšana</w:t>
            </w:r>
            <w:r w:rsidR="006D0D3C">
              <w:rPr>
                <w:iCs/>
              </w:rPr>
              <w:t xml:space="preserve">, </w:t>
            </w:r>
            <w:r w:rsidR="002F4471">
              <w:rPr>
                <w:iCs/>
              </w:rPr>
              <w:t xml:space="preserve">piecu darbdienu laikā pēc uzņēmuma iesnieguma un citu dokumentu saņemšanas </w:t>
            </w:r>
            <w:r w:rsidR="006D0D3C">
              <w:rPr>
                <w:iCs/>
              </w:rPr>
              <w:t>tiek reģistrēti PVD</w:t>
            </w:r>
            <w:r w:rsidR="002F4471">
              <w:rPr>
                <w:iCs/>
              </w:rPr>
              <w:t>.</w:t>
            </w:r>
            <w:r w:rsidR="006D0D3C">
              <w:rPr>
                <w:iCs/>
              </w:rPr>
              <w:t xml:space="preserve"> </w:t>
            </w:r>
            <w:r w:rsidR="004135DB" w:rsidRPr="007813AD">
              <w:rPr>
                <w:iCs/>
              </w:rPr>
              <w:t>Maksa par reģistrāciju</w:t>
            </w:r>
            <w:r w:rsidR="00C91FF7" w:rsidRPr="007813AD">
              <w:rPr>
                <w:iCs/>
              </w:rPr>
              <w:t xml:space="preserve"> netiek piemērota.</w:t>
            </w:r>
            <w:r w:rsidR="004135DB" w:rsidRPr="007813AD">
              <w:rPr>
                <w:iCs/>
              </w:rPr>
              <w:t xml:space="preserve"> </w:t>
            </w:r>
            <w:r w:rsidR="006D0D3C">
              <w:rPr>
                <w:iCs/>
              </w:rPr>
              <w:t xml:space="preserve">Veicot vēlākas pārbaudes šādos </w:t>
            </w:r>
            <w:r w:rsidR="002F4471">
              <w:rPr>
                <w:iCs/>
              </w:rPr>
              <w:t xml:space="preserve">pārtikas </w:t>
            </w:r>
            <w:r w:rsidR="006D0D3C">
              <w:rPr>
                <w:iCs/>
              </w:rPr>
              <w:t xml:space="preserve">uzņēmumos, </w:t>
            </w:r>
            <w:r w:rsidR="00F43578">
              <w:rPr>
                <w:iCs/>
              </w:rPr>
              <w:t>P</w:t>
            </w:r>
            <w:r w:rsidR="001056A0">
              <w:rPr>
                <w:iCs/>
              </w:rPr>
              <w:t>VD</w:t>
            </w:r>
            <w:r w:rsidR="001056A0" w:rsidRPr="001056A0">
              <w:rPr>
                <w:iCs/>
              </w:rPr>
              <w:t xml:space="preserve"> </w:t>
            </w:r>
            <w:r w:rsidR="006D0D3C">
              <w:rPr>
                <w:iCs/>
              </w:rPr>
              <w:t xml:space="preserve">bieži </w:t>
            </w:r>
            <w:r w:rsidR="001056A0">
              <w:rPr>
                <w:iCs/>
              </w:rPr>
              <w:t xml:space="preserve">konstatē pārkāpumus </w:t>
            </w:r>
            <w:r w:rsidR="001056A0" w:rsidRPr="001056A0">
              <w:rPr>
                <w:iCs/>
              </w:rPr>
              <w:t xml:space="preserve">higiēnas prasību </w:t>
            </w:r>
            <w:r w:rsidR="001056A0">
              <w:rPr>
                <w:iCs/>
              </w:rPr>
              <w:t>ievērošan</w:t>
            </w:r>
            <w:r w:rsidR="005B1F41">
              <w:rPr>
                <w:iCs/>
              </w:rPr>
              <w:t>ā</w:t>
            </w:r>
            <w:r w:rsidR="001056A0">
              <w:rPr>
                <w:iCs/>
              </w:rPr>
              <w:t xml:space="preserve">, </w:t>
            </w:r>
            <w:r w:rsidR="001056A0" w:rsidRPr="001056A0">
              <w:rPr>
                <w:iCs/>
              </w:rPr>
              <w:t>proti, netīras telpas, darba virsmas, aprīkojum</w:t>
            </w:r>
            <w:r w:rsidR="005B1F41">
              <w:rPr>
                <w:iCs/>
              </w:rPr>
              <w:t>u</w:t>
            </w:r>
            <w:r w:rsidR="001056A0" w:rsidRPr="001056A0">
              <w:rPr>
                <w:iCs/>
              </w:rPr>
              <w:t>, kas nonāk saskarē ar pārtiku</w:t>
            </w:r>
            <w:r w:rsidR="001056A0">
              <w:rPr>
                <w:iCs/>
              </w:rPr>
              <w:t>, kā arī</w:t>
            </w:r>
            <w:r w:rsidR="001056A0" w:rsidRPr="001056A0">
              <w:rPr>
                <w:iCs/>
              </w:rPr>
              <w:t xml:space="preserve"> uzņēmumos uz vietas neatrodas pārbaudei nepieciešamie dokumenti, vai darbinieki neorientējas tajos latviešu valodas nezināšanas dēļ, nespēj pildīt paškontrolē deklarētās procedūra</w:t>
            </w:r>
            <w:r w:rsidR="001056A0">
              <w:rPr>
                <w:iCs/>
              </w:rPr>
              <w:t xml:space="preserve">s. </w:t>
            </w:r>
            <w:r w:rsidR="001056A0" w:rsidRPr="001056A0">
              <w:rPr>
                <w:iCs/>
              </w:rPr>
              <w:t xml:space="preserve">Tāpat pārbaudēs </w:t>
            </w:r>
            <w:r w:rsidR="005B1F41">
              <w:rPr>
                <w:iCs/>
              </w:rPr>
              <w:t xml:space="preserve">tiek </w:t>
            </w:r>
            <w:r w:rsidR="001056A0" w:rsidRPr="001056A0">
              <w:rPr>
                <w:iCs/>
              </w:rPr>
              <w:t>konstatē</w:t>
            </w:r>
            <w:r w:rsidR="005B1F41">
              <w:rPr>
                <w:iCs/>
              </w:rPr>
              <w:t>ta</w:t>
            </w:r>
            <w:r w:rsidR="001056A0">
              <w:rPr>
                <w:iCs/>
              </w:rPr>
              <w:t xml:space="preserve"> virk</w:t>
            </w:r>
            <w:r w:rsidR="001056A0" w:rsidRPr="001056A0">
              <w:rPr>
                <w:iCs/>
              </w:rPr>
              <w:t>n</w:t>
            </w:r>
            <w:r w:rsidR="005B1F41">
              <w:rPr>
                <w:iCs/>
              </w:rPr>
              <w:t>e</w:t>
            </w:r>
            <w:r w:rsidR="001056A0" w:rsidRPr="001056A0">
              <w:rPr>
                <w:iCs/>
              </w:rPr>
              <w:t xml:space="preserve"> citu </w:t>
            </w:r>
            <w:r w:rsidR="00A40A2C">
              <w:rPr>
                <w:iCs/>
              </w:rPr>
              <w:t xml:space="preserve">pārtikas apriti regulējošajos </w:t>
            </w:r>
            <w:r w:rsidR="001056A0" w:rsidRPr="001056A0">
              <w:rPr>
                <w:iCs/>
              </w:rPr>
              <w:t xml:space="preserve">normatīvajos aktos noteikto prasību </w:t>
            </w:r>
            <w:r w:rsidR="00295B73" w:rsidRPr="001056A0">
              <w:rPr>
                <w:iCs/>
              </w:rPr>
              <w:t>neievērošan</w:t>
            </w:r>
            <w:r w:rsidR="005B1F41">
              <w:rPr>
                <w:iCs/>
              </w:rPr>
              <w:t>a</w:t>
            </w:r>
            <w:r w:rsidR="001056A0" w:rsidRPr="001056A0">
              <w:rPr>
                <w:iCs/>
              </w:rPr>
              <w:t>.</w:t>
            </w:r>
            <w:r w:rsidR="002F4471">
              <w:rPr>
                <w:iCs/>
              </w:rPr>
              <w:t xml:space="preserve"> </w:t>
            </w:r>
          </w:p>
          <w:p w14:paraId="5502F035" w14:textId="135446A0" w:rsidR="005A62C0" w:rsidRDefault="001056A0" w:rsidP="005A62C0">
            <w:pPr>
              <w:jc w:val="both"/>
            </w:pPr>
            <w:r w:rsidRPr="001056A0">
              <w:rPr>
                <w:iCs/>
              </w:rPr>
              <w:t>Uzņēmuma atbildīgajām personām un darbiniekiem pārbaudēs tiek izskaidrotas prasības</w:t>
            </w:r>
            <w:r w:rsidR="006D0D3C">
              <w:rPr>
                <w:iCs/>
              </w:rPr>
              <w:t xml:space="preserve"> un noteikts termiņš neatbilstību novēršanai</w:t>
            </w:r>
            <w:r w:rsidRPr="001056A0">
              <w:rPr>
                <w:iCs/>
              </w:rPr>
              <w:t xml:space="preserve">, bet </w:t>
            </w:r>
            <w:r w:rsidR="006D0D3C">
              <w:rPr>
                <w:iCs/>
              </w:rPr>
              <w:t>uzņēmēji</w:t>
            </w:r>
            <w:r w:rsidRPr="001056A0">
              <w:rPr>
                <w:iCs/>
              </w:rPr>
              <w:t xml:space="preserve"> tajā pašā adresē </w:t>
            </w:r>
            <w:r>
              <w:rPr>
                <w:iCs/>
              </w:rPr>
              <w:t xml:space="preserve">reģistrē </w:t>
            </w:r>
            <w:r w:rsidRPr="001056A0">
              <w:rPr>
                <w:iCs/>
              </w:rPr>
              <w:t>jaun</w:t>
            </w:r>
            <w:r w:rsidR="006D0D3C">
              <w:rPr>
                <w:iCs/>
              </w:rPr>
              <w:t>u</w:t>
            </w:r>
            <w:r w:rsidRPr="001056A0">
              <w:rPr>
                <w:iCs/>
              </w:rPr>
              <w:t xml:space="preserve"> uzņēmum</w:t>
            </w:r>
            <w:r w:rsidR="006D0D3C">
              <w:rPr>
                <w:iCs/>
              </w:rPr>
              <w:t>u</w:t>
            </w:r>
            <w:r w:rsidRPr="001056A0">
              <w:rPr>
                <w:iCs/>
              </w:rPr>
              <w:t xml:space="preserve"> un </w:t>
            </w:r>
            <w:r w:rsidR="006D0D3C">
              <w:rPr>
                <w:iCs/>
              </w:rPr>
              <w:t xml:space="preserve">konstatētās </w:t>
            </w:r>
            <w:r w:rsidRPr="001056A0">
              <w:rPr>
                <w:iCs/>
              </w:rPr>
              <w:t xml:space="preserve">neatbilstības atkārtojas. Dažkārt jauns uzņēmums jau </w:t>
            </w:r>
            <w:r w:rsidR="005B1F41">
              <w:rPr>
                <w:iCs/>
              </w:rPr>
              <w:t xml:space="preserve">ir </w:t>
            </w:r>
            <w:r w:rsidRPr="001056A0">
              <w:rPr>
                <w:iCs/>
              </w:rPr>
              <w:t>piereģistrēts, bet strādā vēl iepriekšējais vai darbojas divas juridiskās personas paralēli</w:t>
            </w:r>
            <w:r w:rsidR="0004260C">
              <w:rPr>
                <w:iCs/>
              </w:rPr>
              <w:t>,</w:t>
            </w:r>
            <w:r w:rsidR="00461DC1">
              <w:t xml:space="preserve"> </w:t>
            </w:r>
            <w:r w:rsidR="002F4471">
              <w:rPr>
                <w:iCs/>
              </w:rPr>
              <w:t>neveicot pirmsreģistrācijas pārbaudi.</w:t>
            </w:r>
          </w:p>
          <w:p w14:paraId="3124D0F7" w14:textId="053578A5" w:rsidR="00565078" w:rsidRPr="00FB116C" w:rsidRDefault="00565078" w:rsidP="00565078">
            <w:pPr>
              <w:jc w:val="both"/>
            </w:pPr>
            <w:r w:rsidRPr="00FB116C">
              <w:t>Analizējot 2020.</w:t>
            </w:r>
            <w:r w:rsidR="005A174A">
              <w:t xml:space="preserve"> </w:t>
            </w:r>
            <w:r w:rsidRPr="00FB116C">
              <w:t>gadā reģistrēto uzņēmumu uzraudzības rezultātus, iegūti šādi dati:</w:t>
            </w:r>
          </w:p>
          <w:p w14:paraId="6C715ECE" w14:textId="0BD7A843" w:rsidR="00565078" w:rsidRPr="00FB116C" w:rsidRDefault="00565078" w:rsidP="00565078">
            <w:pPr>
              <w:jc w:val="both"/>
            </w:pPr>
            <w:r w:rsidRPr="00FB116C">
              <w:t>1) no jauna kopā reģistrēti 2898 pārtikas uzņēmumi, no kuriem atzīšanai bija pakļauti 50 uzņēmumi jeb ~ 1,7%</w:t>
            </w:r>
            <w:r w:rsidR="005B1F41">
              <w:t>,</w:t>
            </w:r>
            <w:r w:rsidRPr="00FB116C">
              <w:t xml:space="preserve"> aptuveni 1300 uzņēmumi </w:t>
            </w:r>
            <w:r w:rsidR="005B1F41">
              <w:t xml:space="preserve">ir </w:t>
            </w:r>
            <w:r w:rsidRPr="00FB116C">
              <w:t>mainījuši juridisko personu, darbības vietu vai darbības veidus (aktualizācija)</w:t>
            </w:r>
            <w:r w:rsidR="005B1F41">
              <w:t>;</w:t>
            </w:r>
            <w:r w:rsidRPr="00FB116C">
              <w:t xml:space="preserve"> </w:t>
            </w:r>
          </w:p>
          <w:p w14:paraId="544F0530" w14:textId="6B5ECB48" w:rsidR="00565078" w:rsidRPr="00FB116C" w:rsidRDefault="00565078" w:rsidP="00565078">
            <w:pPr>
              <w:jc w:val="both"/>
            </w:pPr>
            <w:r w:rsidRPr="00FB116C">
              <w:t>2) no visiem jaunajiem reģistrētajiem uzņēmumiem pirmajā plānotajā pārbaudē 1150 uzņēmumos tika konstatētas neatbilstības, bet ~550 uzņēmumos bija piecas vai vairāk</w:t>
            </w:r>
            <w:r w:rsidR="005B1F41" w:rsidRPr="00FB116C">
              <w:t xml:space="preserve"> neatbilstības</w:t>
            </w:r>
            <w:r w:rsidRPr="00FB116C">
              <w:t>.</w:t>
            </w:r>
          </w:p>
          <w:p w14:paraId="1C147FFF" w14:textId="77777777" w:rsidR="00565078" w:rsidRPr="00FB116C" w:rsidRDefault="00565078" w:rsidP="005A62C0">
            <w:pPr>
              <w:jc w:val="both"/>
              <w:rPr>
                <w:strike/>
              </w:rPr>
            </w:pPr>
          </w:p>
          <w:p w14:paraId="53B65531" w14:textId="394C5D11" w:rsidR="00461DC1" w:rsidRDefault="00461DC1" w:rsidP="00F573D4">
            <w:pPr>
              <w:jc w:val="both"/>
              <w:rPr>
                <w:iCs/>
              </w:rPr>
            </w:pPr>
            <w:r w:rsidRPr="00461DC1">
              <w:rPr>
                <w:iCs/>
              </w:rPr>
              <w:t xml:space="preserve">Šādu objektu pārbaudes prasa būtiskus PVD personāla un finanšu resursus, kas jau tā ir ierobežoti. PVD piemērotie naudas sodi valsts kasē </w:t>
            </w:r>
            <w:r w:rsidR="005B1F41">
              <w:rPr>
                <w:iCs/>
              </w:rPr>
              <w:t>b</w:t>
            </w:r>
            <w:r w:rsidR="005B1F41" w:rsidRPr="00461DC1">
              <w:rPr>
                <w:iCs/>
              </w:rPr>
              <w:t xml:space="preserve">ieži </w:t>
            </w:r>
            <w:r w:rsidRPr="00461DC1">
              <w:rPr>
                <w:iCs/>
              </w:rPr>
              <w:t xml:space="preserve">nenonāk, jo konkrētais pie </w:t>
            </w:r>
            <w:r w:rsidRPr="00461DC1">
              <w:rPr>
                <w:iCs/>
              </w:rPr>
              <w:lastRenderedPageBreak/>
              <w:t xml:space="preserve">administratīvās atbildības sauktais uzņēmums tiek likvidēts un zvērinātais tiesu izpildītājs </w:t>
            </w:r>
            <w:r w:rsidR="005B1F41">
              <w:rPr>
                <w:iCs/>
              </w:rPr>
              <w:t>ne</w:t>
            </w:r>
            <w:r w:rsidRPr="00461DC1">
              <w:rPr>
                <w:iCs/>
              </w:rPr>
              <w:t>piedz</w:t>
            </w:r>
            <w:r w:rsidR="005B1F41">
              <w:rPr>
                <w:iCs/>
              </w:rPr>
              <w:t>en naudas sodu</w:t>
            </w:r>
            <w:r w:rsidRPr="00461DC1">
              <w:rPr>
                <w:iCs/>
              </w:rPr>
              <w:t>.</w:t>
            </w:r>
          </w:p>
          <w:p w14:paraId="36025407" w14:textId="770EB927" w:rsidR="00AE610C" w:rsidRPr="007813AD" w:rsidRDefault="001056A0" w:rsidP="00AE610C">
            <w:pPr>
              <w:jc w:val="both"/>
              <w:rPr>
                <w:iCs/>
              </w:rPr>
            </w:pPr>
            <w:r w:rsidRPr="001056A0">
              <w:rPr>
                <w:iCs/>
              </w:rPr>
              <w:t xml:space="preserve">Lai novērstu </w:t>
            </w:r>
            <w:r>
              <w:rPr>
                <w:iCs/>
              </w:rPr>
              <w:t xml:space="preserve">minēto situāciju </w:t>
            </w:r>
            <w:r w:rsidR="006945A8">
              <w:rPr>
                <w:iCs/>
              </w:rPr>
              <w:t>un nodrošinātu nekaitīgas pārtikas ražošanu</w:t>
            </w:r>
            <w:r w:rsidR="00905D4B">
              <w:rPr>
                <w:iCs/>
              </w:rPr>
              <w:t>,</w:t>
            </w:r>
            <w:r w:rsidR="006945A8">
              <w:rPr>
                <w:iCs/>
              </w:rPr>
              <w:t xml:space="preserve"> </w:t>
            </w:r>
            <w:r>
              <w:rPr>
                <w:iCs/>
              </w:rPr>
              <w:t>noteikum</w:t>
            </w:r>
            <w:r w:rsidR="006D0D3C">
              <w:rPr>
                <w:iCs/>
              </w:rPr>
              <w:t>os</w:t>
            </w:r>
            <w:r>
              <w:rPr>
                <w:iCs/>
              </w:rPr>
              <w:t xml:space="preserve"> </w:t>
            </w:r>
            <w:r w:rsidR="006D0D3C">
              <w:rPr>
                <w:iCs/>
              </w:rPr>
              <w:t>Nr. 104 nepieciešams</w:t>
            </w:r>
            <w:r>
              <w:rPr>
                <w:iCs/>
              </w:rPr>
              <w:t xml:space="preserve"> paredzēt</w:t>
            </w:r>
            <w:r w:rsidR="00461DC1">
              <w:rPr>
                <w:iCs/>
              </w:rPr>
              <w:t xml:space="preserve">, </w:t>
            </w:r>
            <w:r>
              <w:rPr>
                <w:iCs/>
              </w:rPr>
              <w:t>k</w:t>
            </w:r>
            <w:r w:rsidR="00461DC1">
              <w:rPr>
                <w:iCs/>
              </w:rPr>
              <w:t>a</w:t>
            </w:r>
            <w:r>
              <w:rPr>
                <w:iCs/>
              </w:rPr>
              <w:t xml:space="preserve"> </w:t>
            </w:r>
            <w:r w:rsidR="00F13122">
              <w:rPr>
                <w:iCs/>
              </w:rPr>
              <w:t xml:space="preserve">pārtikas </w:t>
            </w:r>
            <w:r w:rsidR="00461DC1">
              <w:rPr>
                <w:iCs/>
              </w:rPr>
              <w:t>uzņēmum</w:t>
            </w:r>
            <w:r w:rsidR="006D0D3C">
              <w:rPr>
                <w:iCs/>
              </w:rPr>
              <w:t>os</w:t>
            </w:r>
            <w:r w:rsidR="000E2DED">
              <w:rPr>
                <w:iCs/>
              </w:rPr>
              <w:t>, k</w:t>
            </w:r>
            <w:r w:rsidR="005B1F41">
              <w:rPr>
                <w:iCs/>
              </w:rPr>
              <w:t>as</w:t>
            </w:r>
            <w:r w:rsidR="000E2DED">
              <w:rPr>
                <w:iCs/>
              </w:rPr>
              <w:t xml:space="preserve"> nodarbojas ar pārtikas pārstrādi</w:t>
            </w:r>
            <w:r w:rsidR="009F4F56">
              <w:rPr>
                <w:iCs/>
              </w:rPr>
              <w:t>, tostarp ēdiena gatavošanu,</w:t>
            </w:r>
            <w:r w:rsidR="00F13122">
              <w:rPr>
                <w:iCs/>
              </w:rPr>
              <w:t xml:space="preserve"> un k</w:t>
            </w:r>
            <w:r w:rsidR="005B1F41">
              <w:rPr>
                <w:iCs/>
              </w:rPr>
              <w:t>o</w:t>
            </w:r>
            <w:r w:rsidR="00F13122">
              <w:rPr>
                <w:iCs/>
              </w:rPr>
              <w:t xml:space="preserve"> nav nepieciešams atzīt</w:t>
            </w:r>
            <w:r w:rsidR="005B1F41">
              <w:rPr>
                <w:iCs/>
              </w:rPr>
              <w:t>,</w:t>
            </w:r>
            <w:r w:rsidR="00461DC1">
              <w:rPr>
                <w:iCs/>
              </w:rPr>
              <w:t xml:space="preserve"> </w:t>
            </w:r>
            <w:r w:rsidR="00B32DB3" w:rsidRPr="001056A0">
              <w:rPr>
                <w:iCs/>
              </w:rPr>
              <w:t>PVD</w:t>
            </w:r>
            <w:r w:rsidR="00B32DB3">
              <w:rPr>
                <w:iCs/>
              </w:rPr>
              <w:t xml:space="preserve"> </w:t>
            </w:r>
            <w:r w:rsidR="00660BE9">
              <w:rPr>
                <w:iCs/>
              </w:rPr>
              <w:t xml:space="preserve">uzsāk </w:t>
            </w:r>
            <w:r w:rsidR="00461DC1">
              <w:rPr>
                <w:iCs/>
              </w:rPr>
              <w:t>pirmsreģistrācijas pārbaudes un</w:t>
            </w:r>
            <w:r w:rsidR="00163336">
              <w:rPr>
                <w:iCs/>
              </w:rPr>
              <w:t xml:space="preserve"> </w:t>
            </w:r>
            <w:r w:rsidR="00295B73" w:rsidRPr="001056A0">
              <w:rPr>
                <w:iCs/>
              </w:rPr>
              <w:t xml:space="preserve">tikai pēc </w:t>
            </w:r>
            <w:r w:rsidR="006D0D3C">
              <w:rPr>
                <w:iCs/>
              </w:rPr>
              <w:t>tās</w:t>
            </w:r>
            <w:r w:rsidR="00295B73" w:rsidRPr="001056A0">
              <w:rPr>
                <w:iCs/>
              </w:rPr>
              <w:t xml:space="preserve"> </w:t>
            </w:r>
            <w:r w:rsidRPr="001056A0">
              <w:rPr>
                <w:iCs/>
              </w:rPr>
              <w:t xml:space="preserve">uzņēmums </w:t>
            </w:r>
            <w:r w:rsidR="006D0D3C">
              <w:rPr>
                <w:iCs/>
              </w:rPr>
              <w:t xml:space="preserve">var </w:t>
            </w:r>
            <w:r w:rsidRPr="001056A0">
              <w:rPr>
                <w:iCs/>
              </w:rPr>
              <w:t>tikt iekļauts PVD uzraudzība</w:t>
            </w:r>
            <w:r w:rsidR="00660BE9">
              <w:rPr>
                <w:iCs/>
              </w:rPr>
              <w:t>s</w:t>
            </w:r>
            <w:r w:rsidRPr="001056A0">
              <w:rPr>
                <w:iCs/>
              </w:rPr>
              <w:t xml:space="preserve"> </w:t>
            </w:r>
            <w:r w:rsidR="006D0D3C">
              <w:rPr>
                <w:iCs/>
              </w:rPr>
              <w:t>objektu</w:t>
            </w:r>
            <w:r w:rsidRPr="001056A0">
              <w:rPr>
                <w:iCs/>
              </w:rPr>
              <w:t xml:space="preserve"> reģistrā un drīkst uzsākt darbību pārtikas apritē</w:t>
            </w:r>
            <w:r w:rsidR="00461DC1">
              <w:rPr>
                <w:iCs/>
              </w:rPr>
              <w:t>.</w:t>
            </w:r>
            <w:r w:rsidRPr="001056A0">
              <w:rPr>
                <w:iCs/>
              </w:rPr>
              <w:t xml:space="preserve"> </w:t>
            </w:r>
          </w:p>
          <w:p w14:paraId="57A94226" w14:textId="792078D7" w:rsidR="00697E5B" w:rsidRDefault="00830D52" w:rsidP="00F573D4">
            <w:pPr>
              <w:jc w:val="both"/>
            </w:pPr>
            <w:r w:rsidRPr="007813AD">
              <w:rPr>
                <w:iCs/>
              </w:rPr>
              <w:t>Šādu</w:t>
            </w:r>
            <w:r>
              <w:rPr>
                <w:iCs/>
                <w:color w:val="FF0000"/>
              </w:rPr>
              <w:t xml:space="preserve"> </w:t>
            </w:r>
            <w:r>
              <w:rPr>
                <w:iCs/>
              </w:rPr>
              <w:t>u</w:t>
            </w:r>
            <w:r w:rsidR="001056A0" w:rsidRPr="00AE610C">
              <w:rPr>
                <w:iCs/>
              </w:rPr>
              <w:t>zņēmum</w:t>
            </w:r>
            <w:r w:rsidRPr="007813AD">
              <w:rPr>
                <w:iCs/>
              </w:rPr>
              <w:t>u</w:t>
            </w:r>
            <w:r w:rsidR="001056A0" w:rsidRPr="00AE610C">
              <w:rPr>
                <w:iCs/>
                <w:color w:val="FF0000"/>
              </w:rPr>
              <w:t xml:space="preserve"> </w:t>
            </w:r>
            <w:r w:rsidR="001056A0" w:rsidRPr="001056A0">
              <w:rPr>
                <w:iCs/>
              </w:rPr>
              <w:t xml:space="preserve">pirmsreģistrācijas pārbaudē </w:t>
            </w:r>
            <w:r w:rsidR="00660BE9">
              <w:rPr>
                <w:iCs/>
              </w:rPr>
              <w:t xml:space="preserve">PVD </w:t>
            </w:r>
            <w:r w:rsidR="001056A0" w:rsidRPr="001056A0">
              <w:rPr>
                <w:iCs/>
              </w:rPr>
              <w:t>inspektors novērtē</w:t>
            </w:r>
            <w:r w:rsidR="00461DC1">
              <w:rPr>
                <w:iCs/>
              </w:rPr>
              <w:t>s</w:t>
            </w:r>
            <w:r w:rsidR="001056A0" w:rsidRPr="001056A0">
              <w:rPr>
                <w:iCs/>
              </w:rPr>
              <w:t>, vai uzņēmums spēs izpildīt</w:t>
            </w:r>
            <w:r w:rsidR="00F13122" w:rsidRPr="00F13122">
              <w:rPr>
                <w:rFonts w:eastAsia="Calibri"/>
                <w:sz w:val="28"/>
                <w:szCs w:val="28"/>
                <w:lang w:eastAsia="en-US"/>
              </w:rPr>
              <w:t xml:space="preserve"> </w:t>
            </w:r>
            <w:r w:rsidR="00F13122" w:rsidRPr="00F13122">
              <w:rPr>
                <w:iCs/>
              </w:rPr>
              <w:t>Parlamenta un Padomes Regulā Nr. 852/2004</w:t>
            </w:r>
            <w:r w:rsidR="001056A0" w:rsidRPr="001056A0">
              <w:rPr>
                <w:iCs/>
              </w:rPr>
              <w:t xml:space="preserve"> </w:t>
            </w:r>
            <w:r w:rsidR="00A90658">
              <w:rPr>
                <w:iCs/>
              </w:rPr>
              <w:t xml:space="preserve">un </w:t>
            </w:r>
            <w:r w:rsidR="001056A0" w:rsidRPr="00A90658">
              <w:rPr>
                <w:iCs/>
              </w:rPr>
              <w:t>normatīvajos aktos</w:t>
            </w:r>
            <w:r w:rsidR="00A90658">
              <w:rPr>
                <w:iCs/>
              </w:rPr>
              <w:t xml:space="preserve"> </w:t>
            </w:r>
            <w:r w:rsidR="00A90658" w:rsidRPr="00A90658">
              <w:rPr>
                <w:iCs/>
              </w:rPr>
              <w:t xml:space="preserve">pārtikas aprites jomā </w:t>
            </w:r>
            <w:r w:rsidR="001056A0" w:rsidRPr="00F13122">
              <w:rPr>
                <w:iCs/>
              </w:rPr>
              <w:t>noteiktās prasības.</w:t>
            </w:r>
            <w:r w:rsidR="001056A0" w:rsidRPr="001056A0">
              <w:rPr>
                <w:iCs/>
              </w:rPr>
              <w:t xml:space="preserve"> Turklāt</w:t>
            </w:r>
            <w:r w:rsidR="00AC3932">
              <w:rPr>
                <w:iCs/>
              </w:rPr>
              <w:t xml:space="preserve"> par</w:t>
            </w:r>
            <w:r w:rsidR="001056A0" w:rsidRPr="001056A0">
              <w:rPr>
                <w:iCs/>
              </w:rPr>
              <w:t xml:space="preserve"> pirmsreģistrācijas pārbaud</w:t>
            </w:r>
            <w:r w:rsidR="00AC3932">
              <w:rPr>
                <w:iCs/>
              </w:rPr>
              <w:t>i būs jāmaksā</w:t>
            </w:r>
            <w:r w:rsidR="00461DC1">
              <w:rPr>
                <w:iCs/>
              </w:rPr>
              <w:t xml:space="preserve"> saskaņā ar </w:t>
            </w:r>
            <w:r w:rsidR="00191985" w:rsidRPr="00191985">
              <w:rPr>
                <w:iCs/>
              </w:rPr>
              <w:t xml:space="preserve">Ministru kabineta </w:t>
            </w:r>
            <w:r w:rsidR="00191985">
              <w:rPr>
                <w:iCs/>
              </w:rPr>
              <w:t>2019.</w:t>
            </w:r>
            <w:r w:rsidR="005B1F41">
              <w:rPr>
                <w:iCs/>
              </w:rPr>
              <w:t xml:space="preserve"> </w:t>
            </w:r>
            <w:r w:rsidR="00191985">
              <w:rPr>
                <w:iCs/>
              </w:rPr>
              <w:t>gada 17.</w:t>
            </w:r>
            <w:r w:rsidR="005B1F41">
              <w:rPr>
                <w:iCs/>
              </w:rPr>
              <w:t> </w:t>
            </w:r>
            <w:r w:rsidR="00191985">
              <w:rPr>
                <w:iCs/>
              </w:rPr>
              <w:t xml:space="preserve">decembra </w:t>
            </w:r>
            <w:r w:rsidR="00191985" w:rsidRPr="00191985">
              <w:rPr>
                <w:iCs/>
              </w:rPr>
              <w:t>noteikum</w:t>
            </w:r>
            <w:r w:rsidR="00AC3932">
              <w:rPr>
                <w:iCs/>
              </w:rPr>
              <w:t>u</w:t>
            </w:r>
            <w:r w:rsidR="00191985">
              <w:rPr>
                <w:iCs/>
              </w:rPr>
              <w:t xml:space="preserve"> </w:t>
            </w:r>
            <w:r w:rsidR="00191985" w:rsidRPr="00191985">
              <w:rPr>
                <w:iCs/>
              </w:rPr>
              <w:t>Nr. 681</w:t>
            </w:r>
            <w:r w:rsidR="00191985">
              <w:rPr>
                <w:iCs/>
              </w:rPr>
              <w:t xml:space="preserve"> “</w:t>
            </w:r>
            <w:r w:rsidR="00191985" w:rsidRPr="00191985">
              <w:rPr>
                <w:iCs/>
              </w:rPr>
              <w:t>Noteikumi par kārtību, kādā aprēķina un veic maksājumus par Pārtikas un veterinārā dienesta valsts uzraudzības un kontroles darbībām, un maksas</w:t>
            </w:r>
            <w:r w:rsidR="001B5F1E">
              <w:rPr>
                <w:iCs/>
              </w:rPr>
              <w:t xml:space="preserve"> pakalpojumiem</w:t>
            </w:r>
            <w:r w:rsidR="00191985">
              <w:rPr>
                <w:iCs/>
              </w:rPr>
              <w:t>”</w:t>
            </w:r>
            <w:r w:rsidR="00955FB1">
              <w:rPr>
                <w:iCs/>
              </w:rPr>
              <w:t xml:space="preserve"> (turpmāk – </w:t>
            </w:r>
            <w:r w:rsidR="00955FB1" w:rsidRPr="0044337D">
              <w:rPr>
                <w:bCs/>
                <w:color w:val="000000" w:themeColor="text1"/>
                <w:shd w:val="clear" w:color="auto" w:fill="FFFFFF"/>
              </w:rPr>
              <w:t>noteikumi Nr.</w:t>
            </w:r>
            <w:r w:rsidR="00955FB1">
              <w:rPr>
                <w:bCs/>
                <w:color w:val="000000" w:themeColor="text1"/>
                <w:shd w:val="clear" w:color="auto" w:fill="FFFFFF"/>
              </w:rPr>
              <w:t xml:space="preserve"> </w:t>
            </w:r>
            <w:r w:rsidR="00955FB1" w:rsidRPr="0044337D">
              <w:rPr>
                <w:bCs/>
                <w:color w:val="000000" w:themeColor="text1"/>
                <w:shd w:val="clear" w:color="auto" w:fill="FFFFFF"/>
              </w:rPr>
              <w:t>681</w:t>
            </w:r>
            <w:r w:rsidR="00955FB1">
              <w:rPr>
                <w:bCs/>
                <w:color w:val="000000" w:themeColor="text1"/>
                <w:shd w:val="clear" w:color="auto" w:fill="FFFFFF"/>
              </w:rPr>
              <w:t>)</w:t>
            </w:r>
            <w:r w:rsidR="00191985">
              <w:rPr>
                <w:iCs/>
              </w:rPr>
              <w:t xml:space="preserve"> </w:t>
            </w:r>
            <w:r w:rsidR="00AC3932">
              <w:rPr>
                <w:iCs/>
              </w:rPr>
              <w:t>1. pielikuma 15. punktu noteiktā maksa. M</w:t>
            </w:r>
            <w:r w:rsidR="001056A0" w:rsidRPr="001056A0">
              <w:rPr>
                <w:iCs/>
              </w:rPr>
              <w:t>aksas pakalpojum</w:t>
            </w:r>
            <w:r w:rsidR="00191985">
              <w:rPr>
                <w:iCs/>
              </w:rPr>
              <w:t>s</w:t>
            </w:r>
            <w:r w:rsidR="008B3F22">
              <w:rPr>
                <w:iCs/>
              </w:rPr>
              <w:t xml:space="preserve"> papildus mudinās uzņēmējus </w:t>
            </w:r>
            <w:r w:rsidR="005B1F41">
              <w:rPr>
                <w:iCs/>
              </w:rPr>
              <w:t xml:space="preserve">pirms pieteikšanās PVD reģistrācijas procesam </w:t>
            </w:r>
            <w:r w:rsidR="008B3F22">
              <w:rPr>
                <w:iCs/>
              </w:rPr>
              <w:t>sakārtot uzņēmumus atbilstoši prasībām</w:t>
            </w:r>
            <w:r w:rsidR="00191985">
              <w:rPr>
                <w:iCs/>
              </w:rPr>
              <w:t>.</w:t>
            </w:r>
            <w:r w:rsidR="00311502">
              <w:rPr>
                <w:iCs/>
              </w:rPr>
              <w:t xml:space="preserve"> </w:t>
            </w:r>
            <w:r w:rsidR="00311502" w:rsidRPr="00311502">
              <w:t>Noteikum</w:t>
            </w:r>
            <w:r w:rsidR="00311502">
              <w:t>os Nr. 104 tiks noteikta</w:t>
            </w:r>
            <w:r w:rsidR="00311502" w:rsidRPr="00311502">
              <w:t xml:space="preserve"> pirmsreģistrācijas pārbaudes </w:t>
            </w:r>
            <w:r w:rsidR="00884A48">
              <w:t>norise</w:t>
            </w:r>
            <w:r w:rsidR="00311502">
              <w:t xml:space="preserve"> un lēmumu pieņemšanas termiņi.</w:t>
            </w:r>
          </w:p>
          <w:p w14:paraId="2F87AC3E" w14:textId="7D63F7BF" w:rsidR="00EA6D7E" w:rsidRDefault="005B1F41" w:rsidP="00F573D4">
            <w:pPr>
              <w:jc w:val="both"/>
              <w:rPr>
                <w:rFonts w:eastAsia="Calibri"/>
              </w:rPr>
            </w:pPr>
            <w:r>
              <w:t>Ie</w:t>
            </w:r>
            <w:r w:rsidR="00955FB1">
              <w:t>vēr</w:t>
            </w:r>
            <w:r>
              <w:t>ojot</w:t>
            </w:r>
            <w:r w:rsidR="00955FB1">
              <w:t xml:space="preserve"> minēto, ir s</w:t>
            </w:r>
            <w:r w:rsidR="00955FB1" w:rsidRPr="00311502">
              <w:t xml:space="preserve">agatavots Ministru kabineta noteikumu projekts </w:t>
            </w:r>
            <w:r>
              <w:t>“</w:t>
            </w:r>
            <w:r w:rsidR="00955FB1" w:rsidRPr="00311502">
              <w:t>Grozījumi Ministru kabineta 2010.</w:t>
            </w:r>
            <w:r w:rsidR="00955FB1">
              <w:t> </w:t>
            </w:r>
            <w:r w:rsidR="00955FB1" w:rsidRPr="00311502">
              <w:t>gada 2.</w:t>
            </w:r>
            <w:r w:rsidR="00955FB1">
              <w:t> </w:t>
            </w:r>
            <w:r w:rsidR="00955FB1" w:rsidRPr="00311502">
              <w:t>februāra noteikumos Nr.</w:t>
            </w:r>
            <w:r w:rsidR="00955FB1">
              <w:t> </w:t>
            </w:r>
            <w:r w:rsidR="00955FB1" w:rsidRPr="00311502">
              <w:t xml:space="preserve">104 </w:t>
            </w:r>
            <w:r w:rsidR="00955FB1">
              <w:t>“</w:t>
            </w:r>
            <w:r w:rsidR="00955FB1" w:rsidRPr="00311502">
              <w:t>Pārtikas uzņēmumu atzīšanas un reģistrācijas kārtīb</w:t>
            </w:r>
            <w:r w:rsidR="00955FB1">
              <w:t>a”</w:t>
            </w:r>
            <w:r w:rsidR="00955FB1" w:rsidRPr="00311502">
              <w:t>”</w:t>
            </w:r>
            <w:r w:rsidR="00697E5B">
              <w:t xml:space="preserve">, kurš </w:t>
            </w:r>
            <w:r w:rsidR="005C5406">
              <w:rPr>
                <w:rFonts w:eastAsia="Calibri"/>
              </w:rPr>
              <w:t>paredz</w:t>
            </w:r>
            <w:r w:rsidR="00EA6D7E">
              <w:rPr>
                <w:rFonts w:eastAsia="Calibri"/>
              </w:rPr>
              <w:t>:</w:t>
            </w:r>
          </w:p>
          <w:p w14:paraId="60D30C72" w14:textId="7F2463F4" w:rsidR="00EA6D7E" w:rsidRDefault="00EA6D7E" w:rsidP="00F573D4">
            <w:pPr>
              <w:jc w:val="both"/>
              <w:rPr>
                <w:rFonts w:eastAsia="Calibri"/>
              </w:rPr>
            </w:pPr>
            <w:r>
              <w:rPr>
                <w:rFonts w:eastAsia="Calibri"/>
              </w:rPr>
              <w:t>1)</w:t>
            </w:r>
            <w:r w:rsidR="00DF2058">
              <w:rPr>
                <w:rFonts w:eastAsia="Calibri"/>
              </w:rPr>
              <w:t xml:space="preserve"> </w:t>
            </w:r>
            <w:r>
              <w:rPr>
                <w:rFonts w:eastAsia="Calibri"/>
              </w:rPr>
              <w:t xml:space="preserve">precizēt atsauces uz </w:t>
            </w:r>
            <w:r w:rsidR="005B1F41">
              <w:rPr>
                <w:rFonts w:eastAsia="Calibri"/>
              </w:rPr>
              <w:t>r</w:t>
            </w:r>
            <w:r>
              <w:rPr>
                <w:rFonts w:eastAsia="Calibri"/>
              </w:rPr>
              <w:t>egulām;</w:t>
            </w:r>
          </w:p>
          <w:p w14:paraId="071C2159" w14:textId="1D04453F" w:rsidR="00EA6D7E" w:rsidRDefault="00DF2058" w:rsidP="00F573D4">
            <w:pPr>
              <w:jc w:val="both"/>
              <w:rPr>
                <w:rFonts w:eastAsia="Calibri"/>
              </w:rPr>
            </w:pPr>
            <w:r>
              <w:rPr>
                <w:rFonts w:eastAsia="Calibri"/>
              </w:rPr>
              <w:t xml:space="preserve">2) </w:t>
            </w:r>
            <w:r w:rsidR="00EA6D7E">
              <w:rPr>
                <w:rFonts w:eastAsia="Calibri"/>
              </w:rPr>
              <w:t xml:space="preserve">noteikt, ka PVD </w:t>
            </w:r>
            <w:r w:rsidR="00697E5B">
              <w:rPr>
                <w:rFonts w:eastAsia="Calibri"/>
              </w:rPr>
              <w:t xml:space="preserve">uzraudzības objektu reģistrā </w:t>
            </w:r>
            <w:r w:rsidR="00EA6D7E">
              <w:rPr>
                <w:rFonts w:eastAsia="Calibri"/>
              </w:rPr>
              <w:t>reģistrē</w:t>
            </w:r>
            <w:r w:rsidR="007E39D1">
              <w:rPr>
                <w:rFonts w:eastAsia="Calibri"/>
              </w:rPr>
              <w:t xml:space="preserve"> </w:t>
            </w:r>
            <w:r w:rsidR="007E39D1" w:rsidRPr="007E39D1">
              <w:rPr>
                <w:rFonts w:eastAsia="Calibri"/>
              </w:rPr>
              <w:t>ilgstošas sociālās aprūpes un sociālās rehabilitācijas institūciju,</w:t>
            </w:r>
            <w:r w:rsidR="00697E5B">
              <w:rPr>
                <w:rFonts w:eastAsia="Calibri"/>
              </w:rPr>
              <w:t xml:space="preserve"> </w:t>
            </w:r>
            <w:r w:rsidR="00EA6D7E" w:rsidRPr="00EA6D7E">
              <w:rPr>
                <w:rFonts w:eastAsia="Calibri"/>
              </w:rPr>
              <w:t>sociālo pakalpojumu sniedzēju reģistrā reģistrētu sociālo pakalpojumu sniedzēju un pašvaldības sociālo dienestu, kas veic darbības pārtikas apritē</w:t>
            </w:r>
            <w:r w:rsidR="00EA6D7E">
              <w:rPr>
                <w:rFonts w:eastAsia="Calibri"/>
              </w:rPr>
              <w:t>;</w:t>
            </w:r>
          </w:p>
          <w:p w14:paraId="1832776A" w14:textId="1AC7BCC2" w:rsidR="008D3822" w:rsidRDefault="00DF2058" w:rsidP="008D3822">
            <w:pPr>
              <w:jc w:val="both"/>
              <w:rPr>
                <w:szCs w:val="23"/>
              </w:rPr>
            </w:pPr>
            <w:r>
              <w:rPr>
                <w:rFonts w:eastAsia="Calibri"/>
              </w:rPr>
              <w:t xml:space="preserve">3) </w:t>
            </w:r>
            <w:r w:rsidR="00EA6D7E">
              <w:rPr>
                <w:rFonts w:eastAsia="Calibri"/>
              </w:rPr>
              <w:t xml:space="preserve">noteikt, ka PVD veic </w:t>
            </w:r>
            <w:r w:rsidR="005B1F41" w:rsidRPr="00EA6D7E">
              <w:rPr>
                <w:rFonts w:eastAsia="Calibri"/>
              </w:rPr>
              <w:t>pirmsreģistrācijas pārbaud</w:t>
            </w:r>
            <w:r w:rsidR="005B1F41">
              <w:rPr>
                <w:rFonts w:eastAsia="Calibri"/>
              </w:rPr>
              <w:t>i</w:t>
            </w:r>
            <w:r w:rsidR="005B1F41" w:rsidRPr="00EA6D7E">
              <w:rPr>
                <w:rFonts w:eastAsia="Calibri"/>
              </w:rPr>
              <w:t xml:space="preserve"> </w:t>
            </w:r>
            <w:r w:rsidR="00EA6D7E" w:rsidRPr="00EA6D7E">
              <w:rPr>
                <w:rFonts w:eastAsia="Calibri"/>
              </w:rPr>
              <w:t>pārtikas uzņēmum</w:t>
            </w:r>
            <w:r w:rsidR="005B1F41">
              <w:rPr>
                <w:rFonts w:eastAsia="Calibri"/>
              </w:rPr>
              <w:t>am</w:t>
            </w:r>
            <w:r w:rsidR="00EA6D7E" w:rsidRPr="00EA6D7E">
              <w:rPr>
                <w:rFonts w:eastAsia="Calibri"/>
              </w:rPr>
              <w:t xml:space="preserve">, kas nodarbojas ar pārtikas pārstrādi, tostarp ēdiena gatavošanu, </w:t>
            </w:r>
            <w:r w:rsidR="00697E5B" w:rsidRPr="00697E5B">
              <w:rPr>
                <w:rFonts w:eastAsia="Calibri"/>
              </w:rPr>
              <w:t>un k</w:t>
            </w:r>
            <w:r w:rsidR="005B1F41">
              <w:rPr>
                <w:rFonts w:eastAsia="Calibri"/>
              </w:rPr>
              <w:t>o</w:t>
            </w:r>
            <w:r w:rsidR="00697E5B" w:rsidRPr="00697E5B">
              <w:rPr>
                <w:rFonts w:eastAsia="Calibri"/>
              </w:rPr>
              <w:t xml:space="preserve"> nav nepieciešams atzīt</w:t>
            </w:r>
            <w:r>
              <w:rPr>
                <w:rFonts w:eastAsia="Calibri"/>
              </w:rPr>
              <w:t>.</w:t>
            </w:r>
            <w:r w:rsidR="00EA6D7E" w:rsidRPr="00EA6D7E">
              <w:rPr>
                <w:rFonts w:eastAsia="Calibri"/>
              </w:rPr>
              <w:t xml:space="preserve"> </w:t>
            </w:r>
            <w:r>
              <w:rPr>
                <w:rFonts w:eastAsia="Calibri"/>
              </w:rPr>
              <w:t xml:space="preserve">Tā ir </w:t>
            </w:r>
            <w:r w:rsidR="005C5406">
              <w:rPr>
                <w:rFonts w:eastAsia="Calibri"/>
              </w:rPr>
              <w:t>jaun</w:t>
            </w:r>
            <w:r w:rsidR="00343BD6">
              <w:rPr>
                <w:rFonts w:eastAsia="Calibri"/>
              </w:rPr>
              <w:t>a</w:t>
            </w:r>
            <w:r w:rsidR="005C5406">
              <w:rPr>
                <w:rFonts w:eastAsia="Calibri"/>
              </w:rPr>
              <w:t xml:space="preserve"> </w:t>
            </w:r>
            <w:r w:rsidR="005C5406">
              <w:rPr>
                <w:szCs w:val="23"/>
              </w:rPr>
              <w:t xml:space="preserve">valsts pārvaldes </w:t>
            </w:r>
            <w:r w:rsidR="005C5406">
              <w:rPr>
                <w:rFonts w:eastAsia="Calibri"/>
              </w:rPr>
              <w:t>pakalpojum</w:t>
            </w:r>
            <w:r w:rsidR="00343BD6">
              <w:rPr>
                <w:rFonts w:eastAsia="Calibri"/>
              </w:rPr>
              <w:t>a</w:t>
            </w:r>
            <w:r w:rsidR="005C5406">
              <w:rPr>
                <w:rFonts w:eastAsia="Calibri"/>
              </w:rPr>
              <w:t xml:space="preserve"> ieviešan</w:t>
            </w:r>
            <w:r>
              <w:rPr>
                <w:rFonts w:eastAsia="Calibri"/>
              </w:rPr>
              <w:t>a</w:t>
            </w:r>
            <w:r w:rsidR="00343BD6">
              <w:rPr>
                <w:rFonts w:eastAsia="Calibri"/>
              </w:rPr>
              <w:t xml:space="preserve"> – pārtikas uzņēmuma</w:t>
            </w:r>
            <w:r w:rsidR="00830D52">
              <w:rPr>
                <w:rFonts w:eastAsia="Calibri"/>
              </w:rPr>
              <w:t xml:space="preserve"> </w:t>
            </w:r>
            <w:r w:rsidR="00830D52" w:rsidRPr="007813AD">
              <w:rPr>
                <w:rFonts w:eastAsia="Calibri"/>
              </w:rPr>
              <w:t>pirmsreģistrācijas</w:t>
            </w:r>
            <w:r w:rsidR="00343BD6">
              <w:rPr>
                <w:rFonts w:eastAsia="Calibri"/>
              </w:rPr>
              <w:t xml:space="preserve"> pārbaude</w:t>
            </w:r>
            <w:r w:rsidR="00830D52">
              <w:rPr>
                <w:rFonts w:eastAsia="Calibri"/>
              </w:rPr>
              <w:t>.</w:t>
            </w:r>
            <w:r>
              <w:rPr>
                <w:rFonts w:eastAsia="Calibri"/>
              </w:rPr>
              <w:t xml:space="preserve"> </w:t>
            </w:r>
            <w:r w:rsidR="008D3822">
              <w:rPr>
                <w:rFonts w:eastAsia="Calibri"/>
              </w:rPr>
              <w:t xml:space="preserve">Minēto valsts pārvaldes pakalpojumu </w:t>
            </w:r>
            <w:r w:rsidR="008D3822">
              <w:t>var pieprasīt, izmantojot gan klātienes, gan neklātienes kanālus</w:t>
            </w:r>
            <w:r w:rsidR="002044A0">
              <w:t xml:space="preserve">, </w:t>
            </w:r>
            <w:r w:rsidR="005B1F41">
              <w:t xml:space="preserve">un </w:t>
            </w:r>
            <w:r w:rsidR="002044A0">
              <w:t>pakalpojum</w:t>
            </w:r>
            <w:r w:rsidR="005B1F41">
              <w:t>s tiek</w:t>
            </w:r>
            <w:r w:rsidR="002044A0">
              <w:t xml:space="preserve"> saņem</w:t>
            </w:r>
            <w:r w:rsidR="005B1F41">
              <w:t>ts</w:t>
            </w:r>
            <w:r w:rsidR="002044A0">
              <w:t xml:space="preserve"> klātienē, </w:t>
            </w:r>
            <w:r w:rsidR="005B1F41">
              <w:t xml:space="preserve">PVD inspektoram </w:t>
            </w:r>
            <w:r w:rsidR="002044A0">
              <w:t>veicot pārbaudi uzņēmumā</w:t>
            </w:r>
            <w:r w:rsidR="008D3822">
              <w:t>.</w:t>
            </w:r>
            <w:r w:rsidR="00F873CE">
              <w:t xml:space="preserve"> </w:t>
            </w:r>
            <w:r w:rsidR="008D3822">
              <w:rPr>
                <w:rFonts w:eastAsia="Calibri"/>
              </w:rPr>
              <w:t xml:space="preserve">Pēc noteikumu </w:t>
            </w:r>
            <w:r>
              <w:rPr>
                <w:rFonts w:eastAsia="Calibri"/>
              </w:rPr>
              <w:t xml:space="preserve">projekta </w:t>
            </w:r>
            <w:r w:rsidR="008D3822">
              <w:rPr>
                <w:rFonts w:eastAsia="Calibri"/>
              </w:rPr>
              <w:t xml:space="preserve">spēkā stāšanās tiks nodrošināta </w:t>
            </w:r>
            <w:r w:rsidR="008D3822">
              <w:rPr>
                <w:szCs w:val="23"/>
              </w:rPr>
              <w:t>valsts pārvaldes pakalpojum</w:t>
            </w:r>
            <w:r w:rsidR="00F873CE">
              <w:rPr>
                <w:szCs w:val="23"/>
              </w:rPr>
              <w:t>a</w:t>
            </w:r>
            <w:r w:rsidR="008D3822">
              <w:rPr>
                <w:szCs w:val="23"/>
              </w:rPr>
              <w:t xml:space="preserve"> aprakst</w:t>
            </w:r>
            <w:r w:rsidR="00F873CE">
              <w:rPr>
                <w:szCs w:val="23"/>
              </w:rPr>
              <w:t>a</w:t>
            </w:r>
            <w:r w:rsidR="008D3822">
              <w:rPr>
                <w:szCs w:val="23"/>
              </w:rPr>
              <w:t xml:space="preserve"> ievietošana portālā</w:t>
            </w:r>
            <w:r w:rsidR="00F873CE">
              <w:rPr>
                <w:szCs w:val="23"/>
              </w:rPr>
              <w:t xml:space="preserve"> Latvija.lv</w:t>
            </w:r>
            <w:r w:rsidR="008D3822">
              <w:rPr>
                <w:szCs w:val="23"/>
              </w:rPr>
              <w:t xml:space="preserve">. </w:t>
            </w:r>
          </w:p>
          <w:p w14:paraId="4641C681" w14:textId="77777777" w:rsidR="00B07D35" w:rsidRDefault="00955FB1" w:rsidP="00F573D4">
            <w:pPr>
              <w:jc w:val="both"/>
              <w:rPr>
                <w:iCs/>
              </w:rPr>
            </w:pPr>
            <w:r>
              <w:rPr>
                <w:iCs/>
              </w:rPr>
              <w:t xml:space="preserve">Noteikumu projekta </w:t>
            </w:r>
            <w:r w:rsidR="00ED69F5">
              <w:rPr>
                <w:iCs/>
              </w:rPr>
              <w:t>p</w:t>
            </w:r>
            <w:r w:rsidR="00DF2058">
              <w:rPr>
                <w:iCs/>
              </w:rPr>
              <w:t>i</w:t>
            </w:r>
            <w:r w:rsidR="00ED69F5">
              <w:rPr>
                <w:iCs/>
              </w:rPr>
              <w:t xml:space="preserve">eņemšana </w:t>
            </w:r>
            <w:r>
              <w:rPr>
                <w:iCs/>
              </w:rPr>
              <w:t>pilnībā atrisinās minētās problēmas.</w:t>
            </w:r>
          </w:p>
          <w:p w14:paraId="1A105FB0" w14:textId="01DE3FCA" w:rsidR="00F20C69" w:rsidRPr="00D223DA" w:rsidRDefault="00F20C69" w:rsidP="00F573D4">
            <w:pPr>
              <w:jc w:val="both"/>
              <w:rPr>
                <w:iCs/>
              </w:rPr>
            </w:pPr>
          </w:p>
        </w:tc>
      </w:tr>
      <w:tr w:rsidR="00BA0DE8" w:rsidRPr="00093C22" w14:paraId="50EFFD62" w14:textId="77777777" w:rsidTr="00AE6B74">
        <w:tc>
          <w:tcPr>
            <w:tcW w:w="520" w:type="dxa"/>
          </w:tcPr>
          <w:p w14:paraId="331E322E" w14:textId="77777777" w:rsidR="00AC145B" w:rsidRPr="00093C22" w:rsidRDefault="00243D1D" w:rsidP="003037FE">
            <w:pPr>
              <w:pStyle w:val="Galvene"/>
              <w:jc w:val="center"/>
              <w:outlineLvl w:val="0"/>
            </w:pPr>
            <w:r w:rsidRPr="00093C22">
              <w:lastRenderedPageBreak/>
              <w:t>3</w:t>
            </w:r>
            <w:r w:rsidR="00AC145B" w:rsidRPr="00093C22">
              <w:t>.</w:t>
            </w:r>
          </w:p>
        </w:tc>
        <w:tc>
          <w:tcPr>
            <w:tcW w:w="2315" w:type="dxa"/>
          </w:tcPr>
          <w:p w14:paraId="2877E81A" w14:textId="77777777" w:rsidR="00AC145B" w:rsidRPr="00FA4654" w:rsidRDefault="00AC145B" w:rsidP="003037FE">
            <w:pPr>
              <w:pStyle w:val="Galvene"/>
              <w:jc w:val="both"/>
              <w:outlineLvl w:val="0"/>
            </w:pPr>
            <w:r w:rsidRPr="00FA4654">
              <w:t>Projekta izstrādē iesaistītās institūcijas</w:t>
            </w:r>
            <w:r w:rsidR="00521279" w:rsidRPr="00FA4654">
              <w:t xml:space="preserve"> un publiskas personas kapitālsabiedrības</w:t>
            </w:r>
          </w:p>
        </w:tc>
        <w:tc>
          <w:tcPr>
            <w:tcW w:w="6237" w:type="dxa"/>
          </w:tcPr>
          <w:p w14:paraId="1B10072D" w14:textId="77777777" w:rsidR="00AC145B" w:rsidRPr="00FA4654" w:rsidRDefault="00B07D35" w:rsidP="00E36796">
            <w:pPr>
              <w:jc w:val="both"/>
            </w:pPr>
            <w:r>
              <w:t>Pārtikas un veterinārais dienests</w:t>
            </w:r>
          </w:p>
        </w:tc>
      </w:tr>
      <w:tr w:rsidR="005C3223" w:rsidRPr="00093C22" w14:paraId="096DB649" w14:textId="77777777" w:rsidTr="00AE6B74">
        <w:tc>
          <w:tcPr>
            <w:tcW w:w="520" w:type="dxa"/>
          </w:tcPr>
          <w:p w14:paraId="21D88B5B" w14:textId="77777777" w:rsidR="00AC145B" w:rsidRPr="00093C22" w:rsidRDefault="00243D1D" w:rsidP="003037FE">
            <w:pPr>
              <w:pStyle w:val="naislab"/>
              <w:spacing w:before="0" w:after="0"/>
              <w:jc w:val="center"/>
              <w:outlineLvl w:val="0"/>
            </w:pPr>
            <w:r w:rsidRPr="00093C22">
              <w:t>4</w:t>
            </w:r>
            <w:r w:rsidR="00AC145B" w:rsidRPr="00093C22">
              <w:t>.</w:t>
            </w:r>
          </w:p>
        </w:tc>
        <w:tc>
          <w:tcPr>
            <w:tcW w:w="2315" w:type="dxa"/>
          </w:tcPr>
          <w:p w14:paraId="0B66EFB0" w14:textId="77777777" w:rsidR="00AC145B" w:rsidRPr="00FA4654" w:rsidRDefault="00AC145B" w:rsidP="003037FE">
            <w:pPr>
              <w:pStyle w:val="naislab"/>
              <w:spacing w:before="0" w:after="0"/>
              <w:jc w:val="both"/>
              <w:outlineLvl w:val="0"/>
            </w:pPr>
            <w:r w:rsidRPr="00FA4654">
              <w:t>Cita informācija</w:t>
            </w:r>
          </w:p>
        </w:tc>
        <w:tc>
          <w:tcPr>
            <w:tcW w:w="6237" w:type="dxa"/>
          </w:tcPr>
          <w:p w14:paraId="0705ED4F" w14:textId="6578679D" w:rsidR="00AC145B" w:rsidRPr="00FA4654" w:rsidRDefault="00311502" w:rsidP="003037FE">
            <w:pPr>
              <w:jc w:val="both"/>
            </w:pPr>
            <w:r>
              <w:t>Nav.</w:t>
            </w:r>
          </w:p>
        </w:tc>
      </w:tr>
    </w:tbl>
    <w:p w14:paraId="50F6C60A" w14:textId="77777777" w:rsidR="00A724E1" w:rsidRPr="00093C22" w:rsidRDefault="00A724E1" w:rsidP="00AC14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173"/>
        <w:gridCol w:w="6372"/>
      </w:tblGrid>
      <w:tr w:rsidR="00BA0DE8" w:rsidRPr="00093C22" w14:paraId="0FE77730" w14:textId="77777777" w:rsidTr="00133DFE">
        <w:tc>
          <w:tcPr>
            <w:tcW w:w="5000" w:type="pct"/>
            <w:gridSpan w:val="3"/>
          </w:tcPr>
          <w:p w14:paraId="26185E54" w14:textId="77777777" w:rsidR="00AC145B" w:rsidRPr="00093C22" w:rsidRDefault="00AC145B" w:rsidP="003037FE">
            <w:pPr>
              <w:jc w:val="center"/>
              <w:rPr>
                <w:b/>
              </w:rPr>
            </w:pPr>
            <w:r w:rsidRPr="00093C22">
              <w:rPr>
                <w:b/>
              </w:rPr>
              <w:t>II. Tiesību akta projekta ietekme uz sabiedrību, tautsaimniecības attīstību un administratīvo slogu</w:t>
            </w:r>
          </w:p>
        </w:tc>
      </w:tr>
      <w:tr w:rsidR="00BA0DE8" w:rsidRPr="00093C22" w14:paraId="0566B27E" w14:textId="77777777" w:rsidTr="00F62D86">
        <w:tc>
          <w:tcPr>
            <w:tcW w:w="285" w:type="pct"/>
          </w:tcPr>
          <w:p w14:paraId="3DD42888" w14:textId="77777777" w:rsidR="00AC145B" w:rsidRPr="00093C22" w:rsidRDefault="00AC145B" w:rsidP="003037FE">
            <w:pPr>
              <w:pStyle w:val="naislab"/>
              <w:spacing w:before="0" w:after="0"/>
              <w:jc w:val="center"/>
              <w:outlineLvl w:val="0"/>
            </w:pPr>
            <w:r w:rsidRPr="00093C22">
              <w:t>1.</w:t>
            </w:r>
          </w:p>
        </w:tc>
        <w:tc>
          <w:tcPr>
            <w:tcW w:w="1199" w:type="pct"/>
          </w:tcPr>
          <w:p w14:paraId="0F23B6CF" w14:textId="77777777" w:rsidR="00AC145B" w:rsidRPr="00093C22" w:rsidRDefault="00AC145B" w:rsidP="003037FE">
            <w:pPr>
              <w:pStyle w:val="naislab"/>
              <w:spacing w:before="0" w:after="0"/>
              <w:jc w:val="both"/>
              <w:outlineLvl w:val="0"/>
            </w:pPr>
            <w:r w:rsidRPr="00093C22">
              <w:t>Sabiedrības mērķgrupas, kuras tiesiskais regulējums ietekmē vai varētu ietekmēt</w:t>
            </w:r>
          </w:p>
        </w:tc>
        <w:tc>
          <w:tcPr>
            <w:tcW w:w="3516" w:type="pct"/>
          </w:tcPr>
          <w:p w14:paraId="6828EF06" w14:textId="6D2BBEA0" w:rsidR="00406D31" w:rsidRPr="00326F40" w:rsidRDefault="00637BC3" w:rsidP="00AC311F">
            <w:pPr>
              <w:jc w:val="both"/>
            </w:pPr>
            <w:r w:rsidRPr="00326F40">
              <w:t xml:space="preserve">Patlaban </w:t>
            </w:r>
            <w:bookmarkStart w:id="2" w:name="_Hlk36733342"/>
            <w:r w:rsidR="009E1106" w:rsidRPr="00326F40">
              <w:t>PVD</w:t>
            </w:r>
            <w:r w:rsidRPr="00326F40">
              <w:t xml:space="preserve"> uzraudzības objektu datubāzē reģistrēti </w:t>
            </w:r>
            <w:r w:rsidR="00326F40">
              <w:t xml:space="preserve">34 830 </w:t>
            </w:r>
            <w:r w:rsidRPr="00326F40">
              <w:t>pārtikas uzņēmumi</w:t>
            </w:r>
            <w:bookmarkEnd w:id="2"/>
            <w:r w:rsidRPr="00326F40">
              <w:t xml:space="preserve">. Pēc </w:t>
            </w:r>
            <w:r w:rsidR="00F87CA3" w:rsidRPr="00326F40">
              <w:t>PVD</w:t>
            </w:r>
            <w:r w:rsidR="00326F40">
              <w:t xml:space="preserve"> </w:t>
            </w:r>
            <w:r w:rsidRPr="00326F40">
              <w:t xml:space="preserve">sniegtās informācijas, katru gadu reģistrācijai tiek pieteikti ap </w:t>
            </w:r>
            <w:r w:rsidR="00C17102" w:rsidRPr="00326F40">
              <w:t>1000</w:t>
            </w:r>
            <w:r w:rsidRPr="00326F40">
              <w:t xml:space="preserve"> pārtikas uzņēmumu</w:t>
            </w:r>
            <w:r w:rsidR="00D774B6" w:rsidRPr="00326F40">
              <w:t>, kuriem būtu nepieciešama pirms</w:t>
            </w:r>
            <w:r w:rsidR="007518F7" w:rsidRPr="00326F40">
              <w:t>r</w:t>
            </w:r>
            <w:r w:rsidR="00D774B6" w:rsidRPr="00326F40">
              <w:t>eģistrācijas pārbaude</w:t>
            </w:r>
            <w:r w:rsidRPr="00326F40">
              <w:t>.</w:t>
            </w:r>
          </w:p>
        </w:tc>
      </w:tr>
      <w:tr w:rsidR="00BA0DE8" w:rsidRPr="00093C22" w14:paraId="093AAFC4" w14:textId="77777777" w:rsidTr="00F62D86">
        <w:tc>
          <w:tcPr>
            <w:tcW w:w="285" w:type="pct"/>
          </w:tcPr>
          <w:p w14:paraId="4FDA422C" w14:textId="77777777" w:rsidR="00AC145B" w:rsidRPr="00093C22" w:rsidRDefault="00AC145B" w:rsidP="003037FE">
            <w:pPr>
              <w:pStyle w:val="naislab"/>
              <w:spacing w:before="0" w:after="0"/>
              <w:jc w:val="center"/>
              <w:outlineLvl w:val="0"/>
            </w:pPr>
            <w:r w:rsidRPr="00093C22">
              <w:t>2.</w:t>
            </w:r>
          </w:p>
        </w:tc>
        <w:tc>
          <w:tcPr>
            <w:tcW w:w="1199" w:type="pct"/>
          </w:tcPr>
          <w:p w14:paraId="032966E2" w14:textId="77777777" w:rsidR="00AC145B" w:rsidRPr="00093C22" w:rsidRDefault="00AC145B" w:rsidP="003037FE">
            <w:pPr>
              <w:pStyle w:val="naislab"/>
              <w:spacing w:before="0" w:after="0"/>
              <w:jc w:val="both"/>
              <w:outlineLvl w:val="0"/>
            </w:pPr>
            <w:r w:rsidRPr="00093C22">
              <w:t>Tiesiskā regulējuma ietekme uz tautsaimniecību un administratīvo slogu</w:t>
            </w:r>
          </w:p>
        </w:tc>
        <w:tc>
          <w:tcPr>
            <w:tcW w:w="3516" w:type="pct"/>
          </w:tcPr>
          <w:p w14:paraId="4420EDBB" w14:textId="2301A76D" w:rsidR="001A58BE" w:rsidRPr="00AE6B74" w:rsidRDefault="00BF3B59" w:rsidP="00BF3B59">
            <w:pPr>
              <w:jc w:val="both"/>
            </w:pPr>
            <w:r w:rsidRPr="00FF789C">
              <w:rPr>
                <w:color w:val="000000" w:themeColor="text1"/>
              </w:rPr>
              <w:t xml:space="preserve">Noteikumu projekta </w:t>
            </w:r>
            <w:r w:rsidR="00F87CA3">
              <w:rPr>
                <w:color w:val="000000" w:themeColor="text1"/>
              </w:rPr>
              <w:t xml:space="preserve">tiesību </w:t>
            </w:r>
            <w:r w:rsidRPr="00FF789C">
              <w:rPr>
                <w:color w:val="000000" w:themeColor="text1"/>
              </w:rPr>
              <w:t xml:space="preserve">normas nerada negatīvu ietekmi uz uzņēmējdarbības vidi un dažāda lieluma </w:t>
            </w:r>
            <w:r w:rsidRPr="00AE6B74">
              <w:t>uzņēmumiem, konkurenci, vidi, veselību un nevalstiskajām organizācijām.</w:t>
            </w:r>
          </w:p>
          <w:p w14:paraId="1D8E4F84" w14:textId="458B7606" w:rsidR="009E1106" w:rsidRPr="00AE6B74" w:rsidRDefault="009E1106" w:rsidP="00BF3B59">
            <w:pPr>
              <w:jc w:val="both"/>
            </w:pPr>
            <w:r w:rsidRPr="005B1F41">
              <w:t xml:space="preserve">Uzņēmuma pirmsreģistrācijas pārbaudē PVD inspektors novērtēs, vai uzņēmums spēs izpildīt </w:t>
            </w:r>
            <w:bookmarkStart w:id="3" w:name="_Hlk65506103"/>
            <w:r w:rsidRPr="005B1F41">
              <w:t xml:space="preserve">normatīvajos aktos pārtikas aprites jomā </w:t>
            </w:r>
            <w:bookmarkEnd w:id="3"/>
            <w:r w:rsidRPr="005B1F41">
              <w:t>noteiktās prasības. Tas dos iespēju uzņēmējam izvērtēt plānoto investīciju lietderīgumu dotajās telpās un racionālāk izmantot uzņēmuma finanšu resursus.</w:t>
            </w:r>
          </w:p>
          <w:p w14:paraId="3E4D0104" w14:textId="4FA3A439" w:rsidR="00B66700" w:rsidRPr="0044337D" w:rsidRDefault="00B66700" w:rsidP="00B66700">
            <w:pPr>
              <w:jc w:val="both"/>
              <w:rPr>
                <w:color w:val="000000" w:themeColor="text1"/>
              </w:rPr>
            </w:pPr>
            <w:r w:rsidRPr="0044337D">
              <w:rPr>
                <w:bCs/>
                <w:color w:val="000000" w:themeColor="text1"/>
                <w:shd w:val="clear" w:color="auto" w:fill="FFFFFF"/>
              </w:rPr>
              <w:t>P</w:t>
            </w:r>
            <w:r w:rsidR="00955FB1">
              <w:rPr>
                <w:bCs/>
                <w:color w:val="000000" w:themeColor="text1"/>
                <w:shd w:val="clear" w:color="auto" w:fill="FFFFFF"/>
              </w:rPr>
              <w:t>VD</w:t>
            </w:r>
            <w:r w:rsidRPr="0044337D">
              <w:rPr>
                <w:bCs/>
                <w:color w:val="000000" w:themeColor="text1"/>
                <w:shd w:val="clear" w:color="auto" w:fill="FFFFFF"/>
              </w:rPr>
              <w:t xml:space="preserve"> maksu </w:t>
            </w:r>
            <w:r w:rsidR="003E0CDB">
              <w:rPr>
                <w:bCs/>
                <w:color w:val="000000" w:themeColor="text1"/>
                <w:shd w:val="clear" w:color="auto" w:fill="FFFFFF"/>
              </w:rPr>
              <w:t xml:space="preserve">par </w:t>
            </w:r>
            <w:r w:rsidR="00955FB1">
              <w:rPr>
                <w:bCs/>
                <w:color w:val="000000" w:themeColor="text1"/>
                <w:shd w:val="clear" w:color="auto" w:fill="FFFFFF"/>
              </w:rPr>
              <w:t>pirmsreģistrācijas pārbaudi</w:t>
            </w:r>
            <w:r w:rsidRPr="0044337D">
              <w:rPr>
                <w:bCs/>
                <w:color w:val="000000" w:themeColor="text1"/>
                <w:shd w:val="clear" w:color="auto" w:fill="FFFFFF"/>
              </w:rPr>
              <w:t xml:space="preserve"> iekasē</w:t>
            </w:r>
            <w:r w:rsidR="00955FB1">
              <w:rPr>
                <w:bCs/>
                <w:color w:val="000000" w:themeColor="text1"/>
                <w:shd w:val="clear" w:color="auto" w:fill="FFFFFF"/>
              </w:rPr>
              <w:t>s</w:t>
            </w:r>
            <w:r w:rsidRPr="0044337D">
              <w:rPr>
                <w:bCs/>
                <w:color w:val="000000" w:themeColor="text1"/>
                <w:shd w:val="clear" w:color="auto" w:fill="FFFFFF"/>
              </w:rPr>
              <w:t xml:space="preserve"> noteikum</w:t>
            </w:r>
            <w:r w:rsidR="00955FB1">
              <w:rPr>
                <w:bCs/>
                <w:color w:val="000000" w:themeColor="text1"/>
                <w:shd w:val="clear" w:color="auto" w:fill="FFFFFF"/>
              </w:rPr>
              <w:t>u</w:t>
            </w:r>
            <w:r w:rsidRPr="0044337D">
              <w:rPr>
                <w:bCs/>
                <w:color w:val="000000" w:themeColor="text1"/>
                <w:shd w:val="clear" w:color="auto" w:fill="FFFFFF"/>
              </w:rPr>
              <w:t xml:space="preserve"> Nr.</w:t>
            </w:r>
            <w:r w:rsidR="00955FB1">
              <w:rPr>
                <w:bCs/>
                <w:color w:val="000000" w:themeColor="text1"/>
                <w:shd w:val="clear" w:color="auto" w:fill="FFFFFF"/>
              </w:rPr>
              <w:t> </w:t>
            </w:r>
            <w:r w:rsidRPr="0044337D">
              <w:rPr>
                <w:bCs/>
                <w:color w:val="000000" w:themeColor="text1"/>
                <w:shd w:val="clear" w:color="auto" w:fill="FFFFFF"/>
              </w:rPr>
              <w:t>681 1.</w:t>
            </w:r>
            <w:r w:rsidR="00955FB1">
              <w:rPr>
                <w:bCs/>
                <w:color w:val="000000" w:themeColor="text1"/>
                <w:shd w:val="clear" w:color="auto" w:fill="FFFFFF"/>
              </w:rPr>
              <w:t> </w:t>
            </w:r>
            <w:r w:rsidRPr="0044337D">
              <w:rPr>
                <w:bCs/>
                <w:color w:val="000000" w:themeColor="text1"/>
                <w:shd w:val="clear" w:color="auto" w:fill="FFFFFF"/>
              </w:rPr>
              <w:t>pielikum</w:t>
            </w:r>
            <w:r w:rsidR="00955FB1">
              <w:rPr>
                <w:bCs/>
                <w:color w:val="000000" w:themeColor="text1"/>
                <w:shd w:val="clear" w:color="auto" w:fill="FFFFFF"/>
              </w:rPr>
              <w:t>a 15. punkt</w:t>
            </w:r>
            <w:r w:rsidR="008D29B4">
              <w:rPr>
                <w:bCs/>
                <w:color w:val="000000" w:themeColor="text1"/>
                <w:shd w:val="clear" w:color="auto" w:fill="FFFFFF"/>
              </w:rPr>
              <w:t>ā</w:t>
            </w:r>
            <w:r w:rsidRPr="0044337D">
              <w:rPr>
                <w:bCs/>
                <w:color w:val="000000" w:themeColor="text1"/>
                <w:shd w:val="clear" w:color="auto" w:fill="FFFFFF"/>
              </w:rPr>
              <w:t xml:space="preserve"> no</w:t>
            </w:r>
            <w:r w:rsidR="00955FB1">
              <w:rPr>
                <w:bCs/>
                <w:color w:val="000000" w:themeColor="text1"/>
                <w:shd w:val="clear" w:color="auto" w:fill="FFFFFF"/>
              </w:rPr>
              <w:t>teiktajā</w:t>
            </w:r>
            <w:r w:rsidRPr="0044337D">
              <w:rPr>
                <w:bCs/>
                <w:color w:val="000000" w:themeColor="text1"/>
                <w:shd w:val="clear" w:color="auto" w:fill="FFFFFF"/>
              </w:rPr>
              <w:t xml:space="preserve"> apmērā. </w:t>
            </w:r>
            <w:r w:rsidR="003F1BF5" w:rsidRPr="007813AD">
              <w:rPr>
                <w:bCs/>
                <w:shd w:val="clear" w:color="auto" w:fill="FFFFFF"/>
              </w:rPr>
              <w:t>P</w:t>
            </w:r>
            <w:r w:rsidR="00C91FF7" w:rsidRPr="007813AD">
              <w:rPr>
                <w:bCs/>
                <w:shd w:val="clear" w:color="auto" w:fill="FFFFFF"/>
              </w:rPr>
              <w:t>irmsreģistrācijas pārbaudes aizstās nāk</w:t>
            </w:r>
            <w:r w:rsidR="008E30CD">
              <w:rPr>
                <w:bCs/>
                <w:shd w:val="clear" w:color="auto" w:fill="FFFFFF"/>
              </w:rPr>
              <w:t>am</w:t>
            </w:r>
            <w:r w:rsidR="00C91FF7" w:rsidRPr="007813AD">
              <w:rPr>
                <w:bCs/>
                <w:shd w:val="clear" w:color="auto" w:fill="FFFFFF"/>
              </w:rPr>
              <w:t xml:space="preserve">o plānoto </w:t>
            </w:r>
            <w:r w:rsidR="002245F3" w:rsidRPr="002245F3">
              <w:rPr>
                <w:bCs/>
                <w:shd w:val="clear" w:color="auto" w:fill="FFFFFF"/>
              </w:rPr>
              <w:t>uzraudzības pārbaudi</w:t>
            </w:r>
            <w:r w:rsidR="00C91FF7" w:rsidRPr="007813AD">
              <w:rPr>
                <w:bCs/>
                <w:shd w:val="clear" w:color="auto" w:fill="FFFFFF"/>
              </w:rPr>
              <w:t xml:space="preserve"> atbilstoši PVD uzraudzības plānam un risk</w:t>
            </w:r>
            <w:r w:rsidR="008E30CD">
              <w:rPr>
                <w:bCs/>
                <w:shd w:val="clear" w:color="auto" w:fill="FFFFFF"/>
              </w:rPr>
              <w:t>a izvērtējumam</w:t>
            </w:r>
            <w:r w:rsidR="005A7484" w:rsidRPr="00AE6B74">
              <w:rPr>
                <w:bCs/>
                <w:shd w:val="clear" w:color="auto" w:fill="FFFFFF"/>
              </w:rPr>
              <w:t>.</w:t>
            </w:r>
          </w:p>
          <w:p w14:paraId="2F9BCCC6" w14:textId="77777777" w:rsidR="00B66700" w:rsidRDefault="00B66700">
            <w:pPr>
              <w:jc w:val="both"/>
              <w:rPr>
                <w:color w:val="000000" w:themeColor="text1"/>
              </w:rPr>
            </w:pPr>
            <w:r w:rsidRPr="0044337D">
              <w:rPr>
                <w:color w:val="000000" w:themeColor="text1"/>
              </w:rPr>
              <w:t xml:space="preserve">Inspektora vienas darba stundas izmaksas par uzņēmuma novērtēšanu pirms reģistrācijas ir 17,60 </w:t>
            </w:r>
            <w:r w:rsidRPr="00955FB1">
              <w:rPr>
                <w:i/>
                <w:iCs/>
                <w:color w:val="000000" w:themeColor="text1"/>
              </w:rPr>
              <w:t>euro</w:t>
            </w:r>
            <w:r w:rsidRPr="0044337D">
              <w:rPr>
                <w:color w:val="000000" w:themeColor="text1"/>
              </w:rPr>
              <w:t xml:space="preserve">. Izvērtējot </w:t>
            </w:r>
            <w:r w:rsidR="00955FB1">
              <w:rPr>
                <w:color w:val="000000" w:themeColor="text1"/>
              </w:rPr>
              <w:t>PVD</w:t>
            </w:r>
            <w:r w:rsidRPr="0044337D">
              <w:rPr>
                <w:color w:val="000000" w:themeColor="text1"/>
              </w:rPr>
              <w:t xml:space="preserve"> uzraudzības rezultātus, </w:t>
            </w:r>
            <w:r w:rsidR="008E30CD">
              <w:rPr>
                <w:color w:val="000000" w:themeColor="text1"/>
              </w:rPr>
              <w:t>secināms</w:t>
            </w:r>
            <w:r w:rsidRPr="0044337D">
              <w:rPr>
                <w:color w:val="000000" w:themeColor="text1"/>
              </w:rPr>
              <w:t xml:space="preserve">, ka šajos objektos vidējais pārbaužu ilgums ir aptuveni no pusstundas līdz piecām stundām. Atšķirīgais laika patēriņš ir saistīts ar uzņēmumu lielumu, darbinieku skaitu, higiēnas līmeni u.c. faktoriem. </w:t>
            </w:r>
            <w:r w:rsidR="008E30CD">
              <w:rPr>
                <w:color w:val="000000" w:themeColor="text1"/>
              </w:rPr>
              <w:t>Tādējādi</w:t>
            </w:r>
            <w:r w:rsidRPr="0044337D">
              <w:rPr>
                <w:color w:val="000000" w:themeColor="text1"/>
              </w:rPr>
              <w:t xml:space="preserve"> uzņēmumu prognozētās papildu izmaksas būtu robežās no 8,8</w:t>
            </w:r>
            <w:r w:rsidR="008E30CD">
              <w:rPr>
                <w:color w:val="000000" w:themeColor="text1"/>
              </w:rPr>
              <w:t>0 </w:t>
            </w:r>
            <w:r w:rsidRPr="0044337D">
              <w:rPr>
                <w:color w:val="000000" w:themeColor="text1"/>
              </w:rPr>
              <w:t xml:space="preserve">līdz 88,00 </w:t>
            </w:r>
            <w:proofErr w:type="spellStart"/>
            <w:r w:rsidRPr="00955FB1">
              <w:rPr>
                <w:i/>
                <w:iCs/>
                <w:color w:val="000000" w:themeColor="text1"/>
              </w:rPr>
              <w:t>euro</w:t>
            </w:r>
            <w:proofErr w:type="spellEnd"/>
            <w:r w:rsidRPr="0044337D">
              <w:rPr>
                <w:color w:val="000000" w:themeColor="text1"/>
              </w:rPr>
              <w:t>.</w:t>
            </w:r>
          </w:p>
          <w:p w14:paraId="665C97DC" w14:textId="64691D74" w:rsidR="00F20C69" w:rsidRPr="00B66700" w:rsidRDefault="00F20C69">
            <w:pPr>
              <w:jc w:val="both"/>
              <w:rPr>
                <w:color w:val="000000" w:themeColor="text1"/>
              </w:rPr>
            </w:pPr>
          </w:p>
        </w:tc>
      </w:tr>
      <w:tr w:rsidR="00BA0DE8" w:rsidRPr="00093C22" w14:paraId="0443A3E9" w14:textId="77777777" w:rsidTr="00F62D86">
        <w:tc>
          <w:tcPr>
            <w:tcW w:w="285" w:type="pct"/>
          </w:tcPr>
          <w:p w14:paraId="2B759858" w14:textId="77777777" w:rsidR="00AC145B" w:rsidRPr="00093C22" w:rsidRDefault="00AC145B" w:rsidP="003037FE">
            <w:pPr>
              <w:pStyle w:val="naislab"/>
              <w:spacing w:before="0" w:after="0"/>
              <w:jc w:val="center"/>
              <w:outlineLvl w:val="0"/>
            </w:pPr>
            <w:r w:rsidRPr="00093C22">
              <w:t>3.</w:t>
            </w:r>
          </w:p>
        </w:tc>
        <w:tc>
          <w:tcPr>
            <w:tcW w:w="1199" w:type="pct"/>
          </w:tcPr>
          <w:p w14:paraId="59622CE7" w14:textId="77777777" w:rsidR="00AC145B" w:rsidRPr="00093C22" w:rsidRDefault="00AC145B" w:rsidP="003037FE">
            <w:pPr>
              <w:pStyle w:val="naislab"/>
              <w:spacing w:before="0" w:after="0"/>
              <w:jc w:val="both"/>
              <w:outlineLvl w:val="0"/>
            </w:pPr>
            <w:r w:rsidRPr="00093C22">
              <w:t>Administratīvo izmaksu monetārs novērtējums</w:t>
            </w:r>
          </w:p>
        </w:tc>
        <w:tc>
          <w:tcPr>
            <w:tcW w:w="3516" w:type="pct"/>
          </w:tcPr>
          <w:p w14:paraId="406EC880" w14:textId="750EAA7E" w:rsidR="00B66700" w:rsidRDefault="00B66700" w:rsidP="003037FE">
            <w:pPr>
              <w:jc w:val="both"/>
              <w:rPr>
                <w:bCs/>
                <w:color w:val="000000" w:themeColor="text1"/>
                <w:shd w:val="clear" w:color="auto" w:fill="FFFFFF"/>
              </w:rPr>
            </w:pPr>
            <w:r>
              <w:t>Projekts šo jomu neskar.</w:t>
            </w:r>
          </w:p>
          <w:p w14:paraId="266177F4" w14:textId="225CD9F9" w:rsidR="00AC145B" w:rsidRPr="004709F1" w:rsidRDefault="00AC145B" w:rsidP="00181144">
            <w:pPr>
              <w:jc w:val="both"/>
            </w:pPr>
          </w:p>
        </w:tc>
      </w:tr>
      <w:tr w:rsidR="002A11DE" w:rsidRPr="00093C22" w14:paraId="3CD13A71" w14:textId="77777777" w:rsidTr="00F62D86">
        <w:tc>
          <w:tcPr>
            <w:tcW w:w="285" w:type="pct"/>
          </w:tcPr>
          <w:p w14:paraId="31F3D413" w14:textId="77777777" w:rsidR="002A11DE" w:rsidRPr="00093C22" w:rsidRDefault="002A11DE" w:rsidP="003037FE">
            <w:pPr>
              <w:pStyle w:val="naislab"/>
              <w:spacing w:before="0" w:after="0"/>
              <w:jc w:val="center"/>
              <w:outlineLvl w:val="0"/>
            </w:pPr>
            <w:r>
              <w:t xml:space="preserve">4. </w:t>
            </w:r>
          </w:p>
        </w:tc>
        <w:tc>
          <w:tcPr>
            <w:tcW w:w="1199" w:type="pct"/>
          </w:tcPr>
          <w:p w14:paraId="721B99BE" w14:textId="77777777" w:rsidR="002A11DE" w:rsidRPr="00FA4654" w:rsidRDefault="002A11DE" w:rsidP="003037FE">
            <w:pPr>
              <w:pStyle w:val="naislab"/>
              <w:spacing w:before="0" w:after="0"/>
              <w:jc w:val="both"/>
              <w:outlineLvl w:val="0"/>
            </w:pPr>
            <w:r w:rsidRPr="00FA4654">
              <w:t>Atbilstības izmaksu monetārs novērtējums</w:t>
            </w:r>
          </w:p>
        </w:tc>
        <w:tc>
          <w:tcPr>
            <w:tcW w:w="3516" w:type="pct"/>
          </w:tcPr>
          <w:p w14:paraId="27E5FABF" w14:textId="5327EC93" w:rsidR="002A11DE" w:rsidRPr="00037715" w:rsidRDefault="00B66700" w:rsidP="003037FE">
            <w:pPr>
              <w:jc w:val="both"/>
            </w:pPr>
            <w:r>
              <w:t>Projekts šo jomu neskar.</w:t>
            </w:r>
          </w:p>
        </w:tc>
      </w:tr>
      <w:tr w:rsidR="005C3223" w:rsidRPr="00093C22" w14:paraId="23FA9C65" w14:textId="77777777" w:rsidTr="00F62D86">
        <w:tc>
          <w:tcPr>
            <w:tcW w:w="285" w:type="pct"/>
          </w:tcPr>
          <w:p w14:paraId="41BBDEB6" w14:textId="77777777" w:rsidR="00AC145B" w:rsidRPr="00093C22" w:rsidRDefault="002A11DE" w:rsidP="003037FE">
            <w:pPr>
              <w:pStyle w:val="naislab"/>
              <w:spacing w:before="0" w:after="0"/>
              <w:jc w:val="center"/>
              <w:outlineLvl w:val="0"/>
            </w:pPr>
            <w:r>
              <w:t>5</w:t>
            </w:r>
            <w:r w:rsidR="00AC145B" w:rsidRPr="00093C22">
              <w:t>.</w:t>
            </w:r>
          </w:p>
        </w:tc>
        <w:tc>
          <w:tcPr>
            <w:tcW w:w="1199" w:type="pct"/>
          </w:tcPr>
          <w:p w14:paraId="5F5BC7E7" w14:textId="77777777" w:rsidR="00AC145B" w:rsidRPr="00093C22" w:rsidRDefault="00AC145B" w:rsidP="003037FE">
            <w:pPr>
              <w:pStyle w:val="naislab"/>
              <w:spacing w:before="0" w:after="0"/>
              <w:jc w:val="both"/>
              <w:outlineLvl w:val="0"/>
            </w:pPr>
            <w:r w:rsidRPr="00093C22">
              <w:t>Cita informācija</w:t>
            </w:r>
          </w:p>
        </w:tc>
        <w:tc>
          <w:tcPr>
            <w:tcW w:w="3516" w:type="pct"/>
          </w:tcPr>
          <w:p w14:paraId="5F10D650" w14:textId="77777777" w:rsidR="00AC145B" w:rsidRPr="00093C22" w:rsidRDefault="00AC145B" w:rsidP="003037FE">
            <w:pPr>
              <w:jc w:val="both"/>
            </w:pPr>
            <w:r w:rsidRPr="00093C22">
              <w:t>Nav.</w:t>
            </w:r>
          </w:p>
        </w:tc>
      </w:tr>
    </w:tbl>
    <w:p w14:paraId="604EA6A8" w14:textId="403C9271" w:rsidR="00A724E1" w:rsidRDefault="00A724E1" w:rsidP="00656C9A"/>
    <w:tbl>
      <w:tblPr>
        <w:tblW w:w="4983"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796"/>
        <w:gridCol w:w="920"/>
        <w:gridCol w:w="998"/>
        <w:gridCol w:w="1086"/>
        <w:gridCol w:w="1050"/>
        <w:gridCol w:w="1059"/>
        <w:gridCol w:w="1121"/>
        <w:gridCol w:w="994"/>
      </w:tblGrid>
      <w:tr w:rsidR="002E495C" w:rsidRPr="002E495C" w14:paraId="37304559" w14:textId="77777777" w:rsidTr="002E495C">
        <w:tc>
          <w:tcPr>
            <w:tcW w:w="5000" w:type="pct"/>
            <w:gridSpan w:val="8"/>
            <w:tcBorders>
              <w:top w:val="outset" w:sz="6" w:space="0" w:color="000000"/>
              <w:left w:val="outset" w:sz="6" w:space="0" w:color="000000"/>
              <w:bottom w:val="outset" w:sz="6" w:space="0" w:color="000000"/>
              <w:right w:val="outset" w:sz="6" w:space="0" w:color="000000"/>
            </w:tcBorders>
            <w:shd w:val="clear" w:color="auto" w:fill="auto"/>
            <w:hideMark/>
          </w:tcPr>
          <w:p w14:paraId="08C2E0A1" w14:textId="77777777" w:rsidR="002E495C" w:rsidRPr="002E495C" w:rsidRDefault="002E495C" w:rsidP="00545FE2">
            <w:pPr>
              <w:jc w:val="center"/>
              <w:rPr>
                <w:b/>
                <w:bCs/>
              </w:rPr>
            </w:pPr>
            <w:r w:rsidRPr="002E495C">
              <w:rPr>
                <w:b/>
                <w:bCs/>
              </w:rPr>
              <w:t>III. Tiesību akta projekta ietekme uz valsts budžetu un pašvaldību budžetiem</w:t>
            </w:r>
          </w:p>
        </w:tc>
      </w:tr>
      <w:tr w:rsidR="002E495C" w:rsidRPr="002E495C" w14:paraId="37BA49F5" w14:textId="77777777" w:rsidTr="002E495C">
        <w:tc>
          <w:tcPr>
            <w:tcW w:w="995" w:type="pct"/>
            <w:vMerge w:val="restart"/>
            <w:tcBorders>
              <w:top w:val="outset" w:sz="6" w:space="0" w:color="000000"/>
              <w:left w:val="outset" w:sz="6" w:space="0" w:color="000000"/>
              <w:right w:val="outset" w:sz="6" w:space="0" w:color="000000"/>
            </w:tcBorders>
            <w:shd w:val="clear" w:color="auto" w:fill="auto"/>
            <w:vAlign w:val="center"/>
            <w:hideMark/>
          </w:tcPr>
          <w:p w14:paraId="51E13E66" w14:textId="77777777" w:rsidR="002E495C" w:rsidRPr="002E495C" w:rsidRDefault="002E495C" w:rsidP="002E495C">
            <w:pPr>
              <w:rPr>
                <w:bCs/>
              </w:rPr>
            </w:pPr>
            <w:r w:rsidRPr="002E495C">
              <w:rPr>
                <w:bCs/>
              </w:rPr>
              <w:t>Rādītāji</w:t>
            </w:r>
          </w:p>
        </w:tc>
        <w:tc>
          <w:tcPr>
            <w:tcW w:w="1063" w:type="pct"/>
            <w:gridSpan w:val="2"/>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923AB71" w14:textId="7F7E2A33" w:rsidR="002E495C" w:rsidRPr="002E495C" w:rsidRDefault="002E495C" w:rsidP="00545FE2">
            <w:pPr>
              <w:jc w:val="center"/>
              <w:rPr>
                <w:b/>
                <w:bCs/>
              </w:rPr>
            </w:pPr>
            <w:r w:rsidRPr="002E495C">
              <w:rPr>
                <w:b/>
                <w:bCs/>
              </w:rPr>
              <w:t>20</w:t>
            </w:r>
            <w:r w:rsidR="00DE21FA">
              <w:rPr>
                <w:b/>
                <w:bCs/>
              </w:rPr>
              <w:t>2</w:t>
            </w:r>
            <w:r w:rsidR="00340F76">
              <w:rPr>
                <w:b/>
                <w:bCs/>
              </w:rPr>
              <w:t>1</w:t>
            </w:r>
            <w:r w:rsidRPr="002E495C">
              <w:rPr>
                <w:b/>
                <w:bCs/>
              </w:rPr>
              <w:t>. gads</w:t>
            </w:r>
            <w:r w:rsidR="00326F40">
              <w:rPr>
                <w:b/>
                <w:bCs/>
              </w:rPr>
              <w:t xml:space="preserve"> 2. pusgads</w:t>
            </w:r>
          </w:p>
        </w:tc>
        <w:tc>
          <w:tcPr>
            <w:tcW w:w="2942" w:type="pct"/>
            <w:gridSpan w:val="5"/>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874E677" w14:textId="77777777" w:rsidR="002E495C" w:rsidRPr="002E495C" w:rsidRDefault="002E495C" w:rsidP="00545FE2">
            <w:pPr>
              <w:jc w:val="center"/>
            </w:pPr>
            <w:r w:rsidRPr="002E495C">
              <w:t>Turpmākie trīs gadi (</w:t>
            </w:r>
            <w:r w:rsidRPr="002E495C">
              <w:rPr>
                <w:i/>
              </w:rPr>
              <w:t>euro</w:t>
            </w:r>
            <w:r w:rsidRPr="002E495C">
              <w:t>)</w:t>
            </w:r>
          </w:p>
        </w:tc>
      </w:tr>
      <w:tr w:rsidR="002E495C" w:rsidRPr="002E495C" w14:paraId="1A8A0AC3" w14:textId="77777777" w:rsidTr="002E495C">
        <w:tc>
          <w:tcPr>
            <w:tcW w:w="995" w:type="pct"/>
            <w:vMerge/>
            <w:tcBorders>
              <w:left w:val="outset" w:sz="6" w:space="0" w:color="000000"/>
              <w:right w:val="outset" w:sz="6" w:space="0" w:color="000000"/>
            </w:tcBorders>
            <w:shd w:val="clear" w:color="auto" w:fill="auto"/>
            <w:vAlign w:val="center"/>
            <w:hideMark/>
          </w:tcPr>
          <w:p w14:paraId="00B4170C" w14:textId="77777777" w:rsidR="002E495C" w:rsidRPr="002E495C" w:rsidRDefault="002E495C" w:rsidP="002E495C">
            <w:pPr>
              <w:rPr>
                <w:b/>
                <w:bCs/>
              </w:rPr>
            </w:pPr>
          </w:p>
        </w:tc>
        <w:tc>
          <w:tcPr>
            <w:tcW w:w="1063" w:type="pct"/>
            <w:gridSpan w:val="2"/>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7E4CF13" w14:textId="77777777" w:rsidR="002E495C" w:rsidRPr="002E495C" w:rsidRDefault="002E495C" w:rsidP="00545FE2">
            <w:pPr>
              <w:jc w:val="center"/>
              <w:rPr>
                <w:b/>
                <w:bCs/>
              </w:rPr>
            </w:pPr>
          </w:p>
        </w:tc>
        <w:tc>
          <w:tcPr>
            <w:tcW w:w="1184"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FE8C9B8" w14:textId="2625D918" w:rsidR="002E495C" w:rsidRPr="002E495C" w:rsidRDefault="002E495C" w:rsidP="00545FE2">
            <w:pPr>
              <w:jc w:val="center"/>
              <w:rPr>
                <w:b/>
                <w:bCs/>
              </w:rPr>
            </w:pPr>
            <w:r w:rsidRPr="002E495C">
              <w:rPr>
                <w:b/>
                <w:bCs/>
              </w:rPr>
              <w:t>202</w:t>
            </w:r>
            <w:r w:rsidR="00340F76">
              <w:rPr>
                <w:b/>
                <w:bCs/>
              </w:rPr>
              <w:t>2</w:t>
            </w:r>
            <w:r w:rsidRPr="002E495C">
              <w:rPr>
                <w:b/>
                <w:bCs/>
              </w:rPr>
              <w:t>.</w:t>
            </w:r>
          </w:p>
        </w:tc>
        <w:tc>
          <w:tcPr>
            <w:tcW w:w="1208"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08F7790" w14:textId="15063D38" w:rsidR="002E495C" w:rsidRPr="002E495C" w:rsidRDefault="002E495C" w:rsidP="00545FE2">
            <w:pPr>
              <w:jc w:val="center"/>
              <w:rPr>
                <w:b/>
                <w:bCs/>
              </w:rPr>
            </w:pPr>
            <w:r w:rsidRPr="002E495C">
              <w:rPr>
                <w:b/>
                <w:bCs/>
              </w:rPr>
              <w:t>202</w:t>
            </w:r>
            <w:r w:rsidR="00340F76">
              <w:rPr>
                <w:b/>
                <w:bCs/>
              </w:rPr>
              <w:t>3</w:t>
            </w:r>
            <w:r w:rsidRPr="002E495C">
              <w:rPr>
                <w:b/>
                <w:bCs/>
              </w:rPr>
              <w:t>.</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AEABE0E" w14:textId="2B675C78" w:rsidR="002E495C" w:rsidRPr="002E495C" w:rsidRDefault="002E495C" w:rsidP="00545FE2">
            <w:pPr>
              <w:jc w:val="center"/>
              <w:rPr>
                <w:b/>
                <w:bCs/>
              </w:rPr>
            </w:pPr>
            <w:r w:rsidRPr="002E495C">
              <w:rPr>
                <w:b/>
                <w:bCs/>
              </w:rPr>
              <w:t>202</w:t>
            </w:r>
            <w:r w:rsidR="00340F76">
              <w:rPr>
                <w:b/>
                <w:bCs/>
              </w:rPr>
              <w:t>4</w:t>
            </w:r>
            <w:r w:rsidRPr="002E495C">
              <w:rPr>
                <w:b/>
                <w:bCs/>
              </w:rPr>
              <w:t>.</w:t>
            </w:r>
          </w:p>
        </w:tc>
      </w:tr>
      <w:tr w:rsidR="002E495C" w:rsidRPr="002E495C" w14:paraId="10BC19DE" w14:textId="77777777" w:rsidTr="002E495C">
        <w:tc>
          <w:tcPr>
            <w:tcW w:w="995" w:type="pct"/>
            <w:vMerge/>
            <w:tcBorders>
              <w:left w:val="outset" w:sz="6" w:space="0" w:color="000000"/>
              <w:bottom w:val="outset" w:sz="6" w:space="0" w:color="000000"/>
              <w:right w:val="outset" w:sz="6" w:space="0" w:color="000000"/>
            </w:tcBorders>
            <w:shd w:val="clear" w:color="auto" w:fill="auto"/>
            <w:vAlign w:val="center"/>
            <w:hideMark/>
          </w:tcPr>
          <w:p w14:paraId="3CCB8F11" w14:textId="77777777" w:rsidR="002E495C" w:rsidRPr="002E495C" w:rsidRDefault="002E495C" w:rsidP="002E495C">
            <w:pPr>
              <w:rPr>
                <w:b/>
                <w:bCs/>
              </w:rPr>
            </w:pP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83C49CD" w14:textId="77777777" w:rsidR="002E495C" w:rsidRPr="002E495C" w:rsidRDefault="002E495C" w:rsidP="00545FE2">
            <w:pPr>
              <w:jc w:val="center"/>
            </w:pPr>
            <w:r w:rsidRPr="002E495C">
              <w:t>saskaņā ar valsts budžetu kārtējam gadam</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BE83A60" w14:textId="77777777" w:rsidR="002E495C" w:rsidRPr="002E495C" w:rsidRDefault="002E495C" w:rsidP="00545FE2">
            <w:pPr>
              <w:jc w:val="center"/>
            </w:pPr>
            <w:r w:rsidRPr="002E495C">
              <w:t>izmaiņas kārtējā gadā, salīdzinot ar valsts budžetu kārtējam gadam</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7146D36" w14:textId="77777777" w:rsidR="002E495C" w:rsidRPr="002E495C" w:rsidRDefault="002E495C" w:rsidP="00545FE2">
            <w:pPr>
              <w:jc w:val="center"/>
            </w:pPr>
            <w:r w:rsidRPr="002E495C">
              <w:t>saskaņā ar vidēja termiņa budžeta ietvaru</w:t>
            </w:r>
          </w:p>
        </w:tc>
        <w:tc>
          <w:tcPr>
            <w:tcW w:w="582" w:type="pct"/>
            <w:tcBorders>
              <w:top w:val="outset" w:sz="6" w:space="0" w:color="000000"/>
              <w:left w:val="outset" w:sz="6" w:space="0" w:color="000000"/>
              <w:bottom w:val="outset" w:sz="6" w:space="0" w:color="000000"/>
              <w:right w:val="outset" w:sz="6" w:space="0" w:color="000000"/>
            </w:tcBorders>
            <w:shd w:val="clear" w:color="auto" w:fill="auto"/>
          </w:tcPr>
          <w:p w14:paraId="75AE7FAA" w14:textId="77777777" w:rsidR="002E495C" w:rsidRPr="002E495C" w:rsidRDefault="002E495C" w:rsidP="00545FE2">
            <w:pPr>
              <w:jc w:val="center"/>
            </w:pPr>
            <w:r w:rsidRPr="002E495C">
              <w:t>izmaiņas, salīdzinot ar vidēja termiņa budžeta ietvaru 2020. gadam</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2648ECD" w14:textId="77777777" w:rsidR="002E495C" w:rsidRPr="002E495C" w:rsidRDefault="002E495C" w:rsidP="00545FE2">
            <w:pPr>
              <w:jc w:val="center"/>
            </w:pPr>
            <w:r w:rsidRPr="002E495C">
              <w:t>saskaņā ar vidēja termiņa budžeta ietvaru</w:t>
            </w:r>
          </w:p>
        </w:tc>
        <w:tc>
          <w:tcPr>
            <w:tcW w:w="621" w:type="pct"/>
            <w:tcBorders>
              <w:top w:val="outset" w:sz="6" w:space="0" w:color="000000"/>
              <w:left w:val="outset" w:sz="6" w:space="0" w:color="000000"/>
              <w:bottom w:val="outset" w:sz="6" w:space="0" w:color="000000"/>
              <w:right w:val="outset" w:sz="6" w:space="0" w:color="000000"/>
            </w:tcBorders>
            <w:shd w:val="clear" w:color="auto" w:fill="auto"/>
          </w:tcPr>
          <w:p w14:paraId="26C713A2" w14:textId="77777777" w:rsidR="002E495C" w:rsidRPr="002E495C" w:rsidRDefault="002E495C" w:rsidP="00545FE2">
            <w:pPr>
              <w:jc w:val="center"/>
            </w:pPr>
            <w:r w:rsidRPr="002E495C">
              <w:t>izmaiņas, salīdzinot ar vidēja termiņa budžeta ietvaru 2021. gadam</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E48FA6E" w14:textId="77777777" w:rsidR="002E495C" w:rsidRPr="002E495C" w:rsidRDefault="002E495C" w:rsidP="00545FE2">
            <w:pPr>
              <w:jc w:val="center"/>
            </w:pPr>
            <w:r w:rsidRPr="002E495C">
              <w:t>izmaiņas, salīdzinot ar vidēja termiņa budžeta ietvaru 2021. gadam</w:t>
            </w:r>
          </w:p>
        </w:tc>
      </w:tr>
      <w:tr w:rsidR="002E495C" w:rsidRPr="002E495C" w14:paraId="49487129" w14:textId="77777777" w:rsidTr="002E495C">
        <w:tc>
          <w:tcPr>
            <w:tcW w:w="99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B390D34" w14:textId="77777777" w:rsidR="002E495C" w:rsidRPr="002E495C" w:rsidRDefault="002E495C" w:rsidP="002E495C">
            <w:r w:rsidRPr="002E495C">
              <w:t>1</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6BC362A" w14:textId="77777777" w:rsidR="002E495C" w:rsidRPr="002E495C" w:rsidRDefault="002E495C" w:rsidP="002E495C">
            <w:r w:rsidRPr="002E495C">
              <w:t>2</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D76E4E4" w14:textId="77777777" w:rsidR="002E495C" w:rsidRPr="002E495C" w:rsidRDefault="002E495C" w:rsidP="002E495C">
            <w:r w:rsidRPr="002E495C">
              <w:t>3</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537CD94" w14:textId="77777777" w:rsidR="002E495C" w:rsidRPr="002E495C" w:rsidRDefault="002E495C" w:rsidP="002E495C">
            <w:r w:rsidRPr="002E495C">
              <w:t>4</w:t>
            </w:r>
          </w:p>
        </w:tc>
        <w:tc>
          <w:tcPr>
            <w:tcW w:w="582" w:type="pct"/>
            <w:tcBorders>
              <w:top w:val="outset" w:sz="6" w:space="0" w:color="000000"/>
              <w:left w:val="outset" w:sz="6" w:space="0" w:color="000000"/>
              <w:bottom w:val="outset" w:sz="6" w:space="0" w:color="000000"/>
              <w:right w:val="outset" w:sz="6" w:space="0" w:color="000000"/>
            </w:tcBorders>
            <w:shd w:val="clear" w:color="auto" w:fill="auto"/>
          </w:tcPr>
          <w:p w14:paraId="08D67CF0" w14:textId="77777777" w:rsidR="002E495C" w:rsidRPr="002E495C" w:rsidRDefault="002E495C" w:rsidP="002E495C">
            <w:r w:rsidRPr="002E495C">
              <w:t>5</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783B252" w14:textId="77777777" w:rsidR="002E495C" w:rsidRPr="002E495C" w:rsidRDefault="002E495C" w:rsidP="002E495C">
            <w:r w:rsidRPr="002E495C">
              <w:t>6</w:t>
            </w:r>
          </w:p>
        </w:tc>
        <w:tc>
          <w:tcPr>
            <w:tcW w:w="621" w:type="pct"/>
            <w:tcBorders>
              <w:top w:val="outset" w:sz="6" w:space="0" w:color="000000"/>
              <w:left w:val="outset" w:sz="6" w:space="0" w:color="000000"/>
              <w:bottom w:val="outset" w:sz="6" w:space="0" w:color="000000"/>
              <w:right w:val="outset" w:sz="6" w:space="0" w:color="000000"/>
            </w:tcBorders>
            <w:shd w:val="clear" w:color="auto" w:fill="auto"/>
          </w:tcPr>
          <w:p w14:paraId="025CB0EF" w14:textId="77777777" w:rsidR="002E495C" w:rsidRPr="002E495C" w:rsidRDefault="002E495C" w:rsidP="002E495C">
            <w:r w:rsidRPr="002E495C">
              <w:t>7</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8FC7CB1" w14:textId="77777777" w:rsidR="002E495C" w:rsidRPr="002E495C" w:rsidRDefault="002E495C" w:rsidP="002E495C">
            <w:r w:rsidRPr="002E495C">
              <w:t>8</w:t>
            </w:r>
          </w:p>
        </w:tc>
      </w:tr>
      <w:tr w:rsidR="002E495C" w:rsidRPr="002E495C" w14:paraId="503F5A32" w14:textId="77777777" w:rsidTr="00F87217">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7B2A2116" w14:textId="77777777" w:rsidR="002E495C" w:rsidRPr="002E495C" w:rsidRDefault="002E495C" w:rsidP="002E495C">
            <w:r w:rsidRPr="002E495C">
              <w:lastRenderedPageBreak/>
              <w:t>1. Budžeta ieņēmumi</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A44381D" w14:textId="42C3A30B" w:rsidR="002E495C" w:rsidRPr="002E495C" w:rsidRDefault="005C6CCD" w:rsidP="005C6CCD">
            <w:pPr>
              <w:jc w:val="center"/>
              <w:rPr>
                <w:b/>
              </w:rPr>
            </w:pPr>
            <w:r>
              <w:rPr>
                <w:b/>
              </w:rPr>
              <w:t>0</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6297266" w14:textId="279A8819" w:rsidR="002E495C" w:rsidRPr="00EE7921" w:rsidRDefault="00326F40" w:rsidP="005C6CCD">
            <w:pPr>
              <w:jc w:val="center"/>
              <w:rPr>
                <w:b/>
              </w:rPr>
            </w:pPr>
            <w:r w:rsidRPr="00EE7921">
              <w:rPr>
                <w:b/>
              </w:rPr>
              <w:t>13 200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F167FEE" w14:textId="31439884" w:rsidR="002E495C" w:rsidRPr="002E495C" w:rsidRDefault="005C6CCD" w:rsidP="005C6CCD">
            <w:pPr>
              <w:jc w:val="center"/>
              <w:rPr>
                <w:b/>
              </w:rPr>
            </w:pPr>
            <w:r>
              <w:rPr>
                <w:b/>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D36B53C" w14:textId="645A8C02" w:rsidR="002E495C" w:rsidRPr="002E495C" w:rsidRDefault="00563736" w:rsidP="005C6CCD">
            <w:pPr>
              <w:jc w:val="center"/>
              <w:rPr>
                <w:b/>
              </w:rPr>
            </w:pPr>
            <w:r>
              <w:rPr>
                <w:b/>
              </w:rPr>
              <w:t>26 400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6D3AE98" w14:textId="1255D8C7" w:rsidR="002E495C" w:rsidRPr="002E495C" w:rsidRDefault="005C6CCD" w:rsidP="005C6CCD">
            <w:pPr>
              <w:jc w:val="center"/>
              <w:rPr>
                <w:b/>
              </w:rPr>
            </w:pPr>
            <w:r>
              <w:rPr>
                <w:b/>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1DDB0FE" w14:textId="3E5BD3CB" w:rsidR="002E495C" w:rsidRPr="002E495C" w:rsidRDefault="00563736" w:rsidP="005C6CCD">
            <w:pPr>
              <w:jc w:val="center"/>
              <w:rPr>
                <w:b/>
              </w:rPr>
            </w:pPr>
            <w:r>
              <w:rPr>
                <w:b/>
              </w:rPr>
              <w:t>2</w:t>
            </w:r>
            <w:r w:rsidR="005C6CCD">
              <w:rPr>
                <w:b/>
              </w:rPr>
              <w:t xml:space="preserve">6 </w:t>
            </w:r>
            <w:r>
              <w:rPr>
                <w:b/>
              </w:rPr>
              <w:t>4</w:t>
            </w:r>
            <w:r w:rsidR="005C6CCD">
              <w:rPr>
                <w:b/>
              </w:rPr>
              <w:t>00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0DBEDD2" w14:textId="6926BD7F" w:rsidR="002E495C" w:rsidRPr="002E495C" w:rsidRDefault="00563736" w:rsidP="005C6CCD">
            <w:pPr>
              <w:jc w:val="center"/>
              <w:rPr>
                <w:b/>
              </w:rPr>
            </w:pPr>
            <w:r>
              <w:rPr>
                <w:b/>
              </w:rPr>
              <w:t>2</w:t>
            </w:r>
            <w:r w:rsidR="005C6CCD">
              <w:rPr>
                <w:b/>
              </w:rPr>
              <w:t xml:space="preserve">6 </w:t>
            </w:r>
            <w:r>
              <w:rPr>
                <w:b/>
              </w:rPr>
              <w:t>4</w:t>
            </w:r>
            <w:r w:rsidR="005C6CCD">
              <w:rPr>
                <w:b/>
              </w:rPr>
              <w:t>00</w:t>
            </w:r>
          </w:p>
        </w:tc>
      </w:tr>
      <w:tr w:rsidR="002E495C" w:rsidRPr="002E495C" w14:paraId="4F0AF76B" w14:textId="77777777" w:rsidTr="002E495C">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2973FFE4" w14:textId="77777777" w:rsidR="002E495C" w:rsidRPr="002E495C" w:rsidRDefault="002E495C" w:rsidP="002E495C">
            <w:r w:rsidRPr="002E495C">
              <w:t>1.1. valsts pamatbudžets, tai skaitā ieņēmumi no maksas pakalpojumiem un citi pašu ieņēmumi</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1F04D6B" w14:textId="41FF1E87" w:rsidR="002E495C" w:rsidRPr="002E495C" w:rsidRDefault="005C6CCD" w:rsidP="005C6CCD">
            <w:pPr>
              <w:jc w:val="center"/>
            </w:pPr>
            <w:r>
              <w:t>0</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AD6EA3F" w14:textId="6E63F395" w:rsidR="002E495C" w:rsidRPr="00EE7921" w:rsidRDefault="00326F40" w:rsidP="005C6CCD">
            <w:pPr>
              <w:jc w:val="center"/>
            </w:pPr>
            <w:r w:rsidRPr="00EE7921">
              <w:t xml:space="preserve">13 200 </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1E54DB4" w14:textId="5D782B24" w:rsidR="002E495C" w:rsidRPr="002E495C" w:rsidRDefault="005C6CCD" w:rsidP="005C6CCD">
            <w:pPr>
              <w:jc w:val="center"/>
            </w:pPr>
            <w: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4E2AB8F" w14:textId="2FA1C041" w:rsidR="002E495C" w:rsidRPr="002E495C" w:rsidRDefault="00563736" w:rsidP="005C6CCD">
            <w:pPr>
              <w:jc w:val="center"/>
            </w:pPr>
            <w:r>
              <w:t>26 400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6DC7D7F" w14:textId="36438163" w:rsidR="002E495C" w:rsidRPr="002E495C" w:rsidRDefault="005C6CCD" w:rsidP="005C6CCD">
            <w:pPr>
              <w:jc w:val="center"/>
            </w:pPr>
            <w: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3C734E0" w14:textId="0B4F8DDC" w:rsidR="002E495C" w:rsidRPr="002E495C" w:rsidRDefault="00563736" w:rsidP="005C6CCD">
            <w:pPr>
              <w:jc w:val="center"/>
            </w:pPr>
            <w:r>
              <w:t>2</w:t>
            </w:r>
            <w:r w:rsidR="005C6CCD">
              <w:t xml:space="preserve">6 </w:t>
            </w:r>
            <w:r>
              <w:t>4</w:t>
            </w:r>
            <w:r w:rsidR="005C6CCD">
              <w:t>00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C4430A5" w14:textId="0C62EA89" w:rsidR="002E495C" w:rsidRPr="002E495C" w:rsidRDefault="00563736" w:rsidP="005C6CCD">
            <w:pPr>
              <w:jc w:val="center"/>
            </w:pPr>
            <w:r>
              <w:t>2</w:t>
            </w:r>
            <w:r w:rsidR="005C6CCD">
              <w:t xml:space="preserve">6 </w:t>
            </w:r>
            <w:r>
              <w:t>4</w:t>
            </w:r>
            <w:r w:rsidR="005C6CCD">
              <w:t>00</w:t>
            </w:r>
          </w:p>
        </w:tc>
      </w:tr>
      <w:tr w:rsidR="002E495C" w:rsidRPr="002E495C" w14:paraId="3EF77318" w14:textId="77777777" w:rsidTr="002E495C">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72C296AA" w14:textId="77777777" w:rsidR="002E495C" w:rsidRPr="002E495C" w:rsidRDefault="002E495C" w:rsidP="002E495C">
            <w:r w:rsidRPr="002E495C">
              <w:t>1.2. valsts speciālais budžets</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E1AECF2" w14:textId="3CBB9A90" w:rsidR="002E495C" w:rsidRPr="002E495C" w:rsidRDefault="005C6CCD" w:rsidP="005C6CCD">
            <w:pPr>
              <w:jc w:val="center"/>
            </w:pPr>
            <w:r>
              <w:t>0</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A00DD0C" w14:textId="04256806" w:rsidR="002E495C" w:rsidRPr="002E495C" w:rsidRDefault="005C6CCD" w:rsidP="005C6CCD">
            <w:pPr>
              <w:jc w:val="center"/>
            </w:pPr>
            <w: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E2D0D18" w14:textId="2A145C43" w:rsidR="002E495C" w:rsidRPr="002E495C" w:rsidRDefault="005C6CCD" w:rsidP="005C6CCD">
            <w:pPr>
              <w:jc w:val="center"/>
            </w:pPr>
            <w: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15C3599" w14:textId="6A244503" w:rsidR="002E495C" w:rsidRPr="002E495C" w:rsidRDefault="005C6CCD" w:rsidP="005C6CCD">
            <w:pPr>
              <w:jc w:val="center"/>
            </w:pPr>
            <w: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9810D5D" w14:textId="0C7879A8" w:rsidR="002E495C" w:rsidRPr="002E495C" w:rsidRDefault="005C6CCD" w:rsidP="005C6CCD">
            <w:pPr>
              <w:jc w:val="center"/>
            </w:pPr>
            <w: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6EAA05F" w14:textId="04DFD549" w:rsidR="002E495C" w:rsidRPr="002E495C" w:rsidRDefault="005C6CCD" w:rsidP="005C6CCD">
            <w:pPr>
              <w:jc w:val="center"/>
            </w:pPr>
            <w: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2173275" w14:textId="1A060E4A" w:rsidR="002E495C" w:rsidRPr="002E495C" w:rsidRDefault="005C6CCD" w:rsidP="005C6CCD">
            <w:pPr>
              <w:jc w:val="center"/>
            </w:pPr>
            <w:r>
              <w:t>0</w:t>
            </w:r>
          </w:p>
        </w:tc>
      </w:tr>
      <w:tr w:rsidR="002E495C" w:rsidRPr="002E495C" w14:paraId="23067E0B" w14:textId="77777777" w:rsidTr="002E495C">
        <w:trPr>
          <w:trHeight w:val="158"/>
        </w:trPr>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36072939" w14:textId="77777777" w:rsidR="002E495C" w:rsidRPr="002E495C" w:rsidRDefault="002E495C" w:rsidP="002E495C">
            <w:r w:rsidRPr="002E495C">
              <w:t>1.3. pašvaldību budžets</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BC550D0" w14:textId="755EEC45" w:rsidR="002E495C" w:rsidRPr="002E495C" w:rsidRDefault="005C6CCD" w:rsidP="005C6CCD">
            <w:pPr>
              <w:jc w:val="center"/>
            </w:pPr>
            <w:r>
              <w:t>0</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BBA24FC" w14:textId="559B0688" w:rsidR="002E495C" w:rsidRPr="002E495C" w:rsidRDefault="005C6CCD" w:rsidP="005C6CCD">
            <w:pPr>
              <w:jc w:val="center"/>
            </w:pPr>
            <w: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F29C730" w14:textId="375665CD" w:rsidR="002E495C" w:rsidRPr="002E495C" w:rsidRDefault="005C6CCD" w:rsidP="005C6CCD">
            <w:pPr>
              <w:jc w:val="center"/>
            </w:pPr>
            <w: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0CB6F27" w14:textId="088C2D83" w:rsidR="002E495C" w:rsidRPr="002E495C" w:rsidRDefault="005C6CCD" w:rsidP="005C6CCD">
            <w:pPr>
              <w:jc w:val="center"/>
            </w:pPr>
            <w: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7740887" w14:textId="04BAAB5F" w:rsidR="002E495C" w:rsidRPr="002E495C" w:rsidRDefault="005C6CCD" w:rsidP="005C6CCD">
            <w:pPr>
              <w:jc w:val="center"/>
            </w:pPr>
            <w: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9780952" w14:textId="084D1882" w:rsidR="002E495C" w:rsidRPr="002E495C" w:rsidRDefault="005C6CCD" w:rsidP="005C6CCD">
            <w:pPr>
              <w:jc w:val="center"/>
            </w:pPr>
            <w: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D0A6661" w14:textId="10B1E129" w:rsidR="002E495C" w:rsidRPr="002E495C" w:rsidRDefault="005C6CCD" w:rsidP="005C6CCD">
            <w:pPr>
              <w:jc w:val="center"/>
            </w:pPr>
            <w:r>
              <w:t>0</w:t>
            </w:r>
          </w:p>
        </w:tc>
      </w:tr>
      <w:tr w:rsidR="005C6CCD" w:rsidRPr="002E495C" w14:paraId="75CC99AF" w14:textId="77777777" w:rsidTr="002E495C">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4B1E2790" w14:textId="77777777" w:rsidR="005C6CCD" w:rsidRPr="002E495C" w:rsidRDefault="005C6CCD" w:rsidP="005C6CCD">
            <w:r w:rsidRPr="002E495C">
              <w:t>2. Budžeta izdevumi</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EE0A8A9" w14:textId="581FED46" w:rsidR="005C6CCD" w:rsidRPr="002E495C" w:rsidRDefault="005C6CCD" w:rsidP="005C6CCD">
            <w:pPr>
              <w:jc w:val="center"/>
              <w:rPr>
                <w:b/>
              </w:rPr>
            </w:pPr>
            <w:r>
              <w:rPr>
                <w:b/>
              </w:rPr>
              <w:t>0</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BB34411" w14:textId="0B84866E" w:rsidR="005C6CCD" w:rsidRPr="00EE7921" w:rsidRDefault="00326F40" w:rsidP="005C6CCD">
            <w:pPr>
              <w:jc w:val="center"/>
              <w:rPr>
                <w:b/>
              </w:rPr>
            </w:pPr>
            <w:r w:rsidRPr="00EE7921">
              <w:rPr>
                <w:b/>
              </w:rPr>
              <w:t xml:space="preserve">13 200 </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74736DC" w14:textId="7FA29771" w:rsidR="005C6CCD" w:rsidRPr="002E495C" w:rsidRDefault="005C6CCD" w:rsidP="005C6CCD">
            <w:pPr>
              <w:jc w:val="center"/>
              <w:rPr>
                <w:b/>
              </w:rPr>
            </w:pPr>
            <w:r>
              <w:rPr>
                <w:b/>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2108B55" w14:textId="7EB47D65" w:rsidR="005C6CCD" w:rsidRPr="002E495C" w:rsidRDefault="00563736" w:rsidP="005C6CCD">
            <w:pPr>
              <w:jc w:val="center"/>
              <w:rPr>
                <w:b/>
              </w:rPr>
            </w:pPr>
            <w:r>
              <w:rPr>
                <w:b/>
              </w:rPr>
              <w:t>2</w:t>
            </w:r>
            <w:r w:rsidR="005C6CCD">
              <w:rPr>
                <w:b/>
              </w:rPr>
              <w:t xml:space="preserve">6 </w:t>
            </w:r>
            <w:r>
              <w:rPr>
                <w:b/>
              </w:rPr>
              <w:t>4</w:t>
            </w:r>
            <w:r w:rsidR="005C6CCD">
              <w:rPr>
                <w:b/>
              </w:rPr>
              <w:t>00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FBE2DEC" w14:textId="4F15770D" w:rsidR="005C6CCD" w:rsidRPr="002E495C" w:rsidRDefault="005C6CCD" w:rsidP="005C6CCD">
            <w:pPr>
              <w:jc w:val="center"/>
              <w:rPr>
                <w:b/>
              </w:rPr>
            </w:pPr>
            <w:r>
              <w:rPr>
                <w:b/>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DF47BBF" w14:textId="56CF016B" w:rsidR="005C6CCD" w:rsidRPr="002E495C" w:rsidRDefault="00563736" w:rsidP="005C6CCD">
            <w:pPr>
              <w:jc w:val="center"/>
              <w:rPr>
                <w:b/>
              </w:rPr>
            </w:pPr>
            <w:r>
              <w:rPr>
                <w:b/>
              </w:rPr>
              <w:t>2</w:t>
            </w:r>
            <w:r w:rsidR="005C6CCD">
              <w:rPr>
                <w:b/>
              </w:rPr>
              <w:t xml:space="preserve">6 </w:t>
            </w:r>
            <w:r>
              <w:rPr>
                <w:b/>
              </w:rPr>
              <w:t>4</w:t>
            </w:r>
            <w:r w:rsidR="005C6CCD">
              <w:rPr>
                <w:b/>
              </w:rPr>
              <w:t>00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73C0D08" w14:textId="1D9A5133" w:rsidR="005C6CCD" w:rsidRPr="002E495C" w:rsidRDefault="00563736" w:rsidP="005C6CCD">
            <w:pPr>
              <w:jc w:val="center"/>
              <w:rPr>
                <w:b/>
              </w:rPr>
            </w:pPr>
            <w:r>
              <w:rPr>
                <w:b/>
              </w:rPr>
              <w:t>2</w:t>
            </w:r>
            <w:r w:rsidR="005C6CCD">
              <w:rPr>
                <w:b/>
              </w:rPr>
              <w:t xml:space="preserve">6 </w:t>
            </w:r>
            <w:r>
              <w:rPr>
                <w:b/>
              </w:rPr>
              <w:t>4</w:t>
            </w:r>
            <w:r w:rsidR="005C6CCD">
              <w:rPr>
                <w:b/>
              </w:rPr>
              <w:t>00</w:t>
            </w:r>
          </w:p>
        </w:tc>
      </w:tr>
      <w:tr w:rsidR="005C6CCD" w:rsidRPr="002E495C" w14:paraId="4B392E35" w14:textId="77777777" w:rsidTr="002E495C">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4530CE1A" w14:textId="77777777" w:rsidR="005C6CCD" w:rsidRPr="002E495C" w:rsidRDefault="005C6CCD" w:rsidP="005C6CCD">
            <w:r w:rsidRPr="002E495C">
              <w:t>2.1. valsts pamatbudžets</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C5F9B46" w14:textId="65703DF5" w:rsidR="005C6CCD" w:rsidRPr="002E495C" w:rsidRDefault="005C6CCD" w:rsidP="005C6CCD">
            <w:pPr>
              <w:jc w:val="center"/>
            </w:pPr>
            <w:r>
              <w:t>0</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AD4D8D8" w14:textId="264DDC1E" w:rsidR="005C6CCD" w:rsidRPr="00EE7921" w:rsidRDefault="00326F40" w:rsidP="005C6CCD">
            <w:pPr>
              <w:jc w:val="center"/>
            </w:pPr>
            <w:r w:rsidRPr="00EE7921">
              <w:t>13 200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28FBF98" w14:textId="60A577E0" w:rsidR="005C6CCD" w:rsidRPr="002E495C" w:rsidRDefault="005C6CCD" w:rsidP="005C6CCD">
            <w:pPr>
              <w:jc w:val="center"/>
            </w:pPr>
            <w: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FB5FE10" w14:textId="3FCFEE70" w:rsidR="005C6CCD" w:rsidRPr="002E495C" w:rsidRDefault="00563736" w:rsidP="005C6CCD">
            <w:pPr>
              <w:jc w:val="center"/>
            </w:pPr>
            <w:r>
              <w:t>2</w:t>
            </w:r>
            <w:r w:rsidR="005C6CCD">
              <w:t xml:space="preserve">6 </w:t>
            </w:r>
            <w:r>
              <w:t>4</w:t>
            </w:r>
            <w:r w:rsidR="005C6CCD">
              <w:t>00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3E08F78" w14:textId="34D843CA" w:rsidR="005C6CCD" w:rsidRPr="002E495C" w:rsidRDefault="005C6CCD" w:rsidP="005C6CCD">
            <w:pPr>
              <w:jc w:val="center"/>
            </w:pPr>
            <w: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8ECB88C" w14:textId="2156CB66" w:rsidR="005C6CCD" w:rsidRPr="002E495C" w:rsidRDefault="00563736" w:rsidP="005C6CCD">
            <w:pPr>
              <w:jc w:val="center"/>
            </w:pPr>
            <w:r>
              <w:t>2</w:t>
            </w:r>
            <w:r w:rsidR="005C6CCD">
              <w:t xml:space="preserve">6 </w:t>
            </w:r>
            <w:r>
              <w:t>4</w:t>
            </w:r>
            <w:r w:rsidR="005C6CCD">
              <w:t>00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C70B76A" w14:textId="50BF648E" w:rsidR="005C6CCD" w:rsidRPr="002E495C" w:rsidRDefault="00563736" w:rsidP="005C6CCD">
            <w:pPr>
              <w:jc w:val="center"/>
            </w:pPr>
            <w:r>
              <w:t>2</w:t>
            </w:r>
            <w:r w:rsidR="005C6CCD">
              <w:t xml:space="preserve">6 </w:t>
            </w:r>
            <w:r>
              <w:t>4</w:t>
            </w:r>
            <w:r w:rsidR="005C6CCD">
              <w:t>00</w:t>
            </w:r>
          </w:p>
        </w:tc>
      </w:tr>
      <w:tr w:rsidR="005C6CCD" w:rsidRPr="002E495C" w14:paraId="7AD38149" w14:textId="77777777" w:rsidTr="002E495C">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6BAE72C7" w14:textId="77777777" w:rsidR="005C6CCD" w:rsidRPr="002E495C" w:rsidRDefault="005C6CCD" w:rsidP="005C6CCD">
            <w:r w:rsidRPr="002E495C">
              <w:t>2.2. valsts speciālais budžets</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E764018" w14:textId="65C9CF62" w:rsidR="005C6CCD" w:rsidRPr="002E495C" w:rsidRDefault="005C6CCD" w:rsidP="005C6CCD">
            <w:pPr>
              <w:jc w:val="center"/>
            </w:pPr>
            <w:r>
              <w:t>0</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9859FAD" w14:textId="0A25C0F1" w:rsidR="005C6CCD" w:rsidRPr="002E495C" w:rsidRDefault="005C6CCD" w:rsidP="005C6CCD">
            <w:pPr>
              <w:jc w:val="center"/>
            </w:pPr>
            <w: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64B8A36" w14:textId="656784F6" w:rsidR="005C6CCD" w:rsidRPr="002E495C" w:rsidRDefault="005C6CCD" w:rsidP="005C6CCD">
            <w:pPr>
              <w:jc w:val="center"/>
            </w:pPr>
            <w: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B0215B5" w14:textId="4F64C009" w:rsidR="005C6CCD" w:rsidRPr="002E495C" w:rsidRDefault="005C6CCD" w:rsidP="005C6CCD">
            <w:pPr>
              <w:jc w:val="center"/>
            </w:pPr>
            <w: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A077D4D" w14:textId="6727FDF9" w:rsidR="005C6CCD" w:rsidRPr="002E495C" w:rsidRDefault="005C6CCD" w:rsidP="005C6CCD">
            <w:pPr>
              <w:jc w:val="center"/>
            </w:pPr>
            <w: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C5E9D75" w14:textId="04471818" w:rsidR="005C6CCD" w:rsidRPr="002E495C" w:rsidRDefault="005C6CCD" w:rsidP="005C6CCD">
            <w:pPr>
              <w:jc w:val="center"/>
            </w:pPr>
            <w: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4CB6AF8" w14:textId="36741401" w:rsidR="005C6CCD" w:rsidRPr="002E495C" w:rsidRDefault="005C6CCD" w:rsidP="005C6CCD">
            <w:pPr>
              <w:jc w:val="center"/>
            </w:pPr>
            <w:r>
              <w:t>0</w:t>
            </w:r>
          </w:p>
        </w:tc>
      </w:tr>
      <w:tr w:rsidR="005C6CCD" w:rsidRPr="002E495C" w14:paraId="7B361CE5" w14:textId="77777777" w:rsidTr="002E495C">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1F13BB84" w14:textId="77777777" w:rsidR="005C6CCD" w:rsidRPr="002E495C" w:rsidRDefault="005C6CCD" w:rsidP="005C6CCD">
            <w:r w:rsidRPr="002E495C">
              <w:t>2.3. pašvaldību budžets</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30D834E" w14:textId="1E30488D" w:rsidR="005C6CCD" w:rsidRPr="002E495C" w:rsidRDefault="005C6CCD" w:rsidP="005C6CCD">
            <w:pPr>
              <w:jc w:val="center"/>
            </w:pPr>
            <w:r>
              <w:t>0</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87324B2" w14:textId="3D5C0910" w:rsidR="005C6CCD" w:rsidRPr="002E495C" w:rsidRDefault="005C6CCD" w:rsidP="005C6CCD">
            <w:pPr>
              <w:jc w:val="center"/>
            </w:pPr>
            <w: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453A6F2" w14:textId="0ED47B5D" w:rsidR="005C6CCD" w:rsidRPr="002E495C" w:rsidRDefault="005C6CCD" w:rsidP="005C6CCD">
            <w:pPr>
              <w:jc w:val="center"/>
            </w:pPr>
            <w: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8384312" w14:textId="088D5C61" w:rsidR="005C6CCD" w:rsidRPr="002E495C" w:rsidRDefault="005C6CCD" w:rsidP="005C6CCD">
            <w:pPr>
              <w:jc w:val="center"/>
            </w:pPr>
            <w: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171C302" w14:textId="321DB48E" w:rsidR="005C6CCD" w:rsidRPr="002E495C" w:rsidRDefault="005C6CCD" w:rsidP="005C6CCD">
            <w:pPr>
              <w:jc w:val="center"/>
            </w:pPr>
            <w: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45309C7" w14:textId="38A471B8" w:rsidR="005C6CCD" w:rsidRPr="002E495C" w:rsidRDefault="005C6CCD" w:rsidP="005C6CCD">
            <w:pPr>
              <w:jc w:val="center"/>
            </w:pPr>
            <w: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0AB0045" w14:textId="17AB7A49" w:rsidR="005C6CCD" w:rsidRPr="002E495C" w:rsidRDefault="005C6CCD" w:rsidP="005C6CCD">
            <w:pPr>
              <w:jc w:val="center"/>
            </w:pPr>
            <w:r>
              <w:t>0</w:t>
            </w:r>
          </w:p>
        </w:tc>
      </w:tr>
      <w:tr w:rsidR="005C6CCD" w:rsidRPr="002E495C" w14:paraId="59675FF2" w14:textId="77777777" w:rsidTr="002E495C">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65FF887B" w14:textId="77777777" w:rsidR="005C6CCD" w:rsidRPr="002E495C" w:rsidRDefault="005C6CCD" w:rsidP="005C6CCD">
            <w:r w:rsidRPr="002E495C">
              <w:t>3. Finansiālā ietekme</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723CA4D" w14:textId="287EFF37" w:rsidR="005C6CCD" w:rsidRPr="002E495C" w:rsidRDefault="005C6CCD" w:rsidP="005C6CCD">
            <w:pPr>
              <w:jc w:val="center"/>
              <w:rPr>
                <w:b/>
              </w:rPr>
            </w:pPr>
            <w:r>
              <w:t>0</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314A9DD" w14:textId="2B119967" w:rsidR="005C6CCD" w:rsidRPr="002E495C" w:rsidRDefault="005C6CCD" w:rsidP="005C6CCD">
            <w:pPr>
              <w:jc w:val="center"/>
              <w:rPr>
                <w:b/>
              </w:rPr>
            </w:pPr>
            <w: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AC55E79" w14:textId="5D36D5A4" w:rsidR="005C6CCD" w:rsidRPr="002E495C" w:rsidRDefault="005C6CCD" w:rsidP="005C6CCD">
            <w:pPr>
              <w:jc w:val="center"/>
              <w:rPr>
                <w:b/>
              </w:rPr>
            </w:pPr>
            <w: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0C623F8" w14:textId="1BAECA86" w:rsidR="005C6CCD" w:rsidRPr="002E495C" w:rsidRDefault="005C6CCD" w:rsidP="005C6CCD">
            <w:pPr>
              <w:jc w:val="center"/>
              <w:rPr>
                <w:b/>
              </w:rPr>
            </w:pPr>
            <w: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C5EBD08" w14:textId="1B9C3745" w:rsidR="005C6CCD" w:rsidRPr="002E495C" w:rsidRDefault="005C6CCD" w:rsidP="005C6CCD">
            <w:pPr>
              <w:jc w:val="center"/>
              <w:rPr>
                <w:b/>
              </w:rPr>
            </w:pPr>
            <w: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986B0E0" w14:textId="53011B92" w:rsidR="005C6CCD" w:rsidRPr="002E495C" w:rsidRDefault="005C6CCD" w:rsidP="005C6CCD">
            <w:pPr>
              <w:jc w:val="center"/>
              <w:rPr>
                <w:b/>
              </w:rPr>
            </w:pPr>
            <w: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F3C5A77" w14:textId="6C8B9125" w:rsidR="005C6CCD" w:rsidRPr="002E495C" w:rsidRDefault="005C6CCD" w:rsidP="005C6CCD">
            <w:pPr>
              <w:jc w:val="center"/>
              <w:rPr>
                <w:b/>
              </w:rPr>
            </w:pPr>
            <w:r>
              <w:t>0</w:t>
            </w:r>
          </w:p>
        </w:tc>
      </w:tr>
      <w:tr w:rsidR="005C6CCD" w:rsidRPr="002E495C" w14:paraId="11EE9191" w14:textId="77777777" w:rsidTr="002E495C">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6DD8A326" w14:textId="77777777" w:rsidR="005C6CCD" w:rsidRPr="002E495C" w:rsidRDefault="005C6CCD" w:rsidP="005C6CCD">
            <w:r w:rsidRPr="002E495C">
              <w:t>3.1. valsts pamatbudžets</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AF7D9A6" w14:textId="3DC060EE" w:rsidR="005C6CCD" w:rsidRPr="002E495C" w:rsidRDefault="005C6CCD" w:rsidP="00037448">
            <w:pPr>
              <w:jc w:val="center"/>
            </w:pPr>
            <w:r>
              <w:t>0</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1657E10" w14:textId="18535026" w:rsidR="005C6CCD" w:rsidRPr="002E495C" w:rsidRDefault="005C6CCD" w:rsidP="00037448">
            <w:pPr>
              <w:jc w:val="center"/>
            </w:pPr>
            <w: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DA1ED9A" w14:textId="4F36726F" w:rsidR="005C6CCD" w:rsidRPr="002E495C" w:rsidRDefault="005C6CCD" w:rsidP="00037448">
            <w:pPr>
              <w:jc w:val="center"/>
            </w:pPr>
            <w: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824F2DB" w14:textId="76D0E1BD" w:rsidR="005C6CCD" w:rsidRPr="002E495C" w:rsidRDefault="005C6CCD" w:rsidP="00037448">
            <w:pPr>
              <w:jc w:val="center"/>
            </w:pPr>
            <w: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C858C97" w14:textId="4671128F" w:rsidR="005C6CCD" w:rsidRPr="002E495C" w:rsidRDefault="005C6CCD" w:rsidP="00037448">
            <w:pPr>
              <w:jc w:val="center"/>
            </w:pPr>
            <w: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A6F7AE3" w14:textId="7AE1DE5F" w:rsidR="005C6CCD" w:rsidRPr="002E495C" w:rsidRDefault="005C6CCD" w:rsidP="00037448">
            <w:pPr>
              <w:jc w:val="center"/>
            </w:pPr>
            <w: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1CA1E06" w14:textId="461CEE54" w:rsidR="005C6CCD" w:rsidRPr="002E495C" w:rsidRDefault="005C6CCD" w:rsidP="00037448">
            <w:pPr>
              <w:jc w:val="center"/>
            </w:pPr>
            <w:r>
              <w:t>0</w:t>
            </w:r>
          </w:p>
        </w:tc>
      </w:tr>
      <w:tr w:rsidR="005C6CCD" w:rsidRPr="002E495C" w14:paraId="76C932A4" w14:textId="77777777" w:rsidTr="002E495C">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085322CC" w14:textId="77777777" w:rsidR="005C6CCD" w:rsidRPr="002E495C" w:rsidRDefault="005C6CCD" w:rsidP="005C6CCD">
            <w:r w:rsidRPr="002E495C">
              <w:t>3.2. speciālais budžets</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86AABA5" w14:textId="5EEFE441" w:rsidR="005C6CCD" w:rsidRPr="002E495C" w:rsidRDefault="005C6CCD" w:rsidP="00037448">
            <w:pPr>
              <w:jc w:val="center"/>
            </w:pPr>
            <w:r>
              <w:t>0</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F47DA58" w14:textId="3414865A" w:rsidR="005C6CCD" w:rsidRPr="002E495C" w:rsidRDefault="005C6CCD" w:rsidP="00037448">
            <w:pPr>
              <w:jc w:val="center"/>
            </w:pPr>
            <w: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290301E" w14:textId="12730463" w:rsidR="005C6CCD" w:rsidRPr="002E495C" w:rsidRDefault="005C6CCD" w:rsidP="00037448">
            <w:pPr>
              <w:jc w:val="center"/>
            </w:pPr>
            <w: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092DA0C" w14:textId="617C0DB3" w:rsidR="005C6CCD" w:rsidRPr="002E495C" w:rsidRDefault="005C6CCD" w:rsidP="00037448">
            <w:pPr>
              <w:jc w:val="center"/>
            </w:pPr>
            <w: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CC3CE9C" w14:textId="6F266DA8" w:rsidR="005C6CCD" w:rsidRPr="002E495C" w:rsidRDefault="005C6CCD" w:rsidP="00037448">
            <w:pPr>
              <w:jc w:val="center"/>
            </w:pPr>
            <w: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ED9FEC1" w14:textId="3049B9DF" w:rsidR="005C6CCD" w:rsidRPr="002E495C" w:rsidRDefault="005C6CCD" w:rsidP="00037448">
            <w:pPr>
              <w:jc w:val="center"/>
            </w:pPr>
            <w: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C0F01E9" w14:textId="176C72F6" w:rsidR="005C6CCD" w:rsidRPr="002E495C" w:rsidRDefault="005C6CCD" w:rsidP="00037448">
            <w:pPr>
              <w:jc w:val="center"/>
            </w:pPr>
            <w:r>
              <w:t>0</w:t>
            </w:r>
          </w:p>
        </w:tc>
      </w:tr>
      <w:tr w:rsidR="005C6CCD" w:rsidRPr="002E495C" w14:paraId="2236E404" w14:textId="77777777" w:rsidTr="002E495C">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1FA8A61B" w14:textId="77777777" w:rsidR="005C6CCD" w:rsidRPr="002E495C" w:rsidRDefault="005C6CCD" w:rsidP="005C6CCD">
            <w:r w:rsidRPr="002E495C">
              <w:t>3.3. pašvaldību budžets</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3F91C46" w14:textId="3682FDC4" w:rsidR="005C6CCD" w:rsidRPr="002E495C" w:rsidRDefault="005C6CCD" w:rsidP="00037448">
            <w:pPr>
              <w:jc w:val="center"/>
            </w:pPr>
            <w:r>
              <w:t>0</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6BE6154" w14:textId="5A4E1D18" w:rsidR="005C6CCD" w:rsidRPr="002E495C" w:rsidRDefault="005C6CCD" w:rsidP="00037448">
            <w:pPr>
              <w:jc w:val="center"/>
            </w:pPr>
            <w: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0A89A52" w14:textId="01BF1A35" w:rsidR="005C6CCD" w:rsidRPr="002E495C" w:rsidRDefault="005C6CCD" w:rsidP="00037448">
            <w:pPr>
              <w:jc w:val="center"/>
            </w:pPr>
            <w: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F352E95" w14:textId="1B5D19BB" w:rsidR="005C6CCD" w:rsidRPr="002E495C" w:rsidRDefault="005C6CCD" w:rsidP="00037448">
            <w:pPr>
              <w:jc w:val="center"/>
            </w:pPr>
            <w: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648C819" w14:textId="5DB0D06F" w:rsidR="005C6CCD" w:rsidRPr="002E495C" w:rsidRDefault="005C6CCD" w:rsidP="00037448">
            <w:pPr>
              <w:jc w:val="center"/>
            </w:pPr>
            <w: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13122E0" w14:textId="63391753" w:rsidR="005C6CCD" w:rsidRPr="002E495C" w:rsidRDefault="005C6CCD" w:rsidP="00037448">
            <w:pPr>
              <w:jc w:val="center"/>
            </w:pPr>
            <w: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513C344" w14:textId="2040C5AA" w:rsidR="005C6CCD" w:rsidRPr="002E495C" w:rsidRDefault="005C6CCD" w:rsidP="00037448">
            <w:pPr>
              <w:jc w:val="center"/>
            </w:pPr>
            <w:r>
              <w:t>0</w:t>
            </w:r>
          </w:p>
        </w:tc>
      </w:tr>
      <w:tr w:rsidR="005C6CCD" w:rsidRPr="002E495C" w14:paraId="2CC99C25" w14:textId="77777777" w:rsidTr="002F4471">
        <w:trPr>
          <w:trHeight w:val="2484"/>
        </w:trPr>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2ED63EE7" w14:textId="77777777" w:rsidR="005C6CCD" w:rsidRPr="002E495C" w:rsidRDefault="005C6CCD" w:rsidP="002E495C">
            <w:r w:rsidRPr="002E495C">
              <w:t>4. Finanšu līdzekļi papildu izde</w:t>
            </w:r>
            <w:r w:rsidRPr="002E495C">
              <w:softHyphen/>
              <w:t>vumu finansēšanai (kompensējošu izdevumu samazinājumu norāda ar "+" zīmi)</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C37E866" w14:textId="2992F260" w:rsidR="005C6CCD" w:rsidRPr="002E495C" w:rsidRDefault="005C6CCD" w:rsidP="005C6CCD">
            <w:pPr>
              <w:jc w:val="center"/>
            </w:pPr>
            <w:r>
              <w:t>X</w:t>
            </w:r>
          </w:p>
        </w:tc>
        <w:tc>
          <w:tcPr>
            <w:tcW w:w="553" w:type="pct"/>
            <w:tcBorders>
              <w:top w:val="outset" w:sz="6" w:space="0" w:color="000000"/>
              <w:left w:val="outset" w:sz="6" w:space="0" w:color="000000"/>
              <w:right w:val="outset" w:sz="6" w:space="0" w:color="000000"/>
            </w:tcBorders>
            <w:shd w:val="clear" w:color="auto" w:fill="auto"/>
            <w:vAlign w:val="center"/>
          </w:tcPr>
          <w:p w14:paraId="37DB9202" w14:textId="011CA871" w:rsidR="005C6CCD" w:rsidRPr="002E495C" w:rsidRDefault="005C6CCD" w:rsidP="005C6CCD">
            <w:pPr>
              <w:jc w:val="center"/>
            </w:pPr>
          </w:p>
        </w:tc>
        <w:tc>
          <w:tcPr>
            <w:tcW w:w="602" w:type="pct"/>
            <w:tcBorders>
              <w:top w:val="outset" w:sz="6" w:space="0" w:color="000000"/>
              <w:left w:val="outset" w:sz="6" w:space="0" w:color="000000"/>
              <w:right w:val="outset" w:sz="6" w:space="0" w:color="000000"/>
            </w:tcBorders>
            <w:shd w:val="clear" w:color="auto" w:fill="auto"/>
            <w:vAlign w:val="center"/>
          </w:tcPr>
          <w:p w14:paraId="7D7D216D" w14:textId="05691855" w:rsidR="005C6CCD" w:rsidRPr="002E495C" w:rsidRDefault="005C6CCD" w:rsidP="005C6CCD">
            <w:pPr>
              <w:jc w:val="center"/>
            </w:pPr>
            <w:r>
              <w:t>X</w:t>
            </w:r>
          </w:p>
        </w:tc>
        <w:tc>
          <w:tcPr>
            <w:tcW w:w="582" w:type="pct"/>
            <w:tcBorders>
              <w:top w:val="outset" w:sz="6" w:space="0" w:color="000000"/>
              <w:left w:val="outset" w:sz="6" w:space="0" w:color="000000"/>
              <w:right w:val="outset" w:sz="6" w:space="0" w:color="000000"/>
            </w:tcBorders>
            <w:shd w:val="clear" w:color="auto" w:fill="auto"/>
            <w:vAlign w:val="center"/>
          </w:tcPr>
          <w:p w14:paraId="44785679" w14:textId="649CC9DC" w:rsidR="005C6CCD" w:rsidRPr="002E495C" w:rsidRDefault="005C6CCD" w:rsidP="005C6CCD">
            <w:pPr>
              <w:jc w:val="center"/>
            </w:pPr>
          </w:p>
        </w:tc>
        <w:tc>
          <w:tcPr>
            <w:tcW w:w="587" w:type="pct"/>
            <w:tcBorders>
              <w:top w:val="outset" w:sz="6" w:space="0" w:color="000000"/>
              <w:left w:val="outset" w:sz="6" w:space="0" w:color="000000"/>
              <w:right w:val="outset" w:sz="6" w:space="0" w:color="000000"/>
            </w:tcBorders>
            <w:shd w:val="clear" w:color="auto" w:fill="auto"/>
            <w:vAlign w:val="center"/>
          </w:tcPr>
          <w:p w14:paraId="579A2DCE" w14:textId="2BD724FC" w:rsidR="005C6CCD" w:rsidRPr="002E495C" w:rsidRDefault="005C6CCD" w:rsidP="005C6CCD">
            <w:pPr>
              <w:jc w:val="center"/>
            </w:pPr>
            <w:r>
              <w:t>X</w:t>
            </w:r>
          </w:p>
        </w:tc>
        <w:tc>
          <w:tcPr>
            <w:tcW w:w="621" w:type="pct"/>
            <w:tcBorders>
              <w:top w:val="outset" w:sz="6" w:space="0" w:color="000000"/>
              <w:left w:val="outset" w:sz="6" w:space="0" w:color="000000"/>
              <w:right w:val="outset" w:sz="6" w:space="0" w:color="000000"/>
            </w:tcBorders>
            <w:shd w:val="clear" w:color="auto" w:fill="auto"/>
            <w:vAlign w:val="center"/>
          </w:tcPr>
          <w:p w14:paraId="50DC2D79" w14:textId="0F2CD43E" w:rsidR="005C6CCD" w:rsidRPr="002E495C" w:rsidRDefault="005C6CCD" w:rsidP="005C6CCD">
            <w:pPr>
              <w:jc w:val="center"/>
            </w:pPr>
          </w:p>
        </w:tc>
        <w:tc>
          <w:tcPr>
            <w:tcW w:w="551" w:type="pct"/>
            <w:tcBorders>
              <w:top w:val="outset" w:sz="6" w:space="0" w:color="000000"/>
              <w:left w:val="outset" w:sz="6" w:space="0" w:color="000000"/>
              <w:right w:val="outset" w:sz="6" w:space="0" w:color="000000"/>
            </w:tcBorders>
            <w:shd w:val="clear" w:color="auto" w:fill="auto"/>
            <w:vAlign w:val="center"/>
          </w:tcPr>
          <w:p w14:paraId="29C95B8B" w14:textId="48917470" w:rsidR="005C6CCD" w:rsidRPr="002E495C" w:rsidRDefault="005C6CCD" w:rsidP="005C6CCD">
            <w:pPr>
              <w:jc w:val="center"/>
            </w:pPr>
          </w:p>
        </w:tc>
      </w:tr>
      <w:tr w:rsidR="005C6CCD" w:rsidRPr="002E495C" w14:paraId="1D595274" w14:textId="77777777" w:rsidTr="002F4471">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5EC1EA46" w14:textId="77777777" w:rsidR="005C6CCD" w:rsidRPr="002E495C" w:rsidRDefault="005C6CCD" w:rsidP="002E495C">
            <w:r w:rsidRPr="002E495C">
              <w:t>5. Precizēta finansiālā ietekme</w:t>
            </w:r>
          </w:p>
        </w:tc>
        <w:tc>
          <w:tcPr>
            <w:tcW w:w="510" w:type="pct"/>
            <w:vMerge w:val="restart"/>
            <w:tcBorders>
              <w:top w:val="outset" w:sz="6" w:space="0" w:color="000000"/>
              <w:left w:val="outset" w:sz="6" w:space="0" w:color="000000"/>
              <w:bottom w:val="outset" w:sz="6" w:space="0" w:color="000000"/>
              <w:right w:val="outset" w:sz="6" w:space="0" w:color="000000"/>
            </w:tcBorders>
            <w:shd w:val="clear" w:color="auto" w:fill="auto"/>
          </w:tcPr>
          <w:p w14:paraId="323293E3" w14:textId="77777777" w:rsidR="005C6CCD" w:rsidRDefault="005C6CCD" w:rsidP="002E495C"/>
          <w:p w14:paraId="59DA3AD7" w14:textId="77777777" w:rsidR="005C6CCD" w:rsidRDefault="005C6CCD" w:rsidP="002E495C"/>
          <w:p w14:paraId="1AAD07AD" w14:textId="77777777" w:rsidR="005C6CCD" w:rsidRDefault="005C6CCD" w:rsidP="002E495C"/>
          <w:p w14:paraId="1C5CE709" w14:textId="77777777" w:rsidR="005C6CCD" w:rsidRDefault="005C6CCD" w:rsidP="002E495C"/>
          <w:p w14:paraId="3A62A23B" w14:textId="77777777" w:rsidR="005C6CCD" w:rsidRDefault="005C6CCD" w:rsidP="002E495C"/>
          <w:p w14:paraId="304719BE" w14:textId="77777777" w:rsidR="005C6CCD" w:rsidRDefault="005C6CCD" w:rsidP="002E495C"/>
          <w:p w14:paraId="25AA71B8" w14:textId="77777777" w:rsidR="005C6CCD" w:rsidRDefault="005C6CCD" w:rsidP="002E495C"/>
          <w:p w14:paraId="50455DC4" w14:textId="16D975A4" w:rsidR="005C6CCD" w:rsidRPr="002E495C" w:rsidRDefault="005C6CCD" w:rsidP="005C6CCD">
            <w:pPr>
              <w:jc w:val="center"/>
            </w:pPr>
            <w:r>
              <w:t>X</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02AF5FB" w14:textId="112A3AC0" w:rsidR="005C6CCD" w:rsidRPr="002E495C" w:rsidRDefault="005C6CCD" w:rsidP="002E495C"/>
        </w:tc>
        <w:tc>
          <w:tcPr>
            <w:tcW w:w="602" w:type="pct"/>
            <w:vMerge w:val="restart"/>
            <w:tcBorders>
              <w:top w:val="outset" w:sz="6" w:space="0" w:color="000000"/>
              <w:left w:val="outset" w:sz="6" w:space="0" w:color="000000"/>
              <w:right w:val="outset" w:sz="6" w:space="0" w:color="000000"/>
            </w:tcBorders>
            <w:shd w:val="clear" w:color="auto" w:fill="auto"/>
            <w:vAlign w:val="center"/>
          </w:tcPr>
          <w:p w14:paraId="4721F42E" w14:textId="77777777" w:rsidR="005C6CCD" w:rsidRDefault="005C6CCD" w:rsidP="002E495C"/>
          <w:p w14:paraId="5748A1A4" w14:textId="77777777" w:rsidR="005C6CCD" w:rsidRDefault="005C6CCD" w:rsidP="002E495C"/>
          <w:p w14:paraId="4F7B71DD" w14:textId="77777777" w:rsidR="005C6CCD" w:rsidRDefault="005C6CCD" w:rsidP="002E495C"/>
          <w:p w14:paraId="2A06CA9B" w14:textId="77777777" w:rsidR="005C6CCD" w:rsidRDefault="005C6CCD" w:rsidP="002E495C"/>
          <w:p w14:paraId="06D0CD31" w14:textId="77777777" w:rsidR="005C6CCD" w:rsidRDefault="005C6CCD" w:rsidP="002E495C"/>
          <w:p w14:paraId="5B2B667D" w14:textId="135C8FAB" w:rsidR="005C6CCD" w:rsidRPr="002E495C" w:rsidRDefault="005C6CCD" w:rsidP="005C6CCD">
            <w:pPr>
              <w:jc w:val="center"/>
            </w:pPr>
            <w:r>
              <w:t>X</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B07AE1E" w14:textId="3B0AE2D2" w:rsidR="005C6CCD" w:rsidRPr="002E495C" w:rsidRDefault="005C6CCD" w:rsidP="002E495C"/>
        </w:tc>
        <w:tc>
          <w:tcPr>
            <w:tcW w:w="587" w:type="pct"/>
            <w:vMerge w:val="restart"/>
            <w:tcBorders>
              <w:top w:val="outset" w:sz="6" w:space="0" w:color="000000"/>
              <w:left w:val="outset" w:sz="6" w:space="0" w:color="000000"/>
              <w:right w:val="outset" w:sz="6" w:space="0" w:color="000000"/>
            </w:tcBorders>
            <w:shd w:val="clear" w:color="auto" w:fill="auto"/>
            <w:vAlign w:val="center"/>
          </w:tcPr>
          <w:p w14:paraId="64E8B300" w14:textId="77777777" w:rsidR="005C6CCD" w:rsidRDefault="005C6CCD" w:rsidP="002E495C"/>
          <w:p w14:paraId="6BF4BDBF" w14:textId="77777777" w:rsidR="005C6CCD" w:rsidRDefault="005C6CCD" w:rsidP="002E495C"/>
          <w:p w14:paraId="1C8ABACF" w14:textId="77777777" w:rsidR="005C6CCD" w:rsidRDefault="005C6CCD" w:rsidP="002E495C"/>
          <w:p w14:paraId="143A2222" w14:textId="77777777" w:rsidR="005C6CCD" w:rsidRDefault="005C6CCD" w:rsidP="002E495C"/>
          <w:p w14:paraId="3E0B78A1" w14:textId="77777777" w:rsidR="005C6CCD" w:rsidRDefault="005C6CCD" w:rsidP="002E495C"/>
          <w:p w14:paraId="60AF6D2B" w14:textId="591F94A6" w:rsidR="005C6CCD" w:rsidRPr="002E495C" w:rsidRDefault="005C6CCD" w:rsidP="005C6CCD">
            <w:pPr>
              <w:jc w:val="center"/>
            </w:pPr>
            <w:r>
              <w:t>X</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4FBF445" w14:textId="298B5D86" w:rsidR="005C6CCD" w:rsidRPr="002E495C" w:rsidRDefault="005C6CCD" w:rsidP="002E495C"/>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0D6D941" w14:textId="3AF6CFB6" w:rsidR="005C6CCD" w:rsidRPr="002E495C" w:rsidRDefault="005C6CCD" w:rsidP="002E495C"/>
        </w:tc>
      </w:tr>
      <w:tr w:rsidR="005C6CCD" w:rsidRPr="002E495C" w14:paraId="543B0059" w14:textId="77777777" w:rsidTr="002F4471">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06BCFCB1" w14:textId="77777777" w:rsidR="005C6CCD" w:rsidRPr="002E495C" w:rsidRDefault="005C6CCD" w:rsidP="002E495C">
            <w:r w:rsidRPr="002E495C">
              <w:t>5.1. valsts pamatbudžets</w:t>
            </w:r>
          </w:p>
        </w:tc>
        <w:tc>
          <w:tcPr>
            <w:tcW w:w="510" w:type="pct"/>
            <w:vMerge/>
            <w:tcBorders>
              <w:top w:val="outset" w:sz="6" w:space="0" w:color="000000"/>
              <w:left w:val="outset" w:sz="6" w:space="0" w:color="000000"/>
              <w:bottom w:val="outset" w:sz="6" w:space="0" w:color="000000"/>
              <w:right w:val="outset" w:sz="6" w:space="0" w:color="000000"/>
            </w:tcBorders>
            <w:shd w:val="clear" w:color="auto" w:fill="auto"/>
            <w:vAlign w:val="center"/>
          </w:tcPr>
          <w:p w14:paraId="1B36CFE5" w14:textId="77777777" w:rsidR="005C6CCD" w:rsidRPr="002E495C" w:rsidRDefault="005C6CCD" w:rsidP="002E495C"/>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0D24382" w14:textId="14F9B980" w:rsidR="005C6CCD" w:rsidRPr="002E495C" w:rsidRDefault="005C6CCD" w:rsidP="002E495C"/>
        </w:tc>
        <w:tc>
          <w:tcPr>
            <w:tcW w:w="602" w:type="pct"/>
            <w:vMerge/>
            <w:tcBorders>
              <w:left w:val="outset" w:sz="6" w:space="0" w:color="000000"/>
              <w:right w:val="outset" w:sz="6" w:space="0" w:color="000000"/>
            </w:tcBorders>
            <w:shd w:val="clear" w:color="auto" w:fill="auto"/>
            <w:vAlign w:val="center"/>
          </w:tcPr>
          <w:p w14:paraId="3D74985C" w14:textId="2246E631" w:rsidR="005C6CCD" w:rsidRPr="002E495C" w:rsidRDefault="005C6CCD" w:rsidP="002E495C"/>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D05DBDC" w14:textId="45BDED56" w:rsidR="005C6CCD" w:rsidRPr="002E495C" w:rsidRDefault="005C6CCD" w:rsidP="002E495C"/>
        </w:tc>
        <w:tc>
          <w:tcPr>
            <w:tcW w:w="587" w:type="pct"/>
            <w:vMerge/>
            <w:tcBorders>
              <w:left w:val="outset" w:sz="6" w:space="0" w:color="000000"/>
              <w:right w:val="outset" w:sz="6" w:space="0" w:color="000000"/>
            </w:tcBorders>
            <w:shd w:val="clear" w:color="auto" w:fill="auto"/>
            <w:vAlign w:val="center"/>
          </w:tcPr>
          <w:p w14:paraId="24D069FB" w14:textId="0A003A01" w:rsidR="005C6CCD" w:rsidRPr="002E495C" w:rsidRDefault="005C6CCD" w:rsidP="002E495C"/>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A7E7A9A" w14:textId="5019D4A9" w:rsidR="005C6CCD" w:rsidRPr="002E495C" w:rsidRDefault="005C6CCD" w:rsidP="002E495C"/>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1325D89" w14:textId="0D8C07F4" w:rsidR="005C6CCD" w:rsidRPr="002E495C" w:rsidRDefault="005C6CCD" w:rsidP="002E495C"/>
        </w:tc>
      </w:tr>
      <w:tr w:rsidR="005C6CCD" w:rsidRPr="002E495C" w14:paraId="70D906DE" w14:textId="77777777" w:rsidTr="002F4471">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76893D48" w14:textId="77777777" w:rsidR="005C6CCD" w:rsidRPr="002E495C" w:rsidRDefault="005C6CCD" w:rsidP="002E495C">
            <w:r w:rsidRPr="002E495C">
              <w:t>5.2. speciālais budžets</w:t>
            </w:r>
          </w:p>
        </w:tc>
        <w:tc>
          <w:tcPr>
            <w:tcW w:w="510" w:type="pct"/>
            <w:vMerge/>
            <w:tcBorders>
              <w:top w:val="outset" w:sz="6" w:space="0" w:color="000000"/>
              <w:left w:val="outset" w:sz="6" w:space="0" w:color="000000"/>
              <w:bottom w:val="outset" w:sz="6" w:space="0" w:color="000000"/>
              <w:right w:val="outset" w:sz="6" w:space="0" w:color="000000"/>
            </w:tcBorders>
            <w:shd w:val="clear" w:color="auto" w:fill="auto"/>
            <w:vAlign w:val="center"/>
          </w:tcPr>
          <w:p w14:paraId="0A00E307" w14:textId="77777777" w:rsidR="005C6CCD" w:rsidRPr="002E495C" w:rsidRDefault="005C6CCD" w:rsidP="002E495C"/>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F123E5C" w14:textId="777D5277" w:rsidR="005C6CCD" w:rsidRPr="002E495C" w:rsidRDefault="005C6CCD" w:rsidP="002E495C"/>
        </w:tc>
        <w:tc>
          <w:tcPr>
            <w:tcW w:w="602" w:type="pct"/>
            <w:vMerge/>
            <w:tcBorders>
              <w:left w:val="outset" w:sz="6" w:space="0" w:color="000000"/>
              <w:right w:val="outset" w:sz="6" w:space="0" w:color="000000"/>
            </w:tcBorders>
            <w:shd w:val="clear" w:color="auto" w:fill="auto"/>
            <w:vAlign w:val="center"/>
          </w:tcPr>
          <w:p w14:paraId="59EF3FD0" w14:textId="66056194" w:rsidR="005C6CCD" w:rsidRPr="002E495C" w:rsidRDefault="005C6CCD" w:rsidP="002E495C"/>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A6FFA16" w14:textId="434FC355" w:rsidR="005C6CCD" w:rsidRPr="002E495C" w:rsidRDefault="005C6CCD" w:rsidP="002E495C"/>
        </w:tc>
        <w:tc>
          <w:tcPr>
            <w:tcW w:w="587" w:type="pct"/>
            <w:vMerge/>
            <w:tcBorders>
              <w:left w:val="outset" w:sz="6" w:space="0" w:color="000000"/>
              <w:right w:val="outset" w:sz="6" w:space="0" w:color="000000"/>
            </w:tcBorders>
            <w:shd w:val="clear" w:color="auto" w:fill="auto"/>
            <w:vAlign w:val="center"/>
          </w:tcPr>
          <w:p w14:paraId="44D9EA92" w14:textId="7280692C" w:rsidR="005C6CCD" w:rsidRPr="002E495C" w:rsidRDefault="005C6CCD" w:rsidP="002E495C"/>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708AEF0" w14:textId="0D362D9C" w:rsidR="005C6CCD" w:rsidRPr="002E495C" w:rsidRDefault="005C6CCD" w:rsidP="002E495C"/>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32C2D78" w14:textId="4B4E12DB" w:rsidR="005C6CCD" w:rsidRPr="002E495C" w:rsidRDefault="005C6CCD" w:rsidP="002E495C"/>
        </w:tc>
      </w:tr>
      <w:tr w:rsidR="005C6CCD" w:rsidRPr="002E495C" w14:paraId="65904772" w14:textId="77777777" w:rsidTr="002F4471">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50E96E48" w14:textId="77777777" w:rsidR="005C6CCD" w:rsidRPr="002E495C" w:rsidRDefault="005C6CCD" w:rsidP="002E495C">
            <w:r w:rsidRPr="002E495C">
              <w:t>5.3. pašvaldību budžets</w:t>
            </w:r>
          </w:p>
        </w:tc>
        <w:tc>
          <w:tcPr>
            <w:tcW w:w="510" w:type="pct"/>
            <w:vMerge/>
            <w:tcBorders>
              <w:top w:val="outset" w:sz="6" w:space="0" w:color="000000"/>
              <w:left w:val="outset" w:sz="6" w:space="0" w:color="000000"/>
              <w:bottom w:val="outset" w:sz="6" w:space="0" w:color="000000"/>
              <w:right w:val="outset" w:sz="6" w:space="0" w:color="000000"/>
            </w:tcBorders>
            <w:shd w:val="clear" w:color="auto" w:fill="auto"/>
            <w:vAlign w:val="center"/>
          </w:tcPr>
          <w:p w14:paraId="26388EE8" w14:textId="77777777" w:rsidR="005C6CCD" w:rsidRPr="002E495C" w:rsidRDefault="005C6CCD" w:rsidP="002E495C"/>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2CF3072" w14:textId="3FF35F53" w:rsidR="005C6CCD" w:rsidRPr="002E495C" w:rsidRDefault="005C6CCD" w:rsidP="002E495C"/>
        </w:tc>
        <w:tc>
          <w:tcPr>
            <w:tcW w:w="602" w:type="pct"/>
            <w:vMerge/>
            <w:tcBorders>
              <w:left w:val="outset" w:sz="6" w:space="0" w:color="000000"/>
              <w:bottom w:val="outset" w:sz="6" w:space="0" w:color="000000"/>
              <w:right w:val="outset" w:sz="6" w:space="0" w:color="000000"/>
            </w:tcBorders>
            <w:shd w:val="clear" w:color="auto" w:fill="auto"/>
            <w:vAlign w:val="center"/>
          </w:tcPr>
          <w:p w14:paraId="41828145" w14:textId="4C42F665" w:rsidR="005C6CCD" w:rsidRPr="002E495C" w:rsidRDefault="005C6CCD" w:rsidP="002E495C"/>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6A61792" w14:textId="3595BB66" w:rsidR="005C6CCD" w:rsidRPr="002E495C" w:rsidRDefault="005C6CCD" w:rsidP="002E495C"/>
        </w:tc>
        <w:tc>
          <w:tcPr>
            <w:tcW w:w="587" w:type="pct"/>
            <w:vMerge/>
            <w:tcBorders>
              <w:left w:val="outset" w:sz="6" w:space="0" w:color="000000"/>
              <w:bottom w:val="outset" w:sz="6" w:space="0" w:color="000000"/>
              <w:right w:val="outset" w:sz="6" w:space="0" w:color="000000"/>
            </w:tcBorders>
            <w:shd w:val="clear" w:color="auto" w:fill="auto"/>
            <w:vAlign w:val="center"/>
          </w:tcPr>
          <w:p w14:paraId="6CE31E45" w14:textId="3B228003" w:rsidR="005C6CCD" w:rsidRPr="002E495C" w:rsidRDefault="005C6CCD" w:rsidP="002E495C"/>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00D1BED" w14:textId="0A5D5F6D" w:rsidR="005C6CCD" w:rsidRPr="002E495C" w:rsidRDefault="005C6CCD" w:rsidP="002E495C"/>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1F52B6F" w14:textId="1DD1880F" w:rsidR="005C6CCD" w:rsidRPr="002E495C" w:rsidRDefault="005C6CCD" w:rsidP="002E495C"/>
        </w:tc>
      </w:tr>
      <w:tr w:rsidR="002E495C" w:rsidRPr="002E495C" w14:paraId="09E5351E" w14:textId="77777777" w:rsidTr="002E495C">
        <w:tc>
          <w:tcPr>
            <w:tcW w:w="995" w:type="pct"/>
            <w:tcBorders>
              <w:top w:val="outset" w:sz="6" w:space="0" w:color="000000"/>
              <w:left w:val="outset" w:sz="6" w:space="0" w:color="000000"/>
              <w:bottom w:val="outset" w:sz="6" w:space="0" w:color="000000"/>
              <w:right w:val="outset" w:sz="6" w:space="0" w:color="000000"/>
            </w:tcBorders>
            <w:shd w:val="clear" w:color="auto" w:fill="auto"/>
          </w:tcPr>
          <w:p w14:paraId="6B11BFA5" w14:textId="77777777" w:rsidR="002E495C" w:rsidRPr="002E495C" w:rsidRDefault="002E495C" w:rsidP="002E495C">
            <w:r w:rsidRPr="002E495C">
              <w:lastRenderedPageBreak/>
              <w:t>6. Detalizēts ieņēmumu un izdevu</w:t>
            </w:r>
            <w:r w:rsidRPr="002E495C">
              <w:softHyphen/>
              <w:t>mu aprēķins (ja nepieciešams, detalizētu ieņēmumu un izdevumu aprēķinu var pievienot anotācijas pielikumā)</w:t>
            </w:r>
          </w:p>
        </w:tc>
        <w:tc>
          <w:tcPr>
            <w:tcW w:w="4005" w:type="pct"/>
            <w:gridSpan w:val="7"/>
            <w:vMerge w:val="restart"/>
            <w:tcBorders>
              <w:top w:val="outset" w:sz="6" w:space="0" w:color="000000"/>
              <w:left w:val="outset" w:sz="6" w:space="0" w:color="000000"/>
              <w:right w:val="outset" w:sz="6" w:space="0" w:color="000000"/>
            </w:tcBorders>
            <w:shd w:val="clear" w:color="auto" w:fill="auto"/>
          </w:tcPr>
          <w:p w14:paraId="3125A3DD" w14:textId="5982CDB3" w:rsidR="005C6CCD" w:rsidRPr="00E323EB" w:rsidRDefault="005C6CCD" w:rsidP="00545FE2">
            <w:pPr>
              <w:jc w:val="both"/>
            </w:pPr>
            <w:r w:rsidRPr="00E323EB">
              <w:t xml:space="preserve">Plānotais </w:t>
            </w:r>
            <w:r w:rsidR="001D38AE" w:rsidRPr="00E323EB">
              <w:t xml:space="preserve">uzņēmumu pirmsreģistrācijas </w:t>
            </w:r>
            <w:r w:rsidRPr="00E323EB">
              <w:t xml:space="preserve">pārbaužu skaits gadā – </w:t>
            </w:r>
            <w:r w:rsidR="00563736" w:rsidRPr="00E323EB">
              <w:t>1000</w:t>
            </w:r>
            <w:r w:rsidRPr="00E323EB">
              <w:t>.</w:t>
            </w:r>
          </w:p>
          <w:p w14:paraId="0C0C2443" w14:textId="42ED3CF1" w:rsidR="005C6CCD" w:rsidRDefault="005C6CCD" w:rsidP="00545FE2">
            <w:pPr>
              <w:jc w:val="both"/>
            </w:pPr>
            <w:r w:rsidRPr="00E323EB">
              <w:t>Vidējais vienas pārbaudes ilgums – 1</w:t>
            </w:r>
            <w:r w:rsidR="001D38AE" w:rsidRPr="00E323EB">
              <w:t>,</w:t>
            </w:r>
            <w:r w:rsidRPr="00E323EB">
              <w:t>5 stundas.</w:t>
            </w:r>
          </w:p>
          <w:p w14:paraId="48D7E30D" w14:textId="5F8CE1A1" w:rsidR="005C6CCD" w:rsidRDefault="005C6CCD" w:rsidP="00545FE2">
            <w:pPr>
              <w:jc w:val="both"/>
            </w:pPr>
            <w:r>
              <w:t xml:space="preserve">Inspektora vienas darba stundas izmaksas par uzņēmuma novērtēšanu pirms reģistrācijas ir 17,60 </w:t>
            </w:r>
            <w:r w:rsidRPr="00AE6B74">
              <w:rPr>
                <w:i/>
              </w:rPr>
              <w:t>euro</w:t>
            </w:r>
            <w:r>
              <w:t xml:space="preserve"> atbilstoši noteikumu Nr. 681 1. pielikuma 15. punkt</w:t>
            </w:r>
            <w:r w:rsidR="001D38AE">
              <w:t>ā</w:t>
            </w:r>
            <w:r>
              <w:t xml:space="preserve"> noteiktajam apmēram</w:t>
            </w:r>
            <w:r w:rsidR="00050E2B">
              <w:t xml:space="preserve">. </w:t>
            </w:r>
            <w:r w:rsidR="008E30CD">
              <w:t>Tā kā</w:t>
            </w:r>
            <w:r w:rsidR="00050E2B">
              <w:t xml:space="preserve"> izmaksu apmērs n</w:t>
            </w:r>
            <w:r w:rsidR="008E30CD">
              <w:t xml:space="preserve">av </w:t>
            </w:r>
            <w:r w:rsidR="00050E2B">
              <w:t>mainīj</w:t>
            </w:r>
            <w:r w:rsidR="008E30CD">
              <w:t>ie</w:t>
            </w:r>
            <w:r w:rsidR="00050E2B">
              <w:t>s,</w:t>
            </w:r>
            <w:r>
              <w:t xml:space="preserve"> pakalpojuma izmaksu atšifrējums pieejams Ministru kabineta 2018.</w:t>
            </w:r>
            <w:r w:rsidR="008E30CD">
              <w:t xml:space="preserve"> </w:t>
            </w:r>
            <w:r>
              <w:t>gada 15.</w:t>
            </w:r>
            <w:r w:rsidR="008E30CD">
              <w:t> </w:t>
            </w:r>
            <w:r>
              <w:t xml:space="preserve">maija noteikumu </w:t>
            </w:r>
            <w:r w:rsidR="00050E2B">
              <w:t>Nr.280</w:t>
            </w:r>
            <w:r>
              <w:t xml:space="preserve"> </w:t>
            </w:r>
            <w:r w:rsidR="001D38AE">
              <w:t>“</w:t>
            </w:r>
            <w:r>
              <w:t xml:space="preserve">Grozījumi Ministru kabineta 2013.gada 8.oktobra noteikumos Nr.1083 </w:t>
            </w:r>
            <w:r w:rsidR="001D38AE">
              <w:t>”</w:t>
            </w:r>
            <w:r>
              <w:t>Kārtība, kādā veicama samaksa par Pārtikas un veterinārā dienesta valsts uzraudzības un kontroles darbībām un maksas pakalpojumiem</w:t>
            </w:r>
            <w:r w:rsidR="001D38AE">
              <w:t>”</w:t>
            </w:r>
            <w:r w:rsidR="00050E2B">
              <w:t>”</w:t>
            </w:r>
            <w:r>
              <w:t xml:space="preserve"> anotācijas pielikumā </w:t>
            </w:r>
            <w:r w:rsidR="001D38AE">
              <w:t>(</w:t>
            </w:r>
            <w:r>
              <w:t xml:space="preserve">EKK1000 – 7,68 </w:t>
            </w:r>
            <w:r w:rsidRPr="00545FE2">
              <w:rPr>
                <w:i/>
                <w:iCs/>
              </w:rPr>
              <w:t>euro</w:t>
            </w:r>
            <w:r>
              <w:t xml:space="preserve">, EKK2000 – 9,92 </w:t>
            </w:r>
            <w:r w:rsidRPr="00545FE2">
              <w:rPr>
                <w:i/>
                <w:iCs/>
              </w:rPr>
              <w:t>euro</w:t>
            </w:r>
            <w:r>
              <w:t>). Izdevumi par stundas likmi aprēķināti, ņemot vērā inspektora (26.3. saime, IIIA līmenis, 9. mēnešalgu grupa) algas likmi.</w:t>
            </w:r>
          </w:p>
          <w:p w14:paraId="58BA9B50" w14:textId="17D2C414" w:rsidR="002E495C" w:rsidRPr="002E495C" w:rsidRDefault="005C6CCD" w:rsidP="00545FE2">
            <w:pPr>
              <w:jc w:val="both"/>
            </w:pPr>
            <w:r>
              <w:t xml:space="preserve">Prognozētais ieņēmumu un izdevumu apjoms gadā – </w:t>
            </w:r>
            <w:r w:rsidR="00563736">
              <w:t>10</w:t>
            </w:r>
            <w:r>
              <w:t>00 x 1,5 x 17,60</w:t>
            </w:r>
            <w:r w:rsidR="008E30CD">
              <w:t> </w:t>
            </w:r>
            <w:r w:rsidRPr="00545FE2">
              <w:rPr>
                <w:i/>
                <w:iCs/>
              </w:rPr>
              <w:t>euro</w:t>
            </w:r>
            <w:r>
              <w:t xml:space="preserve"> = </w:t>
            </w:r>
            <w:r w:rsidR="00563736">
              <w:t>2</w:t>
            </w:r>
            <w:r>
              <w:t xml:space="preserve">6 </w:t>
            </w:r>
            <w:r w:rsidR="00563736">
              <w:t>4</w:t>
            </w:r>
            <w:r>
              <w:t xml:space="preserve">00 </w:t>
            </w:r>
            <w:r w:rsidRPr="00AE6B74">
              <w:rPr>
                <w:i/>
              </w:rPr>
              <w:t>euro</w:t>
            </w:r>
            <w:r>
              <w:t xml:space="preserve"> (EKK1000 – </w:t>
            </w:r>
            <w:r w:rsidR="00563736">
              <w:t>11 520</w:t>
            </w:r>
            <w:r>
              <w:t xml:space="preserve"> </w:t>
            </w:r>
            <w:r w:rsidRPr="00545FE2">
              <w:rPr>
                <w:i/>
                <w:iCs/>
              </w:rPr>
              <w:t>euro</w:t>
            </w:r>
            <w:r>
              <w:t xml:space="preserve">, EKK2000 – </w:t>
            </w:r>
            <w:r w:rsidR="00563736">
              <w:t>14</w:t>
            </w:r>
            <w:r w:rsidR="008E30CD">
              <w:t> </w:t>
            </w:r>
            <w:r w:rsidR="00563736">
              <w:t>880</w:t>
            </w:r>
            <w:r w:rsidR="008E30CD">
              <w:t> </w:t>
            </w:r>
            <w:r w:rsidRPr="00545FE2">
              <w:rPr>
                <w:i/>
                <w:iCs/>
              </w:rPr>
              <w:t>euro</w:t>
            </w:r>
            <w:r>
              <w:t>).</w:t>
            </w:r>
          </w:p>
        </w:tc>
      </w:tr>
      <w:tr w:rsidR="002E495C" w:rsidRPr="002E495C" w14:paraId="3C2C0A46" w14:textId="77777777" w:rsidTr="002E495C">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39336656" w14:textId="77777777" w:rsidR="002E495C" w:rsidRPr="002E495C" w:rsidRDefault="002E495C" w:rsidP="002E495C">
            <w:r w:rsidRPr="002E495C">
              <w:t>6.1. detalizēts ieņēmumu aprēķins</w:t>
            </w:r>
          </w:p>
        </w:tc>
        <w:tc>
          <w:tcPr>
            <w:tcW w:w="4005" w:type="pct"/>
            <w:gridSpan w:val="7"/>
            <w:vMerge/>
            <w:tcBorders>
              <w:left w:val="outset" w:sz="6" w:space="0" w:color="000000"/>
              <w:right w:val="outset" w:sz="6" w:space="0" w:color="000000"/>
            </w:tcBorders>
            <w:shd w:val="clear" w:color="auto" w:fill="auto"/>
          </w:tcPr>
          <w:p w14:paraId="03E9D20E" w14:textId="77777777" w:rsidR="002E495C" w:rsidRPr="002E495C" w:rsidRDefault="002E495C" w:rsidP="002E495C"/>
        </w:tc>
      </w:tr>
      <w:tr w:rsidR="002E495C" w:rsidRPr="002E495C" w14:paraId="3076CB29" w14:textId="77777777" w:rsidTr="002E495C">
        <w:trPr>
          <w:trHeight w:val="1231"/>
        </w:trPr>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0092F933" w14:textId="77777777" w:rsidR="002E495C" w:rsidRPr="002E495C" w:rsidRDefault="002E495C" w:rsidP="002E495C">
            <w:r w:rsidRPr="002E495C">
              <w:t>6.2. detalizēts izdevumu aprēķins</w:t>
            </w:r>
          </w:p>
        </w:tc>
        <w:tc>
          <w:tcPr>
            <w:tcW w:w="4005" w:type="pct"/>
            <w:gridSpan w:val="7"/>
            <w:vMerge/>
            <w:tcBorders>
              <w:left w:val="outset" w:sz="6" w:space="0" w:color="000000"/>
              <w:bottom w:val="outset" w:sz="6" w:space="0" w:color="000000"/>
              <w:right w:val="outset" w:sz="6" w:space="0" w:color="000000"/>
            </w:tcBorders>
            <w:shd w:val="clear" w:color="auto" w:fill="auto"/>
            <w:vAlign w:val="center"/>
          </w:tcPr>
          <w:p w14:paraId="216EBDDF" w14:textId="77777777" w:rsidR="002E495C" w:rsidRPr="002E495C" w:rsidRDefault="002E495C" w:rsidP="002E495C"/>
        </w:tc>
      </w:tr>
      <w:tr w:rsidR="002E495C" w:rsidRPr="002E495C" w14:paraId="1D33A129" w14:textId="77777777" w:rsidTr="002E495C">
        <w:tc>
          <w:tcPr>
            <w:tcW w:w="995" w:type="pct"/>
            <w:tcBorders>
              <w:top w:val="outset" w:sz="6" w:space="0" w:color="000000"/>
              <w:left w:val="outset" w:sz="6" w:space="0" w:color="000000"/>
              <w:bottom w:val="outset" w:sz="6" w:space="0" w:color="000000"/>
              <w:right w:val="outset" w:sz="6" w:space="0" w:color="000000"/>
            </w:tcBorders>
            <w:shd w:val="clear" w:color="auto" w:fill="auto"/>
          </w:tcPr>
          <w:p w14:paraId="585CBD3F" w14:textId="77777777" w:rsidR="002E495C" w:rsidRPr="002E495C" w:rsidRDefault="002E495C" w:rsidP="002E495C">
            <w:r w:rsidRPr="002E495C">
              <w:t>7. Amata vietu skaita izmaiņas</w:t>
            </w:r>
          </w:p>
        </w:tc>
        <w:tc>
          <w:tcPr>
            <w:tcW w:w="4005" w:type="pct"/>
            <w:gridSpan w:val="7"/>
            <w:tcBorders>
              <w:top w:val="outset" w:sz="6" w:space="0" w:color="000000"/>
              <w:left w:val="outset" w:sz="6" w:space="0" w:color="000000"/>
              <w:bottom w:val="outset" w:sz="6" w:space="0" w:color="000000"/>
              <w:right w:val="outset" w:sz="6" w:space="0" w:color="000000"/>
            </w:tcBorders>
            <w:shd w:val="clear" w:color="auto" w:fill="auto"/>
          </w:tcPr>
          <w:p w14:paraId="78D4F7CE" w14:textId="19BF132A" w:rsidR="002E495C" w:rsidRPr="002E495C" w:rsidRDefault="005C6CCD" w:rsidP="002E495C">
            <w:r w:rsidRPr="005C6CCD">
              <w:rPr>
                <w:iCs/>
              </w:rPr>
              <w:t>Amata vietu skaita izmaiņas nav plānotas.</w:t>
            </w:r>
          </w:p>
        </w:tc>
      </w:tr>
      <w:tr w:rsidR="002E495C" w:rsidRPr="002E495C" w14:paraId="3CA3A4D7" w14:textId="77777777" w:rsidTr="002E495C">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60BA572B" w14:textId="77777777" w:rsidR="002E495C" w:rsidRPr="002E495C" w:rsidRDefault="002E495C" w:rsidP="002E495C">
            <w:r w:rsidRPr="002E495C">
              <w:t>8. Cita informācija</w:t>
            </w:r>
          </w:p>
        </w:tc>
        <w:tc>
          <w:tcPr>
            <w:tcW w:w="4005" w:type="pct"/>
            <w:gridSpan w:val="7"/>
            <w:tcBorders>
              <w:top w:val="outset" w:sz="6" w:space="0" w:color="000000"/>
              <w:left w:val="outset" w:sz="6" w:space="0" w:color="000000"/>
              <w:bottom w:val="outset" w:sz="6" w:space="0" w:color="000000"/>
              <w:right w:val="outset" w:sz="6" w:space="0" w:color="000000"/>
            </w:tcBorders>
            <w:shd w:val="clear" w:color="auto" w:fill="auto"/>
            <w:hideMark/>
          </w:tcPr>
          <w:p w14:paraId="67AEEC14" w14:textId="77777777" w:rsidR="002E495C" w:rsidRPr="002E495C" w:rsidRDefault="002E495C" w:rsidP="002E495C">
            <w:r w:rsidRPr="002E495C">
              <w:t>Nav.</w:t>
            </w:r>
          </w:p>
        </w:tc>
      </w:tr>
    </w:tbl>
    <w:p w14:paraId="4C4DC792" w14:textId="5EEE0893" w:rsidR="00B96C05" w:rsidRDefault="00B96C05" w:rsidP="00656C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1"/>
      </w:tblGrid>
      <w:tr w:rsidR="001A2E5E" w:rsidRPr="001A2E5E" w14:paraId="3DDE157C" w14:textId="77777777" w:rsidTr="005334B5">
        <w:tc>
          <w:tcPr>
            <w:tcW w:w="9061" w:type="dxa"/>
            <w:vAlign w:val="center"/>
          </w:tcPr>
          <w:p w14:paraId="661139AA" w14:textId="77777777" w:rsidR="001A2E5E" w:rsidRPr="001A2E5E" w:rsidRDefault="001A2E5E" w:rsidP="001A2E5E">
            <w:pPr>
              <w:jc w:val="center"/>
              <w:rPr>
                <w:b/>
                <w:bCs/>
              </w:rPr>
            </w:pPr>
            <w:r w:rsidRPr="001A2E5E">
              <w:rPr>
                <w:b/>
              </w:rPr>
              <w:t>IV. Tiesību akta projekta ietekme uz spēkā esošo tiesību normu sistēmu</w:t>
            </w:r>
          </w:p>
        </w:tc>
      </w:tr>
      <w:tr w:rsidR="007942D4" w:rsidRPr="001A2E5E" w14:paraId="1751EB25" w14:textId="77777777" w:rsidTr="005334B5">
        <w:tc>
          <w:tcPr>
            <w:tcW w:w="9061" w:type="dxa"/>
            <w:vAlign w:val="center"/>
          </w:tcPr>
          <w:p w14:paraId="04324371" w14:textId="5AC16C4E" w:rsidR="007942D4" w:rsidRPr="001A2E5E" w:rsidRDefault="007942D4" w:rsidP="001A2E5E">
            <w:pPr>
              <w:jc w:val="center"/>
              <w:rPr>
                <w:b/>
              </w:rPr>
            </w:pPr>
            <w:r w:rsidRPr="000B3B95">
              <w:t>Projekts šo jomu neskar.</w:t>
            </w:r>
          </w:p>
        </w:tc>
      </w:tr>
    </w:tbl>
    <w:p w14:paraId="47FBF796" w14:textId="77777777" w:rsidR="00163610" w:rsidRPr="0043600D" w:rsidRDefault="00163610" w:rsidP="00163610">
      <w:pPr>
        <w:jc w:val="both"/>
      </w:pPr>
    </w:p>
    <w:tbl>
      <w:tblPr>
        <w:tblW w:w="907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498"/>
        <w:gridCol w:w="2258"/>
        <w:gridCol w:w="374"/>
        <w:gridCol w:w="1737"/>
        <w:gridCol w:w="1968"/>
        <w:gridCol w:w="2237"/>
      </w:tblGrid>
      <w:tr w:rsidR="00163610" w:rsidRPr="0043600D" w14:paraId="6EC33B52" w14:textId="77777777" w:rsidTr="002E495C">
        <w:tc>
          <w:tcPr>
            <w:tcW w:w="9072" w:type="dxa"/>
            <w:gridSpan w:val="6"/>
            <w:tcBorders>
              <w:top w:val="outset" w:sz="6" w:space="0" w:color="000000"/>
              <w:left w:val="outset" w:sz="6" w:space="0" w:color="000000"/>
              <w:bottom w:val="outset" w:sz="6" w:space="0" w:color="000000"/>
              <w:right w:val="outset" w:sz="6" w:space="0" w:color="000000"/>
            </w:tcBorders>
            <w:shd w:val="clear" w:color="auto" w:fill="auto"/>
          </w:tcPr>
          <w:p w14:paraId="2876C07D" w14:textId="77777777" w:rsidR="00163610" w:rsidRPr="0043600D" w:rsidRDefault="00163610" w:rsidP="002E495C">
            <w:pPr>
              <w:jc w:val="center"/>
              <w:rPr>
                <w:b/>
                <w:bCs/>
              </w:rPr>
            </w:pPr>
            <w:r w:rsidRPr="0043600D">
              <w:rPr>
                <w:b/>
                <w:bCs/>
              </w:rPr>
              <w:t>V. Tiesību akta projekta atbilstība Latvijas Republikas starptautiskajām saistībām</w:t>
            </w:r>
          </w:p>
        </w:tc>
      </w:tr>
      <w:tr w:rsidR="00163610" w:rsidRPr="007857F0" w14:paraId="77B69246" w14:textId="77777777" w:rsidTr="002E495C">
        <w:tc>
          <w:tcPr>
            <w:tcW w:w="498" w:type="dxa"/>
            <w:tcBorders>
              <w:top w:val="outset" w:sz="6" w:space="0" w:color="000000"/>
              <w:left w:val="outset" w:sz="6" w:space="0" w:color="000000"/>
              <w:bottom w:val="outset" w:sz="6" w:space="0" w:color="000000"/>
              <w:right w:val="outset" w:sz="6" w:space="0" w:color="000000"/>
            </w:tcBorders>
            <w:shd w:val="clear" w:color="auto" w:fill="auto"/>
          </w:tcPr>
          <w:p w14:paraId="52C7B6AB" w14:textId="77777777" w:rsidR="00163610" w:rsidRPr="0043600D" w:rsidRDefault="00163610" w:rsidP="002E495C">
            <w:r w:rsidRPr="0043600D">
              <w:t>1.</w:t>
            </w:r>
          </w:p>
        </w:tc>
        <w:tc>
          <w:tcPr>
            <w:tcW w:w="2632" w:type="dxa"/>
            <w:gridSpan w:val="2"/>
            <w:tcBorders>
              <w:top w:val="outset" w:sz="6" w:space="0" w:color="000000"/>
              <w:left w:val="outset" w:sz="6" w:space="0" w:color="000000"/>
              <w:bottom w:val="outset" w:sz="6" w:space="0" w:color="000000"/>
              <w:right w:val="outset" w:sz="6" w:space="0" w:color="000000"/>
            </w:tcBorders>
            <w:shd w:val="clear" w:color="auto" w:fill="auto"/>
          </w:tcPr>
          <w:p w14:paraId="52B79DF4" w14:textId="77777777" w:rsidR="00163610" w:rsidRPr="0043600D" w:rsidRDefault="00163610" w:rsidP="002E495C">
            <w:pPr>
              <w:jc w:val="both"/>
            </w:pPr>
            <w:r w:rsidRPr="0043600D">
              <w:t>Saistības pret Eiropas Savienību</w:t>
            </w:r>
          </w:p>
        </w:tc>
        <w:tc>
          <w:tcPr>
            <w:tcW w:w="5942" w:type="dxa"/>
            <w:gridSpan w:val="3"/>
            <w:tcBorders>
              <w:top w:val="outset" w:sz="6" w:space="0" w:color="000000"/>
              <w:left w:val="outset" w:sz="6" w:space="0" w:color="000000"/>
              <w:bottom w:val="outset" w:sz="6" w:space="0" w:color="000000"/>
              <w:right w:val="outset" w:sz="6" w:space="0" w:color="000000"/>
            </w:tcBorders>
            <w:shd w:val="clear" w:color="auto" w:fill="auto"/>
          </w:tcPr>
          <w:p w14:paraId="31C5C465" w14:textId="600D9179" w:rsidR="00163610" w:rsidRDefault="002E495C" w:rsidP="002E495C">
            <w:pPr>
              <w:jc w:val="both"/>
              <w:rPr>
                <w:rFonts w:eastAsia="Calibri"/>
              </w:rPr>
            </w:pPr>
            <w:r>
              <w:rPr>
                <w:rFonts w:eastAsia="Calibri"/>
              </w:rPr>
              <w:t>1.</w:t>
            </w:r>
            <w:r w:rsidR="008D423C">
              <w:rPr>
                <w:rFonts w:eastAsia="Calibri"/>
              </w:rPr>
              <w:t xml:space="preserve"> </w:t>
            </w:r>
            <w:r w:rsidR="00163610" w:rsidRPr="0043600D">
              <w:rPr>
                <w:rFonts w:eastAsia="Calibri"/>
              </w:rPr>
              <w:t xml:space="preserve">Eiropas Parlamenta un Padomes 2017. gada 15. marta </w:t>
            </w:r>
            <w:r w:rsidR="00163610">
              <w:rPr>
                <w:rFonts w:eastAsia="Calibri"/>
              </w:rPr>
              <w:t>R</w:t>
            </w:r>
            <w:r w:rsidR="00163610" w:rsidRPr="0043600D">
              <w:rPr>
                <w:rFonts w:eastAsia="Calibri"/>
              </w:rPr>
              <w:t xml:space="preserve">egula (ES) </w:t>
            </w:r>
            <w:r w:rsidR="00731D74">
              <w:rPr>
                <w:rFonts w:eastAsia="Calibri"/>
              </w:rPr>
              <w:t>2017/</w:t>
            </w:r>
            <w:r w:rsidR="00F23B4D">
              <w:rPr>
                <w:rFonts w:eastAsia="Calibri"/>
              </w:rPr>
              <w:t>625</w:t>
            </w:r>
            <w:r w:rsidR="008E30CD">
              <w:rPr>
                <w:rFonts w:eastAsia="Calibri"/>
              </w:rPr>
              <w:t>,</w:t>
            </w:r>
            <w:r w:rsidR="00163610" w:rsidRPr="0043600D">
              <w:rPr>
                <w:rFonts w:eastAsia="Calibri"/>
              </w:rPr>
              <w:t xml:space="preserve"> par oficiālajām kontrolēm un citām oficiālajām darbībām, kuras veic, lai nodrošinātu, ka tiek piemēroti pārtikas un barības aprites tiesību akti, noteikumi par dzīvnieku veselību un labturību, augu veselību un augu aizsardzības līdzekļiem, un ar ko groza Eiropas Parlamenta un Padomes Regulas (EK) Nr. 999/2001, (EK) Nr. 396/2005, (EK) Nr. 1069/2009, (EK) Nr. 1107/2009, (ES) Nr. 1151/2012, (ES) Nr. 652/2014, (ES) 2016/429 un (ES) 2016/2031, Padomes Regulas (EK) Nr. 1/2005 un (EK) Nr. 1099/2009 un Padomes Direktīvas 98/58/EK, 1999/74/EK, 2007/43/EK, 2008/119/EK un 2008/120/EK un atceļ Eiropas Parlamenta un Padomes Regulas (EK) Nr. 854/2004 un (EK) Nr. 882/2004, Padomes Direktīvas 89/608/EEK, 89/662/EEK, 90/425/EEK, 91/496/EEK, 96/23/EK, 96/93/EK un 97/78/EK un Padomes Lēmumu 92/438/EEK (Oficiālo kontroļu regula) (turpmāk – Regula</w:t>
            </w:r>
            <w:r w:rsidR="002245F3">
              <w:rPr>
                <w:rFonts w:eastAsia="Calibri"/>
              </w:rPr>
              <w:t xml:space="preserve"> (ES)</w:t>
            </w:r>
            <w:r w:rsidR="00163610" w:rsidRPr="0043600D">
              <w:rPr>
                <w:rFonts w:eastAsia="Calibri"/>
              </w:rPr>
              <w:t xml:space="preserve"> </w:t>
            </w:r>
            <w:r w:rsidR="00F23B4D">
              <w:rPr>
                <w:rFonts w:eastAsia="Calibri"/>
              </w:rPr>
              <w:t>2017</w:t>
            </w:r>
            <w:r w:rsidR="002245F3">
              <w:rPr>
                <w:rFonts w:eastAsia="Calibri"/>
              </w:rPr>
              <w:t>/625</w:t>
            </w:r>
            <w:r w:rsidR="00163610" w:rsidRPr="0043600D">
              <w:rPr>
                <w:rFonts w:eastAsia="Calibri"/>
              </w:rPr>
              <w:t>)</w:t>
            </w:r>
            <w:r>
              <w:rPr>
                <w:rFonts w:eastAsia="Calibri"/>
              </w:rPr>
              <w:t>.</w:t>
            </w:r>
          </w:p>
          <w:p w14:paraId="124CA8FB" w14:textId="0BB8E28D" w:rsidR="00F23B4D" w:rsidRDefault="002E495C" w:rsidP="002E495C">
            <w:pPr>
              <w:jc w:val="both"/>
              <w:rPr>
                <w:rFonts w:eastAsia="Calibri"/>
              </w:rPr>
            </w:pPr>
            <w:r>
              <w:rPr>
                <w:rFonts w:eastAsia="Calibri"/>
              </w:rPr>
              <w:t>2.</w:t>
            </w:r>
            <w:r>
              <w:t xml:space="preserve"> </w:t>
            </w:r>
            <w:r w:rsidRPr="002E495C">
              <w:rPr>
                <w:rFonts w:eastAsia="Calibri"/>
              </w:rPr>
              <w:t>Eiropas Parlamenta un Padomes 2004.</w:t>
            </w:r>
            <w:r w:rsidR="00731D74">
              <w:rPr>
                <w:rFonts w:eastAsia="Calibri"/>
              </w:rPr>
              <w:t xml:space="preserve"> </w:t>
            </w:r>
            <w:r w:rsidRPr="002E495C">
              <w:rPr>
                <w:rFonts w:eastAsia="Calibri"/>
              </w:rPr>
              <w:t>gada 29.</w:t>
            </w:r>
            <w:r w:rsidR="00731D74">
              <w:rPr>
                <w:rFonts w:eastAsia="Calibri"/>
              </w:rPr>
              <w:t xml:space="preserve"> </w:t>
            </w:r>
            <w:r w:rsidRPr="002E495C">
              <w:rPr>
                <w:rFonts w:eastAsia="Calibri"/>
              </w:rPr>
              <w:t xml:space="preserve">aprīļa Regula (EK) Nr. 853/2004, ar ko ar ko nosaka īpašus higiēnas </w:t>
            </w:r>
            <w:r w:rsidRPr="002E495C">
              <w:rPr>
                <w:rFonts w:eastAsia="Calibri"/>
              </w:rPr>
              <w:lastRenderedPageBreak/>
              <w:t>noteikumus attiecībā uz dzīvnieku izcelsmes pārtiku (turpmāk</w:t>
            </w:r>
            <w:r w:rsidR="008E30CD">
              <w:rPr>
                <w:rFonts w:eastAsia="Calibri"/>
              </w:rPr>
              <w:t> </w:t>
            </w:r>
            <w:r w:rsidRPr="002E495C">
              <w:rPr>
                <w:rFonts w:eastAsia="Calibri"/>
              </w:rPr>
              <w:t>– Regula</w:t>
            </w:r>
            <w:r w:rsidR="00F23B4D">
              <w:rPr>
                <w:rFonts w:eastAsia="Calibri"/>
              </w:rPr>
              <w:t xml:space="preserve"> </w:t>
            </w:r>
            <w:r w:rsidR="00353271">
              <w:rPr>
                <w:rFonts w:eastAsia="Calibri"/>
              </w:rPr>
              <w:t>Nr.</w:t>
            </w:r>
            <w:r w:rsidR="008E30CD">
              <w:rPr>
                <w:rFonts w:eastAsia="Calibri"/>
              </w:rPr>
              <w:t xml:space="preserve"> </w:t>
            </w:r>
            <w:r w:rsidRPr="002E495C">
              <w:rPr>
                <w:rFonts w:eastAsia="Calibri"/>
              </w:rPr>
              <w:t>853/2004)</w:t>
            </w:r>
            <w:r w:rsidR="00F23B4D">
              <w:rPr>
                <w:rFonts w:eastAsia="Calibri"/>
              </w:rPr>
              <w:t>.</w:t>
            </w:r>
          </w:p>
          <w:p w14:paraId="1DD979F1" w14:textId="0392C4F9" w:rsidR="00F23B4D" w:rsidRDefault="00F23B4D" w:rsidP="002E495C">
            <w:pPr>
              <w:jc w:val="both"/>
              <w:rPr>
                <w:rFonts w:eastAsia="Calibri"/>
              </w:rPr>
            </w:pPr>
            <w:r>
              <w:rPr>
                <w:rFonts w:eastAsia="Calibri"/>
              </w:rPr>
              <w:t>3.</w:t>
            </w:r>
            <w:r w:rsidR="002E495C" w:rsidRPr="002E495C">
              <w:rPr>
                <w:rFonts w:eastAsia="Calibri"/>
              </w:rPr>
              <w:t xml:space="preserve"> Eiropas Parlamenta un Padomes </w:t>
            </w:r>
            <w:r w:rsidR="00731D74" w:rsidRPr="00731D74">
              <w:rPr>
                <w:rFonts w:eastAsia="Calibri"/>
              </w:rPr>
              <w:t>2004.</w:t>
            </w:r>
            <w:r w:rsidR="00731D74">
              <w:rPr>
                <w:rFonts w:eastAsia="Calibri"/>
              </w:rPr>
              <w:t xml:space="preserve"> </w:t>
            </w:r>
            <w:r w:rsidR="00731D74" w:rsidRPr="00731D74">
              <w:rPr>
                <w:rFonts w:eastAsia="Calibri"/>
              </w:rPr>
              <w:t>gada 29.</w:t>
            </w:r>
            <w:r w:rsidR="00731D74">
              <w:rPr>
                <w:rFonts w:eastAsia="Calibri"/>
              </w:rPr>
              <w:t xml:space="preserve"> </w:t>
            </w:r>
            <w:r w:rsidR="00731D74" w:rsidRPr="00731D74">
              <w:rPr>
                <w:rFonts w:eastAsia="Calibri"/>
              </w:rPr>
              <w:t xml:space="preserve">aprīļa </w:t>
            </w:r>
            <w:r w:rsidR="002E495C" w:rsidRPr="002E495C">
              <w:rPr>
                <w:rFonts w:eastAsia="Calibri"/>
              </w:rPr>
              <w:t>Regula (EK) Nr. 852/2004 par pārtikas produktu higiēnu (turpmāk –</w:t>
            </w:r>
            <w:r w:rsidR="00731D74">
              <w:rPr>
                <w:rFonts w:eastAsia="Calibri"/>
              </w:rPr>
              <w:t xml:space="preserve"> </w:t>
            </w:r>
            <w:r w:rsidR="002E495C" w:rsidRPr="002E495C">
              <w:rPr>
                <w:rFonts w:eastAsia="Calibri"/>
              </w:rPr>
              <w:t xml:space="preserve">Regula </w:t>
            </w:r>
            <w:r w:rsidR="00353271">
              <w:rPr>
                <w:rFonts w:eastAsia="Calibri"/>
              </w:rPr>
              <w:t>Nr.</w:t>
            </w:r>
            <w:r w:rsidR="008E30CD">
              <w:rPr>
                <w:rFonts w:eastAsia="Calibri"/>
              </w:rPr>
              <w:t xml:space="preserve"> </w:t>
            </w:r>
            <w:r w:rsidR="002E495C" w:rsidRPr="002E495C">
              <w:rPr>
                <w:rFonts w:eastAsia="Calibri"/>
              </w:rPr>
              <w:t>852/2004)</w:t>
            </w:r>
            <w:r>
              <w:rPr>
                <w:rFonts w:eastAsia="Calibri"/>
              </w:rPr>
              <w:t>.</w:t>
            </w:r>
          </w:p>
          <w:p w14:paraId="626F8993" w14:textId="77777777" w:rsidR="002E495C" w:rsidRDefault="00F23B4D" w:rsidP="002E495C">
            <w:pPr>
              <w:jc w:val="both"/>
              <w:rPr>
                <w:rFonts w:eastAsia="Calibri"/>
              </w:rPr>
            </w:pPr>
            <w:r>
              <w:rPr>
                <w:rFonts w:eastAsia="Calibri"/>
              </w:rPr>
              <w:t>4.</w:t>
            </w:r>
            <w:r w:rsidR="002E495C" w:rsidRPr="002E495C">
              <w:rPr>
                <w:rFonts w:eastAsia="Calibri"/>
              </w:rPr>
              <w:t xml:space="preserve"> </w:t>
            </w:r>
            <w:r w:rsidRPr="00F23B4D">
              <w:rPr>
                <w:rFonts w:eastAsia="Calibri"/>
              </w:rPr>
              <w:t>Komisijas 2019.</w:t>
            </w:r>
            <w:r w:rsidR="00731D74">
              <w:rPr>
                <w:rFonts w:eastAsia="Calibri"/>
              </w:rPr>
              <w:t xml:space="preserve"> </w:t>
            </w:r>
            <w:r w:rsidRPr="00F23B4D">
              <w:rPr>
                <w:rFonts w:eastAsia="Calibri"/>
              </w:rPr>
              <w:t>gada 15.</w:t>
            </w:r>
            <w:r w:rsidR="00731D74">
              <w:rPr>
                <w:rFonts w:eastAsia="Calibri"/>
              </w:rPr>
              <w:t xml:space="preserve"> </w:t>
            </w:r>
            <w:r w:rsidRPr="00F23B4D">
              <w:rPr>
                <w:rFonts w:eastAsia="Calibri"/>
              </w:rPr>
              <w:t xml:space="preserve">marta </w:t>
            </w:r>
            <w:r w:rsidR="00731D74">
              <w:rPr>
                <w:rFonts w:eastAsia="Calibri"/>
              </w:rPr>
              <w:t>Ī</w:t>
            </w:r>
            <w:r w:rsidR="00545FE2" w:rsidRPr="00545FE2">
              <w:rPr>
                <w:rFonts w:eastAsia="Calibri"/>
              </w:rPr>
              <w:t xml:space="preserve">stenošanas </w:t>
            </w:r>
            <w:r w:rsidRPr="00F23B4D">
              <w:rPr>
                <w:rFonts w:eastAsia="Calibri"/>
              </w:rPr>
              <w:t xml:space="preserve">Regula </w:t>
            </w:r>
            <w:r w:rsidR="00731D74">
              <w:rPr>
                <w:rFonts w:eastAsia="Calibri"/>
              </w:rPr>
              <w:t>(ES)</w:t>
            </w:r>
            <w:r w:rsidRPr="00F23B4D">
              <w:rPr>
                <w:rFonts w:eastAsia="Calibri"/>
              </w:rPr>
              <w:t xml:space="preserve"> 2019</w:t>
            </w:r>
            <w:r>
              <w:rPr>
                <w:rFonts w:eastAsia="Calibri"/>
              </w:rPr>
              <w:t>/627</w:t>
            </w:r>
            <w:r w:rsidR="00731D74">
              <w:rPr>
                <w:rFonts w:eastAsia="Calibri"/>
              </w:rPr>
              <w:t>,</w:t>
            </w:r>
            <w:r w:rsidRPr="00F23B4D">
              <w:rPr>
                <w:rFonts w:eastAsia="Calibri"/>
              </w:rPr>
              <w:t xml:space="preserve"> ar ko nosaka vienotu praktisku kārtību lietošanai pārtikā paredzētu dzīvnieku izcelsmes produktu oficiālo kontroļu veikšanai saskaņā ar Eiropas Parlamenta un Padomes Regulu (ES) 2017/625 un attiecībā uz oficiālajām kontrolēm groza Komisijas Regulu (EK) Nr. 2074/2005</w:t>
            </w:r>
            <w:r>
              <w:rPr>
                <w:rFonts w:eastAsia="Calibri"/>
              </w:rPr>
              <w:t xml:space="preserve"> (turpmāk – Regula </w:t>
            </w:r>
            <w:r w:rsidR="00353271">
              <w:rPr>
                <w:rFonts w:eastAsia="Calibri"/>
              </w:rPr>
              <w:t xml:space="preserve">(ES) </w:t>
            </w:r>
            <w:r>
              <w:rPr>
                <w:rFonts w:eastAsia="Calibri"/>
              </w:rPr>
              <w:t>2019/627).</w:t>
            </w:r>
          </w:p>
          <w:p w14:paraId="69337FB1" w14:textId="070B9569" w:rsidR="00F20C69" w:rsidRPr="0043600D" w:rsidRDefault="00F20C69" w:rsidP="002E495C">
            <w:pPr>
              <w:jc w:val="both"/>
            </w:pPr>
          </w:p>
        </w:tc>
      </w:tr>
      <w:tr w:rsidR="00163610" w:rsidRPr="0043600D" w14:paraId="5C82CBA0" w14:textId="77777777" w:rsidTr="002E495C">
        <w:tc>
          <w:tcPr>
            <w:tcW w:w="498" w:type="dxa"/>
            <w:tcBorders>
              <w:top w:val="outset" w:sz="6" w:space="0" w:color="000000"/>
              <w:left w:val="outset" w:sz="6" w:space="0" w:color="000000"/>
              <w:bottom w:val="outset" w:sz="6" w:space="0" w:color="000000"/>
              <w:right w:val="outset" w:sz="6" w:space="0" w:color="000000"/>
            </w:tcBorders>
            <w:shd w:val="clear" w:color="auto" w:fill="auto"/>
          </w:tcPr>
          <w:p w14:paraId="321673A1" w14:textId="77777777" w:rsidR="00163610" w:rsidRPr="0043600D" w:rsidRDefault="00163610" w:rsidP="002E495C">
            <w:r w:rsidRPr="0043600D">
              <w:lastRenderedPageBreak/>
              <w:t>2.</w:t>
            </w:r>
          </w:p>
        </w:tc>
        <w:tc>
          <w:tcPr>
            <w:tcW w:w="2632" w:type="dxa"/>
            <w:gridSpan w:val="2"/>
            <w:tcBorders>
              <w:top w:val="outset" w:sz="6" w:space="0" w:color="000000"/>
              <w:left w:val="outset" w:sz="6" w:space="0" w:color="000000"/>
              <w:bottom w:val="outset" w:sz="6" w:space="0" w:color="000000"/>
              <w:right w:val="outset" w:sz="6" w:space="0" w:color="000000"/>
            </w:tcBorders>
            <w:shd w:val="clear" w:color="auto" w:fill="auto"/>
          </w:tcPr>
          <w:p w14:paraId="225EA60E" w14:textId="77777777" w:rsidR="00163610" w:rsidRPr="0043600D" w:rsidRDefault="00163610" w:rsidP="002E495C">
            <w:pPr>
              <w:jc w:val="both"/>
            </w:pPr>
            <w:r w:rsidRPr="0043600D">
              <w:t>Citas starptautiskās saistības</w:t>
            </w:r>
          </w:p>
        </w:tc>
        <w:tc>
          <w:tcPr>
            <w:tcW w:w="5942" w:type="dxa"/>
            <w:gridSpan w:val="3"/>
            <w:tcBorders>
              <w:top w:val="outset" w:sz="6" w:space="0" w:color="000000"/>
              <w:left w:val="outset" w:sz="6" w:space="0" w:color="000000"/>
              <w:bottom w:val="outset" w:sz="6" w:space="0" w:color="000000"/>
              <w:right w:val="outset" w:sz="6" w:space="0" w:color="000000"/>
            </w:tcBorders>
            <w:shd w:val="clear" w:color="auto" w:fill="auto"/>
          </w:tcPr>
          <w:p w14:paraId="24153444" w14:textId="77777777" w:rsidR="00163610" w:rsidRPr="0043600D" w:rsidRDefault="00163610" w:rsidP="002E495C">
            <w:r w:rsidRPr="0043600D">
              <w:rPr>
                <w:iCs/>
              </w:rPr>
              <w:t>Projekts šo jomu neskar</w:t>
            </w:r>
            <w:r w:rsidRPr="0043600D">
              <w:t>.</w:t>
            </w:r>
          </w:p>
        </w:tc>
      </w:tr>
      <w:tr w:rsidR="00163610" w:rsidRPr="0043600D" w14:paraId="634AF139" w14:textId="77777777" w:rsidTr="002E495C">
        <w:tc>
          <w:tcPr>
            <w:tcW w:w="498" w:type="dxa"/>
            <w:tcBorders>
              <w:top w:val="outset" w:sz="6" w:space="0" w:color="000000"/>
              <w:left w:val="outset" w:sz="6" w:space="0" w:color="000000"/>
              <w:bottom w:val="outset" w:sz="6" w:space="0" w:color="000000"/>
              <w:right w:val="outset" w:sz="6" w:space="0" w:color="000000"/>
            </w:tcBorders>
            <w:shd w:val="clear" w:color="auto" w:fill="auto"/>
          </w:tcPr>
          <w:p w14:paraId="20CA9870" w14:textId="77777777" w:rsidR="00163610" w:rsidRPr="0043600D" w:rsidRDefault="00163610" w:rsidP="002E495C">
            <w:r w:rsidRPr="0043600D">
              <w:t>3.</w:t>
            </w:r>
          </w:p>
        </w:tc>
        <w:tc>
          <w:tcPr>
            <w:tcW w:w="2632" w:type="dxa"/>
            <w:gridSpan w:val="2"/>
            <w:tcBorders>
              <w:top w:val="outset" w:sz="6" w:space="0" w:color="000000"/>
              <w:left w:val="outset" w:sz="6" w:space="0" w:color="000000"/>
              <w:bottom w:val="outset" w:sz="6" w:space="0" w:color="000000"/>
              <w:right w:val="outset" w:sz="6" w:space="0" w:color="000000"/>
            </w:tcBorders>
            <w:shd w:val="clear" w:color="auto" w:fill="auto"/>
          </w:tcPr>
          <w:p w14:paraId="1746B5F7" w14:textId="77777777" w:rsidR="00163610" w:rsidRPr="0043600D" w:rsidRDefault="00163610" w:rsidP="002E495C">
            <w:pPr>
              <w:jc w:val="both"/>
            </w:pPr>
            <w:r w:rsidRPr="0043600D">
              <w:t>Cita informācija</w:t>
            </w:r>
          </w:p>
        </w:tc>
        <w:tc>
          <w:tcPr>
            <w:tcW w:w="5942" w:type="dxa"/>
            <w:gridSpan w:val="3"/>
            <w:tcBorders>
              <w:top w:val="outset" w:sz="6" w:space="0" w:color="000000"/>
              <w:left w:val="outset" w:sz="6" w:space="0" w:color="000000"/>
              <w:bottom w:val="outset" w:sz="6" w:space="0" w:color="000000"/>
              <w:right w:val="outset" w:sz="6" w:space="0" w:color="000000"/>
            </w:tcBorders>
            <w:shd w:val="clear" w:color="auto" w:fill="auto"/>
          </w:tcPr>
          <w:p w14:paraId="0EBF7DD4" w14:textId="16B88E82" w:rsidR="008D423C" w:rsidRPr="0043600D" w:rsidRDefault="00163610" w:rsidP="002E495C">
            <w:r w:rsidRPr="0043600D">
              <w:t>Nav</w:t>
            </w:r>
            <w:r>
              <w:t>.</w:t>
            </w:r>
          </w:p>
        </w:tc>
      </w:tr>
      <w:tr w:rsidR="00163610" w:rsidRPr="0043600D" w14:paraId="3E41DDA4" w14:textId="77777777" w:rsidTr="00545FE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388"/>
          <w:jc w:val="center"/>
        </w:trPr>
        <w:tc>
          <w:tcPr>
            <w:tcW w:w="9072" w:type="dxa"/>
            <w:gridSpan w:val="6"/>
            <w:shd w:val="clear" w:color="auto" w:fill="auto"/>
            <w:vAlign w:val="center"/>
          </w:tcPr>
          <w:p w14:paraId="4D151549" w14:textId="77777777" w:rsidR="00163610" w:rsidRPr="00545FE2" w:rsidRDefault="00163610" w:rsidP="00545FE2">
            <w:pPr>
              <w:pStyle w:val="naisnod"/>
              <w:spacing w:before="0" w:beforeAutospacing="0" w:after="0" w:afterAutospacing="0"/>
              <w:jc w:val="center"/>
              <w:rPr>
                <w:b/>
                <w:bCs/>
              </w:rPr>
            </w:pPr>
            <w:r w:rsidRPr="00545FE2">
              <w:rPr>
                <w:b/>
                <w:bCs/>
              </w:rPr>
              <w:t>1.tabula</w:t>
            </w:r>
          </w:p>
          <w:p w14:paraId="3CDE7BD8" w14:textId="77777777" w:rsidR="00163610" w:rsidRPr="0043600D" w:rsidRDefault="00163610" w:rsidP="00545FE2">
            <w:pPr>
              <w:pStyle w:val="naisnod"/>
              <w:spacing w:before="0" w:beforeAutospacing="0" w:after="0" w:afterAutospacing="0"/>
              <w:jc w:val="center"/>
              <w:rPr>
                <w:i/>
              </w:rPr>
            </w:pPr>
            <w:r w:rsidRPr="00545FE2">
              <w:rPr>
                <w:b/>
                <w:bCs/>
              </w:rPr>
              <w:t>Tiesību akta projekta atbilstība ES tiesību aktiem</w:t>
            </w:r>
          </w:p>
        </w:tc>
      </w:tr>
      <w:tr w:rsidR="00163610" w:rsidRPr="0043600D" w14:paraId="3AD50DFD" w14:textId="77777777" w:rsidTr="002E495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906"/>
          <w:jc w:val="center"/>
        </w:trPr>
        <w:tc>
          <w:tcPr>
            <w:tcW w:w="2756" w:type="dxa"/>
            <w:gridSpan w:val="2"/>
            <w:shd w:val="clear" w:color="auto" w:fill="auto"/>
            <w:vAlign w:val="center"/>
          </w:tcPr>
          <w:p w14:paraId="7FE0C40D" w14:textId="77777777" w:rsidR="00163610" w:rsidRPr="0043600D" w:rsidRDefault="00163610" w:rsidP="002E495C">
            <w:pPr>
              <w:pStyle w:val="naiskr"/>
              <w:spacing w:before="0" w:beforeAutospacing="0" w:after="0" w:afterAutospacing="0"/>
              <w:ind w:hanging="10"/>
              <w:jc w:val="both"/>
            </w:pPr>
            <w:r w:rsidRPr="0043600D">
              <w:t>Attiecīgā ES tiesību akta datums, numurs un nosaukums</w:t>
            </w:r>
          </w:p>
        </w:tc>
        <w:tc>
          <w:tcPr>
            <w:tcW w:w="6316" w:type="dxa"/>
            <w:gridSpan w:val="4"/>
            <w:shd w:val="clear" w:color="auto" w:fill="auto"/>
          </w:tcPr>
          <w:p w14:paraId="0779C917" w14:textId="1CD0135F" w:rsidR="00163610" w:rsidRDefault="00163610" w:rsidP="002E495C">
            <w:pPr>
              <w:pStyle w:val="naiskr"/>
              <w:spacing w:before="0" w:beforeAutospacing="0" w:after="0" w:afterAutospacing="0"/>
              <w:rPr>
                <w:rFonts w:eastAsia="Calibri"/>
              </w:rPr>
            </w:pPr>
            <w:r w:rsidRPr="0043600D">
              <w:rPr>
                <w:rFonts w:eastAsia="Calibri"/>
              </w:rPr>
              <w:t xml:space="preserve">Regula </w:t>
            </w:r>
            <w:r w:rsidR="00353271">
              <w:rPr>
                <w:rFonts w:eastAsia="Calibri"/>
              </w:rPr>
              <w:t xml:space="preserve">(ES) </w:t>
            </w:r>
            <w:r w:rsidR="00731D74">
              <w:rPr>
                <w:rFonts w:eastAsia="Calibri"/>
              </w:rPr>
              <w:t>2017/</w:t>
            </w:r>
            <w:r w:rsidR="00F23B4D">
              <w:rPr>
                <w:rFonts w:eastAsia="Calibri"/>
              </w:rPr>
              <w:t>625</w:t>
            </w:r>
          </w:p>
          <w:p w14:paraId="6D58EED9" w14:textId="7E49FD8A" w:rsidR="00F23B4D" w:rsidRDefault="00F23B4D" w:rsidP="002E495C">
            <w:pPr>
              <w:pStyle w:val="naiskr"/>
              <w:spacing w:before="0" w:beforeAutospacing="0" w:after="0" w:afterAutospacing="0"/>
              <w:rPr>
                <w:rFonts w:eastAsia="Calibri"/>
              </w:rPr>
            </w:pPr>
            <w:r>
              <w:rPr>
                <w:rFonts w:eastAsia="Calibri"/>
              </w:rPr>
              <w:t xml:space="preserve">Regula </w:t>
            </w:r>
            <w:r w:rsidR="00353271">
              <w:rPr>
                <w:rFonts w:eastAsia="Calibri"/>
              </w:rPr>
              <w:t>Nr.</w:t>
            </w:r>
            <w:r>
              <w:rPr>
                <w:rFonts w:eastAsia="Calibri"/>
              </w:rPr>
              <w:t>853/2004</w:t>
            </w:r>
          </w:p>
          <w:p w14:paraId="0BCE96B7" w14:textId="6B783AF9" w:rsidR="00F23B4D" w:rsidRDefault="00F23B4D" w:rsidP="002E495C">
            <w:pPr>
              <w:pStyle w:val="naiskr"/>
              <w:spacing w:before="0" w:beforeAutospacing="0" w:after="0" w:afterAutospacing="0"/>
              <w:rPr>
                <w:rFonts w:eastAsia="Calibri"/>
              </w:rPr>
            </w:pPr>
            <w:r>
              <w:rPr>
                <w:rFonts w:eastAsia="Calibri"/>
              </w:rPr>
              <w:t xml:space="preserve">Regula </w:t>
            </w:r>
            <w:r w:rsidR="00353271">
              <w:rPr>
                <w:rFonts w:eastAsia="Calibri"/>
              </w:rPr>
              <w:t>Nr.</w:t>
            </w:r>
            <w:r>
              <w:rPr>
                <w:rFonts w:eastAsia="Calibri"/>
              </w:rPr>
              <w:t>852/2004</w:t>
            </w:r>
          </w:p>
          <w:p w14:paraId="6CCE2101" w14:textId="79B09BE4" w:rsidR="00F23B4D" w:rsidRPr="0043600D" w:rsidRDefault="00F23B4D" w:rsidP="002E495C">
            <w:pPr>
              <w:pStyle w:val="naiskr"/>
              <w:spacing w:before="0" w:beforeAutospacing="0" w:after="0" w:afterAutospacing="0"/>
            </w:pPr>
            <w:r>
              <w:rPr>
                <w:rFonts w:eastAsia="Calibri"/>
              </w:rPr>
              <w:t xml:space="preserve">Regula </w:t>
            </w:r>
            <w:r w:rsidR="00353271">
              <w:rPr>
                <w:rFonts w:eastAsia="Calibri"/>
              </w:rPr>
              <w:t xml:space="preserve">(ES) </w:t>
            </w:r>
            <w:r>
              <w:rPr>
                <w:rFonts w:eastAsia="Calibri"/>
              </w:rPr>
              <w:t>2019/627</w:t>
            </w:r>
          </w:p>
        </w:tc>
      </w:tr>
      <w:tr w:rsidR="00163610" w:rsidRPr="0043600D" w14:paraId="6BEFF08E" w14:textId="77777777" w:rsidTr="002E495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2756" w:type="dxa"/>
            <w:gridSpan w:val="2"/>
            <w:shd w:val="clear" w:color="auto" w:fill="auto"/>
            <w:vAlign w:val="center"/>
          </w:tcPr>
          <w:p w14:paraId="1A8668AC" w14:textId="77777777" w:rsidR="00163610" w:rsidRPr="0043600D" w:rsidRDefault="00163610" w:rsidP="002E495C">
            <w:pPr>
              <w:pStyle w:val="naiskr"/>
              <w:spacing w:before="0" w:beforeAutospacing="0" w:after="0" w:afterAutospacing="0"/>
              <w:jc w:val="center"/>
            </w:pPr>
            <w:r w:rsidRPr="0043600D">
              <w:t>A</w:t>
            </w:r>
          </w:p>
        </w:tc>
        <w:tc>
          <w:tcPr>
            <w:tcW w:w="2111" w:type="dxa"/>
            <w:gridSpan w:val="2"/>
            <w:shd w:val="clear" w:color="auto" w:fill="auto"/>
            <w:vAlign w:val="center"/>
          </w:tcPr>
          <w:p w14:paraId="316A4615" w14:textId="77777777" w:rsidR="00163610" w:rsidRPr="0043600D" w:rsidRDefault="00163610" w:rsidP="002E495C">
            <w:pPr>
              <w:pStyle w:val="naiskr"/>
              <w:spacing w:before="0" w:beforeAutospacing="0" w:after="0" w:afterAutospacing="0"/>
              <w:jc w:val="center"/>
            </w:pPr>
            <w:r w:rsidRPr="0043600D">
              <w:t>B</w:t>
            </w:r>
          </w:p>
        </w:tc>
        <w:tc>
          <w:tcPr>
            <w:tcW w:w="1968" w:type="dxa"/>
            <w:shd w:val="clear" w:color="auto" w:fill="auto"/>
            <w:vAlign w:val="center"/>
          </w:tcPr>
          <w:p w14:paraId="550F64ED" w14:textId="77777777" w:rsidR="00163610" w:rsidRPr="0043600D" w:rsidRDefault="00163610" w:rsidP="002E495C">
            <w:pPr>
              <w:pStyle w:val="naiskr"/>
              <w:spacing w:before="0" w:beforeAutospacing="0" w:after="0" w:afterAutospacing="0"/>
              <w:jc w:val="center"/>
            </w:pPr>
            <w:r w:rsidRPr="0043600D">
              <w:t>C</w:t>
            </w:r>
          </w:p>
        </w:tc>
        <w:tc>
          <w:tcPr>
            <w:tcW w:w="2237" w:type="dxa"/>
            <w:shd w:val="clear" w:color="auto" w:fill="auto"/>
            <w:vAlign w:val="center"/>
          </w:tcPr>
          <w:p w14:paraId="4A9FB502" w14:textId="77777777" w:rsidR="00163610" w:rsidRPr="0043600D" w:rsidRDefault="00163610" w:rsidP="002E495C">
            <w:pPr>
              <w:pStyle w:val="naiskr"/>
              <w:spacing w:before="0" w:beforeAutospacing="0" w:after="0" w:afterAutospacing="0"/>
              <w:jc w:val="center"/>
            </w:pPr>
            <w:r w:rsidRPr="0043600D">
              <w:t>D</w:t>
            </w:r>
          </w:p>
        </w:tc>
      </w:tr>
      <w:tr w:rsidR="00163610" w:rsidRPr="007857F0" w14:paraId="655DB46E" w14:textId="77777777" w:rsidTr="002E495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2756" w:type="dxa"/>
            <w:gridSpan w:val="2"/>
            <w:shd w:val="clear" w:color="auto" w:fill="auto"/>
          </w:tcPr>
          <w:p w14:paraId="6EEC67D3" w14:textId="77777777" w:rsidR="00163610" w:rsidRPr="0043600D" w:rsidRDefault="00163610" w:rsidP="002E495C">
            <w:pPr>
              <w:pStyle w:val="naiskr"/>
              <w:spacing w:before="0" w:beforeAutospacing="0" w:after="0" w:afterAutospacing="0"/>
              <w:jc w:val="both"/>
            </w:pPr>
            <w:r w:rsidRPr="0043600D">
              <w:t>Attiecīgā ES tiesību akta panta numurs (uzskaitot katru tiesību akta vienību – pantu, daļu, punktu, apakšpunktu)</w:t>
            </w:r>
          </w:p>
        </w:tc>
        <w:tc>
          <w:tcPr>
            <w:tcW w:w="2111" w:type="dxa"/>
            <w:gridSpan w:val="2"/>
            <w:shd w:val="clear" w:color="auto" w:fill="auto"/>
          </w:tcPr>
          <w:p w14:paraId="7E580DBF" w14:textId="77777777" w:rsidR="00163610" w:rsidRPr="0043600D" w:rsidRDefault="00163610" w:rsidP="002E495C">
            <w:pPr>
              <w:pStyle w:val="naiskr"/>
              <w:spacing w:before="0" w:beforeAutospacing="0" w:after="0" w:afterAutospacing="0"/>
              <w:jc w:val="both"/>
            </w:pPr>
            <w:r w:rsidRPr="0043600D">
              <w:t>Projekta vienība, kas pārņem vai ievieš katru šīs tabulas A ailē minēto ES tiesību akta vienību, vai tiesību akts, kur attiecīgā ES tiesību akta vienība pārņemta vai ieviesta</w:t>
            </w:r>
          </w:p>
        </w:tc>
        <w:tc>
          <w:tcPr>
            <w:tcW w:w="1968" w:type="dxa"/>
            <w:shd w:val="clear" w:color="auto" w:fill="auto"/>
          </w:tcPr>
          <w:p w14:paraId="13146195" w14:textId="77777777" w:rsidR="00163610" w:rsidRPr="0043600D" w:rsidRDefault="00163610" w:rsidP="002E495C">
            <w:pPr>
              <w:pStyle w:val="naiskr"/>
              <w:spacing w:before="0" w:beforeAutospacing="0" w:after="0" w:afterAutospacing="0"/>
              <w:jc w:val="both"/>
            </w:pPr>
            <w:r w:rsidRPr="0043600D">
              <w:t>Informācija par to, vai šīs tabulas A ailē minētās ES tiesību akta vienības tiek pārņemtas vai ieviestas pilnībā vai daļēji.</w:t>
            </w:r>
          </w:p>
          <w:p w14:paraId="0FF05B16" w14:textId="77777777" w:rsidR="00163610" w:rsidRPr="0043600D" w:rsidRDefault="00163610" w:rsidP="002E495C">
            <w:pPr>
              <w:pStyle w:val="naiskr"/>
              <w:spacing w:before="0" w:beforeAutospacing="0" w:after="0" w:afterAutospacing="0"/>
              <w:jc w:val="both"/>
            </w:pPr>
            <w:r w:rsidRPr="0043600D">
              <w:t>Ja attiecīgā ES tiesību akta vienība tiek pārņemta vai ieviesta daļēji,  sniedz attiecīgu skaidrojumu, kā arī precīzi norāda, kad un kādā veidā ES tiesību akta vienība tiks pārņemta vai ieviesta pilnībā.</w:t>
            </w:r>
          </w:p>
          <w:p w14:paraId="12E31930" w14:textId="77777777" w:rsidR="00163610" w:rsidRPr="0043600D" w:rsidRDefault="00163610" w:rsidP="002E495C">
            <w:pPr>
              <w:pStyle w:val="naiskr"/>
              <w:spacing w:before="0" w:beforeAutospacing="0" w:after="0" w:afterAutospacing="0"/>
              <w:jc w:val="both"/>
            </w:pPr>
            <w:r w:rsidRPr="0043600D">
              <w:t>Norāda institūciju, kas ir atbildīga par šo saistību izpildi pilnībā</w:t>
            </w:r>
          </w:p>
        </w:tc>
        <w:tc>
          <w:tcPr>
            <w:tcW w:w="2237" w:type="dxa"/>
            <w:shd w:val="clear" w:color="auto" w:fill="auto"/>
            <w:vAlign w:val="center"/>
          </w:tcPr>
          <w:p w14:paraId="2D49F0C6" w14:textId="77777777" w:rsidR="00163610" w:rsidRPr="0043600D" w:rsidRDefault="00163610" w:rsidP="002E495C">
            <w:pPr>
              <w:pStyle w:val="naiskr"/>
              <w:spacing w:before="0" w:beforeAutospacing="0" w:after="0" w:afterAutospacing="0"/>
              <w:jc w:val="both"/>
            </w:pPr>
            <w:r w:rsidRPr="0043600D">
              <w:t>Informācija par to, vai šīs tabulas B ailē minētās projekta vienības paredz stingrākas prasības nekā šīs tabulas A ailē minētās ES tiesību akta vienības.</w:t>
            </w:r>
          </w:p>
          <w:p w14:paraId="08A6A776" w14:textId="77777777" w:rsidR="00163610" w:rsidRPr="0043600D" w:rsidRDefault="00163610" w:rsidP="002E495C">
            <w:pPr>
              <w:pStyle w:val="naiskr"/>
              <w:spacing w:before="0" w:beforeAutospacing="0" w:after="0" w:afterAutospacing="0"/>
              <w:jc w:val="both"/>
            </w:pPr>
            <w:r w:rsidRPr="0043600D">
              <w:t>Ja projekts satur stingrākas prasības nekā attiecīgais ES tiesību akts, norāda pamatojumu un samērīgumu.</w:t>
            </w:r>
          </w:p>
          <w:p w14:paraId="7C7310F0" w14:textId="77777777" w:rsidR="00163610" w:rsidRPr="0043600D" w:rsidRDefault="00163610" w:rsidP="002E495C">
            <w:pPr>
              <w:pStyle w:val="naiskr"/>
              <w:spacing w:before="0" w:beforeAutospacing="0" w:after="0" w:afterAutospacing="0"/>
              <w:jc w:val="both"/>
            </w:pPr>
            <w:r w:rsidRPr="0043600D">
              <w:t>Norāda iespējamās alternatīvas (t.sk. alternatīvas, kas neparedz tiesiskā regulējuma izstrādi) – kādos gadījumos būtu iespējams izvairīties no stingrāku prasību noteikšanas, nekā paredzēts attiecīgajos ES tiesību aktos</w:t>
            </w:r>
          </w:p>
        </w:tc>
      </w:tr>
      <w:tr w:rsidR="00163610" w:rsidRPr="0043600D" w14:paraId="7DC48BFD" w14:textId="77777777" w:rsidTr="008C6FD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2756" w:type="dxa"/>
            <w:gridSpan w:val="2"/>
            <w:shd w:val="clear" w:color="auto" w:fill="auto"/>
          </w:tcPr>
          <w:p w14:paraId="56DFD9DE" w14:textId="2AB00527" w:rsidR="00163610" w:rsidRPr="0043600D" w:rsidRDefault="00163610" w:rsidP="002E495C">
            <w:pPr>
              <w:pStyle w:val="naiskr"/>
              <w:spacing w:before="0" w:beforeAutospacing="0" w:after="0" w:afterAutospacing="0"/>
              <w:jc w:val="both"/>
            </w:pPr>
            <w:r w:rsidRPr="0043600D">
              <w:lastRenderedPageBreak/>
              <w:t>Regulas</w:t>
            </w:r>
            <w:r w:rsidR="00353271">
              <w:t>(ES)</w:t>
            </w:r>
            <w:r w:rsidRPr="0043600D">
              <w:t xml:space="preserve"> </w:t>
            </w:r>
            <w:r w:rsidR="002401CF" w:rsidRPr="0043600D">
              <w:t>2017</w:t>
            </w:r>
            <w:r w:rsidR="002401CF">
              <w:t>/</w:t>
            </w:r>
            <w:r w:rsidR="00F23B4D">
              <w:t>625</w:t>
            </w:r>
            <w:r w:rsidRPr="0043600D">
              <w:t xml:space="preserve"> </w:t>
            </w:r>
            <w:r w:rsidR="00F23B4D">
              <w:t>148.</w:t>
            </w:r>
            <w:r w:rsidR="008E30CD">
              <w:t> </w:t>
            </w:r>
            <w:r w:rsidR="00F23B4D">
              <w:t>pants</w:t>
            </w:r>
          </w:p>
        </w:tc>
        <w:tc>
          <w:tcPr>
            <w:tcW w:w="2111" w:type="dxa"/>
            <w:gridSpan w:val="2"/>
            <w:shd w:val="clear" w:color="auto" w:fill="auto"/>
          </w:tcPr>
          <w:p w14:paraId="64B607CB" w14:textId="3814F53A" w:rsidR="00163610" w:rsidRPr="0043600D" w:rsidRDefault="008C6FDA" w:rsidP="008C6FDA">
            <w:pPr>
              <w:pStyle w:val="naiskr"/>
              <w:spacing w:before="0" w:beforeAutospacing="0" w:after="0" w:afterAutospacing="0"/>
              <w:jc w:val="both"/>
            </w:pPr>
            <w:r>
              <w:t>1.</w:t>
            </w:r>
            <w:r w:rsidR="008E30CD">
              <w:t> </w:t>
            </w:r>
            <w:r>
              <w:t>punkts (noteikumu Nr.</w:t>
            </w:r>
            <w:r w:rsidR="008E30CD">
              <w:t> </w:t>
            </w:r>
            <w:r>
              <w:t xml:space="preserve">104 </w:t>
            </w:r>
            <w:r w:rsidR="00F23B4D">
              <w:t>1</w:t>
            </w:r>
            <w:r w:rsidR="00163610" w:rsidRPr="0043600D">
              <w:t>.</w:t>
            </w:r>
            <w:r w:rsidR="00F23B4D">
              <w:t>1.</w:t>
            </w:r>
            <w:r w:rsidR="00C70248">
              <w:t xml:space="preserve"> un 2.1. </w:t>
            </w:r>
            <w:r w:rsidR="00F23B4D">
              <w:t>apakšpunkts</w:t>
            </w:r>
            <w:r>
              <w:t>)</w:t>
            </w:r>
          </w:p>
        </w:tc>
        <w:tc>
          <w:tcPr>
            <w:tcW w:w="1968" w:type="dxa"/>
            <w:shd w:val="clear" w:color="auto" w:fill="auto"/>
          </w:tcPr>
          <w:p w14:paraId="3655D109" w14:textId="77777777" w:rsidR="00163610" w:rsidRPr="0043600D" w:rsidRDefault="00163610" w:rsidP="002E495C">
            <w:pPr>
              <w:pStyle w:val="naiskr"/>
              <w:spacing w:before="0" w:beforeAutospacing="0" w:after="0" w:afterAutospacing="0"/>
              <w:jc w:val="both"/>
            </w:pPr>
            <w:r w:rsidRPr="0043600D">
              <w:t>ES tiesību akta vienība tiek ieviesta pilnībā.</w:t>
            </w:r>
          </w:p>
        </w:tc>
        <w:tc>
          <w:tcPr>
            <w:tcW w:w="2237" w:type="dxa"/>
            <w:shd w:val="clear" w:color="auto" w:fill="auto"/>
          </w:tcPr>
          <w:p w14:paraId="15411B64" w14:textId="77777777" w:rsidR="00163610" w:rsidRPr="0043600D" w:rsidRDefault="00163610" w:rsidP="002E495C">
            <w:pPr>
              <w:pStyle w:val="naiskr"/>
              <w:spacing w:before="0" w:beforeAutospacing="0" w:after="0" w:afterAutospacing="0"/>
              <w:jc w:val="both"/>
            </w:pPr>
            <w:r w:rsidRPr="0043600D">
              <w:t>Noteikumu projekts neparedz stingrākas prasības.</w:t>
            </w:r>
          </w:p>
        </w:tc>
      </w:tr>
      <w:tr w:rsidR="00891D8A" w:rsidRPr="0043600D" w14:paraId="69205BFE" w14:textId="77777777" w:rsidTr="008C6FD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2756" w:type="dxa"/>
            <w:gridSpan w:val="2"/>
            <w:shd w:val="clear" w:color="auto" w:fill="auto"/>
          </w:tcPr>
          <w:p w14:paraId="62D63194" w14:textId="0A61A30B" w:rsidR="00891D8A" w:rsidRPr="0043600D" w:rsidRDefault="00891D8A" w:rsidP="00891D8A">
            <w:pPr>
              <w:pStyle w:val="naiskr"/>
              <w:spacing w:before="0" w:beforeAutospacing="0" w:after="0" w:afterAutospacing="0"/>
              <w:jc w:val="both"/>
            </w:pPr>
            <w:r w:rsidRPr="00A3138F">
              <w:t>Regulas</w:t>
            </w:r>
            <w:r w:rsidR="00353271">
              <w:t>(ES)</w:t>
            </w:r>
            <w:r w:rsidRPr="00A3138F">
              <w:t xml:space="preserve"> </w:t>
            </w:r>
            <w:r w:rsidR="00CA061C" w:rsidRPr="00A3138F">
              <w:t>2017</w:t>
            </w:r>
            <w:r w:rsidR="00CA061C">
              <w:t>/</w:t>
            </w:r>
            <w:r w:rsidRPr="00A3138F">
              <w:t>625 148.</w:t>
            </w:r>
            <w:r>
              <w:t> </w:t>
            </w:r>
            <w:r w:rsidRPr="00A3138F">
              <w:t>pant</w:t>
            </w:r>
            <w:r>
              <w:t>a 2. punkts</w:t>
            </w:r>
          </w:p>
        </w:tc>
        <w:tc>
          <w:tcPr>
            <w:tcW w:w="2111" w:type="dxa"/>
            <w:gridSpan w:val="2"/>
            <w:shd w:val="clear" w:color="auto" w:fill="auto"/>
          </w:tcPr>
          <w:p w14:paraId="4E38ECBB" w14:textId="3DC27825" w:rsidR="00891D8A" w:rsidRDefault="00891D8A" w:rsidP="00891D8A">
            <w:pPr>
              <w:pStyle w:val="naiskr"/>
              <w:spacing w:before="0" w:beforeAutospacing="0" w:after="0" w:afterAutospacing="0"/>
              <w:jc w:val="both"/>
            </w:pPr>
            <w:r>
              <w:t>1</w:t>
            </w:r>
            <w:r w:rsidRPr="00857669">
              <w:t>.</w:t>
            </w:r>
            <w:r>
              <w:t> </w:t>
            </w:r>
            <w:r w:rsidRPr="00857669">
              <w:t>punkts (noteikumu Nr.</w:t>
            </w:r>
            <w:r w:rsidR="008E30CD">
              <w:t> </w:t>
            </w:r>
            <w:r w:rsidRPr="00857669">
              <w:t>104 2.</w:t>
            </w:r>
            <w:r>
              <w:t>2</w:t>
            </w:r>
            <w:r w:rsidRPr="00857669">
              <w:t>.</w:t>
            </w:r>
            <w:r w:rsidR="008E30CD">
              <w:t> </w:t>
            </w:r>
            <w:r w:rsidRPr="00857669">
              <w:t>apakšpunkts)</w:t>
            </w:r>
          </w:p>
        </w:tc>
        <w:tc>
          <w:tcPr>
            <w:tcW w:w="1968" w:type="dxa"/>
            <w:shd w:val="clear" w:color="auto" w:fill="auto"/>
          </w:tcPr>
          <w:p w14:paraId="78DEA656" w14:textId="76E68B32" w:rsidR="00891D8A" w:rsidRPr="0043600D" w:rsidRDefault="00891D8A" w:rsidP="00891D8A">
            <w:pPr>
              <w:pStyle w:val="naiskr"/>
              <w:spacing w:before="0" w:beforeAutospacing="0" w:after="0" w:afterAutospacing="0"/>
              <w:jc w:val="both"/>
            </w:pPr>
            <w:r w:rsidRPr="0043600D">
              <w:t>ES tiesību akta vienība tiek ieviesta pilnībā.</w:t>
            </w:r>
          </w:p>
        </w:tc>
        <w:tc>
          <w:tcPr>
            <w:tcW w:w="2237" w:type="dxa"/>
            <w:shd w:val="clear" w:color="auto" w:fill="auto"/>
          </w:tcPr>
          <w:p w14:paraId="10A01A5F" w14:textId="0576E1B9" w:rsidR="00891D8A" w:rsidRPr="0043600D" w:rsidRDefault="00891D8A" w:rsidP="00891D8A">
            <w:pPr>
              <w:pStyle w:val="naiskr"/>
              <w:spacing w:before="0" w:beforeAutospacing="0" w:after="0" w:afterAutospacing="0"/>
              <w:jc w:val="both"/>
            </w:pPr>
            <w:r w:rsidRPr="0043600D">
              <w:t>Noteikumu projekts neparedz stingrākas prasības.</w:t>
            </w:r>
          </w:p>
        </w:tc>
      </w:tr>
      <w:tr w:rsidR="00891D8A" w:rsidRPr="0043600D" w14:paraId="3ABB69AC" w14:textId="77777777" w:rsidTr="008C6FD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2756" w:type="dxa"/>
            <w:gridSpan w:val="2"/>
            <w:shd w:val="clear" w:color="auto" w:fill="auto"/>
          </w:tcPr>
          <w:p w14:paraId="4B23CADA" w14:textId="5EB89378" w:rsidR="00891D8A" w:rsidRPr="00A3138F" w:rsidRDefault="00891D8A" w:rsidP="00891D8A">
            <w:pPr>
              <w:pStyle w:val="naiskr"/>
              <w:spacing w:before="0" w:beforeAutospacing="0" w:after="0" w:afterAutospacing="0"/>
              <w:jc w:val="both"/>
            </w:pPr>
            <w:r w:rsidRPr="00A3138F">
              <w:t>Regulas</w:t>
            </w:r>
            <w:r w:rsidR="00353271">
              <w:t>(ES)</w:t>
            </w:r>
            <w:r w:rsidRPr="00A3138F">
              <w:t xml:space="preserve"> </w:t>
            </w:r>
            <w:r w:rsidR="00CA061C" w:rsidRPr="00A3138F">
              <w:t>2017</w:t>
            </w:r>
            <w:r w:rsidR="00CA061C">
              <w:t>/</w:t>
            </w:r>
            <w:r w:rsidRPr="00A3138F">
              <w:t>625 148.</w:t>
            </w:r>
            <w:r>
              <w:t> </w:t>
            </w:r>
            <w:r w:rsidRPr="00A3138F">
              <w:t xml:space="preserve">panta </w:t>
            </w:r>
            <w:r>
              <w:t>4</w:t>
            </w:r>
            <w:r w:rsidRPr="00A3138F">
              <w:t>.</w:t>
            </w:r>
            <w:r>
              <w:t> </w:t>
            </w:r>
            <w:r w:rsidRPr="00A3138F">
              <w:t>punkts</w:t>
            </w:r>
          </w:p>
        </w:tc>
        <w:tc>
          <w:tcPr>
            <w:tcW w:w="2111" w:type="dxa"/>
            <w:gridSpan w:val="2"/>
            <w:shd w:val="clear" w:color="auto" w:fill="auto"/>
          </w:tcPr>
          <w:p w14:paraId="3729F9D8" w14:textId="69FE3E74" w:rsidR="00891D8A" w:rsidRDefault="00891D8A" w:rsidP="00891D8A">
            <w:pPr>
              <w:pStyle w:val="naiskr"/>
              <w:spacing w:before="0" w:beforeAutospacing="0" w:after="0" w:afterAutospacing="0"/>
              <w:jc w:val="both"/>
            </w:pPr>
            <w:r>
              <w:t xml:space="preserve">3. un 4. punkts (noteikumu Nr. 104 7.1. apakšpunkts un 15. punkts) </w:t>
            </w:r>
          </w:p>
        </w:tc>
        <w:tc>
          <w:tcPr>
            <w:tcW w:w="1968" w:type="dxa"/>
            <w:shd w:val="clear" w:color="auto" w:fill="auto"/>
          </w:tcPr>
          <w:p w14:paraId="6062957B" w14:textId="1454CB4B" w:rsidR="00891D8A" w:rsidRPr="0043600D" w:rsidRDefault="00891D8A" w:rsidP="00891D8A">
            <w:pPr>
              <w:pStyle w:val="naiskr"/>
              <w:spacing w:before="0" w:beforeAutospacing="0" w:after="0" w:afterAutospacing="0"/>
              <w:jc w:val="both"/>
            </w:pPr>
            <w:r w:rsidRPr="0043600D">
              <w:t>ES tiesību akta vienība tiek ieviesta pilnībā.</w:t>
            </w:r>
          </w:p>
        </w:tc>
        <w:tc>
          <w:tcPr>
            <w:tcW w:w="2237" w:type="dxa"/>
            <w:shd w:val="clear" w:color="auto" w:fill="auto"/>
          </w:tcPr>
          <w:p w14:paraId="410D6A7F" w14:textId="1407B33F" w:rsidR="00891D8A" w:rsidRPr="0043600D" w:rsidRDefault="00891D8A" w:rsidP="00891D8A">
            <w:pPr>
              <w:pStyle w:val="naiskr"/>
              <w:spacing w:before="0" w:beforeAutospacing="0" w:after="0" w:afterAutospacing="0"/>
              <w:jc w:val="both"/>
            </w:pPr>
            <w:r w:rsidRPr="0043600D">
              <w:t>Noteikumu projekts neparedz stingrākas prasības.</w:t>
            </w:r>
          </w:p>
        </w:tc>
      </w:tr>
      <w:tr w:rsidR="00891D8A" w:rsidRPr="0043600D" w14:paraId="22BB5707" w14:textId="77777777" w:rsidTr="00FB116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2756" w:type="dxa"/>
            <w:gridSpan w:val="2"/>
            <w:shd w:val="clear" w:color="auto" w:fill="auto"/>
          </w:tcPr>
          <w:p w14:paraId="3CCB85EE" w14:textId="6887E826" w:rsidR="00891D8A" w:rsidRPr="00A3138F" w:rsidRDefault="00891D8A" w:rsidP="00891D8A">
            <w:pPr>
              <w:pStyle w:val="naiskr"/>
              <w:spacing w:before="0" w:beforeAutospacing="0" w:after="0" w:afterAutospacing="0"/>
              <w:jc w:val="both"/>
            </w:pPr>
            <w:r w:rsidRPr="00A3138F">
              <w:t>Regulas</w:t>
            </w:r>
            <w:r w:rsidR="00353271">
              <w:t>(ES)</w:t>
            </w:r>
            <w:r w:rsidRPr="00A3138F">
              <w:t xml:space="preserve"> </w:t>
            </w:r>
            <w:r w:rsidR="00CA061C" w:rsidRPr="00A3138F">
              <w:t>2017</w:t>
            </w:r>
            <w:r w:rsidR="00CA061C">
              <w:t>/</w:t>
            </w:r>
            <w:r w:rsidRPr="00A3138F">
              <w:t xml:space="preserve">625 </w:t>
            </w:r>
            <w:r>
              <w:t>10</w:t>
            </w:r>
            <w:r w:rsidRPr="00A3138F">
              <w:t>.</w:t>
            </w:r>
            <w:r w:rsidR="008E30CD">
              <w:t> </w:t>
            </w:r>
            <w:r w:rsidRPr="00A3138F">
              <w:t xml:space="preserve">panta </w:t>
            </w:r>
            <w:r>
              <w:t>2</w:t>
            </w:r>
            <w:r w:rsidRPr="00A3138F">
              <w:t>.</w:t>
            </w:r>
            <w:r>
              <w:t> </w:t>
            </w:r>
            <w:r w:rsidRPr="00A3138F">
              <w:t>punkts</w:t>
            </w:r>
          </w:p>
        </w:tc>
        <w:tc>
          <w:tcPr>
            <w:tcW w:w="2111" w:type="dxa"/>
            <w:gridSpan w:val="2"/>
            <w:shd w:val="clear" w:color="auto" w:fill="FFFFFF" w:themeFill="background1"/>
          </w:tcPr>
          <w:p w14:paraId="66DDD898" w14:textId="3B90D846" w:rsidR="00891D8A" w:rsidRPr="000934A3" w:rsidRDefault="00891D8A" w:rsidP="00891D8A">
            <w:pPr>
              <w:pStyle w:val="naiskr"/>
              <w:spacing w:before="0" w:beforeAutospacing="0" w:after="0" w:afterAutospacing="0"/>
              <w:jc w:val="both"/>
            </w:pPr>
            <w:r w:rsidRPr="00FB116C">
              <w:rPr>
                <w:shd w:val="clear" w:color="auto" w:fill="FFFFFF" w:themeFill="background1"/>
              </w:rPr>
              <w:t>6. punkts (noteikumu Nr. 104 22. punkts</w:t>
            </w:r>
            <w:r w:rsidRPr="000934A3">
              <w:t>)</w:t>
            </w:r>
          </w:p>
        </w:tc>
        <w:tc>
          <w:tcPr>
            <w:tcW w:w="1968" w:type="dxa"/>
            <w:shd w:val="clear" w:color="auto" w:fill="auto"/>
          </w:tcPr>
          <w:p w14:paraId="67CB36F4" w14:textId="4109C7E1" w:rsidR="00891D8A" w:rsidRPr="0043600D" w:rsidRDefault="00891D8A" w:rsidP="00891D8A">
            <w:pPr>
              <w:pStyle w:val="naiskr"/>
              <w:spacing w:before="0" w:beforeAutospacing="0" w:after="0" w:afterAutospacing="0"/>
              <w:jc w:val="both"/>
            </w:pPr>
            <w:r w:rsidRPr="0043600D">
              <w:t>ES tiesību akta vienība tiek ieviesta pilnībā.</w:t>
            </w:r>
          </w:p>
        </w:tc>
        <w:tc>
          <w:tcPr>
            <w:tcW w:w="2237" w:type="dxa"/>
            <w:shd w:val="clear" w:color="auto" w:fill="auto"/>
          </w:tcPr>
          <w:p w14:paraId="7A081284" w14:textId="2F45C8A6" w:rsidR="00891D8A" w:rsidRPr="0043600D" w:rsidRDefault="00891D8A" w:rsidP="00891D8A">
            <w:pPr>
              <w:pStyle w:val="naiskr"/>
              <w:spacing w:before="0" w:beforeAutospacing="0" w:after="0" w:afterAutospacing="0"/>
              <w:jc w:val="both"/>
            </w:pPr>
            <w:r w:rsidRPr="0043600D">
              <w:t>Noteikumu projekts neparedz stingrākas prasības.</w:t>
            </w:r>
          </w:p>
        </w:tc>
      </w:tr>
      <w:tr w:rsidR="00891D8A" w:rsidRPr="0043600D" w14:paraId="31F6A080" w14:textId="77777777" w:rsidTr="008C6FD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2756" w:type="dxa"/>
            <w:gridSpan w:val="2"/>
            <w:shd w:val="clear" w:color="auto" w:fill="auto"/>
          </w:tcPr>
          <w:p w14:paraId="1A154715" w14:textId="35BFED3D" w:rsidR="00891D8A" w:rsidRPr="00A3138F" w:rsidRDefault="00891D8A" w:rsidP="00AE6B74">
            <w:pPr>
              <w:jc w:val="both"/>
            </w:pPr>
            <w:r>
              <w:t xml:space="preserve">Regula </w:t>
            </w:r>
            <w:r w:rsidR="00353271">
              <w:t>Nr.</w:t>
            </w:r>
            <w:r w:rsidR="008E30CD">
              <w:t xml:space="preserve"> </w:t>
            </w:r>
            <w:r>
              <w:t xml:space="preserve">853/2004 </w:t>
            </w:r>
          </w:p>
        </w:tc>
        <w:tc>
          <w:tcPr>
            <w:tcW w:w="2111" w:type="dxa"/>
            <w:gridSpan w:val="2"/>
            <w:shd w:val="clear" w:color="auto" w:fill="auto"/>
          </w:tcPr>
          <w:p w14:paraId="3D54A142" w14:textId="4E5A2F95" w:rsidR="00891D8A" w:rsidRDefault="00891D8A" w:rsidP="00891D8A">
            <w:pPr>
              <w:pStyle w:val="naiskr"/>
              <w:spacing w:before="0" w:beforeAutospacing="0" w:after="0" w:afterAutospacing="0"/>
              <w:jc w:val="both"/>
            </w:pPr>
            <w:r>
              <w:t>2. </w:t>
            </w:r>
            <w:r w:rsidRPr="00857669">
              <w:t>punkts (noteikumu Nr.</w:t>
            </w:r>
            <w:r>
              <w:t> </w:t>
            </w:r>
            <w:r w:rsidRPr="00857669">
              <w:t xml:space="preserve">104 </w:t>
            </w:r>
            <w:r>
              <w:t>3. punkts</w:t>
            </w:r>
            <w:r w:rsidRPr="00857669">
              <w:t>)</w:t>
            </w:r>
          </w:p>
        </w:tc>
        <w:tc>
          <w:tcPr>
            <w:tcW w:w="1968" w:type="dxa"/>
            <w:shd w:val="clear" w:color="auto" w:fill="auto"/>
          </w:tcPr>
          <w:p w14:paraId="72BB3664" w14:textId="355C54E8" w:rsidR="00891D8A" w:rsidRPr="0043600D" w:rsidRDefault="00891D8A" w:rsidP="00891D8A">
            <w:pPr>
              <w:pStyle w:val="naiskr"/>
              <w:spacing w:before="0" w:beforeAutospacing="0" w:after="0" w:afterAutospacing="0"/>
              <w:jc w:val="both"/>
            </w:pPr>
            <w:r w:rsidRPr="0043600D">
              <w:t>ES tiesību akta vienība tiek ieviesta pilnībā.</w:t>
            </w:r>
          </w:p>
        </w:tc>
        <w:tc>
          <w:tcPr>
            <w:tcW w:w="2237" w:type="dxa"/>
            <w:shd w:val="clear" w:color="auto" w:fill="auto"/>
          </w:tcPr>
          <w:p w14:paraId="13229D3B" w14:textId="3232299D" w:rsidR="00891D8A" w:rsidRPr="0043600D" w:rsidRDefault="00891D8A" w:rsidP="00891D8A">
            <w:pPr>
              <w:pStyle w:val="naiskr"/>
              <w:spacing w:before="0" w:beforeAutospacing="0" w:after="0" w:afterAutospacing="0"/>
              <w:jc w:val="both"/>
            </w:pPr>
            <w:r w:rsidRPr="0043600D">
              <w:t>Noteikumu projekts neparedz stingrākas prasības.</w:t>
            </w:r>
          </w:p>
        </w:tc>
      </w:tr>
      <w:tr w:rsidR="00E346C5" w:rsidRPr="0043600D" w14:paraId="5295AB8B" w14:textId="77777777" w:rsidTr="008C6FD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jc w:val="center"/>
        </w:trPr>
        <w:tc>
          <w:tcPr>
            <w:tcW w:w="2756" w:type="dxa"/>
            <w:gridSpan w:val="2"/>
            <w:shd w:val="clear" w:color="auto" w:fill="auto"/>
          </w:tcPr>
          <w:p w14:paraId="783B5FBE" w14:textId="0EF9FE69" w:rsidR="00E346C5" w:rsidRPr="0001115A" w:rsidRDefault="00E346C5" w:rsidP="00E346C5">
            <w:pPr>
              <w:jc w:val="both"/>
            </w:pPr>
            <w:r w:rsidRPr="004A170C">
              <w:t xml:space="preserve">Regulas </w:t>
            </w:r>
            <w:r w:rsidR="00353271">
              <w:t>Nr.</w:t>
            </w:r>
            <w:r w:rsidR="008E30CD">
              <w:t> </w:t>
            </w:r>
            <w:r w:rsidRPr="004A170C">
              <w:t xml:space="preserve">853/2004 </w:t>
            </w:r>
            <w:r w:rsidRPr="0001115A">
              <w:t>4.</w:t>
            </w:r>
            <w:r w:rsidR="008E30CD">
              <w:t> </w:t>
            </w:r>
            <w:r w:rsidRPr="0001115A">
              <w:t>pants</w:t>
            </w:r>
          </w:p>
        </w:tc>
        <w:tc>
          <w:tcPr>
            <w:tcW w:w="2111" w:type="dxa"/>
            <w:gridSpan w:val="2"/>
            <w:shd w:val="clear" w:color="auto" w:fill="auto"/>
          </w:tcPr>
          <w:p w14:paraId="18D4FF86" w14:textId="1EFD14D4" w:rsidR="00E346C5" w:rsidRPr="004A170C" w:rsidRDefault="00E346C5" w:rsidP="00E346C5">
            <w:pPr>
              <w:pStyle w:val="naiskr"/>
              <w:spacing w:before="0" w:beforeAutospacing="0" w:after="0" w:afterAutospacing="0"/>
              <w:jc w:val="both"/>
            </w:pPr>
            <w:r w:rsidRPr="004A170C">
              <w:t>1.</w:t>
            </w:r>
            <w:r w:rsidR="008E30CD">
              <w:t> </w:t>
            </w:r>
            <w:r w:rsidRPr="004A170C">
              <w:t>punkts (noteikumu Nr.</w:t>
            </w:r>
            <w:r w:rsidR="008E30CD">
              <w:t> </w:t>
            </w:r>
            <w:r w:rsidRPr="004A170C">
              <w:t xml:space="preserve">104 1.2. </w:t>
            </w:r>
            <w:r w:rsidR="00CA061C" w:rsidRPr="004A170C">
              <w:t>un 2.1.</w:t>
            </w:r>
            <w:r w:rsidR="008E30CD">
              <w:t> </w:t>
            </w:r>
            <w:r w:rsidRPr="004A170C">
              <w:t>apakšpunkts)</w:t>
            </w:r>
          </w:p>
        </w:tc>
        <w:tc>
          <w:tcPr>
            <w:tcW w:w="1968" w:type="dxa"/>
            <w:shd w:val="clear" w:color="auto" w:fill="auto"/>
          </w:tcPr>
          <w:p w14:paraId="3E5B8921" w14:textId="77777777" w:rsidR="00E346C5" w:rsidRPr="0043600D" w:rsidRDefault="00E346C5" w:rsidP="00E346C5">
            <w:pPr>
              <w:pStyle w:val="naiskr"/>
              <w:spacing w:before="0" w:beforeAutospacing="0" w:after="0" w:afterAutospacing="0"/>
              <w:jc w:val="both"/>
            </w:pPr>
            <w:r w:rsidRPr="0043600D">
              <w:t>ES tiesību akta vienība tiek ieviesta pilnībā.</w:t>
            </w:r>
          </w:p>
        </w:tc>
        <w:tc>
          <w:tcPr>
            <w:tcW w:w="2237" w:type="dxa"/>
            <w:shd w:val="clear" w:color="auto" w:fill="auto"/>
          </w:tcPr>
          <w:p w14:paraId="58A87B79" w14:textId="77777777" w:rsidR="00E346C5" w:rsidRPr="0043600D" w:rsidRDefault="00E346C5" w:rsidP="00E346C5">
            <w:pPr>
              <w:pStyle w:val="naiskr"/>
              <w:spacing w:before="0" w:beforeAutospacing="0" w:after="0" w:afterAutospacing="0"/>
              <w:jc w:val="both"/>
            </w:pPr>
            <w:r w:rsidRPr="0043600D">
              <w:t>Noteikumu projekts neparedz stingrākas prasības.</w:t>
            </w:r>
          </w:p>
        </w:tc>
      </w:tr>
      <w:tr w:rsidR="00891D8A" w:rsidRPr="0043600D" w14:paraId="0BD5D841" w14:textId="77777777" w:rsidTr="008C6FD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jc w:val="center"/>
        </w:trPr>
        <w:tc>
          <w:tcPr>
            <w:tcW w:w="2756" w:type="dxa"/>
            <w:gridSpan w:val="2"/>
            <w:shd w:val="clear" w:color="auto" w:fill="auto"/>
          </w:tcPr>
          <w:p w14:paraId="0B999C82" w14:textId="27A1BB9E" w:rsidR="00891D8A" w:rsidRDefault="00891D8A" w:rsidP="00891D8A">
            <w:pPr>
              <w:jc w:val="both"/>
            </w:pPr>
            <w:r>
              <w:t xml:space="preserve">Regula </w:t>
            </w:r>
            <w:r w:rsidR="00353271">
              <w:t>Nr.</w:t>
            </w:r>
            <w:r w:rsidR="008E30CD">
              <w:t> </w:t>
            </w:r>
            <w:r>
              <w:t xml:space="preserve">852/2004 </w:t>
            </w:r>
          </w:p>
          <w:p w14:paraId="53BB7133" w14:textId="77777777" w:rsidR="00891D8A" w:rsidRPr="0043600D" w:rsidRDefault="00891D8A" w:rsidP="00891D8A">
            <w:pPr>
              <w:jc w:val="both"/>
            </w:pPr>
          </w:p>
        </w:tc>
        <w:tc>
          <w:tcPr>
            <w:tcW w:w="2111" w:type="dxa"/>
            <w:gridSpan w:val="2"/>
            <w:shd w:val="clear" w:color="auto" w:fill="auto"/>
          </w:tcPr>
          <w:p w14:paraId="58F280F3" w14:textId="6E14D06B" w:rsidR="00891D8A" w:rsidRPr="00FB116C" w:rsidRDefault="00891D8A" w:rsidP="00891D8A">
            <w:pPr>
              <w:pStyle w:val="naiskr"/>
              <w:spacing w:before="0" w:beforeAutospacing="0" w:after="0" w:afterAutospacing="0"/>
              <w:jc w:val="both"/>
              <w:rPr>
                <w:highlight w:val="yellow"/>
              </w:rPr>
            </w:pPr>
            <w:r w:rsidRPr="004A170C">
              <w:t>2.</w:t>
            </w:r>
            <w:r w:rsidR="008E30CD">
              <w:t> </w:t>
            </w:r>
            <w:r w:rsidRPr="004A170C">
              <w:t>un 8. punkts (noteikumu Nr. 104 3. un 24.</w:t>
            </w:r>
            <w:r w:rsidR="00731D74" w:rsidRPr="004A170C">
              <w:rPr>
                <w:vertAlign w:val="superscript"/>
              </w:rPr>
              <w:t>4</w:t>
            </w:r>
            <w:r w:rsidRPr="004A170C">
              <w:t> punkts un</w:t>
            </w:r>
            <w:r w:rsidRPr="004A170C">
              <w:rPr>
                <w:vertAlign w:val="superscript"/>
              </w:rPr>
              <w:t xml:space="preserve"> </w:t>
            </w:r>
            <w:r w:rsidRPr="004A170C">
              <w:t>24.</w:t>
            </w:r>
            <w:r w:rsidR="00731D74" w:rsidRPr="004A170C">
              <w:rPr>
                <w:vertAlign w:val="superscript"/>
              </w:rPr>
              <w:t>5</w:t>
            </w:r>
            <w:r w:rsidRPr="004A170C">
              <w:t>1. apakšpunkts)</w:t>
            </w:r>
          </w:p>
        </w:tc>
        <w:tc>
          <w:tcPr>
            <w:tcW w:w="1968" w:type="dxa"/>
            <w:shd w:val="clear" w:color="auto" w:fill="auto"/>
          </w:tcPr>
          <w:p w14:paraId="6A49D8CB" w14:textId="7ED87258" w:rsidR="00891D8A" w:rsidRPr="0043600D" w:rsidRDefault="00891D8A" w:rsidP="00891D8A">
            <w:pPr>
              <w:pStyle w:val="naiskr"/>
              <w:spacing w:before="0" w:beforeAutospacing="0" w:after="0" w:afterAutospacing="0"/>
              <w:jc w:val="both"/>
            </w:pPr>
            <w:r w:rsidRPr="0043600D">
              <w:t>ES tiesību akta vienība tiek ieviesta pilnībā.</w:t>
            </w:r>
          </w:p>
        </w:tc>
        <w:tc>
          <w:tcPr>
            <w:tcW w:w="2237" w:type="dxa"/>
            <w:shd w:val="clear" w:color="auto" w:fill="auto"/>
          </w:tcPr>
          <w:p w14:paraId="2E0EE0E1" w14:textId="50A79CB8" w:rsidR="00891D8A" w:rsidRPr="0043600D" w:rsidRDefault="00891D8A" w:rsidP="00891D8A">
            <w:pPr>
              <w:pStyle w:val="naiskr"/>
              <w:spacing w:before="0" w:beforeAutospacing="0" w:after="0" w:afterAutospacing="0"/>
              <w:jc w:val="both"/>
            </w:pPr>
            <w:r w:rsidRPr="0043600D">
              <w:t>Noteikumu projekts neparedz stingrākas prasības.</w:t>
            </w:r>
          </w:p>
        </w:tc>
      </w:tr>
      <w:tr w:rsidR="00E346C5" w:rsidRPr="0043600D" w14:paraId="71FF80ED" w14:textId="77777777" w:rsidTr="008C6FD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jc w:val="center"/>
        </w:trPr>
        <w:tc>
          <w:tcPr>
            <w:tcW w:w="2756" w:type="dxa"/>
            <w:gridSpan w:val="2"/>
            <w:shd w:val="clear" w:color="auto" w:fill="auto"/>
          </w:tcPr>
          <w:p w14:paraId="52E2E47D" w14:textId="43EB3E04" w:rsidR="00E346C5" w:rsidRPr="0043600D" w:rsidRDefault="00E346C5" w:rsidP="00E346C5">
            <w:pPr>
              <w:jc w:val="both"/>
            </w:pPr>
            <w:r w:rsidRPr="0043600D">
              <w:t xml:space="preserve">Regulas </w:t>
            </w:r>
            <w:r w:rsidR="00353271">
              <w:t>Nr.</w:t>
            </w:r>
            <w:r w:rsidR="008E30CD">
              <w:t> </w:t>
            </w:r>
            <w:r>
              <w:t xml:space="preserve">852/2004 </w:t>
            </w:r>
            <w:r w:rsidRPr="00E323EB">
              <w:t>6.</w:t>
            </w:r>
            <w:r w:rsidR="008E30CD">
              <w:t> </w:t>
            </w:r>
            <w:r w:rsidRPr="00E323EB">
              <w:t>pants</w:t>
            </w:r>
            <w:r w:rsidRPr="0043600D">
              <w:t xml:space="preserve"> </w:t>
            </w:r>
          </w:p>
        </w:tc>
        <w:tc>
          <w:tcPr>
            <w:tcW w:w="2111" w:type="dxa"/>
            <w:gridSpan w:val="2"/>
            <w:shd w:val="clear" w:color="auto" w:fill="auto"/>
          </w:tcPr>
          <w:p w14:paraId="656465F3" w14:textId="3F30869F" w:rsidR="00E346C5" w:rsidRPr="007B7C15" w:rsidRDefault="00E346C5" w:rsidP="00E346C5">
            <w:pPr>
              <w:pStyle w:val="naiskr"/>
              <w:spacing w:before="0" w:beforeAutospacing="0" w:after="0" w:afterAutospacing="0"/>
              <w:jc w:val="both"/>
            </w:pPr>
            <w:r w:rsidRPr="00753B65">
              <w:t>1.punkts (noteikumu Nr.104 1.</w:t>
            </w:r>
            <w:r w:rsidR="0001115A">
              <w:t>2</w:t>
            </w:r>
            <w:r w:rsidRPr="00E323EB">
              <w:t>.</w:t>
            </w:r>
            <w:r w:rsidR="00A73158">
              <w:t xml:space="preserve"> un 2.1. </w:t>
            </w:r>
            <w:r w:rsidRPr="00753B65">
              <w:t>apakšpunkts)</w:t>
            </w:r>
            <w:r w:rsidR="00DF194E">
              <w:t xml:space="preserve"> </w:t>
            </w:r>
          </w:p>
        </w:tc>
        <w:tc>
          <w:tcPr>
            <w:tcW w:w="1968" w:type="dxa"/>
            <w:shd w:val="clear" w:color="auto" w:fill="auto"/>
          </w:tcPr>
          <w:p w14:paraId="57A8139C" w14:textId="77777777" w:rsidR="00E346C5" w:rsidRPr="007B7C15" w:rsidRDefault="00E346C5" w:rsidP="00E346C5">
            <w:pPr>
              <w:pStyle w:val="naiskr"/>
              <w:spacing w:before="0" w:beforeAutospacing="0" w:after="0" w:afterAutospacing="0"/>
              <w:jc w:val="both"/>
            </w:pPr>
            <w:r w:rsidRPr="007B7C15">
              <w:t>ES tiesību akta vienība tiek ieviesta pilnībā.</w:t>
            </w:r>
          </w:p>
        </w:tc>
        <w:tc>
          <w:tcPr>
            <w:tcW w:w="2237" w:type="dxa"/>
            <w:shd w:val="clear" w:color="auto" w:fill="auto"/>
          </w:tcPr>
          <w:p w14:paraId="66053CEF" w14:textId="77777777" w:rsidR="00E346C5" w:rsidRPr="007B7C15" w:rsidRDefault="00E346C5" w:rsidP="00E346C5">
            <w:pPr>
              <w:pStyle w:val="naiskr"/>
              <w:spacing w:before="0" w:beforeAutospacing="0" w:after="0" w:afterAutospacing="0"/>
              <w:jc w:val="both"/>
            </w:pPr>
            <w:r w:rsidRPr="007B7C15">
              <w:t>Noteikumu projekts neparedz stingrākas prasības.</w:t>
            </w:r>
          </w:p>
        </w:tc>
      </w:tr>
      <w:tr w:rsidR="00E346C5" w:rsidRPr="0043600D" w14:paraId="0C52E50B" w14:textId="77777777" w:rsidTr="008C6FD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jc w:val="center"/>
        </w:trPr>
        <w:tc>
          <w:tcPr>
            <w:tcW w:w="2756" w:type="dxa"/>
            <w:gridSpan w:val="2"/>
            <w:shd w:val="clear" w:color="auto" w:fill="auto"/>
          </w:tcPr>
          <w:p w14:paraId="3BFB7AEF" w14:textId="32B6FD90" w:rsidR="00E346C5" w:rsidRPr="0043600D" w:rsidRDefault="00E346C5" w:rsidP="00E346C5">
            <w:pPr>
              <w:jc w:val="both"/>
            </w:pPr>
            <w:r>
              <w:t xml:space="preserve">Regulas </w:t>
            </w:r>
            <w:r w:rsidR="00353271">
              <w:t xml:space="preserve">(ES) </w:t>
            </w:r>
            <w:r>
              <w:t>2019/627 48.</w:t>
            </w:r>
            <w:r w:rsidR="008E30CD">
              <w:t> </w:t>
            </w:r>
            <w:r>
              <w:t>pants un II pielikums</w:t>
            </w:r>
          </w:p>
        </w:tc>
        <w:tc>
          <w:tcPr>
            <w:tcW w:w="2111" w:type="dxa"/>
            <w:gridSpan w:val="2"/>
            <w:shd w:val="clear" w:color="auto" w:fill="auto"/>
          </w:tcPr>
          <w:p w14:paraId="39A7FA7E" w14:textId="2F8C9D0C" w:rsidR="00E346C5" w:rsidRDefault="00E346C5" w:rsidP="00E346C5">
            <w:pPr>
              <w:pStyle w:val="naiskr"/>
              <w:spacing w:before="0" w:beforeAutospacing="0" w:after="0" w:afterAutospacing="0"/>
              <w:jc w:val="both"/>
            </w:pPr>
            <w:r>
              <w:t>5.</w:t>
            </w:r>
            <w:r w:rsidR="008E30CD">
              <w:t> </w:t>
            </w:r>
            <w:r>
              <w:t>punkts (noteikumu Nr. 104 21.3.</w:t>
            </w:r>
            <w:r w:rsidR="008E30CD">
              <w:t> </w:t>
            </w:r>
            <w:r>
              <w:t>apakšpunkts)</w:t>
            </w:r>
          </w:p>
        </w:tc>
        <w:tc>
          <w:tcPr>
            <w:tcW w:w="1968" w:type="dxa"/>
            <w:shd w:val="clear" w:color="auto" w:fill="auto"/>
          </w:tcPr>
          <w:p w14:paraId="7C417B2D" w14:textId="1CFEA7E8" w:rsidR="00E346C5" w:rsidRPr="007B7C15" w:rsidRDefault="00E346C5" w:rsidP="00E346C5">
            <w:pPr>
              <w:pStyle w:val="naiskr"/>
              <w:spacing w:before="0" w:beforeAutospacing="0" w:after="0" w:afterAutospacing="0"/>
              <w:jc w:val="both"/>
            </w:pPr>
            <w:r w:rsidRPr="00914834">
              <w:t>ES tiesību akta vienība tiek ieviesta pilnībā.</w:t>
            </w:r>
          </w:p>
        </w:tc>
        <w:tc>
          <w:tcPr>
            <w:tcW w:w="2237" w:type="dxa"/>
            <w:shd w:val="clear" w:color="auto" w:fill="auto"/>
          </w:tcPr>
          <w:p w14:paraId="771F7185" w14:textId="707C1E69" w:rsidR="00E346C5" w:rsidRPr="007B7C15" w:rsidRDefault="00E346C5" w:rsidP="00E346C5">
            <w:pPr>
              <w:pStyle w:val="naiskr"/>
              <w:spacing w:before="0" w:beforeAutospacing="0" w:after="0" w:afterAutospacing="0"/>
              <w:jc w:val="both"/>
            </w:pPr>
            <w:r w:rsidRPr="00914834">
              <w:t>Noteikumu projekts neparedz stingrākas prasības.</w:t>
            </w:r>
          </w:p>
        </w:tc>
      </w:tr>
      <w:tr w:rsidR="00E346C5" w:rsidRPr="007857F0" w14:paraId="74E5891F" w14:textId="77777777" w:rsidTr="002E495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81"/>
          <w:jc w:val="center"/>
        </w:trPr>
        <w:tc>
          <w:tcPr>
            <w:tcW w:w="2756" w:type="dxa"/>
            <w:gridSpan w:val="2"/>
            <w:shd w:val="clear" w:color="auto" w:fill="auto"/>
            <w:vAlign w:val="center"/>
          </w:tcPr>
          <w:p w14:paraId="6489BB94" w14:textId="77777777" w:rsidR="00E346C5" w:rsidRPr="0043600D" w:rsidRDefault="00E346C5" w:rsidP="00E346C5">
            <w:pPr>
              <w:pStyle w:val="naiskr"/>
              <w:spacing w:before="0" w:beforeAutospacing="0" w:after="0" w:afterAutospacing="0"/>
              <w:jc w:val="both"/>
            </w:pPr>
            <w:r w:rsidRPr="0043600D">
              <w:t>Kā ir izmantota ES tiesību aktā paredzētā rīcības brīvība dalībvalstij pārņemt vai ieviest noteiktas ES tiesību akta normas. Kādēļ?</w:t>
            </w:r>
          </w:p>
        </w:tc>
        <w:tc>
          <w:tcPr>
            <w:tcW w:w="6316" w:type="dxa"/>
            <w:gridSpan w:val="4"/>
            <w:shd w:val="clear" w:color="auto" w:fill="auto"/>
          </w:tcPr>
          <w:p w14:paraId="6FE30FE4" w14:textId="76B2F5F5" w:rsidR="00E346C5" w:rsidRPr="007B7C15" w:rsidRDefault="00E346C5" w:rsidP="00E346C5">
            <w:pPr>
              <w:pStyle w:val="naiskr"/>
              <w:spacing w:before="0" w:beforeAutospacing="0" w:after="0" w:afterAutospacing="0"/>
              <w:ind w:left="43"/>
              <w:jc w:val="both"/>
            </w:pPr>
            <w:r w:rsidRPr="009C7726">
              <w:t xml:space="preserve">Noteikumu projektā izmantota Regulas </w:t>
            </w:r>
            <w:r w:rsidR="0011215A">
              <w:t xml:space="preserve">(ES) </w:t>
            </w:r>
            <w:r w:rsidR="002401CF" w:rsidRPr="009C7726">
              <w:t>2017</w:t>
            </w:r>
            <w:r w:rsidR="002401CF">
              <w:t>/</w:t>
            </w:r>
            <w:r w:rsidRPr="009C7726">
              <w:t>625 148.</w:t>
            </w:r>
            <w:r w:rsidR="008E30CD">
              <w:t> </w:t>
            </w:r>
            <w:r w:rsidRPr="009C7726">
              <w:t>pant</w:t>
            </w:r>
            <w:r w:rsidR="00914859" w:rsidRPr="009C7726">
              <w:t>a</w:t>
            </w:r>
            <w:r w:rsidRPr="009C7726">
              <w:t xml:space="preserve"> 4.</w:t>
            </w:r>
            <w:r w:rsidR="008E30CD">
              <w:t> </w:t>
            </w:r>
            <w:r w:rsidRPr="009C7726">
              <w:t xml:space="preserve">punktā dotā atkāpe </w:t>
            </w:r>
            <w:r w:rsidR="00914859" w:rsidRPr="009C7726">
              <w:t>un saglabāta iespēja pārtikas uzņēmumiem piešķirt atzīšanu ar nosacījumu uz regulā noteikto termiņu</w:t>
            </w:r>
            <w:r w:rsidRPr="009C7726">
              <w:t>.</w:t>
            </w:r>
          </w:p>
        </w:tc>
      </w:tr>
      <w:tr w:rsidR="00E346C5" w:rsidRPr="0043600D" w14:paraId="0A8F090F" w14:textId="77777777" w:rsidTr="002E495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46"/>
          <w:jc w:val="center"/>
        </w:trPr>
        <w:tc>
          <w:tcPr>
            <w:tcW w:w="2756" w:type="dxa"/>
            <w:gridSpan w:val="2"/>
            <w:shd w:val="clear" w:color="auto" w:fill="auto"/>
            <w:vAlign w:val="center"/>
          </w:tcPr>
          <w:p w14:paraId="24CA6EA9" w14:textId="77777777" w:rsidR="00E346C5" w:rsidRPr="0043600D" w:rsidRDefault="00E346C5" w:rsidP="00E346C5">
            <w:pPr>
              <w:pStyle w:val="naiskr"/>
              <w:spacing w:before="0" w:beforeAutospacing="0" w:after="0" w:afterAutospacing="0"/>
              <w:jc w:val="both"/>
              <w:rPr>
                <w:i/>
              </w:rPr>
            </w:pPr>
            <w:r w:rsidRPr="0043600D">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316" w:type="dxa"/>
            <w:gridSpan w:val="4"/>
            <w:shd w:val="clear" w:color="auto" w:fill="auto"/>
          </w:tcPr>
          <w:p w14:paraId="050421BD" w14:textId="77777777" w:rsidR="00E346C5" w:rsidRPr="0043600D" w:rsidRDefault="00E346C5" w:rsidP="00E346C5">
            <w:pPr>
              <w:pStyle w:val="naiskr"/>
              <w:spacing w:before="0" w:beforeAutospacing="0" w:after="0" w:afterAutospacing="0"/>
            </w:pPr>
            <w:r w:rsidRPr="0043600D">
              <w:rPr>
                <w:iCs/>
              </w:rPr>
              <w:t>Projekts šo jomu neskar</w:t>
            </w:r>
            <w:r w:rsidRPr="0043600D">
              <w:t>.</w:t>
            </w:r>
          </w:p>
        </w:tc>
      </w:tr>
      <w:tr w:rsidR="00E346C5" w:rsidRPr="0043600D" w14:paraId="03D1634E" w14:textId="77777777" w:rsidTr="002E495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47"/>
          <w:jc w:val="center"/>
        </w:trPr>
        <w:tc>
          <w:tcPr>
            <w:tcW w:w="2756" w:type="dxa"/>
            <w:gridSpan w:val="2"/>
            <w:shd w:val="clear" w:color="auto" w:fill="auto"/>
          </w:tcPr>
          <w:p w14:paraId="2C5B3D2C" w14:textId="77777777" w:rsidR="00E346C5" w:rsidRPr="0043600D" w:rsidRDefault="00E346C5" w:rsidP="00E346C5">
            <w:pPr>
              <w:pStyle w:val="naiskr"/>
              <w:spacing w:before="0" w:beforeAutospacing="0" w:after="0" w:afterAutospacing="0"/>
              <w:jc w:val="both"/>
            </w:pPr>
            <w:r w:rsidRPr="0043600D">
              <w:t>Cita informācija</w:t>
            </w:r>
          </w:p>
        </w:tc>
        <w:tc>
          <w:tcPr>
            <w:tcW w:w="6316" w:type="dxa"/>
            <w:gridSpan w:val="4"/>
            <w:shd w:val="clear" w:color="auto" w:fill="auto"/>
          </w:tcPr>
          <w:p w14:paraId="434687B8" w14:textId="77777777" w:rsidR="00E346C5" w:rsidRPr="0043600D" w:rsidRDefault="00E346C5" w:rsidP="00E346C5">
            <w:pPr>
              <w:pStyle w:val="naiskr"/>
              <w:spacing w:before="0" w:beforeAutospacing="0" w:after="0" w:afterAutospacing="0"/>
            </w:pPr>
          </w:p>
        </w:tc>
      </w:tr>
      <w:tr w:rsidR="00E346C5" w:rsidRPr="0043600D" w14:paraId="06683605" w14:textId="77777777" w:rsidTr="002E495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54"/>
          <w:jc w:val="center"/>
        </w:trPr>
        <w:tc>
          <w:tcPr>
            <w:tcW w:w="9072" w:type="dxa"/>
            <w:gridSpan w:val="6"/>
            <w:shd w:val="clear" w:color="auto" w:fill="auto"/>
          </w:tcPr>
          <w:p w14:paraId="12DB696D" w14:textId="77777777" w:rsidR="00E346C5" w:rsidRPr="0043600D" w:rsidRDefault="00E346C5" w:rsidP="00E346C5">
            <w:pPr>
              <w:pStyle w:val="naiskr"/>
              <w:spacing w:before="0" w:beforeAutospacing="0" w:after="0" w:afterAutospacing="0"/>
              <w:jc w:val="center"/>
            </w:pPr>
            <w:r w:rsidRPr="0043600D">
              <w:rPr>
                <w:b/>
                <w:bCs/>
                <w:szCs w:val="20"/>
              </w:rPr>
              <w:t>2.tabula</w:t>
            </w:r>
            <w:r w:rsidRPr="0043600D">
              <w:rPr>
                <w:b/>
                <w:bCs/>
                <w:szCs w:val="20"/>
              </w:rPr>
              <w:br/>
              <w:t xml:space="preserve">Ar tiesību akta projektu izpildītās vai uzņemtās saistības, kas izriet no </w:t>
            </w:r>
            <w:r w:rsidRPr="0043600D">
              <w:rPr>
                <w:b/>
                <w:bCs/>
                <w:szCs w:val="20"/>
              </w:rPr>
              <w:lastRenderedPageBreak/>
              <w:t>starptautiskajiem tiesību aktiem vai starptautiskas institūcijas vai organizācijas dokumentiem.</w:t>
            </w:r>
            <w:r w:rsidRPr="0043600D">
              <w:rPr>
                <w:b/>
                <w:bCs/>
                <w:szCs w:val="20"/>
              </w:rPr>
              <w:br/>
              <w:t>Pasākumi šo saistību izpildei</w:t>
            </w:r>
          </w:p>
        </w:tc>
      </w:tr>
      <w:tr w:rsidR="00E346C5" w:rsidRPr="0043600D" w14:paraId="2FF99934" w14:textId="77777777" w:rsidTr="002E495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54"/>
          <w:jc w:val="center"/>
        </w:trPr>
        <w:tc>
          <w:tcPr>
            <w:tcW w:w="9072" w:type="dxa"/>
            <w:gridSpan w:val="6"/>
            <w:shd w:val="clear" w:color="auto" w:fill="auto"/>
          </w:tcPr>
          <w:p w14:paraId="66ED12DD" w14:textId="77777777" w:rsidR="00E346C5" w:rsidRPr="0043600D" w:rsidRDefault="00E346C5" w:rsidP="00E346C5">
            <w:pPr>
              <w:pStyle w:val="naiskr"/>
              <w:spacing w:before="0" w:beforeAutospacing="0" w:after="0" w:afterAutospacing="0"/>
              <w:jc w:val="center"/>
              <w:rPr>
                <w:b/>
                <w:bCs/>
                <w:szCs w:val="20"/>
              </w:rPr>
            </w:pPr>
            <w:r w:rsidRPr="0043600D">
              <w:rPr>
                <w:iCs/>
              </w:rPr>
              <w:lastRenderedPageBreak/>
              <w:t>Projekts šo jomu neskar</w:t>
            </w:r>
            <w:r w:rsidRPr="0043600D">
              <w:t>.</w:t>
            </w:r>
          </w:p>
        </w:tc>
      </w:tr>
    </w:tbl>
    <w:p w14:paraId="65B23450" w14:textId="77777777" w:rsidR="00163610" w:rsidRPr="00715924" w:rsidRDefault="00163610" w:rsidP="00656C9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52"/>
        <w:gridCol w:w="5953"/>
      </w:tblGrid>
      <w:tr w:rsidR="00EA68B8" w:rsidRPr="00093C22" w14:paraId="588A1892" w14:textId="77777777" w:rsidTr="00FD1197">
        <w:trPr>
          <w:trHeight w:val="279"/>
        </w:trPr>
        <w:tc>
          <w:tcPr>
            <w:tcW w:w="9072" w:type="dxa"/>
            <w:gridSpan w:val="3"/>
          </w:tcPr>
          <w:p w14:paraId="7381E063" w14:textId="77777777" w:rsidR="00EA68B8" w:rsidRPr="00093C22" w:rsidRDefault="00EA68B8" w:rsidP="009B58CF">
            <w:pPr>
              <w:jc w:val="center"/>
              <w:rPr>
                <w:b/>
              </w:rPr>
            </w:pPr>
            <w:r w:rsidRPr="00093C22">
              <w:rPr>
                <w:b/>
              </w:rPr>
              <w:t>VI. Sabiedrības līdzdalība un komunikācijas aktivitātes</w:t>
            </w:r>
          </w:p>
        </w:tc>
      </w:tr>
      <w:tr w:rsidR="00881750" w:rsidRPr="00093C22" w14:paraId="2DA98620" w14:textId="77777777" w:rsidTr="00D010FA">
        <w:trPr>
          <w:trHeight w:val="279"/>
        </w:trPr>
        <w:tc>
          <w:tcPr>
            <w:tcW w:w="567" w:type="dxa"/>
          </w:tcPr>
          <w:p w14:paraId="44DD7460" w14:textId="77777777" w:rsidR="00881750" w:rsidRPr="00093C22" w:rsidRDefault="00881750" w:rsidP="00881750">
            <w:pPr>
              <w:jc w:val="both"/>
            </w:pPr>
            <w:r w:rsidRPr="000362F0">
              <w:t>1.</w:t>
            </w:r>
          </w:p>
        </w:tc>
        <w:tc>
          <w:tcPr>
            <w:tcW w:w="2552" w:type="dxa"/>
          </w:tcPr>
          <w:p w14:paraId="7EC670D2" w14:textId="77777777" w:rsidR="00881750" w:rsidRPr="00093C22" w:rsidRDefault="00881750" w:rsidP="00881750">
            <w:r w:rsidRPr="00093C22">
              <w:t>Plānotās sabiedrības līdzdalības un komunikācijas aktivitātes saistībā ar projektu</w:t>
            </w:r>
          </w:p>
        </w:tc>
        <w:tc>
          <w:tcPr>
            <w:tcW w:w="5953" w:type="dxa"/>
            <w:tcBorders>
              <w:top w:val="outset" w:sz="6" w:space="0" w:color="414142"/>
              <w:left w:val="outset" w:sz="6" w:space="0" w:color="414142"/>
              <w:bottom w:val="outset" w:sz="6" w:space="0" w:color="414142"/>
              <w:right w:val="outset" w:sz="6" w:space="0" w:color="414142"/>
            </w:tcBorders>
          </w:tcPr>
          <w:p w14:paraId="00F89AFF" w14:textId="77777777" w:rsidR="00881750" w:rsidRDefault="00D17551" w:rsidP="001B5F1E">
            <w:pPr>
              <w:jc w:val="both"/>
            </w:pPr>
            <w:r w:rsidRPr="00D17551">
              <w:t xml:space="preserve">Lai informētu sabiedrību par </w:t>
            </w:r>
            <w:r w:rsidR="002643C2">
              <w:t xml:space="preserve">noteikumu </w:t>
            </w:r>
            <w:r w:rsidR="002643C2" w:rsidRPr="00D17551">
              <w:t xml:space="preserve">projektu un dotu iespēju izteikt par to viedokļus, </w:t>
            </w:r>
            <w:r w:rsidR="002643C2">
              <w:t xml:space="preserve">noteikumu </w:t>
            </w:r>
            <w:r w:rsidR="002643C2" w:rsidRPr="00D17551">
              <w:t xml:space="preserve">projekts saskaņā ar Ministru kabineta 2009. gada 25. augusta noteikumiem Nr. 970 "Sabiedrības līdzdalības kārtība attīstības plānošanas procesā" no 2020. gada </w:t>
            </w:r>
            <w:r w:rsidR="002643C2">
              <w:t>19</w:t>
            </w:r>
            <w:r w:rsidR="002643C2" w:rsidRPr="00D17551">
              <w:t>.</w:t>
            </w:r>
            <w:r w:rsidR="002643C2">
              <w:t xml:space="preserve"> maija</w:t>
            </w:r>
            <w:r w:rsidR="002643C2" w:rsidRPr="00D17551">
              <w:t xml:space="preserve"> līdz </w:t>
            </w:r>
            <w:r w:rsidR="002643C2">
              <w:t>4</w:t>
            </w:r>
            <w:r w:rsidR="002643C2" w:rsidRPr="00D17551">
              <w:t xml:space="preserve">. </w:t>
            </w:r>
            <w:r w:rsidR="002643C2">
              <w:t>jūnija</w:t>
            </w:r>
            <w:r w:rsidR="002643C2" w:rsidRPr="00D17551">
              <w:t xml:space="preserve">m </w:t>
            </w:r>
            <w:r w:rsidR="002643C2" w:rsidRPr="00074F88">
              <w:t xml:space="preserve"> </w:t>
            </w:r>
            <w:r w:rsidR="008E30CD">
              <w:t>bija</w:t>
            </w:r>
            <w:r w:rsidR="002643C2" w:rsidRPr="00074F88">
              <w:t xml:space="preserve"> ievietot</w:t>
            </w:r>
            <w:r w:rsidR="002643C2">
              <w:t>s</w:t>
            </w:r>
            <w:r w:rsidR="002643C2" w:rsidRPr="00074F88">
              <w:t xml:space="preserve"> Ministru kabineta </w:t>
            </w:r>
            <w:r w:rsidR="00465B7C" w:rsidRPr="00074F88">
              <w:t xml:space="preserve">tīmekļvietnē </w:t>
            </w:r>
            <w:r w:rsidR="00074F88" w:rsidRPr="00074F88">
              <w:t xml:space="preserve">www.mk.gov.lv un Zemkopības ministrijas tīmekļvietnē www.zm.gov.lv </w:t>
            </w:r>
            <w:r w:rsidR="000C6601" w:rsidRPr="000C6601">
              <w:t xml:space="preserve">https://www.zm.gov.lv/zemkopibas-ministrija/apspriesanas/ministru-kabineta-noteikumu-projekts-grozijumi-ministru-kabineta-2010-?id=911 </w:t>
            </w:r>
            <w:r w:rsidR="000C6601">
              <w:t xml:space="preserve">  </w:t>
            </w:r>
            <w:r w:rsidR="002401CF">
              <w:t>.</w:t>
            </w:r>
          </w:p>
          <w:p w14:paraId="1DE3225A" w14:textId="6BFDC196" w:rsidR="00F20C69" w:rsidRPr="00093C22" w:rsidRDefault="00F20C69" w:rsidP="001B5F1E">
            <w:pPr>
              <w:jc w:val="both"/>
            </w:pPr>
          </w:p>
        </w:tc>
      </w:tr>
      <w:tr w:rsidR="00881750" w:rsidRPr="00093C22" w14:paraId="33E862B2" w14:textId="77777777" w:rsidTr="005334B5">
        <w:trPr>
          <w:trHeight w:val="279"/>
        </w:trPr>
        <w:tc>
          <w:tcPr>
            <w:tcW w:w="567" w:type="dxa"/>
          </w:tcPr>
          <w:p w14:paraId="5B8B52A3" w14:textId="77777777" w:rsidR="00881750" w:rsidRPr="00093C22" w:rsidRDefault="00881750" w:rsidP="00881750">
            <w:pPr>
              <w:jc w:val="both"/>
            </w:pPr>
            <w:r w:rsidRPr="00093C22">
              <w:t>2.</w:t>
            </w:r>
          </w:p>
        </w:tc>
        <w:tc>
          <w:tcPr>
            <w:tcW w:w="2552" w:type="dxa"/>
            <w:tcBorders>
              <w:bottom w:val="single" w:sz="4" w:space="0" w:color="auto"/>
            </w:tcBorders>
          </w:tcPr>
          <w:p w14:paraId="0AEE2F54" w14:textId="77777777" w:rsidR="00881750" w:rsidRPr="002B5FDF" w:rsidRDefault="00881750" w:rsidP="00881750">
            <w:pPr>
              <w:jc w:val="both"/>
            </w:pPr>
            <w:r w:rsidRPr="002B5FDF">
              <w:t>Sabiedrības līdzdalība projekta izstrādē</w:t>
            </w:r>
          </w:p>
        </w:tc>
        <w:tc>
          <w:tcPr>
            <w:tcW w:w="5953" w:type="dxa"/>
            <w:tcBorders>
              <w:top w:val="outset" w:sz="6" w:space="0" w:color="414142"/>
              <w:left w:val="outset" w:sz="6" w:space="0" w:color="414142"/>
              <w:bottom w:val="single" w:sz="4" w:space="0" w:color="auto"/>
              <w:right w:val="outset" w:sz="6" w:space="0" w:color="414142"/>
            </w:tcBorders>
          </w:tcPr>
          <w:p w14:paraId="08B2872D" w14:textId="2622BA40" w:rsidR="005661D2" w:rsidRDefault="002643C2" w:rsidP="00712913">
            <w:pPr>
              <w:jc w:val="both"/>
            </w:pPr>
            <w:r>
              <w:t xml:space="preserve">Sabiedrībai bija iespēja </w:t>
            </w:r>
            <w:r w:rsidRPr="002643C2">
              <w:t>izteikt viedok</w:t>
            </w:r>
            <w:r w:rsidR="005661D2">
              <w:t>l</w:t>
            </w:r>
            <w:r>
              <w:t>i</w:t>
            </w:r>
            <w:r w:rsidRPr="002643C2">
              <w:t xml:space="preserve"> par Ministru kabineta </w:t>
            </w:r>
            <w:r>
              <w:t>tīmekļvietnē</w:t>
            </w:r>
            <w:r w:rsidRPr="002643C2">
              <w:t xml:space="preserve"> www.mk.gov.lv un Zemkopības ministrijas tīmekļvietnē www.zm.gov.lv </w:t>
            </w:r>
            <w:r w:rsidR="005661D2" w:rsidRPr="002643C2">
              <w:t>ievietot</w:t>
            </w:r>
            <w:r w:rsidR="005661D2">
              <w:t>o</w:t>
            </w:r>
            <w:r w:rsidR="005661D2" w:rsidRPr="002643C2">
              <w:t xml:space="preserve"> </w:t>
            </w:r>
            <w:r w:rsidRPr="002643C2">
              <w:t>noteikumu projekt</w:t>
            </w:r>
            <w:r w:rsidR="005661D2">
              <w:t>u.</w:t>
            </w:r>
          </w:p>
          <w:p w14:paraId="3CED24B1" w14:textId="77777777" w:rsidR="005920D7" w:rsidRDefault="003A1C40" w:rsidP="00712913">
            <w:pPr>
              <w:jc w:val="both"/>
            </w:pPr>
            <w:r w:rsidRPr="003A1C40">
              <w:t xml:space="preserve">Noteikumu projekta sagatavošanas gaitā notika konsultācijas ar nozares pārstāvjiem. </w:t>
            </w:r>
            <w:r w:rsidR="00881750" w:rsidRPr="005334B5">
              <w:t xml:space="preserve">Noteikumu projekts </w:t>
            </w:r>
            <w:r w:rsidR="00712913" w:rsidRPr="00857CF6">
              <w:t>20</w:t>
            </w:r>
            <w:r w:rsidR="007E728B" w:rsidRPr="00857CF6">
              <w:t>20</w:t>
            </w:r>
            <w:r w:rsidR="00712913" w:rsidRPr="00857CF6">
              <w:t>. gada</w:t>
            </w:r>
            <w:r w:rsidR="00857CF6" w:rsidRPr="00857CF6">
              <w:t xml:space="preserve"> 19. </w:t>
            </w:r>
            <w:r w:rsidR="00233F0E" w:rsidRPr="00857CF6">
              <w:t>maijā</w:t>
            </w:r>
            <w:r w:rsidR="00712913" w:rsidRPr="00857CF6">
              <w:t xml:space="preserve"> </w:t>
            </w:r>
            <w:r w:rsidR="00BB003D">
              <w:t xml:space="preserve">un atkārtoti </w:t>
            </w:r>
            <w:r w:rsidR="00BB003D" w:rsidRPr="00857CF6">
              <w:t xml:space="preserve">2020.gada 9. novembrī </w:t>
            </w:r>
            <w:r w:rsidR="00BF3B59" w:rsidRPr="00857CF6">
              <w:t>tik</w:t>
            </w:r>
            <w:r w:rsidR="000C6601">
              <w:t>a</w:t>
            </w:r>
            <w:r w:rsidR="00BF3B59" w:rsidRPr="00857CF6">
              <w:t xml:space="preserve"> </w:t>
            </w:r>
            <w:r w:rsidR="00712913" w:rsidRPr="005334B5">
              <w:t>nosūtīts</w:t>
            </w:r>
            <w:r w:rsidR="00881750" w:rsidRPr="005334B5">
              <w:t xml:space="preserve"> saskaņo</w:t>
            </w:r>
            <w:r w:rsidR="00712913" w:rsidRPr="005334B5">
              <w:t>šanai</w:t>
            </w:r>
            <w:r w:rsidR="00881750" w:rsidRPr="005334B5">
              <w:t xml:space="preserve"> </w:t>
            </w:r>
            <w:r w:rsidR="00F137FE" w:rsidRPr="005334B5">
              <w:t>biedrīb</w:t>
            </w:r>
            <w:r w:rsidR="00CF5D79" w:rsidRPr="005334B5">
              <w:t>ām</w:t>
            </w:r>
            <w:r w:rsidR="00F137FE" w:rsidRPr="005334B5">
              <w:t xml:space="preserve"> </w:t>
            </w:r>
            <w:r w:rsidR="00C104B3" w:rsidRPr="00C104B3">
              <w:t xml:space="preserve">“Lauksaimnieku organizāciju sadarbības padome”, “Latvijas Piensaimnieku centrālā Savienība”, “Latvijas Tirgotāju asociācija”, “Latvijas Pārtikas tirgotāju asociācija”, “Latvijas Pārtikas uzņēmumu federācija”, </w:t>
            </w:r>
            <w:r w:rsidR="0032290E" w:rsidRPr="0032290E">
              <w:t>“Zemnieku saeima”</w:t>
            </w:r>
            <w:r w:rsidR="008E30CD">
              <w:t xml:space="preserve"> un</w:t>
            </w:r>
            <w:r w:rsidR="0032290E" w:rsidRPr="0032290E">
              <w:t xml:space="preserve"> “Latvijas Zemnieku federācija”</w:t>
            </w:r>
            <w:r w:rsidR="007813AD">
              <w:t xml:space="preserve">, </w:t>
            </w:r>
            <w:r w:rsidR="007813AD" w:rsidRPr="00857CF6">
              <w:t xml:space="preserve">kā arī uzņēmumam </w:t>
            </w:r>
            <w:r w:rsidR="00F360CB" w:rsidRPr="00857CF6">
              <w:t>SIA “MAXIMA Latvija”.</w:t>
            </w:r>
          </w:p>
          <w:p w14:paraId="6E9A6382" w14:textId="5C5ED3B8" w:rsidR="00F20C69" w:rsidRPr="005334B5" w:rsidRDefault="00F20C69" w:rsidP="00712913">
            <w:pPr>
              <w:jc w:val="both"/>
            </w:pPr>
          </w:p>
        </w:tc>
      </w:tr>
      <w:tr w:rsidR="00EA68B8" w:rsidRPr="00093C22" w14:paraId="6F3FA137" w14:textId="77777777" w:rsidTr="005334B5">
        <w:trPr>
          <w:trHeight w:val="279"/>
        </w:trPr>
        <w:tc>
          <w:tcPr>
            <w:tcW w:w="567" w:type="dxa"/>
          </w:tcPr>
          <w:p w14:paraId="751F12DD" w14:textId="77777777" w:rsidR="00EA68B8" w:rsidRPr="00093C22" w:rsidRDefault="00EA68B8" w:rsidP="009B58CF">
            <w:pPr>
              <w:jc w:val="both"/>
            </w:pPr>
            <w:r w:rsidRPr="00093C22">
              <w:t>3.</w:t>
            </w:r>
          </w:p>
        </w:tc>
        <w:tc>
          <w:tcPr>
            <w:tcW w:w="2552" w:type="dxa"/>
            <w:tcBorders>
              <w:top w:val="single" w:sz="4" w:space="0" w:color="auto"/>
            </w:tcBorders>
          </w:tcPr>
          <w:p w14:paraId="44239E13" w14:textId="77777777" w:rsidR="00EA68B8" w:rsidRPr="00093C22" w:rsidRDefault="00EA68B8" w:rsidP="009B58CF">
            <w:pPr>
              <w:jc w:val="both"/>
            </w:pPr>
            <w:r w:rsidRPr="00093C22">
              <w:t>Sabiedrības līdzdalības rezultāti</w:t>
            </w:r>
          </w:p>
        </w:tc>
        <w:tc>
          <w:tcPr>
            <w:tcW w:w="5953" w:type="dxa"/>
            <w:tcBorders>
              <w:top w:val="single" w:sz="4" w:space="0" w:color="auto"/>
            </w:tcBorders>
          </w:tcPr>
          <w:p w14:paraId="1839E5AC" w14:textId="77777777" w:rsidR="00284300" w:rsidRDefault="00BB003D" w:rsidP="001B5F1E">
            <w:pPr>
              <w:jc w:val="both"/>
            </w:pPr>
            <w:r>
              <w:t xml:space="preserve">Par </w:t>
            </w:r>
            <w:r w:rsidR="002401CF">
              <w:t xml:space="preserve">sabiedrības līdzdalībai </w:t>
            </w:r>
            <w:r>
              <w:t xml:space="preserve">tīmekļvietnē ievietoto </w:t>
            </w:r>
            <w:r w:rsidR="002401CF">
              <w:t xml:space="preserve">noteikumu </w:t>
            </w:r>
            <w:r>
              <w:t>projektu</w:t>
            </w:r>
            <w:r w:rsidR="002401CF">
              <w:t xml:space="preserve"> priekšlikumi vai iebildumi nav saņemti.</w:t>
            </w:r>
            <w:r>
              <w:t xml:space="preserve"> P</w:t>
            </w:r>
            <w:r w:rsidR="00AF1455" w:rsidRPr="00857CF6">
              <w:t xml:space="preserve">riekšlikumi </w:t>
            </w:r>
            <w:r>
              <w:t xml:space="preserve">par noteikumu projektu saņemti </w:t>
            </w:r>
            <w:r w:rsidR="00AF1455" w:rsidRPr="00857CF6">
              <w:t xml:space="preserve">no </w:t>
            </w:r>
            <w:r w:rsidR="00F360CB" w:rsidRPr="00857CF6">
              <w:t xml:space="preserve">“Latvijas Pārtikas tirgotāju asociācija” </w:t>
            </w:r>
            <w:r w:rsidR="00AF1455" w:rsidRPr="00857CF6">
              <w:t>un</w:t>
            </w:r>
            <w:r w:rsidR="00892918" w:rsidRPr="00857CF6">
              <w:t xml:space="preserve"> uzņēmuma SIA “MAXIMA Latvija</w:t>
            </w:r>
            <w:r>
              <w:t>”</w:t>
            </w:r>
            <w:r w:rsidR="008E30CD">
              <w:t>.</w:t>
            </w:r>
            <w:r w:rsidR="00E36536">
              <w:t xml:space="preserve"> </w:t>
            </w:r>
            <w:r w:rsidR="008E30CD">
              <w:t>T</w:t>
            </w:r>
            <w:r w:rsidR="00E36536">
              <w:t>ie tika ņemti vērā</w:t>
            </w:r>
            <w:r w:rsidR="008E30CD">
              <w:t>,</w:t>
            </w:r>
            <w:r w:rsidR="00E36536">
              <w:t xml:space="preserve"> un precizētais noteikumu projekts tika atbalstīts bez iebildumiem.</w:t>
            </w:r>
            <w:r w:rsidR="00857CF6" w:rsidRPr="00857CF6">
              <w:t xml:space="preserve"> </w:t>
            </w:r>
            <w:r w:rsidR="002401CF">
              <w:t>Šīs sadaļas 2.</w:t>
            </w:r>
            <w:r w:rsidR="008E30CD">
              <w:t> </w:t>
            </w:r>
            <w:r w:rsidR="002401CF">
              <w:t xml:space="preserve">punktā minētās </w:t>
            </w:r>
            <w:r w:rsidR="00510BBC">
              <w:t>institūcijas atbalsta noteikumu projektu.</w:t>
            </w:r>
          </w:p>
          <w:p w14:paraId="2574070F" w14:textId="70A5805A" w:rsidR="00F20C69" w:rsidRPr="007813AD" w:rsidRDefault="00F20C69" w:rsidP="001B5F1E">
            <w:pPr>
              <w:jc w:val="both"/>
              <w:rPr>
                <w:color w:val="FF0000"/>
              </w:rPr>
            </w:pPr>
          </w:p>
        </w:tc>
      </w:tr>
      <w:tr w:rsidR="00EA68B8" w:rsidRPr="00093C22" w14:paraId="0B2A00BF" w14:textId="77777777" w:rsidTr="00FD1197">
        <w:trPr>
          <w:trHeight w:val="279"/>
        </w:trPr>
        <w:tc>
          <w:tcPr>
            <w:tcW w:w="567" w:type="dxa"/>
          </w:tcPr>
          <w:p w14:paraId="7718A1DB" w14:textId="77777777" w:rsidR="00EA68B8" w:rsidRPr="00093C22" w:rsidRDefault="00EA68B8" w:rsidP="009B58CF">
            <w:pPr>
              <w:jc w:val="both"/>
            </w:pPr>
            <w:r w:rsidRPr="00093C22">
              <w:t>4.</w:t>
            </w:r>
          </w:p>
        </w:tc>
        <w:tc>
          <w:tcPr>
            <w:tcW w:w="2552" w:type="dxa"/>
          </w:tcPr>
          <w:p w14:paraId="07063789" w14:textId="77777777" w:rsidR="00EA68B8" w:rsidRPr="00093C22" w:rsidRDefault="00EA68B8" w:rsidP="009B58CF">
            <w:pPr>
              <w:jc w:val="both"/>
            </w:pPr>
            <w:r w:rsidRPr="00093C22">
              <w:t>Cita informācija</w:t>
            </w:r>
          </w:p>
        </w:tc>
        <w:tc>
          <w:tcPr>
            <w:tcW w:w="5953" w:type="dxa"/>
          </w:tcPr>
          <w:p w14:paraId="148D48AE" w14:textId="77777777" w:rsidR="00EA68B8" w:rsidRPr="00093C22" w:rsidRDefault="00EA68B8" w:rsidP="009B58CF">
            <w:pPr>
              <w:jc w:val="both"/>
            </w:pPr>
            <w:r w:rsidRPr="00093C22">
              <w:t>Nav.</w:t>
            </w:r>
          </w:p>
        </w:tc>
      </w:tr>
    </w:tbl>
    <w:p w14:paraId="656B6871" w14:textId="77777777" w:rsidR="00A724E1" w:rsidRPr="00093C22" w:rsidRDefault="00A724E1" w:rsidP="00EA68B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260"/>
        <w:gridCol w:w="5103"/>
      </w:tblGrid>
      <w:tr w:rsidR="00EA68B8" w:rsidRPr="00093C22" w14:paraId="665FE5E7" w14:textId="77777777" w:rsidTr="00FD1197">
        <w:trPr>
          <w:trHeight w:val="279"/>
        </w:trPr>
        <w:tc>
          <w:tcPr>
            <w:tcW w:w="9072" w:type="dxa"/>
            <w:gridSpan w:val="3"/>
          </w:tcPr>
          <w:p w14:paraId="649294B6" w14:textId="77777777" w:rsidR="00EA68B8" w:rsidRPr="00093C22" w:rsidRDefault="00EA68B8" w:rsidP="009B58CF">
            <w:pPr>
              <w:jc w:val="center"/>
              <w:rPr>
                <w:b/>
              </w:rPr>
            </w:pPr>
            <w:r w:rsidRPr="00093C22">
              <w:rPr>
                <w:b/>
              </w:rPr>
              <w:t>VII. Tiesību akta projekta izpildes nodrošināšana un tās ietekme uz institūcijām</w:t>
            </w:r>
          </w:p>
        </w:tc>
      </w:tr>
      <w:tr w:rsidR="00EA68B8" w:rsidRPr="00093C22" w14:paraId="66CADC4F" w14:textId="77777777" w:rsidTr="00FD1197">
        <w:trPr>
          <w:trHeight w:val="279"/>
        </w:trPr>
        <w:tc>
          <w:tcPr>
            <w:tcW w:w="709" w:type="dxa"/>
          </w:tcPr>
          <w:p w14:paraId="0803BC51" w14:textId="77777777" w:rsidR="00EA68B8" w:rsidRPr="00093C22" w:rsidRDefault="00EA68B8" w:rsidP="009B58CF">
            <w:pPr>
              <w:jc w:val="both"/>
            </w:pPr>
            <w:r w:rsidRPr="00093C22">
              <w:t>1.</w:t>
            </w:r>
          </w:p>
        </w:tc>
        <w:tc>
          <w:tcPr>
            <w:tcW w:w="3260" w:type="dxa"/>
          </w:tcPr>
          <w:p w14:paraId="125C2A66" w14:textId="77777777" w:rsidR="00EA68B8" w:rsidRPr="00093C22" w:rsidRDefault="00EA68B8" w:rsidP="009B58CF">
            <w:pPr>
              <w:jc w:val="both"/>
            </w:pPr>
            <w:r w:rsidRPr="00093C22">
              <w:t>Projekta izpildē iesaistītās institūcijas</w:t>
            </w:r>
          </w:p>
        </w:tc>
        <w:tc>
          <w:tcPr>
            <w:tcW w:w="5103" w:type="dxa"/>
          </w:tcPr>
          <w:p w14:paraId="74D33CA8" w14:textId="77777777" w:rsidR="00EA68B8" w:rsidRPr="00093C22" w:rsidRDefault="00D75F5C" w:rsidP="008F67C5">
            <w:pPr>
              <w:pStyle w:val="naisnod"/>
              <w:spacing w:before="0" w:after="0"/>
              <w:ind w:right="57"/>
              <w:jc w:val="both"/>
              <w:rPr>
                <w:b/>
              </w:rPr>
            </w:pPr>
            <w:r>
              <w:t>Pārtikas un veterinārais dienests</w:t>
            </w:r>
          </w:p>
        </w:tc>
      </w:tr>
      <w:tr w:rsidR="00637BC3" w:rsidRPr="00093C22" w14:paraId="1584B70A" w14:textId="77777777" w:rsidTr="00FD1197">
        <w:trPr>
          <w:trHeight w:val="279"/>
        </w:trPr>
        <w:tc>
          <w:tcPr>
            <w:tcW w:w="709" w:type="dxa"/>
          </w:tcPr>
          <w:p w14:paraId="0F72B677" w14:textId="77777777" w:rsidR="00637BC3" w:rsidRPr="00093C22" w:rsidRDefault="00637BC3" w:rsidP="00637BC3">
            <w:pPr>
              <w:jc w:val="both"/>
            </w:pPr>
            <w:r w:rsidRPr="00093C22">
              <w:t>2.</w:t>
            </w:r>
          </w:p>
        </w:tc>
        <w:tc>
          <w:tcPr>
            <w:tcW w:w="3260" w:type="dxa"/>
          </w:tcPr>
          <w:p w14:paraId="3ECEBF0F" w14:textId="77777777" w:rsidR="00637BC3" w:rsidRPr="00093C22" w:rsidRDefault="00637BC3" w:rsidP="00637BC3">
            <w:r w:rsidRPr="00093C22">
              <w:t>Projekta izpildes ietekme uz pārvaldes funkcijām un institucionālo struktūru.</w:t>
            </w:r>
          </w:p>
          <w:p w14:paraId="1C847566" w14:textId="77777777" w:rsidR="00637BC3" w:rsidRPr="00093C22" w:rsidRDefault="00637BC3" w:rsidP="00637BC3">
            <w:r w:rsidRPr="00093C22">
              <w:t xml:space="preserve">Jaunu institūciju izveide, esošu institūciju likvidācija vai </w:t>
            </w:r>
            <w:r w:rsidRPr="00093C22">
              <w:lastRenderedPageBreak/>
              <w:t>reorganizācija, to ietekme uz institūcijas cilvēkresursiem</w:t>
            </w:r>
          </w:p>
        </w:tc>
        <w:tc>
          <w:tcPr>
            <w:tcW w:w="5103" w:type="dxa"/>
          </w:tcPr>
          <w:p w14:paraId="07FAA383" w14:textId="77777777" w:rsidR="00637BC3" w:rsidRPr="00C5600F" w:rsidRDefault="00637BC3" w:rsidP="00637BC3">
            <w:pPr>
              <w:jc w:val="both"/>
            </w:pPr>
            <w:r w:rsidRPr="00C5600F">
              <w:lastRenderedPageBreak/>
              <w:t>Projekta izpilde tiks nodrošināta atbilstoši esošajām funkcijām. Nav nepieciešams veidot jaunas, ne arī likvidēt vai reorganizēt esošas institūcijas. Projekta izpilde neietekmēs institūcijām pieejamos cilvēkresursus.</w:t>
            </w:r>
          </w:p>
          <w:p w14:paraId="20988074" w14:textId="62EE2FE9" w:rsidR="00637BC3" w:rsidRPr="00093C22" w:rsidRDefault="00637BC3" w:rsidP="00637BC3">
            <w:pPr>
              <w:jc w:val="both"/>
              <w:rPr>
                <w:b/>
              </w:rPr>
            </w:pPr>
          </w:p>
        </w:tc>
      </w:tr>
      <w:tr w:rsidR="00637BC3" w:rsidRPr="00093C22" w14:paraId="68BC3D69" w14:textId="77777777" w:rsidTr="00FD1197">
        <w:trPr>
          <w:trHeight w:val="279"/>
        </w:trPr>
        <w:tc>
          <w:tcPr>
            <w:tcW w:w="709" w:type="dxa"/>
          </w:tcPr>
          <w:p w14:paraId="1F6EA665" w14:textId="77777777" w:rsidR="00637BC3" w:rsidRPr="00093C22" w:rsidRDefault="00637BC3" w:rsidP="00637BC3">
            <w:pPr>
              <w:jc w:val="both"/>
            </w:pPr>
            <w:r w:rsidRPr="00093C22">
              <w:lastRenderedPageBreak/>
              <w:t>3.</w:t>
            </w:r>
          </w:p>
        </w:tc>
        <w:tc>
          <w:tcPr>
            <w:tcW w:w="3260" w:type="dxa"/>
          </w:tcPr>
          <w:p w14:paraId="72F22729" w14:textId="77777777" w:rsidR="00637BC3" w:rsidRPr="00093C22" w:rsidRDefault="00637BC3" w:rsidP="00637BC3">
            <w:pPr>
              <w:jc w:val="both"/>
            </w:pPr>
            <w:r w:rsidRPr="00093C22">
              <w:t>Cita informācija</w:t>
            </w:r>
          </w:p>
        </w:tc>
        <w:tc>
          <w:tcPr>
            <w:tcW w:w="5103" w:type="dxa"/>
          </w:tcPr>
          <w:p w14:paraId="4ED5521F" w14:textId="2D52FAAA" w:rsidR="00637BC3" w:rsidRPr="00093C22" w:rsidRDefault="00EF1BEB" w:rsidP="00B96C05">
            <w:pPr>
              <w:pStyle w:val="naiskr"/>
              <w:spacing w:before="0" w:after="0"/>
              <w:ind w:left="57" w:right="57"/>
              <w:jc w:val="both"/>
            </w:pPr>
            <w:r>
              <w:t>Nav</w:t>
            </w:r>
            <w:r w:rsidR="008E30CD">
              <w:t>.</w:t>
            </w:r>
          </w:p>
        </w:tc>
      </w:tr>
    </w:tbl>
    <w:p w14:paraId="02E4B461" w14:textId="002CBD66" w:rsidR="003877E2" w:rsidRDefault="005C73E3" w:rsidP="005C73E3">
      <w:pPr>
        <w:jc w:val="both"/>
        <w:rPr>
          <w:sz w:val="28"/>
          <w:szCs w:val="28"/>
          <w:lang w:eastAsia="en-US"/>
        </w:rPr>
      </w:pPr>
      <w:r>
        <w:rPr>
          <w:sz w:val="28"/>
          <w:szCs w:val="28"/>
          <w:lang w:eastAsia="en-US"/>
        </w:rPr>
        <w:tab/>
      </w:r>
    </w:p>
    <w:p w14:paraId="4F6A9139" w14:textId="46522720" w:rsidR="00F20C69" w:rsidRDefault="00F20C69" w:rsidP="005C73E3">
      <w:pPr>
        <w:jc w:val="both"/>
        <w:rPr>
          <w:sz w:val="28"/>
          <w:szCs w:val="28"/>
          <w:lang w:eastAsia="en-US"/>
        </w:rPr>
      </w:pPr>
    </w:p>
    <w:p w14:paraId="58B3E2AC" w14:textId="77777777" w:rsidR="00F20C69" w:rsidRDefault="00F20C69" w:rsidP="005C73E3">
      <w:pPr>
        <w:jc w:val="both"/>
        <w:rPr>
          <w:sz w:val="28"/>
          <w:szCs w:val="28"/>
          <w:lang w:eastAsia="en-US"/>
        </w:rPr>
      </w:pPr>
    </w:p>
    <w:p w14:paraId="79B2355C" w14:textId="63926976" w:rsidR="00B232FE" w:rsidRPr="005C73E3" w:rsidRDefault="00B232FE" w:rsidP="003877E2">
      <w:pPr>
        <w:ind w:firstLine="720"/>
        <w:jc w:val="both"/>
        <w:rPr>
          <w:sz w:val="28"/>
          <w:szCs w:val="28"/>
          <w:lang w:eastAsia="en-US"/>
        </w:rPr>
      </w:pPr>
      <w:r w:rsidRPr="005C73E3">
        <w:rPr>
          <w:sz w:val="28"/>
          <w:szCs w:val="28"/>
          <w:lang w:eastAsia="en-US"/>
        </w:rPr>
        <w:t>Zemkopības</w:t>
      </w:r>
      <w:r w:rsidR="005C73E3">
        <w:rPr>
          <w:sz w:val="28"/>
          <w:szCs w:val="28"/>
          <w:lang w:eastAsia="en-US"/>
        </w:rPr>
        <w:t xml:space="preserve"> </w:t>
      </w:r>
      <w:r w:rsidRPr="005C73E3">
        <w:rPr>
          <w:sz w:val="28"/>
          <w:szCs w:val="28"/>
          <w:lang w:eastAsia="en-US"/>
        </w:rPr>
        <w:t>ministr</w:t>
      </w:r>
      <w:r w:rsidR="00FE6DCF" w:rsidRPr="005C73E3">
        <w:rPr>
          <w:sz w:val="28"/>
          <w:szCs w:val="28"/>
          <w:lang w:eastAsia="en-US"/>
        </w:rPr>
        <w:t>s</w:t>
      </w:r>
      <w:bookmarkStart w:id="4" w:name="OLE_LINK5"/>
      <w:bookmarkStart w:id="5" w:name="OLE_LINK6"/>
      <w:r w:rsidR="002607ED">
        <w:rPr>
          <w:sz w:val="28"/>
          <w:szCs w:val="28"/>
          <w:lang w:eastAsia="en-US"/>
        </w:rPr>
        <w:tab/>
      </w:r>
      <w:r w:rsidR="002607ED">
        <w:rPr>
          <w:sz w:val="28"/>
          <w:szCs w:val="28"/>
          <w:lang w:eastAsia="en-US"/>
        </w:rPr>
        <w:tab/>
      </w:r>
      <w:r w:rsidR="002607ED">
        <w:rPr>
          <w:sz w:val="28"/>
          <w:szCs w:val="28"/>
          <w:lang w:eastAsia="en-US"/>
        </w:rPr>
        <w:tab/>
      </w:r>
      <w:r w:rsidR="002607ED">
        <w:rPr>
          <w:sz w:val="28"/>
          <w:szCs w:val="28"/>
          <w:lang w:eastAsia="en-US"/>
        </w:rPr>
        <w:tab/>
      </w:r>
      <w:r w:rsidR="002607ED">
        <w:rPr>
          <w:sz w:val="28"/>
          <w:szCs w:val="28"/>
          <w:lang w:eastAsia="en-US"/>
        </w:rPr>
        <w:tab/>
      </w:r>
      <w:r w:rsidR="002607ED">
        <w:rPr>
          <w:sz w:val="28"/>
          <w:szCs w:val="28"/>
          <w:lang w:eastAsia="en-US"/>
        </w:rPr>
        <w:tab/>
        <w:t xml:space="preserve">K. </w:t>
      </w:r>
      <w:r w:rsidR="00471D28">
        <w:rPr>
          <w:sz w:val="28"/>
          <w:szCs w:val="28"/>
          <w:lang w:eastAsia="en-US"/>
        </w:rPr>
        <w:t>Gerhards</w:t>
      </w:r>
    </w:p>
    <w:bookmarkEnd w:id="4"/>
    <w:bookmarkEnd w:id="5"/>
    <w:p w14:paraId="2EFE0F01" w14:textId="080BB77B" w:rsidR="003877E2" w:rsidRDefault="003877E2" w:rsidP="00B277DD">
      <w:pPr>
        <w:tabs>
          <w:tab w:val="left" w:pos="7513"/>
        </w:tabs>
        <w:jc w:val="both"/>
      </w:pPr>
    </w:p>
    <w:p w14:paraId="448A98BD" w14:textId="14126733" w:rsidR="00F20C69" w:rsidRDefault="00F20C69" w:rsidP="00B277DD">
      <w:pPr>
        <w:tabs>
          <w:tab w:val="left" w:pos="7513"/>
        </w:tabs>
        <w:jc w:val="both"/>
      </w:pPr>
    </w:p>
    <w:p w14:paraId="210DCF85" w14:textId="29DED970" w:rsidR="00F20C69" w:rsidRDefault="00F20C69" w:rsidP="00B277DD">
      <w:pPr>
        <w:tabs>
          <w:tab w:val="left" w:pos="7513"/>
        </w:tabs>
        <w:jc w:val="both"/>
      </w:pPr>
    </w:p>
    <w:p w14:paraId="65487966" w14:textId="2866247C" w:rsidR="00F20C69" w:rsidRDefault="00F20C69" w:rsidP="00B277DD">
      <w:pPr>
        <w:tabs>
          <w:tab w:val="left" w:pos="7513"/>
        </w:tabs>
        <w:jc w:val="both"/>
      </w:pPr>
    </w:p>
    <w:p w14:paraId="71926822" w14:textId="18B1DE4F" w:rsidR="00F20C69" w:rsidRDefault="00F20C69" w:rsidP="00B277DD">
      <w:pPr>
        <w:tabs>
          <w:tab w:val="left" w:pos="7513"/>
        </w:tabs>
        <w:jc w:val="both"/>
      </w:pPr>
    </w:p>
    <w:p w14:paraId="7AAA3D36" w14:textId="6FFB2984" w:rsidR="00F20C69" w:rsidRDefault="00F20C69" w:rsidP="00B277DD">
      <w:pPr>
        <w:tabs>
          <w:tab w:val="left" w:pos="7513"/>
        </w:tabs>
        <w:jc w:val="both"/>
      </w:pPr>
    </w:p>
    <w:p w14:paraId="1174922F" w14:textId="4018D7D6" w:rsidR="00F20C69" w:rsidRDefault="00F20C69" w:rsidP="00B277DD">
      <w:pPr>
        <w:tabs>
          <w:tab w:val="left" w:pos="7513"/>
        </w:tabs>
        <w:jc w:val="both"/>
      </w:pPr>
    </w:p>
    <w:p w14:paraId="141D0084" w14:textId="37A97E47" w:rsidR="00F20C69" w:rsidRDefault="00F20C69" w:rsidP="00B277DD">
      <w:pPr>
        <w:tabs>
          <w:tab w:val="left" w:pos="7513"/>
        </w:tabs>
        <w:jc w:val="both"/>
      </w:pPr>
    </w:p>
    <w:p w14:paraId="7C5E37B7" w14:textId="458C6416" w:rsidR="00F20C69" w:rsidRDefault="00F20C69" w:rsidP="00B277DD">
      <w:pPr>
        <w:tabs>
          <w:tab w:val="left" w:pos="7513"/>
        </w:tabs>
        <w:jc w:val="both"/>
      </w:pPr>
    </w:p>
    <w:p w14:paraId="35E87C88" w14:textId="32FE2D65" w:rsidR="00F20C69" w:rsidRDefault="00F20C69" w:rsidP="00B277DD">
      <w:pPr>
        <w:tabs>
          <w:tab w:val="left" w:pos="7513"/>
        </w:tabs>
        <w:jc w:val="both"/>
      </w:pPr>
    </w:p>
    <w:p w14:paraId="5C205A2D" w14:textId="60304C0F" w:rsidR="00F20C69" w:rsidRDefault="00F20C69" w:rsidP="00B277DD">
      <w:pPr>
        <w:tabs>
          <w:tab w:val="left" w:pos="7513"/>
        </w:tabs>
        <w:jc w:val="both"/>
      </w:pPr>
    </w:p>
    <w:p w14:paraId="37E2C1E1" w14:textId="113493D5" w:rsidR="00F20C69" w:rsidRDefault="00F20C69" w:rsidP="00B277DD">
      <w:pPr>
        <w:tabs>
          <w:tab w:val="left" w:pos="7513"/>
        </w:tabs>
        <w:jc w:val="both"/>
      </w:pPr>
    </w:p>
    <w:p w14:paraId="2918039C" w14:textId="194F381D" w:rsidR="00F20C69" w:rsidRDefault="00F20C69" w:rsidP="00B277DD">
      <w:pPr>
        <w:tabs>
          <w:tab w:val="left" w:pos="7513"/>
        </w:tabs>
        <w:jc w:val="both"/>
      </w:pPr>
    </w:p>
    <w:p w14:paraId="0F286C1B" w14:textId="1CC80ACC" w:rsidR="00F20C69" w:rsidRDefault="00F20C69" w:rsidP="00B277DD">
      <w:pPr>
        <w:tabs>
          <w:tab w:val="left" w:pos="7513"/>
        </w:tabs>
        <w:jc w:val="both"/>
      </w:pPr>
    </w:p>
    <w:p w14:paraId="4152F66C" w14:textId="26C45D8F" w:rsidR="00F20C69" w:rsidRDefault="00F20C69" w:rsidP="00B277DD">
      <w:pPr>
        <w:tabs>
          <w:tab w:val="left" w:pos="7513"/>
        </w:tabs>
        <w:jc w:val="both"/>
      </w:pPr>
    </w:p>
    <w:p w14:paraId="564605FF" w14:textId="5760F9AD" w:rsidR="00F20C69" w:rsidRDefault="00F20C69" w:rsidP="00B277DD">
      <w:pPr>
        <w:tabs>
          <w:tab w:val="left" w:pos="7513"/>
        </w:tabs>
        <w:jc w:val="both"/>
      </w:pPr>
    </w:p>
    <w:p w14:paraId="3E574D38" w14:textId="363A4259" w:rsidR="00F20C69" w:rsidRDefault="00F20C69" w:rsidP="00B277DD">
      <w:pPr>
        <w:tabs>
          <w:tab w:val="left" w:pos="7513"/>
        </w:tabs>
        <w:jc w:val="both"/>
      </w:pPr>
    </w:p>
    <w:p w14:paraId="74102479" w14:textId="2A54357D" w:rsidR="00F20C69" w:rsidRDefault="00F20C69" w:rsidP="00B277DD">
      <w:pPr>
        <w:tabs>
          <w:tab w:val="left" w:pos="7513"/>
        </w:tabs>
        <w:jc w:val="both"/>
      </w:pPr>
    </w:p>
    <w:p w14:paraId="7B94B5E0" w14:textId="13125ECB" w:rsidR="00F20C69" w:rsidRDefault="00F20C69" w:rsidP="00B277DD">
      <w:pPr>
        <w:tabs>
          <w:tab w:val="left" w:pos="7513"/>
        </w:tabs>
        <w:jc w:val="both"/>
      </w:pPr>
    </w:p>
    <w:p w14:paraId="42CB5482" w14:textId="0D75D300" w:rsidR="00F20C69" w:rsidRDefault="00F20C69" w:rsidP="00B277DD">
      <w:pPr>
        <w:tabs>
          <w:tab w:val="left" w:pos="7513"/>
        </w:tabs>
        <w:jc w:val="both"/>
      </w:pPr>
    </w:p>
    <w:p w14:paraId="7C2C5D52" w14:textId="4D050714" w:rsidR="00F20C69" w:rsidRDefault="00F20C69" w:rsidP="00B277DD">
      <w:pPr>
        <w:tabs>
          <w:tab w:val="left" w:pos="7513"/>
        </w:tabs>
        <w:jc w:val="both"/>
      </w:pPr>
    </w:p>
    <w:p w14:paraId="54ED6082" w14:textId="319C37B0" w:rsidR="00F20C69" w:rsidRDefault="00F20C69" w:rsidP="00B277DD">
      <w:pPr>
        <w:tabs>
          <w:tab w:val="left" w:pos="7513"/>
        </w:tabs>
        <w:jc w:val="both"/>
      </w:pPr>
    </w:p>
    <w:p w14:paraId="51113A52" w14:textId="1CF73E66" w:rsidR="00F20C69" w:rsidRDefault="00F20C69" w:rsidP="00B277DD">
      <w:pPr>
        <w:tabs>
          <w:tab w:val="left" w:pos="7513"/>
        </w:tabs>
        <w:jc w:val="both"/>
      </w:pPr>
    </w:p>
    <w:p w14:paraId="54218407" w14:textId="24D2EA7E" w:rsidR="00F20C69" w:rsidRDefault="00F20C69" w:rsidP="00B277DD">
      <w:pPr>
        <w:tabs>
          <w:tab w:val="left" w:pos="7513"/>
        </w:tabs>
        <w:jc w:val="both"/>
      </w:pPr>
    </w:p>
    <w:p w14:paraId="4A7AB778" w14:textId="60DD4C4F" w:rsidR="00F20C69" w:rsidRDefault="00F20C69" w:rsidP="00B277DD">
      <w:pPr>
        <w:tabs>
          <w:tab w:val="left" w:pos="7513"/>
        </w:tabs>
        <w:jc w:val="both"/>
      </w:pPr>
    </w:p>
    <w:p w14:paraId="24C56B1C" w14:textId="44AAE70A" w:rsidR="00F20C69" w:rsidRDefault="00F20C69" w:rsidP="00B277DD">
      <w:pPr>
        <w:tabs>
          <w:tab w:val="left" w:pos="7513"/>
        </w:tabs>
        <w:jc w:val="both"/>
      </w:pPr>
    </w:p>
    <w:p w14:paraId="6B6E4A9D" w14:textId="01315D07" w:rsidR="00F20C69" w:rsidRDefault="00F20C69" w:rsidP="00B277DD">
      <w:pPr>
        <w:tabs>
          <w:tab w:val="left" w:pos="7513"/>
        </w:tabs>
        <w:jc w:val="both"/>
      </w:pPr>
    </w:p>
    <w:p w14:paraId="5DCA8FE9" w14:textId="3EFFCA98" w:rsidR="00F20C69" w:rsidRDefault="00F20C69" w:rsidP="00B277DD">
      <w:pPr>
        <w:tabs>
          <w:tab w:val="left" w:pos="7513"/>
        </w:tabs>
        <w:jc w:val="both"/>
      </w:pPr>
    </w:p>
    <w:p w14:paraId="760BEC34" w14:textId="42716F91" w:rsidR="00F20C69" w:rsidRDefault="00F20C69" w:rsidP="00B277DD">
      <w:pPr>
        <w:tabs>
          <w:tab w:val="left" w:pos="7513"/>
        </w:tabs>
        <w:jc w:val="both"/>
      </w:pPr>
    </w:p>
    <w:p w14:paraId="14D1DE14" w14:textId="524154EB" w:rsidR="00F20C69" w:rsidRDefault="00F20C69" w:rsidP="00B277DD">
      <w:pPr>
        <w:tabs>
          <w:tab w:val="left" w:pos="7513"/>
        </w:tabs>
        <w:jc w:val="both"/>
      </w:pPr>
    </w:p>
    <w:p w14:paraId="2F63A94B" w14:textId="1D6267A2" w:rsidR="00F20C69" w:rsidRDefault="00F20C69" w:rsidP="00B277DD">
      <w:pPr>
        <w:tabs>
          <w:tab w:val="left" w:pos="7513"/>
        </w:tabs>
        <w:jc w:val="both"/>
      </w:pPr>
    </w:p>
    <w:p w14:paraId="632E6CF8" w14:textId="07174C00" w:rsidR="00F20C69" w:rsidRDefault="00F20C69" w:rsidP="00B277DD">
      <w:pPr>
        <w:tabs>
          <w:tab w:val="left" w:pos="7513"/>
        </w:tabs>
        <w:jc w:val="both"/>
      </w:pPr>
    </w:p>
    <w:p w14:paraId="23CB50AD" w14:textId="49E2CAEC" w:rsidR="00F20C69" w:rsidRDefault="00F20C69" w:rsidP="00B277DD">
      <w:pPr>
        <w:tabs>
          <w:tab w:val="left" w:pos="7513"/>
        </w:tabs>
        <w:jc w:val="both"/>
      </w:pPr>
    </w:p>
    <w:p w14:paraId="1C8FA3EA" w14:textId="4D901C3A" w:rsidR="00F20C69" w:rsidRDefault="00F20C69" w:rsidP="00B277DD">
      <w:pPr>
        <w:tabs>
          <w:tab w:val="left" w:pos="7513"/>
        </w:tabs>
        <w:jc w:val="both"/>
      </w:pPr>
    </w:p>
    <w:p w14:paraId="2C97BD34" w14:textId="54424F74" w:rsidR="00F20C69" w:rsidRDefault="00F20C69" w:rsidP="00B277DD">
      <w:pPr>
        <w:tabs>
          <w:tab w:val="left" w:pos="7513"/>
        </w:tabs>
        <w:jc w:val="both"/>
      </w:pPr>
    </w:p>
    <w:p w14:paraId="0EEEEDA2" w14:textId="7F1F272E" w:rsidR="00F20C69" w:rsidRDefault="00F20C69" w:rsidP="00B277DD">
      <w:pPr>
        <w:tabs>
          <w:tab w:val="left" w:pos="7513"/>
        </w:tabs>
        <w:jc w:val="both"/>
      </w:pPr>
    </w:p>
    <w:p w14:paraId="692F0CEA" w14:textId="4D0F5AED" w:rsidR="00F20C69" w:rsidRDefault="00F20C69" w:rsidP="00B277DD">
      <w:pPr>
        <w:tabs>
          <w:tab w:val="left" w:pos="7513"/>
        </w:tabs>
        <w:jc w:val="both"/>
      </w:pPr>
    </w:p>
    <w:p w14:paraId="612021D8" w14:textId="77777777" w:rsidR="00F20C69" w:rsidRDefault="00F20C69" w:rsidP="00B277DD">
      <w:pPr>
        <w:tabs>
          <w:tab w:val="left" w:pos="7513"/>
        </w:tabs>
        <w:jc w:val="both"/>
      </w:pPr>
      <w:bookmarkStart w:id="6" w:name="_GoBack"/>
      <w:bookmarkEnd w:id="6"/>
    </w:p>
    <w:p w14:paraId="6A12069C" w14:textId="132A7F48" w:rsidR="00A23B78" w:rsidRDefault="007813AD" w:rsidP="007813AD">
      <w:pPr>
        <w:tabs>
          <w:tab w:val="left" w:pos="7513"/>
        </w:tabs>
        <w:jc w:val="both"/>
      </w:pPr>
      <w:r>
        <w:t xml:space="preserve">Smuļko </w:t>
      </w:r>
      <w:r w:rsidRPr="007813AD">
        <w:t>67027115</w:t>
      </w:r>
    </w:p>
    <w:p w14:paraId="14E11360" w14:textId="4B5B05AE" w:rsidR="007813AD" w:rsidRPr="002607ED" w:rsidRDefault="00F20C69" w:rsidP="007813AD">
      <w:pPr>
        <w:tabs>
          <w:tab w:val="left" w:pos="7513"/>
        </w:tabs>
        <w:jc w:val="both"/>
      </w:pPr>
      <w:hyperlink r:id="rId8" w:history="1">
        <w:r w:rsidR="007813AD" w:rsidRPr="000C6365">
          <w:rPr>
            <w:rStyle w:val="Hipersaite"/>
          </w:rPr>
          <w:t>sandra.smulko@zm.gov.lv</w:t>
        </w:r>
      </w:hyperlink>
    </w:p>
    <w:sectPr w:rsidR="007813AD" w:rsidRPr="002607ED" w:rsidSect="002607ED">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994DC" w14:textId="77777777" w:rsidR="004760C8" w:rsidRDefault="004760C8" w:rsidP="00F37F7E">
      <w:pPr>
        <w:pStyle w:val="naiskr"/>
      </w:pPr>
      <w:r>
        <w:separator/>
      </w:r>
    </w:p>
  </w:endnote>
  <w:endnote w:type="continuationSeparator" w:id="0">
    <w:p w14:paraId="6474C2E7" w14:textId="77777777" w:rsidR="004760C8" w:rsidRDefault="004760C8" w:rsidP="00F37F7E">
      <w:pPr>
        <w:pStyle w:val="naisk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B5D26" w14:textId="316B96BD" w:rsidR="005B1F41" w:rsidRPr="00F20C69" w:rsidRDefault="00F20C69" w:rsidP="00F20C69">
    <w:pPr>
      <w:pStyle w:val="Kjene"/>
    </w:pPr>
    <w:r w:rsidRPr="00F20C69">
      <w:rPr>
        <w:sz w:val="20"/>
        <w:szCs w:val="18"/>
      </w:rPr>
      <w:t>ZManot_030321_uznreg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6F296" w14:textId="2DD5CB6A" w:rsidR="005B1F41" w:rsidRPr="00F20C69" w:rsidRDefault="00F20C69" w:rsidP="00F20C69">
    <w:pPr>
      <w:pStyle w:val="Kjene"/>
    </w:pPr>
    <w:r w:rsidRPr="00F20C69">
      <w:rPr>
        <w:sz w:val="20"/>
        <w:szCs w:val="18"/>
      </w:rPr>
      <w:t>ZManot_030321_uznreg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E7FF0" w14:textId="77777777" w:rsidR="004760C8" w:rsidRDefault="004760C8" w:rsidP="00F37F7E">
      <w:pPr>
        <w:pStyle w:val="naiskr"/>
      </w:pPr>
      <w:r>
        <w:separator/>
      </w:r>
    </w:p>
  </w:footnote>
  <w:footnote w:type="continuationSeparator" w:id="0">
    <w:p w14:paraId="7F29C153" w14:textId="77777777" w:rsidR="004760C8" w:rsidRDefault="004760C8" w:rsidP="00F37F7E">
      <w:pPr>
        <w:pStyle w:val="naisk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5A23" w14:textId="77777777" w:rsidR="005B1F41" w:rsidRDefault="005B1F4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84BBC64" w14:textId="77777777" w:rsidR="005B1F41" w:rsidRDefault="005B1F4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13660"/>
      <w:docPartObj>
        <w:docPartGallery w:val="Page Numbers (Top of Page)"/>
        <w:docPartUnique/>
      </w:docPartObj>
    </w:sdtPr>
    <w:sdtEndPr/>
    <w:sdtContent>
      <w:p w14:paraId="29D73F08" w14:textId="77777777" w:rsidR="005B1F41" w:rsidRDefault="005B1F41">
        <w:pPr>
          <w:pStyle w:val="Galvene"/>
          <w:jc w:val="center"/>
        </w:pPr>
        <w:r>
          <w:fldChar w:fldCharType="begin"/>
        </w:r>
        <w:r>
          <w:instrText>PAGE   \* MERGEFORMAT</w:instrText>
        </w:r>
        <w:r>
          <w:fldChar w:fldCharType="separate"/>
        </w:r>
        <w:r w:rsidR="008E30CD">
          <w:rPr>
            <w:noProof/>
          </w:rPr>
          <w:t>11</w:t>
        </w:r>
        <w:r>
          <w:fldChar w:fldCharType="end"/>
        </w:r>
      </w:p>
    </w:sdtContent>
  </w:sdt>
  <w:p w14:paraId="4199EA0D" w14:textId="77777777" w:rsidR="005B1F41" w:rsidRDefault="005B1F41" w:rsidP="00FB116C">
    <w:pPr>
      <w:pStyle w:val="Galve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40211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CF31B9"/>
    <w:multiLevelType w:val="hybridMultilevel"/>
    <w:tmpl w:val="EF425496"/>
    <w:lvl w:ilvl="0" w:tplc="475E6FD0">
      <w:start w:val="1"/>
      <w:numFmt w:val="decimal"/>
      <w:lvlText w:val="%1."/>
      <w:lvlJc w:val="left"/>
      <w:pPr>
        <w:tabs>
          <w:tab w:val="num" w:pos="372"/>
        </w:tabs>
        <w:ind w:left="372" w:hanging="360"/>
      </w:pPr>
      <w:rPr>
        <w:rFonts w:hint="default"/>
      </w:rPr>
    </w:lvl>
    <w:lvl w:ilvl="1" w:tplc="04260019" w:tentative="1">
      <w:start w:val="1"/>
      <w:numFmt w:val="lowerLetter"/>
      <w:lvlText w:val="%2."/>
      <w:lvlJc w:val="left"/>
      <w:pPr>
        <w:tabs>
          <w:tab w:val="num" w:pos="1092"/>
        </w:tabs>
        <w:ind w:left="1092" w:hanging="360"/>
      </w:pPr>
    </w:lvl>
    <w:lvl w:ilvl="2" w:tplc="0426001B" w:tentative="1">
      <w:start w:val="1"/>
      <w:numFmt w:val="lowerRoman"/>
      <w:lvlText w:val="%3."/>
      <w:lvlJc w:val="right"/>
      <w:pPr>
        <w:tabs>
          <w:tab w:val="num" w:pos="1812"/>
        </w:tabs>
        <w:ind w:left="1812" w:hanging="180"/>
      </w:pPr>
    </w:lvl>
    <w:lvl w:ilvl="3" w:tplc="0426000F" w:tentative="1">
      <w:start w:val="1"/>
      <w:numFmt w:val="decimal"/>
      <w:lvlText w:val="%4."/>
      <w:lvlJc w:val="left"/>
      <w:pPr>
        <w:tabs>
          <w:tab w:val="num" w:pos="2532"/>
        </w:tabs>
        <w:ind w:left="2532" w:hanging="360"/>
      </w:pPr>
    </w:lvl>
    <w:lvl w:ilvl="4" w:tplc="04260019" w:tentative="1">
      <w:start w:val="1"/>
      <w:numFmt w:val="lowerLetter"/>
      <w:lvlText w:val="%5."/>
      <w:lvlJc w:val="left"/>
      <w:pPr>
        <w:tabs>
          <w:tab w:val="num" w:pos="3252"/>
        </w:tabs>
        <w:ind w:left="3252" w:hanging="360"/>
      </w:pPr>
    </w:lvl>
    <w:lvl w:ilvl="5" w:tplc="0426001B" w:tentative="1">
      <w:start w:val="1"/>
      <w:numFmt w:val="lowerRoman"/>
      <w:lvlText w:val="%6."/>
      <w:lvlJc w:val="right"/>
      <w:pPr>
        <w:tabs>
          <w:tab w:val="num" w:pos="3972"/>
        </w:tabs>
        <w:ind w:left="3972" w:hanging="180"/>
      </w:pPr>
    </w:lvl>
    <w:lvl w:ilvl="6" w:tplc="0426000F" w:tentative="1">
      <w:start w:val="1"/>
      <w:numFmt w:val="decimal"/>
      <w:lvlText w:val="%7."/>
      <w:lvlJc w:val="left"/>
      <w:pPr>
        <w:tabs>
          <w:tab w:val="num" w:pos="4692"/>
        </w:tabs>
        <w:ind w:left="4692" w:hanging="360"/>
      </w:pPr>
    </w:lvl>
    <w:lvl w:ilvl="7" w:tplc="04260019" w:tentative="1">
      <w:start w:val="1"/>
      <w:numFmt w:val="lowerLetter"/>
      <w:lvlText w:val="%8."/>
      <w:lvlJc w:val="left"/>
      <w:pPr>
        <w:tabs>
          <w:tab w:val="num" w:pos="5412"/>
        </w:tabs>
        <w:ind w:left="5412" w:hanging="360"/>
      </w:pPr>
    </w:lvl>
    <w:lvl w:ilvl="8" w:tplc="0426001B" w:tentative="1">
      <w:start w:val="1"/>
      <w:numFmt w:val="lowerRoman"/>
      <w:lvlText w:val="%9."/>
      <w:lvlJc w:val="right"/>
      <w:pPr>
        <w:tabs>
          <w:tab w:val="num" w:pos="6132"/>
        </w:tabs>
        <w:ind w:left="6132" w:hanging="180"/>
      </w:pPr>
    </w:lvl>
  </w:abstractNum>
  <w:abstractNum w:abstractNumId="2" w15:restartNumberingAfterBreak="0">
    <w:nsid w:val="10CB6E5A"/>
    <w:multiLevelType w:val="hybridMultilevel"/>
    <w:tmpl w:val="5C84C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113AD"/>
    <w:multiLevelType w:val="hybridMultilevel"/>
    <w:tmpl w:val="E3F2598C"/>
    <w:lvl w:ilvl="0" w:tplc="9F90D4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B53754"/>
    <w:multiLevelType w:val="hybridMultilevel"/>
    <w:tmpl w:val="B9D823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3F01B1"/>
    <w:multiLevelType w:val="hybridMultilevel"/>
    <w:tmpl w:val="0D12ACB2"/>
    <w:lvl w:ilvl="0" w:tplc="CD6E7518">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24E0870"/>
    <w:multiLevelType w:val="hybridMultilevel"/>
    <w:tmpl w:val="3A96DF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48B71CA"/>
    <w:multiLevelType w:val="hybridMultilevel"/>
    <w:tmpl w:val="37040D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F00694"/>
    <w:multiLevelType w:val="hybridMultilevel"/>
    <w:tmpl w:val="3036E4F4"/>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F5A30"/>
    <w:multiLevelType w:val="hybridMultilevel"/>
    <w:tmpl w:val="3FB43CCE"/>
    <w:lvl w:ilvl="0" w:tplc="2DFC792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8AF6F5C"/>
    <w:multiLevelType w:val="hybridMultilevel"/>
    <w:tmpl w:val="FB5A40BC"/>
    <w:lvl w:ilvl="0" w:tplc="7BC00A8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3F0029"/>
    <w:multiLevelType w:val="hybridMultilevel"/>
    <w:tmpl w:val="D820DD0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69FB14F7"/>
    <w:multiLevelType w:val="multilevel"/>
    <w:tmpl w:val="E85EE0D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58377FD"/>
    <w:multiLevelType w:val="hybridMultilevel"/>
    <w:tmpl w:val="5FBC2522"/>
    <w:lvl w:ilvl="0" w:tplc="17522E80">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E178F1"/>
    <w:multiLevelType w:val="hybridMultilevel"/>
    <w:tmpl w:val="0862FB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799780C"/>
    <w:multiLevelType w:val="hybridMultilevel"/>
    <w:tmpl w:val="A6F47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5"/>
  </w:num>
  <w:num w:numId="4">
    <w:abstractNumId w:val="3"/>
  </w:num>
  <w:num w:numId="5">
    <w:abstractNumId w:val="8"/>
  </w:num>
  <w:num w:numId="6">
    <w:abstractNumId w:val="12"/>
  </w:num>
  <w:num w:numId="7">
    <w:abstractNumId w:val="1"/>
  </w:num>
  <w:num w:numId="8">
    <w:abstractNumId w:val="2"/>
  </w:num>
  <w:num w:numId="9">
    <w:abstractNumId w:val="10"/>
  </w:num>
  <w:num w:numId="10">
    <w:abstractNumId w:val="14"/>
  </w:num>
  <w:num w:numId="11">
    <w:abstractNumId w:val="9"/>
  </w:num>
  <w:num w:numId="12">
    <w:abstractNumId w:val="7"/>
  </w:num>
  <w:num w:numId="13">
    <w:abstractNumId w:val="5"/>
  </w:num>
  <w:num w:numId="14">
    <w:abstractNumId w:val="4"/>
  </w:num>
  <w:num w:numId="15">
    <w:abstractNumId w:val="6"/>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F7E"/>
    <w:rsid w:val="000004CF"/>
    <w:rsid w:val="00002015"/>
    <w:rsid w:val="000033B2"/>
    <w:rsid w:val="0000372F"/>
    <w:rsid w:val="00003820"/>
    <w:rsid w:val="000058F9"/>
    <w:rsid w:val="00005E15"/>
    <w:rsid w:val="0000636D"/>
    <w:rsid w:val="0001115A"/>
    <w:rsid w:val="000112E0"/>
    <w:rsid w:val="00011CAF"/>
    <w:rsid w:val="00013DEC"/>
    <w:rsid w:val="00015974"/>
    <w:rsid w:val="000160EE"/>
    <w:rsid w:val="000163F3"/>
    <w:rsid w:val="00016AD2"/>
    <w:rsid w:val="00016AD9"/>
    <w:rsid w:val="00016E92"/>
    <w:rsid w:val="00017851"/>
    <w:rsid w:val="0002029A"/>
    <w:rsid w:val="000219DA"/>
    <w:rsid w:val="00022B1A"/>
    <w:rsid w:val="00023B39"/>
    <w:rsid w:val="0002409B"/>
    <w:rsid w:val="000242CD"/>
    <w:rsid w:val="00024B0B"/>
    <w:rsid w:val="00025167"/>
    <w:rsid w:val="000273EA"/>
    <w:rsid w:val="00030A2A"/>
    <w:rsid w:val="000319E9"/>
    <w:rsid w:val="00033669"/>
    <w:rsid w:val="00034A56"/>
    <w:rsid w:val="00034E23"/>
    <w:rsid w:val="00035B52"/>
    <w:rsid w:val="000362F0"/>
    <w:rsid w:val="00036935"/>
    <w:rsid w:val="00037448"/>
    <w:rsid w:val="00037715"/>
    <w:rsid w:val="000378F3"/>
    <w:rsid w:val="00037B6D"/>
    <w:rsid w:val="00037F77"/>
    <w:rsid w:val="00040AD3"/>
    <w:rsid w:val="00041376"/>
    <w:rsid w:val="0004179D"/>
    <w:rsid w:val="00041BC1"/>
    <w:rsid w:val="0004260C"/>
    <w:rsid w:val="00043064"/>
    <w:rsid w:val="000440BF"/>
    <w:rsid w:val="0004434E"/>
    <w:rsid w:val="000445E1"/>
    <w:rsid w:val="00044744"/>
    <w:rsid w:val="00045235"/>
    <w:rsid w:val="000459D8"/>
    <w:rsid w:val="00045C82"/>
    <w:rsid w:val="000462A8"/>
    <w:rsid w:val="000500AE"/>
    <w:rsid w:val="00050E2B"/>
    <w:rsid w:val="00051187"/>
    <w:rsid w:val="00053252"/>
    <w:rsid w:val="000533D4"/>
    <w:rsid w:val="00055CF3"/>
    <w:rsid w:val="00056003"/>
    <w:rsid w:val="00056F5F"/>
    <w:rsid w:val="00057127"/>
    <w:rsid w:val="00065223"/>
    <w:rsid w:val="00065E62"/>
    <w:rsid w:val="000671A4"/>
    <w:rsid w:val="00067716"/>
    <w:rsid w:val="00067A11"/>
    <w:rsid w:val="00070FEB"/>
    <w:rsid w:val="000713AA"/>
    <w:rsid w:val="00071EA0"/>
    <w:rsid w:val="00072B0F"/>
    <w:rsid w:val="000734EC"/>
    <w:rsid w:val="00074178"/>
    <w:rsid w:val="00074F88"/>
    <w:rsid w:val="00080E63"/>
    <w:rsid w:val="000813CF"/>
    <w:rsid w:val="0008224E"/>
    <w:rsid w:val="00084E7C"/>
    <w:rsid w:val="0008641C"/>
    <w:rsid w:val="000873DA"/>
    <w:rsid w:val="000934A3"/>
    <w:rsid w:val="00093BF7"/>
    <w:rsid w:val="00093C22"/>
    <w:rsid w:val="00093DC3"/>
    <w:rsid w:val="00094946"/>
    <w:rsid w:val="00094E54"/>
    <w:rsid w:val="000956B0"/>
    <w:rsid w:val="000957DB"/>
    <w:rsid w:val="0009589A"/>
    <w:rsid w:val="00096AB5"/>
    <w:rsid w:val="000A006B"/>
    <w:rsid w:val="000A230B"/>
    <w:rsid w:val="000A2D0B"/>
    <w:rsid w:val="000A375C"/>
    <w:rsid w:val="000A3FD3"/>
    <w:rsid w:val="000A5345"/>
    <w:rsid w:val="000A5553"/>
    <w:rsid w:val="000A5DF4"/>
    <w:rsid w:val="000A5E3D"/>
    <w:rsid w:val="000A74D9"/>
    <w:rsid w:val="000B01AA"/>
    <w:rsid w:val="000B036D"/>
    <w:rsid w:val="000B12A8"/>
    <w:rsid w:val="000B1540"/>
    <w:rsid w:val="000B2338"/>
    <w:rsid w:val="000B3B95"/>
    <w:rsid w:val="000B3E98"/>
    <w:rsid w:val="000B43C3"/>
    <w:rsid w:val="000B458E"/>
    <w:rsid w:val="000B655C"/>
    <w:rsid w:val="000C1654"/>
    <w:rsid w:val="000C1F1C"/>
    <w:rsid w:val="000C21B0"/>
    <w:rsid w:val="000C3076"/>
    <w:rsid w:val="000C352C"/>
    <w:rsid w:val="000C4826"/>
    <w:rsid w:val="000C5BB7"/>
    <w:rsid w:val="000C5E19"/>
    <w:rsid w:val="000C6049"/>
    <w:rsid w:val="000C62D2"/>
    <w:rsid w:val="000C6601"/>
    <w:rsid w:val="000C6E84"/>
    <w:rsid w:val="000C711D"/>
    <w:rsid w:val="000D19AD"/>
    <w:rsid w:val="000D5249"/>
    <w:rsid w:val="000D573C"/>
    <w:rsid w:val="000D6A4F"/>
    <w:rsid w:val="000D7729"/>
    <w:rsid w:val="000D7FA2"/>
    <w:rsid w:val="000E10EC"/>
    <w:rsid w:val="000E1F89"/>
    <w:rsid w:val="000E2DED"/>
    <w:rsid w:val="000E5077"/>
    <w:rsid w:val="000E582B"/>
    <w:rsid w:val="000E5FA6"/>
    <w:rsid w:val="000E674D"/>
    <w:rsid w:val="000E78EA"/>
    <w:rsid w:val="000F11BD"/>
    <w:rsid w:val="000F1BDE"/>
    <w:rsid w:val="000F2F41"/>
    <w:rsid w:val="000F328E"/>
    <w:rsid w:val="000F3449"/>
    <w:rsid w:val="000F453E"/>
    <w:rsid w:val="000F4B00"/>
    <w:rsid w:val="000F4ED4"/>
    <w:rsid w:val="000F4F14"/>
    <w:rsid w:val="000F630F"/>
    <w:rsid w:val="000F67D1"/>
    <w:rsid w:val="00100684"/>
    <w:rsid w:val="0010345D"/>
    <w:rsid w:val="001039CA"/>
    <w:rsid w:val="00104548"/>
    <w:rsid w:val="0010454B"/>
    <w:rsid w:val="00104613"/>
    <w:rsid w:val="001056A0"/>
    <w:rsid w:val="00105966"/>
    <w:rsid w:val="00107609"/>
    <w:rsid w:val="00107983"/>
    <w:rsid w:val="00110BE9"/>
    <w:rsid w:val="00110FC7"/>
    <w:rsid w:val="001111ED"/>
    <w:rsid w:val="00111DC0"/>
    <w:rsid w:val="00111DE4"/>
    <w:rsid w:val="0011215A"/>
    <w:rsid w:val="00112881"/>
    <w:rsid w:val="00112DF5"/>
    <w:rsid w:val="001143CC"/>
    <w:rsid w:val="001150B1"/>
    <w:rsid w:val="001162E7"/>
    <w:rsid w:val="0011697F"/>
    <w:rsid w:val="001175F8"/>
    <w:rsid w:val="00120FE2"/>
    <w:rsid w:val="0012150C"/>
    <w:rsid w:val="0012176F"/>
    <w:rsid w:val="00121D30"/>
    <w:rsid w:val="00124ACB"/>
    <w:rsid w:val="00125C0C"/>
    <w:rsid w:val="00126A8D"/>
    <w:rsid w:val="00127E82"/>
    <w:rsid w:val="00131F2E"/>
    <w:rsid w:val="001321D5"/>
    <w:rsid w:val="00133DFE"/>
    <w:rsid w:val="001350BC"/>
    <w:rsid w:val="00135E57"/>
    <w:rsid w:val="00135F2B"/>
    <w:rsid w:val="00143CB1"/>
    <w:rsid w:val="00145E1F"/>
    <w:rsid w:val="001465CC"/>
    <w:rsid w:val="00147420"/>
    <w:rsid w:val="00147C0C"/>
    <w:rsid w:val="00147CDD"/>
    <w:rsid w:val="0015048D"/>
    <w:rsid w:val="00150803"/>
    <w:rsid w:val="00152311"/>
    <w:rsid w:val="00152B50"/>
    <w:rsid w:val="00153834"/>
    <w:rsid w:val="001543E3"/>
    <w:rsid w:val="001548F8"/>
    <w:rsid w:val="00154FA1"/>
    <w:rsid w:val="00155134"/>
    <w:rsid w:val="00155DDA"/>
    <w:rsid w:val="00160ADD"/>
    <w:rsid w:val="001611DB"/>
    <w:rsid w:val="00161A5A"/>
    <w:rsid w:val="00161C8C"/>
    <w:rsid w:val="00163336"/>
    <w:rsid w:val="00163610"/>
    <w:rsid w:val="00163EB4"/>
    <w:rsid w:val="00167C6A"/>
    <w:rsid w:val="00172BC0"/>
    <w:rsid w:val="0017419C"/>
    <w:rsid w:val="001749E1"/>
    <w:rsid w:val="00174BD8"/>
    <w:rsid w:val="00175F56"/>
    <w:rsid w:val="001761C1"/>
    <w:rsid w:val="00177136"/>
    <w:rsid w:val="00181144"/>
    <w:rsid w:val="001814E3"/>
    <w:rsid w:val="00181867"/>
    <w:rsid w:val="0018470B"/>
    <w:rsid w:val="00185A1F"/>
    <w:rsid w:val="00185E37"/>
    <w:rsid w:val="00186418"/>
    <w:rsid w:val="00186CB1"/>
    <w:rsid w:val="00187749"/>
    <w:rsid w:val="00187944"/>
    <w:rsid w:val="00191985"/>
    <w:rsid w:val="00191CC1"/>
    <w:rsid w:val="001928BE"/>
    <w:rsid w:val="001930C8"/>
    <w:rsid w:val="00193480"/>
    <w:rsid w:val="00193A34"/>
    <w:rsid w:val="00193C93"/>
    <w:rsid w:val="00193E2C"/>
    <w:rsid w:val="00194549"/>
    <w:rsid w:val="001956B1"/>
    <w:rsid w:val="00195AF7"/>
    <w:rsid w:val="00196BD9"/>
    <w:rsid w:val="001A031F"/>
    <w:rsid w:val="001A1C90"/>
    <w:rsid w:val="001A22DF"/>
    <w:rsid w:val="001A284C"/>
    <w:rsid w:val="001A2E5E"/>
    <w:rsid w:val="001A3208"/>
    <w:rsid w:val="001A3991"/>
    <w:rsid w:val="001A53FA"/>
    <w:rsid w:val="001A58BE"/>
    <w:rsid w:val="001A5C26"/>
    <w:rsid w:val="001A6C56"/>
    <w:rsid w:val="001A7D16"/>
    <w:rsid w:val="001B16D1"/>
    <w:rsid w:val="001B2E96"/>
    <w:rsid w:val="001B3EBF"/>
    <w:rsid w:val="001B4353"/>
    <w:rsid w:val="001B5A21"/>
    <w:rsid w:val="001B5F1E"/>
    <w:rsid w:val="001B6383"/>
    <w:rsid w:val="001B644E"/>
    <w:rsid w:val="001C0422"/>
    <w:rsid w:val="001C0BDB"/>
    <w:rsid w:val="001C0C0C"/>
    <w:rsid w:val="001C3321"/>
    <w:rsid w:val="001C36B7"/>
    <w:rsid w:val="001C4B30"/>
    <w:rsid w:val="001C5012"/>
    <w:rsid w:val="001C600D"/>
    <w:rsid w:val="001C65D5"/>
    <w:rsid w:val="001C7B87"/>
    <w:rsid w:val="001D0BCE"/>
    <w:rsid w:val="001D38AE"/>
    <w:rsid w:val="001D3AC6"/>
    <w:rsid w:val="001D7E92"/>
    <w:rsid w:val="001E074A"/>
    <w:rsid w:val="001E0876"/>
    <w:rsid w:val="001E0F55"/>
    <w:rsid w:val="001E1059"/>
    <w:rsid w:val="001E133E"/>
    <w:rsid w:val="001E1E17"/>
    <w:rsid w:val="001E1E1F"/>
    <w:rsid w:val="001E4DEC"/>
    <w:rsid w:val="001E5C8A"/>
    <w:rsid w:val="001E68D0"/>
    <w:rsid w:val="001E6C66"/>
    <w:rsid w:val="001E71C9"/>
    <w:rsid w:val="001F3CAE"/>
    <w:rsid w:val="001F3D5A"/>
    <w:rsid w:val="001F4607"/>
    <w:rsid w:val="001F6345"/>
    <w:rsid w:val="001F6EB8"/>
    <w:rsid w:val="001F7134"/>
    <w:rsid w:val="002044A0"/>
    <w:rsid w:val="002053A4"/>
    <w:rsid w:val="002100B3"/>
    <w:rsid w:val="0021150A"/>
    <w:rsid w:val="002124B5"/>
    <w:rsid w:val="00212A65"/>
    <w:rsid w:val="00212CD4"/>
    <w:rsid w:val="00214D08"/>
    <w:rsid w:val="00214DD0"/>
    <w:rsid w:val="0021535F"/>
    <w:rsid w:val="00215994"/>
    <w:rsid w:val="002164EF"/>
    <w:rsid w:val="00216536"/>
    <w:rsid w:val="00217358"/>
    <w:rsid w:val="0021739C"/>
    <w:rsid w:val="00217CAB"/>
    <w:rsid w:val="00220DAF"/>
    <w:rsid w:val="00222A10"/>
    <w:rsid w:val="0022456A"/>
    <w:rsid w:val="002245F3"/>
    <w:rsid w:val="0022609D"/>
    <w:rsid w:val="00227F59"/>
    <w:rsid w:val="002305A0"/>
    <w:rsid w:val="002315FC"/>
    <w:rsid w:val="00231AF0"/>
    <w:rsid w:val="002328A1"/>
    <w:rsid w:val="002335A1"/>
    <w:rsid w:val="00233762"/>
    <w:rsid w:val="00233F0E"/>
    <w:rsid w:val="00237909"/>
    <w:rsid w:val="002401CF"/>
    <w:rsid w:val="0024021C"/>
    <w:rsid w:val="00240586"/>
    <w:rsid w:val="00241D7A"/>
    <w:rsid w:val="002426AE"/>
    <w:rsid w:val="0024283E"/>
    <w:rsid w:val="00242E73"/>
    <w:rsid w:val="002433F6"/>
    <w:rsid w:val="00243D1D"/>
    <w:rsid w:val="00243D86"/>
    <w:rsid w:val="00243E68"/>
    <w:rsid w:val="00244AEF"/>
    <w:rsid w:val="002464BD"/>
    <w:rsid w:val="00247976"/>
    <w:rsid w:val="002479B7"/>
    <w:rsid w:val="002513DF"/>
    <w:rsid w:val="00251EBA"/>
    <w:rsid w:val="00252057"/>
    <w:rsid w:val="00252EC8"/>
    <w:rsid w:val="002548C8"/>
    <w:rsid w:val="00257B87"/>
    <w:rsid w:val="00257BDD"/>
    <w:rsid w:val="00260021"/>
    <w:rsid w:val="00260221"/>
    <w:rsid w:val="002605E2"/>
    <w:rsid w:val="002606DD"/>
    <w:rsid w:val="002607ED"/>
    <w:rsid w:val="00262590"/>
    <w:rsid w:val="00263900"/>
    <w:rsid w:val="002643C2"/>
    <w:rsid w:val="00264CFE"/>
    <w:rsid w:val="002656F2"/>
    <w:rsid w:val="0026604B"/>
    <w:rsid w:val="00266247"/>
    <w:rsid w:val="00266734"/>
    <w:rsid w:val="00272445"/>
    <w:rsid w:val="00273B7C"/>
    <w:rsid w:val="00273CBE"/>
    <w:rsid w:val="00277535"/>
    <w:rsid w:val="002778A9"/>
    <w:rsid w:val="00277C39"/>
    <w:rsid w:val="0028031D"/>
    <w:rsid w:val="00281D39"/>
    <w:rsid w:val="0028379B"/>
    <w:rsid w:val="00284300"/>
    <w:rsid w:val="00284E0B"/>
    <w:rsid w:val="00285118"/>
    <w:rsid w:val="00285A01"/>
    <w:rsid w:val="00286B98"/>
    <w:rsid w:val="00286BE2"/>
    <w:rsid w:val="0028776A"/>
    <w:rsid w:val="00291796"/>
    <w:rsid w:val="00291B27"/>
    <w:rsid w:val="00292687"/>
    <w:rsid w:val="00292688"/>
    <w:rsid w:val="00292F9B"/>
    <w:rsid w:val="00293E84"/>
    <w:rsid w:val="00294B91"/>
    <w:rsid w:val="00295B73"/>
    <w:rsid w:val="0029642E"/>
    <w:rsid w:val="002A11DE"/>
    <w:rsid w:val="002A32F0"/>
    <w:rsid w:val="002A69AC"/>
    <w:rsid w:val="002A7762"/>
    <w:rsid w:val="002A7C64"/>
    <w:rsid w:val="002B092E"/>
    <w:rsid w:val="002B13BA"/>
    <w:rsid w:val="002B1522"/>
    <w:rsid w:val="002B16D0"/>
    <w:rsid w:val="002B336D"/>
    <w:rsid w:val="002B436C"/>
    <w:rsid w:val="002B4887"/>
    <w:rsid w:val="002B5FDF"/>
    <w:rsid w:val="002B658F"/>
    <w:rsid w:val="002C1301"/>
    <w:rsid w:val="002C2186"/>
    <w:rsid w:val="002C2401"/>
    <w:rsid w:val="002C2A01"/>
    <w:rsid w:val="002C42A2"/>
    <w:rsid w:val="002C431D"/>
    <w:rsid w:val="002C5FF8"/>
    <w:rsid w:val="002C60C7"/>
    <w:rsid w:val="002D0EFF"/>
    <w:rsid w:val="002D199F"/>
    <w:rsid w:val="002D2533"/>
    <w:rsid w:val="002D25A7"/>
    <w:rsid w:val="002D25E8"/>
    <w:rsid w:val="002D3117"/>
    <w:rsid w:val="002D3871"/>
    <w:rsid w:val="002D429F"/>
    <w:rsid w:val="002D50B7"/>
    <w:rsid w:val="002D6116"/>
    <w:rsid w:val="002D68EE"/>
    <w:rsid w:val="002E0B3D"/>
    <w:rsid w:val="002E15E4"/>
    <w:rsid w:val="002E17EE"/>
    <w:rsid w:val="002E46E7"/>
    <w:rsid w:val="002E495C"/>
    <w:rsid w:val="002E6873"/>
    <w:rsid w:val="002E69C0"/>
    <w:rsid w:val="002F076F"/>
    <w:rsid w:val="002F2D08"/>
    <w:rsid w:val="002F3600"/>
    <w:rsid w:val="002F38DB"/>
    <w:rsid w:val="002F4088"/>
    <w:rsid w:val="002F4471"/>
    <w:rsid w:val="002F6943"/>
    <w:rsid w:val="002F6A27"/>
    <w:rsid w:val="002F739C"/>
    <w:rsid w:val="002F7F33"/>
    <w:rsid w:val="00301471"/>
    <w:rsid w:val="00301E93"/>
    <w:rsid w:val="00302896"/>
    <w:rsid w:val="00302EB6"/>
    <w:rsid w:val="00302F89"/>
    <w:rsid w:val="00303468"/>
    <w:rsid w:val="0030353C"/>
    <w:rsid w:val="003037FE"/>
    <w:rsid w:val="00306C09"/>
    <w:rsid w:val="00307B77"/>
    <w:rsid w:val="00310408"/>
    <w:rsid w:val="003111EF"/>
    <w:rsid w:val="00311502"/>
    <w:rsid w:val="00313185"/>
    <w:rsid w:val="00313B3C"/>
    <w:rsid w:val="00313EE3"/>
    <w:rsid w:val="003149C6"/>
    <w:rsid w:val="003157FC"/>
    <w:rsid w:val="0032112A"/>
    <w:rsid w:val="0032290E"/>
    <w:rsid w:val="00323100"/>
    <w:rsid w:val="003242DE"/>
    <w:rsid w:val="003244A4"/>
    <w:rsid w:val="00324B1D"/>
    <w:rsid w:val="003257A4"/>
    <w:rsid w:val="00325907"/>
    <w:rsid w:val="00325A33"/>
    <w:rsid w:val="00326F40"/>
    <w:rsid w:val="003274E7"/>
    <w:rsid w:val="003305CF"/>
    <w:rsid w:val="0033095C"/>
    <w:rsid w:val="00330B9E"/>
    <w:rsid w:val="00331279"/>
    <w:rsid w:val="00333CFF"/>
    <w:rsid w:val="00335734"/>
    <w:rsid w:val="00335F1B"/>
    <w:rsid w:val="00337677"/>
    <w:rsid w:val="00340F76"/>
    <w:rsid w:val="003420FC"/>
    <w:rsid w:val="00342823"/>
    <w:rsid w:val="00343BD6"/>
    <w:rsid w:val="00343E26"/>
    <w:rsid w:val="00344762"/>
    <w:rsid w:val="00347B64"/>
    <w:rsid w:val="00350004"/>
    <w:rsid w:val="003503E2"/>
    <w:rsid w:val="0035189E"/>
    <w:rsid w:val="00351991"/>
    <w:rsid w:val="00351DA7"/>
    <w:rsid w:val="00353271"/>
    <w:rsid w:val="00353F7E"/>
    <w:rsid w:val="00354D7D"/>
    <w:rsid w:val="00355020"/>
    <w:rsid w:val="00355D4F"/>
    <w:rsid w:val="003561E6"/>
    <w:rsid w:val="003575E7"/>
    <w:rsid w:val="00360A74"/>
    <w:rsid w:val="00360B91"/>
    <w:rsid w:val="003610A7"/>
    <w:rsid w:val="0036132F"/>
    <w:rsid w:val="003622CA"/>
    <w:rsid w:val="00362A82"/>
    <w:rsid w:val="00363ABB"/>
    <w:rsid w:val="00363DF8"/>
    <w:rsid w:val="00363F69"/>
    <w:rsid w:val="00366D5C"/>
    <w:rsid w:val="00370A38"/>
    <w:rsid w:val="00371A65"/>
    <w:rsid w:val="00371E09"/>
    <w:rsid w:val="00372825"/>
    <w:rsid w:val="00374754"/>
    <w:rsid w:val="003752C7"/>
    <w:rsid w:val="00380832"/>
    <w:rsid w:val="003829CE"/>
    <w:rsid w:val="003831C3"/>
    <w:rsid w:val="003848A2"/>
    <w:rsid w:val="00384D74"/>
    <w:rsid w:val="003877E2"/>
    <w:rsid w:val="00387DDA"/>
    <w:rsid w:val="00390AF0"/>
    <w:rsid w:val="00390E77"/>
    <w:rsid w:val="00391F7B"/>
    <w:rsid w:val="00392E8D"/>
    <w:rsid w:val="00393207"/>
    <w:rsid w:val="0039336F"/>
    <w:rsid w:val="003937EE"/>
    <w:rsid w:val="00393D0F"/>
    <w:rsid w:val="00393F06"/>
    <w:rsid w:val="0039416B"/>
    <w:rsid w:val="0039523C"/>
    <w:rsid w:val="00397D16"/>
    <w:rsid w:val="003A02B7"/>
    <w:rsid w:val="003A0B17"/>
    <w:rsid w:val="003A1A86"/>
    <w:rsid w:val="003A1B2D"/>
    <w:rsid w:val="003A1C40"/>
    <w:rsid w:val="003A3AB1"/>
    <w:rsid w:val="003A4096"/>
    <w:rsid w:val="003A61DB"/>
    <w:rsid w:val="003A6651"/>
    <w:rsid w:val="003B2B59"/>
    <w:rsid w:val="003B5188"/>
    <w:rsid w:val="003B75F6"/>
    <w:rsid w:val="003B7A18"/>
    <w:rsid w:val="003C1680"/>
    <w:rsid w:val="003C257A"/>
    <w:rsid w:val="003C2A47"/>
    <w:rsid w:val="003C3622"/>
    <w:rsid w:val="003C3A2B"/>
    <w:rsid w:val="003C48AE"/>
    <w:rsid w:val="003C6AD2"/>
    <w:rsid w:val="003C7411"/>
    <w:rsid w:val="003C7836"/>
    <w:rsid w:val="003D1F78"/>
    <w:rsid w:val="003D279C"/>
    <w:rsid w:val="003D3A27"/>
    <w:rsid w:val="003D4E3F"/>
    <w:rsid w:val="003D6BA3"/>
    <w:rsid w:val="003D6C19"/>
    <w:rsid w:val="003D701C"/>
    <w:rsid w:val="003E07FE"/>
    <w:rsid w:val="003E0911"/>
    <w:rsid w:val="003E0CDB"/>
    <w:rsid w:val="003E2C86"/>
    <w:rsid w:val="003E340D"/>
    <w:rsid w:val="003E413C"/>
    <w:rsid w:val="003F001C"/>
    <w:rsid w:val="003F08EB"/>
    <w:rsid w:val="003F1BF5"/>
    <w:rsid w:val="003F260C"/>
    <w:rsid w:val="003F3418"/>
    <w:rsid w:val="003F4081"/>
    <w:rsid w:val="003F6FF1"/>
    <w:rsid w:val="003F7160"/>
    <w:rsid w:val="003F7254"/>
    <w:rsid w:val="003F753E"/>
    <w:rsid w:val="00400503"/>
    <w:rsid w:val="0040065B"/>
    <w:rsid w:val="004015D6"/>
    <w:rsid w:val="004034D8"/>
    <w:rsid w:val="00403858"/>
    <w:rsid w:val="004057F0"/>
    <w:rsid w:val="00405D73"/>
    <w:rsid w:val="00406B8C"/>
    <w:rsid w:val="00406D31"/>
    <w:rsid w:val="0041078C"/>
    <w:rsid w:val="00411A41"/>
    <w:rsid w:val="00411E1C"/>
    <w:rsid w:val="00412079"/>
    <w:rsid w:val="004121C8"/>
    <w:rsid w:val="00412889"/>
    <w:rsid w:val="00412F9C"/>
    <w:rsid w:val="004135DB"/>
    <w:rsid w:val="00414543"/>
    <w:rsid w:val="00414B20"/>
    <w:rsid w:val="00414C1D"/>
    <w:rsid w:val="00415631"/>
    <w:rsid w:val="00415B80"/>
    <w:rsid w:val="0041643F"/>
    <w:rsid w:val="00416566"/>
    <w:rsid w:val="00416637"/>
    <w:rsid w:val="00417A1B"/>
    <w:rsid w:val="00420431"/>
    <w:rsid w:val="00421391"/>
    <w:rsid w:val="00422AF6"/>
    <w:rsid w:val="00422BEA"/>
    <w:rsid w:val="00423D3F"/>
    <w:rsid w:val="00424AC4"/>
    <w:rsid w:val="00425E4D"/>
    <w:rsid w:val="00427740"/>
    <w:rsid w:val="00432FA0"/>
    <w:rsid w:val="0043328A"/>
    <w:rsid w:val="004334D8"/>
    <w:rsid w:val="00433D49"/>
    <w:rsid w:val="00433DA8"/>
    <w:rsid w:val="00434D34"/>
    <w:rsid w:val="004357CE"/>
    <w:rsid w:val="00435FAC"/>
    <w:rsid w:val="00436EA6"/>
    <w:rsid w:val="00436FC1"/>
    <w:rsid w:val="00437885"/>
    <w:rsid w:val="00441BC3"/>
    <w:rsid w:val="00441E23"/>
    <w:rsid w:val="0044337D"/>
    <w:rsid w:val="00444465"/>
    <w:rsid w:val="00444A7D"/>
    <w:rsid w:val="00444EB2"/>
    <w:rsid w:val="00445D77"/>
    <w:rsid w:val="00446200"/>
    <w:rsid w:val="00446292"/>
    <w:rsid w:val="004464F7"/>
    <w:rsid w:val="0044651F"/>
    <w:rsid w:val="00446CE8"/>
    <w:rsid w:val="0044738A"/>
    <w:rsid w:val="00447764"/>
    <w:rsid w:val="004479A7"/>
    <w:rsid w:val="00447A43"/>
    <w:rsid w:val="00450706"/>
    <w:rsid w:val="004511D3"/>
    <w:rsid w:val="00452FC1"/>
    <w:rsid w:val="004530DB"/>
    <w:rsid w:val="004547A9"/>
    <w:rsid w:val="00455A6B"/>
    <w:rsid w:val="0045719F"/>
    <w:rsid w:val="00461DC1"/>
    <w:rsid w:val="00461F73"/>
    <w:rsid w:val="00462078"/>
    <w:rsid w:val="004632CD"/>
    <w:rsid w:val="00463825"/>
    <w:rsid w:val="004639C0"/>
    <w:rsid w:val="00464D36"/>
    <w:rsid w:val="004656E1"/>
    <w:rsid w:val="00465A58"/>
    <w:rsid w:val="00465B7C"/>
    <w:rsid w:val="00465F81"/>
    <w:rsid w:val="004662B4"/>
    <w:rsid w:val="00466CF9"/>
    <w:rsid w:val="004679FF"/>
    <w:rsid w:val="00467C61"/>
    <w:rsid w:val="004708A3"/>
    <w:rsid w:val="004709F1"/>
    <w:rsid w:val="00471D28"/>
    <w:rsid w:val="00471DC0"/>
    <w:rsid w:val="00472524"/>
    <w:rsid w:val="004745D8"/>
    <w:rsid w:val="0047491E"/>
    <w:rsid w:val="00475E16"/>
    <w:rsid w:val="004760C8"/>
    <w:rsid w:val="00480EF1"/>
    <w:rsid w:val="004811CF"/>
    <w:rsid w:val="00482A25"/>
    <w:rsid w:val="00482D47"/>
    <w:rsid w:val="004844E8"/>
    <w:rsid w:val="00484FB1"/>
    <w:rsid w:val="00485B4A"/>
    <w:rsid w:val="004865FE"/>
    <w:rsid w:val="00487A8F"/>
    <w:rsid w:val="00490973"/>
    <w:rsid w:val="00490A3B"/>
    <w:rsid w:val="0049339F"/>
    <w:rsid w:val="00494820"/>
    <w:rsid w:val="0049536D"/>
    <w:rsid w:val="00495A25"/>
    <w:rsid w:val="004966B8"/>
    <w:rsid w:val="00496959"/>
    <w:rsid w:val="00496C4D"/>
    <w:rsid w:val="00497D1C"/>
    <w:rsid w:val="00497EDA"/>
    <w:rsid w:val="004A0EAB"/>
    <w:rsid w:val="004A15EB"/>
    <w:rsid w:val="004A170C"/>
    <w:rsid w:val="004A3B94"/>
    <w:rsid w:val="004A43EB"/>
    <w:rsid w:val="004A4A89"/>
    <w:rsid w:val="004A6C18"/>
    <w:rsid w:val="004A708B"/>
    <w:rsid w:val="004B0271"/>
    <w:rsid w:val="004B106B"/>
    <w:rsid w:val="004B28A8"/>
    <w:rsid w:val="004B2B7A"/>
    <w:rsid w:val="004B31ED"/>
    <w:rsid w:val="004B5610"/>
    <w:rsid w:val="004B561A"/>
    <w:rsid w:val="004B5C4E"/>
    <w:rsid w:val="004B6135"/>
    <w:rsid w:val="004C0ED0"/>
    <w:rsid w:val="004C36F4"/>
    <w:rsid w:val="004C3AC7"/>
    <w:rsid w:val="004C4442"/>
    <w:rsid w:val="004C4BC8"/>
    <w:rsid w:val="004C7024"/>
    <w:rsid w:val="004C758D"/>
    <w:rsid w:val="004C7C32"/>
    <w:rsid w:val="004D468C"/>
    <w:rsid w:val="004D494C"/>
    <w:rsid w:val="004D4F42"/>
    <w:rsid w:val="004D579E"/>
    <w:rsid w:val="004D64BE"/>
    <w:rsid w:val="004D6679"/>
    <w:rsid w:val="004E0B26"/>
    <w:rsid w:val="004E1569"/>
    <w:rsid w:val="004E15D1"/>
    <w:rsid w:val="004E3E20"/>
    <w:rsid w:val="004E3F6C"/>
    <w:rsid w:val="004E4102"/>
    <w:rsid w:val="004E65F0"/>
    <w:rsid w:val="004F1B44"/>
    <w:rsid w:val="004F1FBE"/>
    <w:rsid w:val="004F2907"/>
    <w:rsid w:val="004F2E8D"/>
    <w:rsid w:val="004F598D"/>
    <w:rsid w:val="004F5B49"/>
    <w:rsid w:val="004F7B57"/>
    <w:rsid w:val="00502AD5"/>
    <w:rsid w:val="0050322A"/>
    <w:rsid w:val="00504740"/>
    <w:rsid w:val="00510187"/>
    <w:rsid w:val="00510B85"/>
    <w:rsid w:val="00510BBC"/>
    <w:rsid w:val="00512868"/>
    <w:rsid w:val="00513790"/>
    <w:rsid w:val="00513BA7"/>
    <w:rsid w:val="00513C4F"/>
    <w:rsid w:val="00514606"/>
    <w:rsid w:val="00514AED"/>
    <w:rsid w:val="00514F54"/>
    <w:rsid w:val="00516F18"/>
    <w:rsid w:val="00521279"/>
    <w:rsid w:val="005215BA"/>
    <w:rsid w:val="00521C34"/>
    <w:rsid w:val="005229C2"/>
    <w:rsid w:val="0052409C"/>
    <w:rsid w:val="005251F3"/>
    <w:rsid w:val="00525D12"/>
    <w:rsid w:val="00530989"/>
    <w:rsid w:val="005334B5"/>
    <w:rsid w:val="00533941"/>
    <w:rsid w:val="005345F6"/>
    <w:rsid w:val="00536003"/>
    <w:rsid w:val="00537386"/>
    <w:rsid w:val="005376CA"/>
    <w:rsid w:val="0054083D"/>
    <w:rsid w:val="0054338B"/>
    <w:rsid w:val="005453AF"/>
    <w:rsid w:val="00545D04"/>
    <w:rsid w:val="00545FE2"/>
    <w:rsid w:val="0054677F"/>
    <w:rsid w:val="00551569"/>
    <w:rsid w:val="00551A00"/>
    <w:rsid w:val="005545C2"/>
    <w:rsid w:val="00556D60"/>
    <w:rsid w:val="00557C89"/>
    <w:rsid w:val="00560CD0"/>
    <w:rsid w:val="0056210B"/>
    <w:rsid w:val="00562381"/>
    <w:rsid w:val="00563736"/>
    <w:rsid w:val="00563A77"/>
    <w:rsid w:val="00565078"/>
    <w:rsid w:val="005653D3"/>
    <w:rsid w:val="00565442"/>
    <w:rsid w:val="0056605D"/>
    <w:rsid w:val="005660EB"/>
    <w:rsid w:val="005661D2"/>
    <w:rsid w:val="0057117B"/>
    <w:rsid w:val="00572009"/>
    <w:rsid w:val="005730A9"/>
    <w:rsid w:val="00573422"/>
    <w:rsid w:val="00573A1F"/>
    <w:rsid w:val="0057499C"/>
    <w:rsid w:val="00576C0B"/>
    <w:rsid w:val="00576E25"/>
    <w:rsid w:val="00577A65"/>
    <w:rsid w:val="00580AE7"/>
    <w:rsid w:val="005812B7"/>
    <w:rsid w:val="00581A8A"/>
    <w:rsid w:val="0058213C"/>
    <w:rsid w:val="005827E6"/>
    <w:rsid w:val="00583239"/>
    <w:rsid w:val="00584364"/>
    <w:rsid w:val="00584A49"/>
    <w:rsid w:val="00584D39"/>
    <w:rsid w:val="005866EE"/>
    <w:rsid w:val="0058776F"/>
    <w:rsid w:val="00590F7E"/>
    <w:rsid w:val="005913C3"/>
    <w:rsid w:val="005919FD"/>
    <w:rsid w:val="00591E61"/>
    <w:rsid w:val="005920D7"/>
    <w:rsid w:val="0059265F"/>
    <w:rsid w:val="005936B7"/>
    <w:rsid w:val="0059419D"/>
    <w:rsid w:val="00595851"/>
    <w:rsid w:val="00596043"/>
    <w:rsid w:val="005A048C"/>
    <w:rsid w:val="005A0BC0"/>
    <w:rsid w:val="005A0EDC"/>
    <w:rsid w:val="005A174A"/>
    <w:rsid w:val="005A290A"/>
    <w:rsid w:val="005A32BD"/>
    <w:rsid w:val="005A5C44"/>
    <w:rsid w:val="005A5CF6"/>
    <w:rsid w:val="005A62C0"/>
    <w:rsid w:val="005A7466"/>
    <w:rsid w:val="005A7484"/>
    <w:rsid w:val="005A76A3"/>
    <w:rsid w:val="005A771C"/>
    <w:rsid w:val="005B109A"/>
    <w:rsid w:val="005B1ED2"/>
    <w:rsid w:val="005B1F41"/>
    <w:rsid w:val="005B293D"/>
    <w:rsid w:val="005B3CB1"/>
    <w:rsid w:val="005B554C"/>
    <w:rsid w:val="005B6DA7"/>
    <w:rsid w:val="005B77B8"/>
    <w:rsid w:val="005C045F"/>
    <w:rsid w:val="005C145C"/>
    <w:rsid w:val="005C2316"/>
    <w:rsid w:val="005C2B95"/>
    <w:rsid w:val="005C3223"/>
    <w:rsid w:val="005C37B4"/>
    <w:rsid w:val="005C5406"/>
    <w:rsid w:val="005C6CCD"/>
    <w:rsid w:val="005C73E3"/>
    <w:rsid w:val="005D01A8"/>
    <w:rsid w:val="005D0F57"/>
    <w:rsid w:val="005D16B1"/>
    <w:rsid w:val="005D1C0F"/>
    <w:rsid w:val="005D3D68"/>
    <w:rsid w:val="005D6C52"/>
    <w:rsid w:val="005D782F"/>
    <w:rsid w:val="005E181A"/>
    <w:rsid w:val="005E20BB"/>
    <w:rsid w:val="005E3070"/>
    <w:rsid w:val="005E3774"/>
    <w:rsid w:val="005E3ED7"/>
    <w:rsid w:val="005E5060"/>
    <w:rsid w:val="005E72C6"/>
    <w:rsid w:val="005F114A"/>
    <w:rsid w:val="005F28C6"/>
    <w:rsid w:val="005F2AA7"/>
    <w:rsid w:val="005F3A0F"/>
    <w:rsid w:val="005F42D2"/>
    <w:rsid w:val="005F49F6"/>
    <w:rsid w:val="005F4F48"/>
    <w:rsid w:val="00600CEC"/>
    <w:rsid w:val="00601219"/>
    <w:rsid w:val="00602D11"/>
    <w:rsid w:val="006056ED"/>
    <w:rsid w:val="00605992"/>
    <w:rsid w:val="0060636F"/>
    <w:rsid w:val="0060673F"/>
    <w:rsid w:val="00606BB0"/>
    <w:rsid w:val="00606F24"/>
    <w:rsid w:val="0060708E"/>
    <w:rsid w:val="0060719D"/>
    <w:rsid w:val="00610B3A"/>
    <w:rsid w:val="00611510"/>
    <w:rsid w:val="0061217E"/>
    <w:rsid w:val="006121B7"/>
    <w:rsid w:val="006126D7"/>
    <w:rsid w:val="00612ED0"/>
    <w:rsid w:val="00614E10"/>
    <w:rsid w:val="00617E40"/>
    <w:rsid w:val="00620D0D"/>
    <w:rsid w:val="00620DC4"/>
    <w:rsid w:val="00624C39"/>
    <w:rsid w:val="006252EF"/>
    <w:rsid w:val="006257A6"/>
    <w:rsid w:val="00625DB4"/>
    <w:rsid w:val="006266E3"/>
    <w:rsid w:val="00626CE5"/>
    <w:rsid w:val="00630634"/>
    <w:rsid w:val="006313A4"/>
    <w:rsid w:val="00635DB1"/>
    <w:rsid w:val="00636881"/>
    <w:rsid w:val="006368D6"/>
    <w:rsid w:val="00637BC3"/>
    <w:rsid w:val="00640AA9"/>
    <w:rsid w:val="006430E0"/>
    <w:rsid w:val="00643797"/>
    <w:rsid w:val="0064551C"/>
    <w:rsid w:val="00645CE8"/>
    <w:rsid w:val="00650CD5"/>
    <w:rsid w:val="0065138F"/>
    <w:rsid w:val="006517B5"/>
    <w:rsid w:val="00652105"/>
    <w:rsid w:val="00652543"/>
    <w:rsid w:val="006528BA"/>
    <w:rsid w:val="00654CED"/>
    <w:rsid w:val="00656C9A"/>
    <w:rsid w:val="00656D46"/>
    <w:rsid w:val="0065744F"/>
    <w:rsid w:val="00657A28"/>
    <w:rsid w:val="006602BB"/>
    <w:rsid w:val="006606B7"/>
    <w:rsid w:val="006609F3"/>
    <w:rsid w:val="00660BE9"/>
    <w:rsid w:val="00661B10"/>
    <w:rsid w:val="00663454"/>
    <w:rsid w:val="00664579"/>
    <w:rsid w:val="00665362"/>
    <w:rsid w:val="0066639B"/>
    <w:rsid w:val="006663BB"/>
    <w:rsid w:val="0066773A"/>
    <w:rsid w:val="00667A13"/>
    <w:rsid w:val="006714C5"/>
    <w:rsid w:val="00671E4A"/>
    <w:rsid w:val="00671E9B"/>
    <w:rsid w:val="00672041"/>
    <w:rsid w:val="00672F9C"/>
    <w:rsid w:val="0067366E"/>
    <w:rsid w:val="00673919"/>
    <w:rsid w:val="006748CD"/>
    <w:rsid w:val="00675CCE"/>
    <w:rsid w:val="00675D07"/>
    <w:rsid w:val="006760F2"/>
    <w:rsid w:val="00680588"/>
    <w:rsid w:val="006808B5"/>
    <w:rsid w:val="00681B2C"/>
    <w:rsid w:val="006820E7"/>
    <w:rsid w:val="00685243"/>
    <w:rsid w:val="00685B2C"/>
    <w:rsid w:val="006861B7"/>
    <w:rsid w:val="006867F0"/>
    <w:rsid w:val="00686F66"/>
    <w:rsid w:val="00691000"/>
    <w:rsid w:val="00691E9A"/>
    <w:rsid w:val="00691FBF"/>
    <w:rsid w:val="006920EE"/>
    <w:rsid w:val="006945A8"/>
    <w:rsid w:val="00694CAD"/>
    <w:rsid w:val="00696BFC"/>
    <w:rsid w:val="00696F5F"/>
    <w:rsid w:val="00697AF8"/>
    <w:rsid w:val="00697E5B"/>
    <w:rsid w:val="006A0719"/>
    <w:rsid w:val="006A26CB"/>
    <w:rsid w:val="006A29CA"/>
    <w:rsid w:val="006A344D"/>
    <w:rsid w:val="006A371D"/>
    <w:rsid w:val="006A4C45"/>
    <w:rsid w:val="006A7DBC"/>
    <w:rsid w:val="006B07C9"/>
    <w:rsid w:val="006B0D5E"/>
    <w:rsid w:val="006B0E42"/>
    <w:rsid w:val="006B2A9E"/>
    <w:rsid w:val="006B33B5"/>
    <w:rsid w:val="006B54B9"/>
    <w:rsid w:val="006B760E"/>
    <w:rsid w:val="006C07EA"/>
    <w:rsid w:val="006C140E"/>
    <w:rsid w:val="006C17D2"/>
    <w:rsid w:val="006C340A"/>
    <w:rsid w:val="006C3A8B"/>
    <w:rsid w:val="006C571C"/>
    <w:rsid w:val="006D057A"/>
    <w:rsid w:val="006D0D3C"/>
    <w:rsid w:val="006D1130"/>
    <w:rsid w:val="006D160E"/>
    <w:rsid w:val="006D1959"/>
    <w:rsid w:val="006D1D57"/>
    <w:rsid w:val="006D2682"/>
    <w:rsid w:val="006D3917"/>
    <w:rsid w:val="006D4B90"/>
    <w:rsid w:val="006D4E4C"/>
    <w:rsid w:val="006D7A8C"/>
    <w:rsid w:val="006D7AC8"/>
    <w:rsid w:val="006E0C24"/>
    <w:rsid w:val="006E0E8B"/>
    <w:rsid w:val="006E197B"/>
    <w:rsid w:val="006E2471"/>
    <w:rsid w:val="006E66D5"/>
    <w:rsid w:val="006E6CE5"/>
    <w:rsid w:val="006E6E5F"/>
    <w:rsid w:val="006E6F07"/>
    <w:rsid w:val="006F1063"/>
    <w:rsid w:val="006F122E"/>
    <w:rsid w:val="006F1551"/>
    <w:rsid w:val="006F1C1E"/>
    <w:rsid w:val="006F29F8"/>
    <w:rsid w:val="006F2C52"/>
    <w:rsid w:val="006F2E6E"/>
    <w:rsid w:val="006F3A64"/>
    <w:rsid w:val="006F69AA"/>
    <w:rsid w:val="006F6AFE"/>
    <w:rsid w:val="007018E2"/>
    <w:rsid w:val="00701BF4"/>
    <w:rsid w:val="00702355"/>
    <w:rsid w:val="007028B5"/>
    <w:rsid w:val="00703AE9"/>
    <w:rsid w:val="00705430"/>
    <w:rsid w:val="00705B6F"/>
    <w:rsid w:val="007070DD"/>
    <w:rsid w:val="00707AB8"/>
    <w:rsid w:val="0071167F"/>
    <w:rsid w:val="00712913"/>
    <w:rsid w:val="0071337A"/>
    <w:rsid w:val="00713450"/>
    <w:rsid w:val="007135E8"/>
    <w:rsid w:val="00713A7C"/>
    <w:rsid w:val="00715924"/>
    <w:rsid w:val="00716FAB"/>
    <w:rsid w:val="0071757F"/>
    <w:rsid w:val="007176BF"/>
    <w:rsid w:val="00717734"/>
    <w:rsid w:val="00717F6E"/>
    <w:rsid w:val="00720A2C"/>
    <w:rsid w:val="00720F8D"/>
    <w:rsid w:val="00721A12"/>
    <w:rsid w:val="00721B97"/>
    <w:rsid w:val="00721E49"/>
    <w:rsid w:val="007249A9"/>
    <w:rsid w:val="00725FCD"/>
    <w:rsid w:val="0072735D"/>
    <w:rsid w:val="00727844"/>
    <w:rsid w:val="007300EF"/>
    <w:rsid w:val="00731D74"/>
    <w:rsid w:val="00732C91"/>
    <w:rsid w:val="00733095"/>
    <w:rsid w:val="00734E8D"/>
    <w:rsid w:val="00734EA4"/>
    <w:rsid w:val="00735250"/>
    <w:rsid w:val="00736CD7"/>
    <w:rsid w:val="00737026"/>
    <w:rsid w:val="00737358"/>
    <w:rsid w:val="00742D94"/>
    <w:rsid w:val="00743D38"/>
    <w:rsid w:val="0074447B"/>
    <w:rsid w:val="00744612"/>
    <w:rsid w:val="00745821"/>
    <w:rsid w:val="00746954"/>
    <w:rsid w:val="00746E4F"/>
    <w:rsid w:val="0074755A"/>
    <w:rsid w:val="007518F7"/>
    <w:rsid w:val="007523AC"/>
    <w:rsid w:val="00752EA0"/>
    <w:rsid w:val="00753032"/>
    <w:rsid w:val="00753382"/>
    <w:rsid w:val="00753B65"/>
    <w:rsid w:val="00753DED"/>
    <w:rsid w:val="0075433A"/>
    <w:rsid w:val="007546F1"/>
    <w:rsid w:val="00756BC2"/>
    <w:rsid w:val="00757876"/>
    <w:rsid w:val="00760085"/>
    <w:rsid w:val="00760E41"/>
    <w:rsid w:val="00762EFD"/>
    <w:rsid w:val="00765568"/>
    <w:rsid w:val="00765966"/>
    <w:rsid w:val="0077049A"/>
    <w:rsid w:val="00770946"/>
    <w:rsid w:val="00771FAC"/>
    <w:rsid w:val="0077256F"/>
    <w:rsid w:val="00773DA1"/>
    <w:rsid w:val="007744E6"/>
    <w:rsid w:val="00775D42"/>
    <w:rsid w:val="00776413"/>
    <w:rsid w:val="00776B2C"/>
    <w:rsid w:val="00776B80"/>
    <w:rsid w:val="0078032E"/>
    <w:rsid w:val="00781276"/>
    <w:rsid w:val="007813AD"/>
    <w:rsid w:val="00781A15"/>
    <w:rsid w:val="00782D33"/>
    <w:rsid w:val="007833AE"/>
    <w:rsid w:val="007836A3"/>
    <w:rsid w:val="00783B7A"/>
    <w:rsid w:val="00783E72"/>
    <w:rsid w:val="007858DD"/>
    <w:rsid w:val="007869B7"/>
    <w:rsid w:val="00786F82"/>
    <w:rsid w:val="00787037"/>
    <w:rsid w:val="00787BE7"/>
    <w:rsid w:val="00791D65"/>
    <w:rsid w:val="00791E9E"/>
    <w:rsid w:val="0079251B"/>
    <w:rsid w:val="0079264F"/>
    <w:rsid w:val="007926A0"/>
    <w:rsid w:val="00792996"/>
    <w:rsid w:val="00793143"/>
    <w:rsid w:val="00794290"/>
    <w:rsid w:val="007942D4"/>
    <w:rsid w:val="00794795"/>
    <w:rsid w:val="00794BF1"/>
    <w:rsid w:val="0079633B"/>
    <w:rsid w:val="007A0828"/>
    <w:rsid w:val="007A0BD7"/>
    <w:rsid w:val="007A180B"/>
    <w:rsid w:val="007A27D6"/>
    <w:rsid w:val="007A5654"/>
    <w:rsid w:val="007A5C46"/>
    <w:rsid w:val="007A6426"/>
    <w:rsid w:val="007A71A2"/>
    <w:rsid w:val="007A72EB"/>
    <w:rsid w:val="007B03DA"/>
    <w:rsid w:val="007B2E09"/>
    <w:rsid w:val="007B3774"/>
    <w:rsid w:val="007B45D1"/>
    <w:rsid w:val="007B529B"/>
    <w:rsid w:val="007B579E"/>
    <w:rsid w:val="007B5EE0"/>
    <w:rsid w:val="007B603D"/>
    <w:rsid w:val="007B6F54"/>
    <w:rsid w:val="007B7B96"/>
    <w:rsid w:val="007B7D15"/>
    <w:rsid w:val="007B7FD6"/>
    <w:rsid w:val="007C1074"/>
    <w:rsid w:val="007C22F7"/>
    <w:rsid w:val="007C2802"/>
    <w:rsid w:val="007C3362"/>
    <w:rsid w:val="007C3EDD"/>
    <w:rsid w:val="007C4158"/>
    <w:rsid w:val="007C4473"/>
    <w:rsid w:val="007C4E21"/>
    <w:rsid w:val="007C68DE"/>
    <w:rsid w:val="007C72EA"/>
    <w:rsid w:val="007D068B"/>
    <w:rsid w:val="007D44A6"/>
    <w:rsid w:val="007D4B81"/>
    <w:rsid w:val="007D6D6B"/>
    <w:rsid w:val="007D7146"/>
    <w:rsid w:val="007E01EE"/>
    <w:rsid w:val="007E15BC"/>
    <w:rsid w:val="007E1DE5"/>
    <w:rsid w:val="007E1E1B"/>
    <w:rsid w:val="007E2460"/>
    <w:rsid w:val="007E3563"/>
    <w:rsid w:val="007E39D1"/>
    <w:rsid w:val="007E4B76"/>
    <w:rsid w:val="007E5CEC"/>
    <w:rsid w:val="007E728B"/>
    <w:rsid w:val="007E7FB5"/>
    <w:rsid w:val="007F1BBB"/>
    <w:rsid w:val="007F2A42"/>
    <w:rsid w:val="007F4674"/>
    <w:rsid w:val="007F4ED1"/>
    <w:rsid w:val="007F6528"/>
    <w:rsid w:val="0080122D"/>
    <w:rsid w:val="008022AB"/>
    <w:rsid w:val="00805705"/>
    <w:rsid w:val="00805CAD"/>
    <w:rsid w:val="00806EBD"/>
    <w:rsid w:val="008108E0"/>
    <w:rsid w:val="00811225"/>
    <w:rsid w:val="008145F9"/>
    <w:rsid w:val="008178B1"/>
    <w:rsid w:val="00817A87"/>
    <w:rsid w:val="00817F77"/>
    <w:rsid w:val="00820281"/>
    <w:rsid w:val="00820FE9"/>
    <w:rsid w:val="00821E5D"/>
    <w:rsid w:val="00824538"/>
    <w:rsid w:val="008245C2"/>
    <w:rsid w:val="00825BD3"/>
    <w:rsid w:val="008264F7"/>
    <w:rsid w:val="00827F5B"/>
    <w:rsid w:val="0083030C"/>
    <w:rsid w:val="008305EE"/>
    <w:rsid w:val="0083086E"/>
    <w:rsid w:val="00830D52"/>
    <w:rsid w:val="008322F1"/>
    <w:rsid w:val="00832AA1"/>
    <w:rsid w:val="008339D3"/>
    <w:rsid w:val="00834142"/>
    <w:rsid w:val="008364B2"/>
    <w:rsid w:val="008370B1"/>
    <w:rsid w:val="008409A5"/>
    <w:rsid w:val="00841547"/>
    <w:rsid w:val="008416D9"/>
    <w:rsid w:val="00842D50"/>
    <w:rsid w:val="00843508"/>
    <w:rsid w:val="00845907"/>
    <w:rsid w:val="00845BDC"/>
    <w:rsid w:val="0084701F"/>
    <w:rsid w:val="008471F4"/>
    <w:rsid w:val="00852262"/>
    <w:rsid w:val="00852C45"/>
    <w:rsid w:val="00853192"/>
    <w:rsid w:val="00854AF2"/>
    <w:rsid w:val="00855065"/>
    <w:rsid w:val="008561EF"/>
    <w:rsid w:val="00857669"/>
    <w:rsid w:val="00857CF6"/>
    <w:rsid w:val="00860F85"/>
    <w:rsid w:val="00861D12"/>
    <w:rsid w:val="00863976"/>
    <w:rsid w:val="00864065"/>
    <w:rsid w:val="00864956"/>
    <w:rsid w:val="00865B57"/>
    <w:rsid w:val="00865E82"/>
    <w:rsid w:val="00866B48"/>
    <w:rsid w:val="0086759D"/>
    <w:rsid w:val="00870195"/>
    <w:rsid w:val="008702B4"/>
    <w:rsid w:val="00870567"/>
    <w:rsid w:val="00870824"/>
    <w:rsid w:val="008708A0"/>
    <w:rsid w:val="00871B55"/>
    <w:rsid w:val="00872C23"/>
    <w:rsid w:val="00873F92"/>
    <w:rsid w:val="008740F9"/>
    <w:rsid w:val="00875200"/>
    <w:rsid w:val="00877418"/>
    <w:rsid w:val="00877656"/>
    <w:rsid w:val="0088088F"/>
    <w:rsid w:val="00880EF6"/>
    <w:rsid w:val="00881750"/>
    <w:rsid w:val="0088205D"/>
    <w:rsid w:val="0088329E"/>
    <w:rsid w:val="00883F27"/>
    <w:rsid w:val="008848AE"/>
    <w:rsid w:val="00884A48"/>
    <w:rsid w:val="00884A8B"/>
    <w:rsid w:val="00885D21"/>
    <w:rsid w:val="00887B5B"/>
    <w:rsid w:val="00887D2F"/>
    <w:rsid w:val="008907B2"/>
    <w:rsid w:val="00891CE4"/>
    <w:rsid w:val="00891D8A"/>
    <w:rsid w:val="00892918"/>
    <w:rsid w:val="00894BA2"/>
    <w:rsid w:val="00895763"/>
    <w:rsid w:val="008961A1"/>
    <w:rsid w:val="008A0545"/>
    <w:rsid w:val="008A2C9F"/>
    <w:rsid w:val="008A39E5"/>
    <w:rsid w:val="008A3A94"/>
    <w:rsid w:val="008A3C26"/>
    <w:rsid w:val="008A568E"/>
    <w:rsid w:val="008A5E04"/>
    <w:rsid w:val="008A6594"/>
    <w:rsid w:val="008A6921"/>
    <w:rsid w:val="008A75C1"/>
    <w:rsid w:val="008A75F8"/>
    <w:rsid w:val="008A7C56"/>
    <w:rsid w:val="008A7D5D"/>
    <w:rsid w:val="008B00E7"/>
    <w:rsid w:val="008B094F"/>
    <w:rsid w:val="008B3F22"/>
    <w:rsid w:val="008B4189"/>
    <w:rsid w:val="008B43A5"/>
    <w:rsid w:val="008B4F57"/>
    <w:rsid w:val="008B5B1D"/>
    <w:rsid w:val="008B605F"/>
    <w:rsid w:val="008B63FA"/>
    <w:rsid w:val="008C2BA7"/>
    <w:rsid w:val="008C3213"/>
    <w:rsid w:val="008C531E"/>
    <w:rsid w:val="008C65C8"/>
    <w:rsid w:val="008C6FDA"/>
    <w:rsid w:val="008D0074"/>
    <w:rsid w:val="008D00CE"/>
    <w:rsid w:val="008D23D3"/>
    <w:rsid w:val="008D2811"/>
    <w:rsid w:val="008D29B4"/>
    <w:rsid w:val="008D3822"/>
    <w:rsid w:val="008D3BCB"/>
    <w:rsid w:val="008D40C0"/>
    <w:rsid w:val="008D423C"/>
    <w:rsid w:val="008D444B"/>
    <w:rsid w:val="008D5CB3"/>
    <w:rsid w:val="008D7695"/>
    <w:rsid w:val="008E111B"/>
    <w:rsid w:val="008E17CB"/>
    <w:rsid w:val="008E1841"/>
    <w:rsid w:val="008E1EF6"/>
    <w:rsid w:val="008E30CD"/>
    <w:rsid w:val="008E33DE"/>
    <w:rsid w:val="008E3636"/>
    <w:rsid w:val="008E4CC9"/>
    <w:rsid w:val="008E4D95"/>
    <w:rsid w:val="008E5833"/>
    <w:rsid w:val="008E5FB4"/>
    <w:rsid w:val="008E653A"/>
    <w:rsid w:val="008F20DB"/>
    <w:rsid w:val="008F233A"/>
    <w:rsid w:val="008F28C0"/>
    <w:rsid w:val="008F393D"/>
    <w:rsid w:val="008F3CE9"/>
    <w:rsid w:val="008F45DF"/>
    <w:rsid w:val="008F67C5"/>
    <w:rsid w:val="008F6C05"/>
    <w:rsid w:val="008F706C"/>
    <w:rsid w:val="008F7874"/>
    <w:rsid w:val="00900BC9"/>
    <w:rsid w:val="0090447A"/>
    <w:rsid w:val="009054F5"/>
    <w:rsid w:val="00905D4B"/>
    <w:rsid w:val="00906D76"/>
    <w:rsid w:val="00906E99"/>
    <w:rsid w:val="00910802"/>
    <w:rsid w:val="00913024"/>
    <w:rsid w:val="0091351B"/>
    <w:rsid w:val="00914859"/>
    <w:rsid w:val="00915FF3"/>
    <w:rsid w:val="00916CBE"/>
    <w:rsid w:val="00917769"/>
    <w:rsid w:val="009218A4"/>
    <w:rsid w:val="00923C24"/>
    <w:rsid w:val="00925786"/>
    <w:rsid w:val="00927D6E"/>
    <w:rsid w:val="00930076"/>
    <w:rsid w:val="00930EA9"/>
    <w:rsid w:val="00931ED0"/>
    <w:rsid w:val="00932AD0"/>
    <w:rsid w:val="009366F9"/>
    <w:rsid w:val="009367DE"/>
    <w:rsid w:val="00936AA9"/>
    <w:rsid w:val="00937BEE"/>
    <w:rsid w:val="00937F4E"/>
    <w:rsid w:val="009409D1"/>
    <w:rsid w:val="009434A2"/>
    <w:rsid w:val="00945674"/>
    <w:rsid w:val="00946C5F"/>
    <w:rsid w:val="009507A3"/>
    <w:rsid w:val="00950CBF"/>
    <w:rsid w:val="00950E04"/>
    <w:rsid w:val="009527B3"/>
    <w:rsid w:val="0095341C"/>
    <w:rsid w:val="0095373F"/>
    <w:rsid w:val="00954537"/>
    <w:rsid w:val="0095500E"/>
    <w:rsid w:val="00955278"/>
    <w:rsid w:val="00955FB1"/>
    <w:rsid w:val="00956C17"/>
    <w:rsid w:val="00957A91"/>
    <w:rsid w:val="00960FDE"/>
    <w:rsid w:val="009628DA"/>
    <w:rsid w:val="00963179"/>
    <w:rsid w:val="00964DAF"/>
    <w:rsid w:val="00965EBE"/>
    <w:rsid w:val="00966106"/>
    <w:rsid w:val="009665A9"/>
    <w:rsid w:val="009666C2"/>
    <w:rsid w:val="009667FF"/>
    <w:rsid w:val="00966CB8"/>
    <w:rsid w:val="00970032"/>
    <w:rsid w:val="00970626"/>
    <w:rsid w:val="00970CBF"/>
    <w:rsid w:val="009711C3"/>
    <w:rsid w:val="00971250"/>
    <w:rsid w:val="00972058"/>
    <w:rsid w:val="00973CED"/>
    <w:rsid w:val="0098277E"/>
    <w:rsid w:val="00982DC2"/>
    <w:rsid w:val="00983D62"/>
    <w:rsid w:val="00984A7D"/>
    <w:rsid w:val="00984CB2"/>
    <w:rsid w:val="0098625C"/>
    <w:rsid w:val="00987EDA"/>
    <w:rsid w:val="009907C2"/>
    <w:rsid w:val="00994232"/>
    <w:rsid w:val="00994FF6"/>
    <w:rsid w:val="009956A8"/>
    <w:rsid w:val="00996BDB"/>
    <w:rsid w:val="009975C3"/>
    <w:rsid w:val="009A03FB"/>
    <w:rsid w:val="009A0A8E"/>
    <w:rsid w:val="009A0DED"/>
    <w:rsid w:val="009A177C"/>
    <w:rsid w:val="009A1DBD"/>
    <w:rsid w:val="009A261E"/>
    <w:rsid w:val="009A2778"/>
    <w:rsid w:val="009A3044"/>
    <w:rsid w:val="009A4550"/>
    <w:rsid w:val="009A4A22"/>
    <w:rsid w:val="009A53EA"/>
    <w:rsid w:val="009A618F"/>
    <w:rsid w:val="009A65A0"/>
    <w:rsid w:val="009A682B"/>
    <w:rsid w:val="009B01F1"/>
    <w:rsid w:val="009B1042"/>
    <w:rsid w:val="009B1AEC"/>
    <w:rsid w:val="009B26A9"/>
    <w:rsid w:val="009B2D95"/>
    <w:rsid w:val="009B380D"/>
    <w:rsid w:val="009B58CF"/>
    <w:rsid w:val="009C001B"/>
    <w:rsid w:val="009C13CC"/>
    <w:rsid w:val="009C2867"/>
    <w:rsid w:val="009C38A9"/>
    <w:rsid w:val="009C3D5A"/>
    <w:rsid w:val="009C40DE"/>
    <w:rsid w:val="009C4A80"/>
    <w:rsid w:val="009C58CE"/>
    <w:rsid w:val="009C73AC"/>
    <w:rsid w:val="009C7726"/>
    <w:rsid w:val="009D07BC"/>
    <w:rsid w:val="009D1DBD"/>
    <w:rsid w:val="009D2A97"/>
    <w:rsid w:val="009D2C87"/>
    <w:rsid w:val="009D2EC0"/>
    <w:rsid w:val="009D3D82"/>
    <w:rsid w:val="009D4048"/>
    <w:rsid w:val="009D40D0"/>
    <w:rsid w:val="009D427C"/>
    <w:rsid w:val="009D4F1C"/>
    <w:rsid w:val="009D5905"/>
    <w:rsid w:val="009D70DE"/>
    <w:rsid w:val="009E05E4"/>
    <w:rsid w:val="009E1106"/>
    <w:rsid w:val="009E112D"/>
    <w:rsid w:val="009E3873"/>
    <w:rsid w:val="009E41F0"/>
    <w:rsid w:val="009E4634"/>
    <w:rsid w:val="009E50DF"/>
    <w:rsid w:val="009E5996"/>
    <w:rsid w:val="009E5CC9"/>
    <w:rsid w:val="009F1D24"/>
    <w:rsid w:val="009F2015"/>
    <w:rsid w:val="009F2252"/>
    <w:rsid w:val="009F2EA3"/>
    <w:rsid w:val="009F3E52"/>
    <w:rsid w:val="009F40A5"/>
    <w:rsid w:val="009F4F56"/>
    <w:rsid w:val="009F72AE"/>
    <w:rsid w:val="009F7DE0"/>
    <w:rsid w:val="00A00570"/>
    <w:rsid w:val="00A00D59"/>
    <w:rsid w:val="00A00F60"/>
    <w:rsid w:val="00A00F85"/>
    <w:rsid w:val="00A053B1"/>
    <w:rsid w:val="00A07B23"/>
    <w:rsid w:val="00A102D7"/>
    <w:rsid w:val="00A107C5"/>
    <w:rsid w:val="00A10DCE"/>
    <w:rsid w:val="00A11292"/>
    <w:rsid w:val="00A12A82"/>
    <w:rsid w:val="00A1358B"/>
    <w:rsid w:val="00A14EFB"/>
    <w:rsid w:val="00A15054"/>
    <w:rsid w:val="00A164A1"/>
    <w:rsid w:val="00A16E36"/>
    <w:rsid w:val="00A179F9"/>
    <w:rsid w:val="00A17E96"/>
    <w:rsid w:val="00A21D58"/>
    <w:rsid w:val="00A21F1F"/>
    <w:rsid w:val="00A22B5E"/>
    <w:rsid w:val="00A22E2E"/>
    <w:rsid w:val="00A23778"/>
    <w:rsid w:val="00A239E6"/>
    <w:rsid w:val="00A23A7D"/>
    <w:rsid w:val="00A23B78"/>
    <w:rsid w:val="00A23E0B"/>
    <w:rsid w:val="00A2449D"/>
    <w:rsid w:val="00A2462F"/>
    <w:rsid w:val="00A2505D"/>
    <w:rsid w:val="00A25F9B"/>
    <w:rsid w:val="00A2739B"/>
    <w:rsid w:val="00A2767F"/>
    <w:rsid w:val="00A30F4A"/>
    <w:rsid w:val="00A3138F"/>
    <w:rsid w:val="00A313FA"/>
    <w:rsid w:val="00A31C4C"/>
    <w:rsid w:val="00A3217F"/>
    <w:rsid w:val="00A32DBD"/>
    <w:rsid w:val="00A33741"/>
    <w:rsid w:val="00A35C6E"/>
    <w:rsid w:val="00A36C8C"/>
    <w:rsid w:val="00A40267"/>
    <w:rsid w:val="00A40A2C"/>
    <w:rsid w:val="00A41C2F"/>
    <w:rsid w:val="00A424AC"/>
    <w:rsid w:val="00A42620"/>
    <w:rsid w:val="00A42FA4"/>
    <w:rsid w:val="00A43D5F"/>
    <w:rsid w:val="00A44BE6"/>
    <w:rsid w:val="00A502FF"/>
    <w:rsid w:val="00A50377"/>
    <w:rsid w:val="00A511F0"/>
    <w:rsid w:val="00A51C96"/>
    <w:rsid w:val="00A52052"/>
    <w:rsid w:val="00A52300"/>
    <w:rsid w:val="00A53E68"/>
    <w:rsid w:val="00A5465B"/>
    <w:rsid w:val="00A54B7B"/>
    <w:rsid w:val="00A54E08"/>
    <w:rsid w:val="00A559EF"/>
    <w:rsid w:val="00A56B95"/>
    <w:rsid w:val="00A6000F"/>
    <w:rsid w:val="00A61AD5"/>
    <w:rsid w:val="00A61D9B"/>
    <w:rsid w:val="00A61F81"/>
    <w:rsid w:val="00A61FEA"/>
    <w:rsid w:val="00A623B3"/>
    <w:rsid w:val="00A636AB"/>
    <w:rsid w:val="00A65C5A"/>
    <w:rsid w:val="00A66059"/>
    <w:rsid w:val="00A671E3"/>
    <w:rsid w:val="00A700CC"/>
    <w:rsid w:val="00A708ED"/>
    <w:rsid w:val="00A71254"/>
    <w:rsid w:val="00A72104"/>
    <w:rsid w:val="00A7248A"/>
    <w:rsid w:val="00A724E1"/>
    <w:rsid w:val="00A72BB1"/>
    <w:rsid w:val="00A73158"/>
    <w:rsid w:val="00A75666"/>
    <w:rsid w:val="00A75DEB"/>
    <w:rsid w:val="00A75FCD"/>
    <w:rsid w:val="00A765C4"/>
    <w:rsid w:val="00A76F48"/>
    <w:rsid w:val="00A81A1C"/>
    <w:rsid w:val="00A8230E"/>
    <w:rsid w:val="00A823DC"/>
    <w:rsid w:val="00A82E8C"/>
    <w:rsid w:val="00A838CA"/>
    <w:rsid w:val="00A8542D"/>
    <w:rsid w:val="00A86C8D"/>
    <w:rsid w:val="00A87233"/>
    <w:rsid w:val="00A8754B"/>
    <w:rsid w:val="00A879FD"/>
    <w:rsid w:val="00A90658"/>
    <w:rsid w:val="00A9162D"/>
    <w:rsid w:val="00A91DD9"/>
    <w:rsid w:val="00A92342"/>
    <w:rsid w:val="00A96549"/>
    <w:rsid w:val="00A9671A"/>
    <w:rsid w:val="00A96822"/>
    <w:rsid w:val="00AA3732"/>
    <w:rsid w:val="00AA4C90"/>
    <w:rsid w:val="00AA5536"/>
    <w:rsid w:val="00AA61DA"/>
    <w:rsid w:val="00AA6478"/>
    <w:rsid w:val="00AA6720"/>
    <w:rsid w:val="00AA6864"/>
    <w:rsid w:val="00AB0041"/>
    <w:rsid w:val="00AB04E5"/>
    <w:rsid w:val="00AB170E"/>
    <w:rsid w:val="00AB350B"/>
    <w:rsid w:val="00AB416C"/>
    <w:rsid w:val="00AB4B5C"/>
    <w:rsid w:val="00AB4ED3"/>
    <w:rsid w:val="00AB596F"/>
    <w:rsid w:val="00AB6117"/>
    <w:rsid w:val="00AC145B"/>
    <w:rsid w:val="00AC231C"/>
    <w:rsid w:val="00AC311F"/>
    <w:rsid w:val="00AC3932"/>
    <w:rsid w:val="00AC46AE"/>
    <w:rsid w:val="00AC78A7"/>
    <w:rsid w:val="00AD0006"/>
    <w:rsid w:val="00AD0A52"/>
    <w:rsid w:val="00AD22C0"/>
    <w:rsid w:val="00AD2578"/>
    <w:rsid w:val="00AD4B66"/>
    <w:rsid w:val="00AD645F"/>
    <w:rsid w:val="00AD65C9"/>
    <w:rsid w:val="00AD6C1B"/>
    <w:rsid w:val="00AD6D24"/>
    <w:rsid w:val="00AD7E66"/>
    <w:rsid w:val="00AE5565"/>
    <w:rsid w:val="00AE610C"/>
    <w:rsid w:val="00AE6B74"/>
    <w:rsid w:val="00AE7059"/>
    <w:rsid w:val="00AE7445"/>
    <w:rsid w:val="00AF0287"/>
    <w:rsid w:val="00AF0810"/>
    <w:rsid w:val="00AF0BAF"/>
    <w:rsid w:val="00AF142A"/>
    <w:rsid w:val="00AF1455"/>
    <w:rsid w:val="00AF35FA"/>
    <w:rsid w:val="00AF492C"/>
    <w:rsid w:val="00AF606C"/>
    <w:rsid w:val="00AF61D4"/>
    <w:rsid w:val="00AF7140"/>
    <w:rsid w:val="00AF7945"/>
    <w:rsid w:val="00B00A3F"/>
    <w:rsid w:val="00B00AB7"/>
    <w:rsid w:val="00B00E25"/>
    <w:rsid w:val="00B00F51"/>
    <w:rsid w:val="00B00F76"/>
    <w:rsid w:val="00B01A2B"/>
    <w:rsid w:val="00B02CCF"/>
    <w:rsid w:val="00B03120"/>
    <w:rsid w:val="00B0328A"/>
    <w:rsid w:val="00B03372"/>
    <w:rsid w:val="00B037D0"/>
    <w:rsid w:val="00B05487"/>
    <w:rsid w:val="00B0591A"/>
    <w:rsid w:val="00B05A9A"/>
    <w:rsid w:val="00B05C53"/>
    <w:rsid w:val="00B05D93"/>
    <w:rsid w:val="00B076C1"/>
    <w:rsid w:val="00B07D35"/>
    <w:rsid w:val="00B10BBF"/>
    <w:rsid w:val="00B11677"/>
    <w:rsid w:val="00B1213E"/>
    <w:rsid w:val="00B13419"/>
    <w:rsid w:val="00B140A4"/>
    <w:rsid w:val="00B1481C"/>
    <w:rsid w:val="00B2090B"/>
    <w:rsid w:val="00B21D0F"/>
    <w:rsid w:val="00B232FE"/>
    <w:rsid w:val="00B2596F"/>
    <w:rsid w:val="00B273B8"/>
    <w:rsid w:val="00B277DD"/>
    <w:rsid w:val="00B27F81"/>
    <w:rsid w:val="00B30111"/>
    <w:rsid w:val="00B30126"/>
    <w:rsid w:val="00B32719"/>
    <w:rsid w:val="00B32B11"/>
    <w:rsid w:val="00B32DB3"/>
    <w:rsid w:val="00B33095"/>
    <w:rsid w:val="00B3348E"/>
    <w:rsid w:val="00B3386F"/>
    <w:rsid w:val="00B3458F"/>
    <w:rsid w:val="00B3464B"/>
    <w:rsid w:val="00B35402"/>
    <w:rsid w:val="00B35628"/>
    <w:rsid w:val="00B36BC0"/>
    <w:rsid w:val="00B41A60"/>
    <w:rsid w:val="00B42584"/>
    <w:rsid w:val="00B425E1"/>
    <w:rsid w:val="00B42FE7"/>
    <w:rsid w:val="00B43708"/>
    <w:rsid w:val="00B44F97"/>
    <w:rsid w:val="00B45397"/>
    <w:rsid w:val="00B459A5"/>
    <w:rsid w:val="00B46A58"/>
    <w:rsid w:val="00B46B32"/>
    <w:rsid w:val="00B47A4D"/>
    <w:rsid w:val="00B508E5"/>
    <w:rsid w:val="00B52182"/>
    <w:rsid w:val="00B53402"/>
    <w:rsid w:val="00B53809"/>
    <w:rsid w:val="00B56189"/>
    <w:rsid w:val="00B60643"/>
    <w:rsid w:val="00B6074F"/>
    <w:rsid w:val="00B60995"/>
    <w:rsid w:val="00B60F97"/>
    <w:rsid w:val="00B61BD2"/>
    <w:rsid w:val="00B62708"/>
    <w:rsid w:val="00B639B9"/>
    <w:rsid w:val="00B64D11"/>
    <w:rsid w:val="00B66700"/>
    <w:rsid w:val="00B67620"/>
    <w:rsid w:val="00B67AC5"/>
    <w:rsid w:val="00B7046A"/>
    <w:rsid w:val="00B73D14"/>
    <w:rsid w:val="00B7414B"/>
    <w:rsid w:val="00B74565"/>
    <w:rsid w:val="00B755A8"/>
    <w:rsid w:val="00B7692E"/>
    <w:rsid w:val="00B76D1A"/>
    <w:rsid w:val="00B8040E"/>
    <w:rsid w:val="00B81F83"/>
    <w:rsid w:val="00B82411"/>
    <w:rsid w:val="00B82C93"/>
    <w:rsid w:val="00B8448D"/>
    <w:rsid w:val="00B845C2"/>
    <w:rsid w:val="00B84683"/>
    <w:rsid w:val="00B84A56"/>
    <w:rsid w:val="00B84F1C"/>
    <w:rsid w:val="00B87CD9"/>
    <w:rsid w:val="00B87E57"/>
    <w:rsid w:val="00B92423"/>
    <w:rsid w:val="00B93FEA"/>
    <w:rsid w:val="00B94A6C"/>
    <w:rsid w:val="00B94FC9"/>
    <w:rsid w:val="00B95A19"/>
    <w:rsid w:val="00B95D4D"/>
    <w:rsid w:val="00B96C05"/>
    <w:rsid w:val="00B97126"/>
    <w:rsid w:val="00BA043A"/>
    <w:rsid w:val="00BA0943"/>
    <w:rsid w:val="00BA0DE8"/>
    <w:rsid w:val="00BA101D"/>
    <w:rsid w:val="00BA225C"/>
    <w:rsid w:val="00BA2266"/>
    <w:rsid w:val="00BA259C"/>
    <w:rsid w:val="00BA29CB"/>
    <w:rsid w:val="00BA40AE"/>
    <w:rsid w:val="00BA63CD"/>
    <w:rsid w:val="00BA7BBE"/>
    <w:rsid w:val="00BA7CF5"/>
    <w:rsid w:val="00BB003D"/>
    <w:rsid w:val="00BB0BC4"/>
    <w:rsid w:val="00BB157A"/>
    <w:rsid w:val="00BB2A65"/>
    <w:rsid w:val="00BB340B"/>
    <w:rsid w:val="00BB3577"/>
    <w:rsid w:val="00BB4406"/>
    <w:rsid w:val="00BB59A6"/>
    <w:rsid w:val="00BB5C2D"/>
    <w:rsid w:val="00BB7716"/>
    <w:rsid w:val="00BB78A4"/>
    <w:rsid w:val="00BC09CF"/>
    <w:rsid w:val="00BC48E5"/>
    <w:rsid w:val="00BC56DD"/>
    <w:rsid w:val="00BD20B8"/>
    <w:rsid w:val="00BD27CA"/>
    <w:rsid w:val="00BD3431"/>
    <w:rsid w:val="00BD5173"/>
    <w:rsid w:val="00BD5673"/>
    <w:rsid w:val="00BD59BC"/>
    <w:rsid w:val="00BD6A91"/>
    <w:rsid w:val="00BD74DA"/>
    <w:rsid w:val="00BD7E73"/>
    <w:rsid w:val="00BE06BB"/>
    <w:rsid w:val="00BE211D"/>
    <w:rsid w:val="00BE2AA0"/>
    <w:rsid w:val="00BE383E"/>
    <w:rsid w:val="00BE38CC"/>
    <w:rsid w:val="00BE3935"/>
    <w:rsid w:val="00BE4880"/>
    <w:rsid w:val="00BE5080"/>
    <w:rsid w:val="00BE6367"/>
    <w:rsid w:val="00BE63D3"/>
    <w:rsid w:val="00BE7873"/>
    <w:rsid w:val="00BF1E02"/>
    <w:rsid w:val="00BF2133"/>
    <w:rsid w:val="00BF287B"/>
    <w:rsid w:val="00BF2B36"/>
    <w:rsid w:val="00BF3762"/>
    <w:rsid w:val="00BF3B59"/>
    <w:rsid w:val="00BF4CA8"/>
    <w:rsid w:val="00BF5E25"/>
    <w:rsid w:val="00BF67BA"/>
    <w:rsid w:val="00BF792B"/>
    <w:rsid w:val="00BF7B52"/>
    <w:rsid w:val="00C007AE"/>
    <w:rsid w:val="00C01FB8"/>
    <w:rsid w:val="00C038B5"/>
    <w:rsid w:val="00C0430F"/>
    <w:rsid w:val="00C057B7"/>
    <w:rsid w:val="00C072BF"/>
    <w:rsid w:val="00C10018"/>
    <w:rsid w:val="00C10262"/>
    <w:rsid w:val="00C104B3"/>
    <w:rsid w:val="00C11675"/>
    <w:rsid w:val="00C11B9E"/>
    <w:rsid w:val="00C11ED9"/>
    <w:rsid w:val="00C11FF7"/>
    <w:rsid w:val="00C1252D"/>
    <w:rsid w:val="00C1471C"/>
    <w:rsid w:val="00C15E27"/>
    <w:rsid w:val="00C17102"/>
    <w:rsid w:val="00C20472"/>
    <w:rsid w:val="00C206FD"/>
    <w:rsid w:val="00C20974"/>
    <w:rsid w:val="00C218A3"/>
    <w:rsid w:val="00C245C2"/>
    <w:rsid w:val="00C24B9A"/>
    <w:rsid w:val="00C25318"/>
    <w:rsid w:val="00C25659"/>
    <w:rsid w:val="00C2683D"/>
    <w:rsid w:val="00C26A14"/>
    <w:rsid w:val="00C3051A"/>
    <w:rsid w:val="00C31017"/>
    <w:rsid w:val="00C34AEF"/>
    <w:rsid w:val="00C35CE9"/>
    <w:rsid w:val="00C3632B"/>
    <w:rsid w:val="00C366CA"/>
    <w:rsid w:val="00C36B8C"/>
    <w:rsid w:val="00C37099"/>
    <w:rsid w:val="00C408E0"/>
    <w:rsid w:val="00C41E66"/>
    <w:rsid w:val="00C42AFB"/>
    <w:rsid w:val="00C431FC"/>
    <w:rsid w:val="00C44519"/>
    <w:rsid w:val="00C44FE4"/>
    <w:rsid w:val="00C47434"/>
    <w:rsid w:val="00C47A6A"/>
    <w:rsid w:val="00C50D9E"/>
    <w:rsid w:val="00C51545"/>
    <w:rsid w:val="00C51CC9"/>
    <w:rsid w:val="00C51E3E"/>
    <w:rsid w:val="00C5479E"/>
    <w:rsid w:val="00C54F85"/>
    <w:rsid w:val="00C553B5"/>
    <w:rsid w:val="00C57226"/>
    <w:rsid w:val="00C573AC"/>
    <w:rsid w:val="00C609A3"/>
    <w:rsid w:val="00C6178F"/>
    <w:rsid w:val="00C61931"/>
    <w:rsid w:val="00C6197A"/>
    <w:rsid w:val="00C61BE0"/>
    <w:rsid w:val="00C64B59"/>
    <w:rsid w:val="00C65481"/>
    <w:rsid w:val="00C65617"/>
    <w:rsid w:val="00C65ADD"/>
    <w:rsid w:val="00C66DE5"/>
    <w:rsid w:val="00C70248"/>
    <w:rsid w:val="00C71503"/>
    <w:rsid w:val="00C71EFB"/>
    <w:rsid w:val="00C72391"/>
    <w:rsid w:val="00C72A3D"/>
    <w:rsid w:val="00C72DC8"/>
    <w:rsid w:val="00C7335A"/>
    <w:rsid w:val="00C7456D"/>
    <w:rsid w:val="00C74EA5"/>
    <w:rsid w:val="00C753C3"/>
    <w:rsid w:val="00C7549F"/>
    <w:rsid w:val="00C762F7"/>
    <w:rsid w:val="00C801FD"/>
    <w:rsid w:val="00C8089F"/>
    <w:rsid w:val="00C82175"/>
    <w:rsid w:val="00C829A9"/>
    <w:rsid w:val="00C8411C"/>
    <w:rsid w:val="00C846EC"/>
    <w:rsid w:val="00C8499C"/>
    <w:rsid w:val="00C84AF1"/>
    <w:rsid w:val="00C84FE9"/>
    <w:rsid w:val="00C91232"/>
    <w:rsid w:val="00C91379"/>
    <w:rsid w:val="00C91FF7"/>
    <w:rsid w:val="00C93820"/>
    <w:rsid w:val="00C93E7A"/>
    <w:rsid w:val="00C95C15"/>
    <w:rsid w:val="00C96957"/>
    <w:rsid w:val="00C96E14"/>
    <w:rsid w:val="00C9724F"/>
    <w:rsid w:val="00C9768A"/>
    <w:rsid w:val="00CA061C"/>
    <w:rsid w:val="00CA1B52"/>
    <w:rsid w:val="00CA2996"/>
    <w:rsid w:val="00CA2D36"/>
    <w:rsid w:val="00CA30F1"/>
    <w:rsid w:val="00CA31C9"/>
    <w:rsid w:val="00CA7608"/>
    <w:rsid w:val="00CB0658"/>
    <w:rsid w:val="00CB14F7"/>
    <w:rsid w:val="00CB2CD8"/>
    <w:rsid w:val="00CB386A"/>
    <w:rsid w:val="00CB395F"/>
    <w:rsid w:val="00CB3D61"/>
    <w:rsid w:val="00CB4B3A"/>
    <w:rsid w:val="00CC095B"/>
    <w:rsid w:val="00CC12E7"/>
    <w:rsid w:val="00CC3B46"/>
    <w:rsid w:val="00CC3C39"/>
    <w:rsid w:val="00CC4A58"/>
    <w:rsid w:val="00CC54B7"/>
    <w:rsid w:val="00CC6412"/>
    <w:rsid w:val="00CC6E74"/>
    <w:rsid w:val="00CC724F"/>
    <w:rsid w:val="00CC7624"/>
    <w:rsid w:val="00CD0D4B"/>
    <w:rsid w:val="00CD278A"/>
    <w:rsid w:val="00CD2CF8"/>
    <w:rsid w:val="00CD34A4"/>
    <w:rsid w:val="00CD40FD"/>
    <w:rsid w:val="00CD47C9"/>
    <w:rsid w:val="00CD4C17"/>
    <w:rsid w:val="00CD5C8F"/>
    <w:rsid w:val="00CD6B31"/>
    <w:rsid w:val="00CE2C5E"/>
    <w:rsid w:val="00CE2DD1"/>
    <w:rsid w:val="00CE3E6C"/>
    <w:rsid w:val="00CE3F87"/>
    <w:rsid w:val="00CE6AAA"/>
    <w:rsid w:val="00CE6E09"/>
    <w:rsid w:val="00CE701B"/>
    <w:rsid w:val="00CE72CC"/>
    <w:rsid w:val="00CF0BD0"/>
    <w:rsid w:val="00CF1F38"/>
    <w:rsid w:val="00CF229C"/>
    <w:rsid w:val="00CF2B44"/>
    <w:rsid w:val="00CF326A"/>
    <w:rsid w:val="00CF3C48"/>
    <w:rsid w:val="00CF5D79"/>
    <w:rsid w:val="00CF5FA3"/>
    <w:rsid w:val="00CF62F1"/>
    <w:rsid w:val="00CF782B"/>
    <w:rsid w:val="00CF7A2C"/>
    <w:rsid w:val="00D001B0"/>
    <w:rsid w:val="00D0072B"/>
    <w:rsid w:val="00D010FA"/>
    <w:rsid w:val="00D01B33"/>
    <w:rsid w:val="00D01F7F"/>
    <w:rsid w:val="00D051D7"/>
    <w:rsid w:val="00D06F24"/>
    <w:rsid w:val="00D1028D"/>
    <w:rsid w:val="00D1104B"/>
    <w:rsid w:val="00D112F5"/>
    <w:rsid w:val="00D11FF1"/>
    <w:rsid w:val="00D136E3"/>
    <w:rsid w:val="00D13A5A"/>
    <w:rsid w:val="00D146B3"/>
    <w:rsid w:val="00D16DBA"/>
    <w:rsid w:val="00D17551"/>
    <w:rsid w:val="00D17C53"/>
    <w:rsid w:val="00D17DA8"/>
    <w:rsid w:val="00D20AA7"/>
    <w:rsid w:val="00D20B27"/>
    <w:rsid w:val="00D21172"/>
    <w:rsid w:val="00D223DA"/>
    <w:rsid w:val="00D23D5E"/>
    <w:rsid w:val="00D24DB5"/>
    <w:rsid w:val="00D25A18"/>
    <w:rsid w:val="00D25BD0"/>
    <w:rsid w:val="00D26560"/>
    <w:rsid w:val="00D271D7"/>
    <w:rsid w:val="00D27C66"/>
    <w:rsid w:val="00D3179B"/>
    <w:rsid w:val="00D3257B"/>
    <w:rsid w:val="00D33117"/>
    <w:rsid w:val="00D342C3"/>
    <w:rsid w:val="00D362E6"/>
    <w:rsid w:val="00D36930"/>
    <w:rsid w:val="00D36A7D"/>
    <w:rsid w:val="00D36CAE"/>
    <w:rsid w:val="00D37A74"/>
    <w:rsid w:val="00D37FC0"/>
    <w:rsid w:val="00D402C0"/>
    <w:rsid w:val="00D4339D"/>
    <w:rsid w:val="00D4422B"/>
    <w:rsid w:val="00D467E4"/>
    <w:rsid w:val="00D47A69"/>
    <w:rsid w:val="00D50D1B"/>
    <w:rsid w:val="00D51516"/>
    <w:rsid w:val="00D51782"/>
    <w:rsid w:val="00D51C73"/>
    <w:rsid w:val="00D52881"/>
    <w:rsid w:val="00D5310A"/>
    <w:rsid w:val="00D531CA"/>
    <w:rsid w:val="00D54983"/>
    <w:rsid w:val="00D5564A"/>
    <w:rsid w:val="00D55996"/>
    <w:rsid w:val="00D5689D"/>
    <w:rsid w:val="00D56A3A"/>
    <w:rsid w:val="00D56A9B"/>
    <w:rsid w:val="00D608A7"/>
    <w:rsid w:val="00D60CB8"/>
    <w:rsid w:val="00D63687"/>
    <w:rsid w:val="00D63930"/>
    <w:rsid w:val="00D63AF8"/>
    <w:rsid w:val="00D63E94"/>
    <w:rsid w:val="00D64019"/>
    <w:rsid w:val="00D64F12"/>
    <w:rsid w:val="00D64F63"/>
    <w:rsid w:val="00D66DA8"/>
    <w:rsid w:val="00D713D7"/>
    <w:rsid w:val="00D746FD"/>
    <w:rsid w:val="00D74EA5"/>
    <w:rsid w:val="00D75D75"/>
    <w:rsid w:val="00D75F5C"/>
    <w:rsid w:val="00D7713E"/>
    <w:rsid w:val="00D774B6"/>
    <w:rsid w:val="00D777F7"/>
    <w:rsid w:val="00D77B91"/>
    <w:rsid w:val="00D77C08"/>
    <w:rsid w:val="00D808E1"/>
    <w:rsid w:val="00D80A54"/>
    <w:rsid w:val="00D80CFE"/>
    <w:rsid w:val="00D81591"/>
    <w:rsid w:val="00D820E1"/>
    <w:rsid w:val="00D83D8A"/>
    <w:rsid w:val="00D84FDD"/>
    <w:rsid w:val="00D859CA"/>
    <w:rsid w:val="00D85AD3"/>
    <w:rsid w:val="00D86BB2"/>
    <w:rsid w:val="00D90759"/>
    <w:rsid w:val="00D90A78"/>
    <w:rsid w:val="00D927BB"/>
    <w:rsid w:val="00D9756C"/>
    <w:rsid w:val="00DA00B0"/>
    <w:rsid w:val="00DA06A2"/>
    <w:rsid w:val="00DA0E46"/>
    <w:rsid w:val="00DA282F"/>
    <w:rsid w:val="00DA2D13"/>
    <w:rsid w:val="00DA304A"/>
    <w:rsid w:val="00DA7E9A"/>
    <w:rsid w:val="00DB1932"/>
    <w:rsid w:val="00DB1F8B"/>
    <w:rsid w:val="00DB36DB"/>
    <w:rsid w:val="00DB58D8"/>
    <w:rsid w:val="00DB5EA4"/>
    <w:rsid w:val="00DB64B6"/>
    <w:rsid w:val="00DB66D0"/>
    <w:rsid w:val="00DB6B2F"/>
    <w:rsid w:val="00DB748F"/>
    <w:rsid w:val="00DB77A8"/>
    <w:rsid w:val="00DB7E76"/>
    <w:rsid w:val="00DC31BF"/>
    <w:rsid w:val="00DC3A48"/>
    <w:rsid w:val="00DC3BDB"/>
    <w:rsid w:val="00DC642D"/>
    <w:rsid w:val="00DC7891"/>
    <w:rsid w:val="00DD0F47"/>
    <w:rsid w:val="00DD234F"/>
    <w:rsid w:val="00DD269F"/>
    <w:rsid w:val="00DD3324"/>
    <w:rsid w:val="00DE03FC"/>
    <w:rsid w:val="00DE1A75"/>
    <w:rsid w:val="00DE21FA"/>
    <w:rsid w:val="00DE31D8"/>
    <w:rsid w:val="00DE46F6"/>
    <w:rsid w:val="00DE4732"/>
    <w:rsid w:val="00DE4BBB"/>
    <w:rsid w:val="00DE4CFF"/>
    <w:rsid w:val="00DE616B"/>
    <w:rsid w:val="00DE622C"/>
    <w:rsid w:val="00DE6A3F"/>
    <w:rsid w:val="00DE733B"/>
    <w:rsid w:val="00DE76C3"/>
    <w:rsid w:val="00DE79C3"/>
    <w:rsid w:val="00DF07DA"/>
    <w:rsid w:val="00DF0C56"/>
    <w:rsid w:val="00DF1527"/>
    <w:rsid w:val="00DF194E"/>
    <w:rsid w:val="00DF2058"/>
    <w:rsid w:val="00DF2343"/>
    <w:rsid w:val="00DF5EE4"/>
    <w:rsid w:val="00E00CF3"/>
    <w:rsid w:val="00E00D8E"/>
    <w:rsid w:val="00E00F09"/>
    <w:rsid w:val="00E01809"/>
    <w:rsid w:val="00E01E82"/>
    <w:rsid w:val="00E029CC"/>
    <w:rsid w:val="00E043BC"/>
    <w:rsid w:val="00E05A43"/>
    <w:rsid w:val="00E05D0B"/>
    <w:rsid w:val="00E060F1"/>
    <w:rsid w:val="00E0680A"/>
    <w:rsid w:val="00E0791F"/>
    <w:rsid w:val="00E07A06"/>
    <w:rsid w:val="00E10A4B"/>
    <w:rsid w:val="00E12136"/>
    <w:rsid w:val="00E13393"/>
    <w:rsid w:val="00E13B59"/>
    <w:rsid w:val="00E14D03"/>
    <w:rsid w:val="00E15181"/>
    <w:rsid w:val="00E161F0"/>
    <w:rsid w:val="00E1643A"/>
    <w:rsid w:val="00E165E3"/>
    <w:rsid w:val="00E171D8"/>
    <w:rsid w:val="00E1791D"/>
    <w:rsid w:val="00E17C10"/>
    <w:rsid w:val="00E20EF3"/>
    <w:rsid w:val="00E217D2"/>
    <w:rsid w:val="00E217DA"/>
    <w:rsid w:val="00E21AF6"/>
    <w:rsid w:val="00E21E57"/>
    <w:rsid w:val="00E2396A"/>
    <w:rsid w:val="00E23E06"/>
    <w:rsid w:val="00E23E66"/>
    <w:rsid w:val="00E242AB"/>
    <w:rsid w:val="00E25F38"/>
    <w:rsid w:val="00E267D3"/>
    <w:rsid w:val="00E2756B"/>
    <w:rsid w:val="00E30100"/>
    <w:rsid w:val="00E31518"/>
    <w:rsid w:val="00E3170D"/>
    <w:rsid w:val="00E3237E"/>
    <w:rsid w:val="00E323EB"/>
    <w:rsid w:val="00E33140"/>
    <w:rsid w:val="00E346C5"/>
    <w:rsid w:val="00E34F55"/>
    <w:rsid w:val="00E357A1"/>
    <w:rsid w:val="00E35E52"/>
    <w:rsid w:val="00E36536"/>
    <w:rsid w:val="00E36796"/>
    <w:rsid w:val="00E368CE"/>
    <w:rsid w:val="00E36DE9"/>
    <w:rsid w:val="00E40D48"/>
    <w:rsid w:val="00E45B8E"/>
    <w:rsid w:val="00E45E29"/>
    <w:rsid w:val="00E46130"/>
    <w:rsid w:val="00E46D4E"/>
    <w:rsid w:val="00E47AAC"/>
    <w:rsid w:val="00E50BA5"/>
    <w:rsid w:val="00E5394B"/>
    <w:rsid w:val="00E54ACC"/>
    <w:rsid w:val="00E5580F"/>
    <w:rsid w:val="00E5642E"/>
    <w:rsid w:val="00E56B8D"/>
    <w:rsid w:val="00E61469"/>
    <w:rsid w:val="00E61748"/>
    <w:rsid w:val="00E62FFF"/>
    <w:rsid w:val="00E641C2"/>
    <w:rsid w:val="00E648DE"/>
    <w:rsid w:val="00E64B28"/>
    <w:rsid w:val="00E67745"/>
    <w:rsid w:val="00E702AD"/>
    <w:rsid w:val="00E7073C"/>
    <w:rsid w:val="00E720E4"/>
    <w:rsid w:val="00E75C1A"/>
    <w:rsid w:val="00E77889"/>
    <w:rsid w:val="00E80068"/>
    <w:rsid w:val="00E81117"/>
    <w:rsid w:val="00E8360A"/>
    <w:rsid w:val="00E84AA8"/>
    <w:rsid w:val="00E86B65"/>
    <w:rsid w:val="00E872C5"/>
    <w:rsid w:val="00E91027"/>
    <w:rsid w:val="00E93345"/>
    <w:rsid w:val="00E9349C"/>
    <w:rsid w:val="00E9412E"/>
    <w:rsid w:val="00E955FC"/>
    <w:rsid w:val="00E95C54"/>
    <w:rsid w:val="00E95D4B"/>
    <w:rsid w:val="00E97134"/>
    <w:rsid w:val="00EA0732"/>
    <w:rsid w:val="00EA2DE0"/>
    <w:rsid w:val="00EA443C"/>
    <w:rsid w:val="00EA544E"/>
    <w:rsid w:val="00EA5DDA"/>
    <w:rsid w:val="00EA68B8"/>
    <w:rsid w:val="00EA6D7E"/>
    <w:rsid w:val="00EA7F0B"/>
    <w:rsid w:val="00EB01ED"/>
    <w:rsid w:val="00EB18EE"/>
    <w:rsid w:val="00EB2982"/>
    <w:rsid w:val="00EB3545"/>
    <w:rsid w:val="00EB4045"/>
    <w:rsid w:val="00EB5337"/>
    <w:rsid w:val="00EB572E"/>
    <w:rsid w:val="00EB784C"/>
    <w:rsid w:val="00EB7B65"/>
    <w:rsid w:val="00EB7E67"/>
    <w:rsid w:val="00EC0D69"/>
    <w:rsid w:val="00EC1322"/>
    <w:rsid w:val="00EC19B2"/>
    <w:rsid w:val="00EC2A1A"/>
    <w:rsid w:val="00EC391B"/>
    <w:rsid w:val="00EC6039"/>
    <w:rsid w:val="00EC6C90"/>
    <w:rsid w:val="00EC7C5E"/>
    <w:rsid w:val="00ED20D4"/>
    <w:rsid w:val="00ED259C"/>
    <w:rsid w:val="00ED2F03"/>
    <w:rsid w:val="00ED37F6"/>
    <w:rsid w:val="00ED3F12"/>
    <w:rsid w:val="00ED4BBC"/>
    <w:rsid w:val="00ED69F5"/>
    <w:rsid w:val="00ED6FF6"/>
    <w:rsid w:val="00EE01B7"/>
    <w:rsid w:val="00EE024A"/>
    <w:rsid w:val="00EE04DF"/>
    <w:rsid w:val="00EE2793"/>
    <w:rsid w:val="00EE2F67"/>
    <w:rsid w:val="00EE3DC6"/>
    <w:rsid w:val="00EE4063"/>
    <w:rsid w:val="00EE4375"/>
    <w:rsid w:val="00EE6733"/>
    <w:rsid w:val="00EE7921"/>
    <w:rsid w:val="00EF0066"/>
    <w:rsid w:val="00EF095D"/>
    <w:rsid w:val="00EF1AA4"/>
    <w:rsid w:val="00EF1BEB"/>
    <w:rsid w:val="00EF1D7A"/>
    <w:rsid w:val="00EF26AA"/>
    <w:rsid w:val="00EF2B01"/>
    <w:rsid w:val="00EF515A"/>
    <w:rsid w:val="00EF678F"/>
    <w:rsid w:val="00F0265D"/>
    <w:rsid w:val="00F02737"/>
    <w:rsid w:val="00F039F3"/>
    <w:rsid w:val="00F04121"/>
    <w:rsid w:val="00F042C7"/>
    <w:rsid w:val="00F0538B"/>
    <w:rsid w:val="00F07488"/>
    <w:rsid w:val="00F07EA0"/>
    <w:rsid w:val="00F07EE9"/>
    <w:rsid w:val="00F1003D"/>
    <w:rsid w:val="00F111C0"/>
    <w:rsid w:val="00F119FA"/>
    <w:rsid w:val="00F11A18"/>
    <w:rsid w:val="00F13122"/>
    <w:rsid w:val="00F137FE"/>
    <w:rsid w:val="00F13E1C"/>
    <w:rsid w:val="00F1530D"/>
    <w:rsid w:val="00F15602"/>
    <w:rsid w:val="00F15BEF"/>
    <w:rsid w:val="00F20C69"/>
    <w:rsid w:val="00F22C1E"/>
    <w:rsid w:val="00F23B4D"/>
    <w:rsid w:val="00F253C7"/>
    <w:rsid w:val="00F265F1"/>
    <w:rsid w:val="00F269CE"/>
    <w:rsid w:val="00F26D20"/>
    <w:rsid w:val="00F279C9"/>
    <w:rsid w:val="00F279E2"/>
    <w:rsid w:val="00F3056C"/>
    <w:rsid w:val="00F30AA7"/>
    <w:rsid w:val="00F324CE"/>
    <w:rsid w:val="00F327DB"/>
    <w:rsid w:val="00F331C4"/>
    <w:rsid w:val="00F34E4A"/>
    <w:rsid w:val="00F35A38"/>
    <w:rsid w:val="00F360CB"/>
    <w:rsid w:val="00F370A8"/>
    <w:rsid w:val="00F37F7E"/>
    <w:rsid w:val="00F42C6F"/>
    <w:rsid w:val="00F43578"/>
    <w:rsid w:val="00F43B21"/>
    <w:rsid w:val="00F4401D"/>
    <w:rsid w:val="00F455DC"/>
    <w:rsid w:val="00F46ECB"/>
    <w:rsid w:val="00F4779E"/>
    <w:rsid w:val="00F47814"/>
    <w:rsid w:val="00F53A95"/>
    <w:rsid w:val="00F540E7"/>
    <w:rsid w:val="00F54F90"/>
    <w:rsid w:val="00F55D02"/>
    <w:rsid w:val="00F564A7"/>
    <w:rsid w:val="00F573D4"/>
    <w:rsid w:val="00F57847"/>
    <w:rsid w:val="00F6026C"/>
    <w:rsid w:val="00F60A2C"/>
    <w:rsid w:val="00F62952"/>
    <w:rsid w:val="00F62D86"/>
    <w:rsid w:val="00F63103"/>
    <w:rsid w:val="00F63310"/>
    <w:rsid w:val="00F63D82"/>
    <w:rsid w:val="00F64D4F"/>
    <w:rsid w:val="00F64E9A"/>
    <w:rsid w:val="00F652B6"/>
    <w:rsid w:val="00F67C98"/>
    <w:rsid w:val="00F67FF9"/>
    <w:rsid w:val="00F72906"/>
    <w:rsid w:val="00F7304D"/>
    <w:rsid w:val="00F7540E"/>
    <w:rsid w:val="00F75F39"/>
    <w:rsid w:val="00F76C63"/>
    <w:rsid w:val="00F76DCD"/>
    <w:rsid w:val="00F77D92"/>
    <w:rsid w:val="00F80460"/>
    <w:rsid w:val="00F81D28"/>
    <w:rsid w:val="00F82B9B"/>
    <w:rsid w:val="00F83055"/>
    <w:rsid w:val="00F8405A"/>
    <w:rsid w:val="00F84C35"/>
    <w:rsid w:val="00F857CD"/>
    <w:rsid w:val="00F87217"/>
    <w:rsid w:val="00F873CE"/>
    <w:rsid w:val="00F87CA3"/>
    <w:rsid w:val="00F87F6F"/>
    <w:rsid w:val="00F903A3"/>
    <w:rsid w:val="00F90453"/>
    <w:rsid w:val="00F91BD4"/>
    <w:rsid w:val="00F91DBE"/>
    <w:rsid w:val="00F91E0B"/>
    <w:rsid w:val="00F92CFF"/>
    <w:rsid w:val="00F93013"/>
    <w:rsid w:val="00F93E87"/>
    <w:rsid w:val="00F94EA2"/>
    <w:rsid w:val="00F95426"/>
    <w:rsid w:val="00FA18A5"/>
    <w:rsid w:val="00FA3894"/>
    <w:rsid w:val="00FA3D39"/>
    <w:rsid w:val="00FA4654"/>
    <w:rsid w:val="00FA5A46"/>
    <w:rsid w:val="00FA6BE6"/>
    <w:rsid w:val="00FB0955"/>
    <w:rsid w:val="00FB0D42"/>
    <w:rsid w:val="00FB116C"/>
    <w:rsid w:val="00FB2708"/>
    <w:rsid w:val="00FB273F"/>
    <w:rsid w:val="00FB501E"/>
    <w:rsid w:val="00FB5D10"/>
    <w:rsid w:val="00FB6916"/>
    <w:rsid w:val="00FB7095"/>
    <w:rsid w:val="00FC0A79"/>
    <w:rsid w:val="00FC11EF"/>
    <w:rsid w:val="00FC1EB4"/>
    <w:rsid w:val="00FC22DF"/>
    <w:rsid w:val="00FC65C4"/>
    <w:rsid w:val="00FC6B2A"/>
    <w:rsid w:val="00FC71D9"/>
    <w:rsid w:val="00FD0B70"/>
    <w:rsid w:val="00FD1197"/>
    <w:rsid w:val="00FD17A0"/>
    <w:rsid w:val="00FD3450"/>
    <w:rsid w:val="00FD35B3"/>
    <w:rsid w:val="00FD41CD"/>
    <w:rsid w:val="00FD4846"/>
    <w:rsid w:val="00FD4A05"/>
    <w:rsid w:val="00FD4A7A"/>
    <w:rsid w:val="00FD6303"/>
    <w:rsid w:val="00FD6A64"/>
    <w:rsid w:val="00FD6C6A"/>
    <w:rsid w:val="00FE086E"/>
    <w:rsid w:val="00FE09A0"/>
    <w:rsid w:val="00FE0DD1"/>
    <w:rsid w:val="00FE1B60"/>
    <w:rsid w:val="00FE1E10"/>
    <w:rsid w:val="00FE2A89"/>
    <w:rsid w:val="00FE2C4C"/>
    <w:rsid w:val="00FE2E62"/>
    <w:rsid w:val="00FE4162"/>
    <w:rsid w:val="00FE6A03"/>
    <w:rsid w:val="00FE6DCF"/>
    <w:rsid w:val="00FE7CED"/>
    <w:rsid w:val="00FE7E58"/>
    <w:rsid w:val="00FE7F3C"/>
    <w:rsid w:val="00FF391E"/>
    <w:rsid w:val="00FF4119"/>
    <w:rsid w:val="00FF47B3"/>
    <w:rsid w:val="00FF6FF1"/>
    <w:rsid w:val="00FF78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42CB1D"/>
  <w15:docId w15:val="{D0125C40-ABA9-455E-A38F-83408FBE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sid w:val="00F37F7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uiPriority w:val="99"/>
    <w:rsid w:val="00F37F7E"/>
    <w:pPr>
      <w:tabs>
        <w:tab w:val="center" w:pos="4153"/>
        <w:tab w:val="right" w:pos="8306"/>
      </w:tabs>
    </w:pPr>
  </w:style>
  <w:style w:type="character" w:customStyle="1" w:styleId="KjeneRakstz">
    <w:name w:val="Kājene Rakstz."/>
    <w:basedOn w:val="Noklusjumarindkopasfonts"/>
    <w:link w:val="Kjene"/>
    <w:uiPriority w:val="99"/>
    <w:locked/>
    <w:rsid w:val="00F37F7E"/>
    <w:rPr>
      <w:sz w:val="24"/>
      <w:szCs w:val="24"/>
      <w:lang w:val="lv-LV" w:eastAsia="lv-LV" w:bidi="ar-SA"/>
    </w:rPr>
  </w:style>
  <w:style w:type="character" w:styleId="Hipersaite">
    <w:name w:val="Hyperlink"/>
    <w:basedOn w:val="Noklusjumarindkopasfonts"/>
    <w:uiPriority w:val="99"/>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rsid w:val="005A771C"/>
    <w:rPr>
      <w:sz w:val="16"/>
      <w:szCs w:val="16"/>
    </w:rPr>
  </w:style>
  <w:style w:type="paragraph" w:styleId="Komentrateksts">
    <w:name w:val="annotation text"/>
    <w:basedOn w:val="Parasts"/>
    <w:link w:val="KomentratekstsRakstz"/>
    <w:rsid w:val="005A771C"/>
    <w:rPr>
      <w:sz w:val="20"/>
      <w:szCs w:val="20"/>
    </w:rPr>
  </w:style>
  <w:style w:type="character" w:customStyle="1" w:styleId="KomentratekstsRakstz">
    <w:name w:val="Komentāra teksts Rakstz."/>
    <w:basedOn w:val="Noklusjumarindkopasfonts"/>
    <w:link w:val="Komentrateksts"/>
    <w:rsid w:val="005A771C"/>
  </w:style>
  <w:style w:type="paragraph" w:styleId="Komentratma">
    <w:name w:val="annotation subject"/>
    <w:basedOn w:val="Komentrateksts"/>
    <w:next w:val="Komentrateksts"/>
    <w:link w:val="KomentratmaRakstz"/>
    <w:rsid w:val="005A771C"/>
    <w:rPr>
      <w:b/>
      <w:bCs/>
    </w:rPr>
  </w:style>
  <w:style w:type="character" w:customStyle="1" w:styleId="KomentratmaRakstz">
    <w:name w:val="Komentāra tēma Rakstz."/>
    <w:basedOn w:val="KomentratekstsRakstz"/>
    <w:link w:val="Komentratma"/>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uiPriority w:val="99"/>
    <w:rsid w:val="00350004"/>
    <w:pPr>
      <w:spacing w:before="100" w:beforeAutospacing="1" w:after="100" w:afterAutospacing="1"/>
    </w:pPr>
  </w:style>
  <w:style w:type="paragraph" w:styleId="Vresteksts">
    <w:name w:val="footnote text"/>
    <w:basedOn w:val="Parasts"/>
    <w:rsid w:val="00B60F97"/>
    <w:pPr>
      <w:jc w:val="both"/>
    </w:pPr>
    <w:rPr>
      <w:sz w:val="20"/>
      <w:szCs w:val="20"/>
      <w:lang w:eastAsia="en-US"/>
    </w:rPr>
  </w:style>
  <w:style w:type="character" w:styleId="Vresatsauce">
    <w:name w:val="footnote reference"/>
    <w:rsid w:val="00B60F97"/>
    <w:rPr>
      <w:vertAlign w:val="superscript"/>
    </w:rPr>
  </w:style>
  <w:style w:type="paragraph" w:styleId="Pamattekstaatkpe2">
    <w:name w:val="Body Text Indent 2"/>
    <w:basedOn w:val="Parasts"/>
    <w:link w:val="Pamattekstaatkpe2Rakstz"/>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rsid w:val="001611DB"/>
    <w:rPr>
      <w:sz w:val="24"/>
      <w:szCs w:val="24"/>
    </w:rPr>
  </w:style>
  <w:style w:type="paragraph" w:styleId="Sarakstaaizzme">
    <w:name w:val="List Bullet"/>
    <w:basedOn w:val="Parasts"/>
    <w:unhideWhenUsed/>
    <w:rsid w:val="00AC145B"/>
    <w:pPr>
      <w:numPr>
        <w:numId w:val="1"/>
      </w:numPr>
      <w:contextualSpacing/>
    </w:pPr>
  </w:style>
  <w:style w:type="paragraph" w:styleId="Sarakstarindkopa">
    <w:name w:val="List Paragraph"/>
    <w:basedOn w:val="Parasts"/>
    <w:uiPriority w:val="34"/>
    <w:qFormat/>
    <w:rsid w:val="000957DB"/>
    <w:pPr>
      <w:ind w:left="720"/>
      <w:contextualSpacing/>
    </w:pPr>
  </w:style>
  <w:style w:type="paragraph" w:customStyle="1" w:styleId="tv2132">
    <w:name w:val="tv2132"/>
    <w:basedOn w:val="Parasts"/>
    <w:rsid w:val="00DE6A3F"/>
    <w:pPr>
      <w:spacing w:line="360" w:lineRule="auto"/>
      <w:ind w:firstLine="300"/>
    </w:pPr>
    <w:rPr>
      <w:color w:val="414142"/>
      <w:sz w:val="20"/>
      <w:szCs w:val="20"/>
      <w:lang w:val="en-US" w:eastAsia="en-US"/>
    </w:rPr>
  </w:style>
  <w:style w:type="character" w:styleId="Izteiksmgs">
    <w:name w:val="Strong"/>
    <w:basedOn w:val="Noklusjumarindkopasfonts"/>
    <w:uiPriority w:val="22"/>
    <w:qFormat/>
    <w:rsid w:val="00DE6A3F"/>
    <w:rPr>
      <w:b/>
      <w:bCs/>
    </w:rPr>
  </w:style>
  <w:style w:type="paragraph" w:styleId="Prskatjums">
    <w:name w:val="Revision"/>
    <w:hidden/>
    <w:uiPriority w:val="99"/>
    <w:semiHidden/>
    <w:rsid w:val="00E641C2"/>
    <w:rPr>
      <w:sz w:val="24"/>
      <w:szCs w:val="24"/>
    </w:rPr>
  </w:style>
  <w:style w:type="character" w:customStyle="1" w:styleId="UnresolvedMention1">
    <w:name w:val="Unresolved Mention1"/>
    <w:basedOn w:val="Noklusjumarindkopasfonts"/>
    <w:uiPriority w:val="99"/>
    <w:semiHidden/>
    <w:unhideWhenUsed/>
    <w:rsid w:val="00781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927979">
      <w:bodyDiv w:val="1"/>
      <w:marLeft w:val="0"/>
      <w:marRight w:val="0"/>
      <w:marTop w:val="0"/>
      <w:marBottom w:val="0"/>
      <w:divBdr>
        <w:top w:val="none" w:sz="0" w:space="0" w:color="auto"/>
        <w:left w:val="none" w:sz="0" w:space="0" w:color="auto"/>
        <w:bottom w:val="none" w:sz="0" w:space="0" w:color="auto"/>
        <w:right w:val="none" w:sz="0" w:space="0" w:color="auto"/>
      </w:divBdr>
    </w:div>
    <w:div w:id="728188986">
      <w:bodyDiv w:val="1"/>
      <w:marLeft w:val="0"/>
      <w:marRight w:val="0"/>
      <w:marTop w:val="0"/>
      <w:marBottom w:val="0"/>
      <w:divBdr>
        <w:top w:val="none" w:sz="0" w:space="0" w:color="auto"/>
        <w:left w:val="none" w:sz="0" w:space="0" w:color="auto"/>
        <w:bottom w:val="none" w:sz="0" w:space="0" w:color="auto"/>
        <w:right w:val="none" w:sz="0" w:space="0" w:color="auto"/>
      </w:divBdr>
    </w:div>
    <w:div w:id="974408568">
      <w:bodyDiv w:val="1"/>
      <w:marLeft w:val="0"/>
      <w:marRight w:val="0"/>
      <w:marTop w:val="0"/>
      <w:marBottom w:val="0"/>
      <w:divBdr>
        <w:top w:val="none" w:sz="0" w:space="0" w:color="auto"/>
        <w:left w:val="none" w:sz="0" w:space="0" w:color="auto"/>
        <w:bottom w:val="none" w:sz="0" w:space="0" w:color="auto"/>
        <w:right w:val="none" w:sz="0" w:space="0" w:color="auto"/>
      </w:divBdr>
    </w:div>
    <w:div w:id="995572144">
      <w:bodyDiv w:val="1"/>
      <w:marLeft w:val="0"/>
      <w:marRight w:val="0"/>
      <w:marTop w:val="0"/>
      <w:marBottom w:val="0"/>
      <w:divBdr>
        <w:top w:val="none" w:sz="0" w:space="0" w:color="auto"/>
        <w:left w:val="none" w:sz="0" w:space="0" w:color="auto"/>
        <w:bottom w:val="none" w:sz="0" w:space="0" w:color="auto"/>
        <w:right w:val="none" w:sz="0" w:space="0" w:color="auto"/>
      </w:divBdr>
    </w:div>
    <w:div w:id="1362242287">
      <w:bodyDiv w:val="1"/>
      <w:marLeft w:val="0"/>
      <w:marRight w:val="0"/>
      <w:marTop w:val="0"/>
      <w:marBottom w:val="0"/>
      <w:divBdr>
        <w:top w:val="none" w:sz="0" w:space="0" w:color="auto"/>
        <w:left w:val="none" w:sz="0" w:space="0" w:color="auto"/>
        <w:bottom w:val="none" w:sz="0" w:space="0" w:color="auto"/>
        <w:right w:val="none" w:sz="0" w:space="0" w:color="auto"/>
      </w:divBdr>
    </w:div>
    <w:div w:id="1940023406">
      <w:bodyDiv w:val="1"/>
      <w:marLeft w:val="0"/>
      <w:marRight w:val="0"/>
      <w:marTop w:val="0"/>
      <w:marBottom w:val="0"/>
      <w:divBdr>
        <w:top w:val="none" w:sz="0" w:space="0" w:color="auto"/>
        <w:left w:val="none" w:sz="0" w:space="0" w:color="auto"/>
        <w:bottom w:val="none" w:sz="0" w:space="0" w:color="auto"/>
        <w:right w:val="none" w:sz="0" w:space="0" w:color="auto"/>
      </w:divBdr>
    </w:div>
    <w:div w:id="1969357906">
      <w:bodyDiv w:val="1"/>
      <w:marLeft w:val="0"/>
      <w:marRight w:val="0"/>
      <w:marTop w:val="0"/>
      <w:marBottom w:val="0"/>
      <w:divBdr>
        <w:top w:val="none" w:sz="0" w:space="0" w:color="auto"/>
        <w:left w:val="none" w:sz="0" w:space="0" w:color="auto"/>
        <w:bottom w:val="none" w:sz="0" w:space="0" w:color="auto"/>
        <w:right w:val="none" w:sz="0" w:space="0" w:color="auto"/>
      </w:divBdr>
    </w:div>
    <w:div w:id="2057467628">
      <w:bodyDiv w:val="1"/>
      <w:marLeft w:val="390"/>
      <w:marRight w:val="390"/>
      <w:marTop w:val="0"/>
      <w:marBottom w:val="0"/>
      <w:divBdr>
        <w:top w:val="none" w:sz="0" w:space="0" w:color="auto"/>
        <w:left w:val="none" w:sz="0" w:space="0" w:color="auto"/>
        <w:bottom w:val="none" w:sz="0" w:space="0" w:color="auto"/>
        <w:right w:val="none" w:sz="0" w:space="0" w:color="auto"/>
      </w:divBdr>
      <w:divsChild>
        <w:div w:id="1011764186">
          <w:marLeft w:val="0"/>
          <w:marRight w:val="0"/>
          <w:marTop w:val="0"/>
          <w:marBottom w:val="0"/>
          <w:divBdr>
            <w:top w:val="none" w:sz="0" w:space="0" w:color="auto"/>
            <w:left w:val="none" w:sz="0" w:space="0" w:color="auto"/>
            <w:bottom w:val="none" w:sz="0" w:space="0" w:color="auto"/>
            <w:right w:val="none" w:sz="0" w:space="0" w:color="auto"/>
          </w:divBdr>
          <w:divsChild>
            <w:div w:id="1047489855">
              <w:marLeft w:val="0"/>
              <w:marRight w:val="0"/>
              <w:marTop w:val="0"/>
              <w:marBottom w:val="0"/>
              <w:divBdr>
                <w:top w:val="none" w:sz="0" w:space="0" w:color="auto"/>
                <w:left w:val="none" w:sz="0" w:space="0" w:color="auto"/>
                <w:bottom w:val="none" w:sz="0" w:space="0" w:color="auto"/>
                <w:right w:val="none" w:sz="0" w:space="0" w:color="auto"/>
              </w:divBdr>
              <w:divsChild>
                <w:div w:id="299264556">
                  <w:marLeft w:val="-150"/>
                  <w:marRight w:val="-150"/>
                  <w:marTop w:val="0"/>
                  <w:marBottom w:val="0"/>
                  <w:divBdr>
                    <w:top w:val="none" w:sz="0" w:space="0" w:color="auto"/>
                    <w:left w:val="none" w:sz="0" w:space="0" w:color="auto"/>
                    <w:bottom w:val="none" w:sz="0" w:space="0" w:color="auto"/>
                    <w:right w:val="none" w:sz="0" w:space="0" w:color="auto"/>
                  </w:divBdr>
                  <w:divsChild>
                    <w:div w:id="945187060">
                      <w:marLeft w:val="0"/>
                      <w:marRight w:val="0"/>
                      <w:marTop w:val="0"/>
                      <w:marBottom w:val="0"/>
                      <w:divBdr>
                        <w:top w:val="none" w:sz="0" w:space="0" w:color="auto"/>
                        <w:left w:val="none" w:sz="0" w:space="0" w:color="auto"/>
                        <w:bottom w:val="none" w:sz="0" w:space="0" w:color="auto"/>
                        <w:right w:val="none" w:sz="0" w:space="0" w:color="auto"/>
                      </w:divBdr>
                      <w:divsChild>
                        <w:div w:id="2120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99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smulko@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8FFA2-4734-4959-BEBE-830C61D4E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3117</Words>
  <Characters>20726</Characters>
  <Application>Microsoft Office Word</Application>
  <DocSecurity>0</DocSecurity>
  <Lines>172</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projekta</vt:lpstr>
      <vt:lpstr>Par Ministru kabineta noteikumu projekta</vt:lpstr>
    </vt:vector>
  </TitlesOfParts>
  <Company>Zemkopības ministrija</Company>
  <LinksUpToDate>false</LinksUpToDate>
  <CharactersWithSpaces>23796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 gada 2. februāra noteikumos Nr. 104 “Pārtikas uzņēmumu atzīšanas un reģistrācijas kārtība””</dc:title>
  <dc:subject>Anotācija</dc:subject>
  <dc:creator>Sandra Smuļko</dc:creator>
  <dc:description>Smuļko 67027115 sandra.smulko@zm.gov.lv</dc:description>
  <cp:lastModifiedBy>Sanita Papinova</cp:lastModifiedBy>
  <cp:revision>3</cp:revision>
  <cp:lastPrinted>2019-04-01T11:13:00Z</cp:lastPrinted>
  <dcterms:created xsi:type="dcterms:W3CDTF">2021-03-03T11:56:00Z</dcterms:created>
  <dcterms:modified xsi:type="dcterms:W3CDTF">2021-03-03T12:50:00Z</dcterms:modified>
</cp:coreProperties>
</file>