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7D" w:rsidRPr="008C586A" w:rsidRDefault="00DE2F03" w:rsidP="00E5737D">
      <w:pPr>
        <w:pStyle w:val="naisnod"/>
        <w:spacing w:before="0" w:beforeAutospacing="0" w:after="0" w:afterAutospacing="0"/>
        <w:jc w:val="center"/>
        <w:rPr>
          <w:b/>
          <w:sz w:val="28"/>
          <w:szCs w:val="28"/>
        </w:rPr>
      </w:pPr>
      <w:r w:rsidRPr="008C586A">
        <w:rPr>
          <w:b/>
        </w:rPr>
        <w:t>Izziņa par atzinumos sniegtajiem iebildumiem</w:t>
      </w:r>
    </w:p>
    <w:p w:rsidR="00E5737D" w:rsidRPr="00771DAC" w:rsidRDefault="00E5737D" w:rsidP="001C0A53">
      <w:pPr>
        <w:pStyle w:val="naisf"/>
        <w:spacing w:before="0" w:beforeAutospacing="0" w:after="0" w:afterAutospacing="0"/>
        <w:rPr>
          <w:b/>
          <w:sz w:val="28"/>
          <w:szCs w:val="28"/>
        </w:rPr>
      </w:pPr>
    </w:p>
    <w:tbl>
      <w:tblPr>
        <w:tblW w:w="0" w:type="auto"/>
        <w:jc w:val="center"/>
        <w:tblCellSpacing w:w="0" w:type="dxa"/>
        <w:tblCellMar>
          <w:left w:w="0" w:type="dxa"/>
          <w:right w:w="0" w:type="dxa"/>
        </w:tblCellMar>
        <w:tblLook w:val="0000" w:firstRow="0" w:lastRow="0" w:firstColumn="0" w:lastColumn="0" w:noHBand="0" w:noVBand="0"/>
      </w:tblPr>
      <w:tblGrid>
        <w:gridCol w:w="10855"/>
      </w:tblGrid>
      <w:tr w:rsidR="00DE2F03" w:rsidRPr="00771DAC">
        <w:trPr>
          <w:tblCellSpacing w:w="0" w:type="dxa"/>
          <w:jc w:val="center"/>
        </w:trPr>
        <w:tc>
          <w:tcPr>
            <w:tcW w:w="10855" w:type="dxa"/>
            <w:tcBorders>
              <w:top w:val="nil"/>
              <w:left w:val="nil"/>
              <w:bottom w:val="single" w:sz="8" w:space="0" w:color="000000"/>
              <w:right w:val="nil"/>
            </w:tcBorders>
          </w:tcPr>
          <w:p w:rsidR="00DE2F03" w:rsidRPr="00771DAC" w:rsidRDefault="004015B8" w:rsidP="0001264C">
            <w:pPr>
              <w:jc w:val="center"/>
              <w:rPr>
                <w:b/>
                <w:sz w:val="28"/>
                <w:szCs w:val="28"/>
              </w:rPr>
            </w:pPr>
            <w:r w:rsidRPr="00771DAC">
              <w:rPr>
                <w:b/>
              </w:rPr>
              <w:t xml:space="preserve">Par Ministru kabineta </w:t>
            </w:r>
            <w:r w:rsidR="0001264C" w:rsidRPr="00771DAC">
              <w:rPr>
                <w:b/>
              </w:rPr>
              <w:t>noteikumu projektu „</w:t>
            </w:r>
            <w:r w:rsidR="00771DAC" w:rsidRPr="00771DAC">
              <w:rPr>
                <w:b/>
                <w:bCs/>
              </w:rPr>
              <w:t>Grozījumi Ministru kabineta 2004. g</w:t>
            </w:r>
            <w:r w:rsidR="00771DAC">
              <w:rPr>
                <w:b/>
                <w:bCs/>
              </w:rPr>
              <w:t>ada 30. novembra noteikumos Nr.</w:t>
            </w:r>
            <w:r w:rsidR="00771DAC" w:rsidRPr="00771DAC">
              <w:rPr>
                <w:b/>
                <w:bCs/>
              </w:rPr>
              <w:t>991 „Klasiskā cūku mēra likvidēšanas un draudu novēršanas kārtība” un anotāciju</w:t>
            </w:r>
            <w:r w:rsidR="0001264C" w:rsidRPr="00771DAC">
              <w:rPr>
                <w:b/>
                <w:bCs/>
              </w:rPr>
              <w:t>”</w:t>
            </w:r>
          </w:p>
        </w:tc>
      </w:tr>
    </w:tbl>
    <w:p w:rsidR="00DE2F03" w:rsidRPr="008C586A" w:rsidRDefault="00DE2F03" w:rsidP="001C0A53">
      <w:pPr>
        <w:pStyle w:val="naisc"/>
        <w:spacing w:before="0" w:beforeAutospacing="0" w:after="0" w:afterAutospacing="0"/>
        <w:jc w:val="center"/>
        <w:rPr>
          <w:sz w:val="20"/>
          <w:szCs w:val="20"/>
        </w:rPr>
      </w:pPr>
      <w:r w:rsidRPr="008C586A">
        <w:rPr>
          <w:sz w:val="20"/>
          <w:szCs w:val="20"/>
        </w:rPr>
        <w:t>(dokumenta veids un nosaukums)</w:t>
      </w:r>
    </w:p>
    <w:p w:rsidR="00E5737D" w:rsidRPr="008C586A" w:rsidRDefault="00E5737D" w:rsidP="001C0A53">
      <w:pPr>
        <w:pStyle w:val="naisc"/>
        <w:spacing w:before="0" w:beforeAutospacing="0" w:after="0" w:afterAutospacing="0"/>
        <w:jc w:val="center"/>
        <w:rPr>
          <w:sz w:val="20"/>
          <w:szCs w:val="20"/>
        </w:rPr>
      </w:pPr>
    </w:p>
    <w:p w:rsidR="008123B3" w:rsidRPr="008C586A" w:rsidRDefault="008123B3" w:rsidP="008123B3">
      <w:pPr>
        <w:pStyle w:val="naisf"/>
        <w:spacing w:before="0" w:after="0"/>
        <w:jc w:val="center"/>
        <w:rPr>
          <w:b/>
        </w:rPr>
      </w:pPr>
      <w:r w:rsidRPr="008C586A">
        <w:rPr>
          <w:b/>
        </w:rPr>
        <w:t>I. Jautājumi, par kuriem saskaņošanā vienošanās nav panākti</w:t>
      </w:r>
    </w:p>
    <w:tbl>
      <w:tblPr>
        <w:tblW w:w="14580"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12"/>
        <w:gridCol w:w="5040"/>
        <w:gridCol w:w="3012"/>
        <w:gridCol w:w="1848"/>
        <w:gridCol w:w="2160"/>
      </w:tblGrid>
      <w:tr w:rsidR="008123B3" w:rsidRPr="008C586A">
        <w:tc>
          <w:tcPr>
            <w:tcW w:w="708"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jc w:val="center"/>
            </w:pPr>
            <w:r w:rsidRPr="008C586A">
              <w:t>Nr. p.k.</w:t>
            </w:r>
          </w:p>
        </w:tc>
        <w:tc>
          <w:tcPr>
            <w:tcW w:w="18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12"/>
              <w:jc w:val="center"/>
            </w:pPr>
            <w:r w:rsidRPr="008C586A">
              <w:t>Saskaņošanai nosūtītā projekta redakcija (konkrēta punkta (panta) redakcija)</w:t>
            </w:r>
          </w:p>
        </w:tc>
        <w:tc>
          <w:tcPr>
            <w:tcW w:w="5040"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0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21"/>
              <w:jc w:val="center"/>
            </w:pPr>
            <w:r w:rsidRPr="008C586A">
              <w:t>Atbildīgās ministrijas pamatojums iebilduma noraidījumam</w:t>
            </w:r>
          </w:p>
        </w:tc>
        <w:tc>
          <w:tcPr>
            <w:tcW w:w="1848" w:type="dxa"/>
            <w:tcBorders>
              <w:top w:val="single" w:sz="4" w:space="0" w:color="auto"/>
              <w:left w:val="single" w:sz="4" w:space="0" w:color="auto"/>
              <w:bottom w:val="single" w:sz="4" w:space="0" w:color="auto"/>
              <w:right w:val="single" w:sz="4" w:space="0" w:color="auto"/>
            </w:tcBorders>
            <w:vAlign w:val="center"/>
          </w:tcPr>
          <w:p w:rsidR="008123B3" w:rsidRPr="008C586A" w:rsidRDefault="008123B3" w:rsidP="00B00B82">
            <w:pPr>
              <w:jc w:val="center"/>
            </w:pPr>
            <w:r w:rsidRPr="008C586A">
              <w:t>Atzinuma sniedzēja uzturētais iebildums, ja tas atšķiras no atzinumā norādītā iebilduma pamatojuma</w:t>
            </w:r>
          </w:p>
        </w:tc>
        <w:tc>
          <w:tcPr>
            <w:tcW w:w="2160" w:type="dxa"/>
            <w:tcBorders>
              <w:top w:val="single" w:sz="4" w:space="0" w:color="auto"/>
              <w:left w:val="single" w:sz="4" w:space="0" w:color="auto"/>
              <w:bottom w:val="single" w:sz="4" w:space="0" w:color="auto"/>
            </w:tcBorders>
            <w:vAlign w:val="center"/>
          </w:tcPr>
          <w:p w:rsidR="008123B3" w:rsidRPr="008C586A" w:rsidRDefault="008123B3" w:rsidP="00B00B82">
            <w:pPr>
              <w:jc w:val="center"/>
            </w:pPr>
            <w:r w:rsidRPr="008C586A">
              <w:t>Projekta attiecīgā punkta (panta) galīgā redakcija</w:t>
            </w:r>
          </w:p>
        </w:tc>
      </w:tr>
      <w:tr w:rsidR="008123B3" w:rsidRPr="008C586A">
        <w:tc>
          <w:tcPr>
            <w:tcW w:w="708"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pPr>
            <w:r w:rsidRPr="008C586A">
              <w:t>1</w:t>
            </w:r>
          </w:p>
        </w:tc>
        <w:tc>
          <w:tcPr>
            <w:tcW w:w="18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2</w:t>
            </w:r>
          </w:p>
        </w:tc>
        <w:tc>
          <w:tcPr>
            <w:tcW w:w="5040"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3</w:t>
            </w:r>
          </w:p>
        </w:tc>
        <w:tc>
          <w:tcPr>
            <w:tcW w:w="30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4</w:t>
            </w:r>
          </w:p>
        </w:tc>
        <w:tc>
          <w:tcPr>
            <w:tcW w:w="1848" w:type="dxa"/>
            <w:tcBorders>
              <w:top w:val="single" w:sz="4" w:space="0" w:color="auto"/>
              <w:left w:val="single" w:sz="4" w:space="0" w:color="auto"/>
              <w:bottom w:val="single" w:sz="4" w:space="0" w:color="auto"/>
              <w:right w:val="single" w:sz="4" w:space="0" w:color="auto"/>
            </w:tcBorders>
          </w:tcPr>
          <w:p w:rsidR="008123B3" w:rsidRPr="008C586A" w:rsidRDefault="008123B3" w:rsidP="00E776D1">
            <w:pPr>
              <w:jc w:val="center"/>
            </w:pPr>
            <w:r w:rsidRPr="008C586A">
              <w:t>5</w:t>
            </w:r>
          </w:p>
        </w:tc>
        <w:tc>
          <w:tcPr>
            <w:tcW w:w="2160" w:type="dxa"/>
            <w:tcBorders>
              <w:top w:val="single" w:sz="4" w:space="0" w:color="auto"/>
              <w:left w:val="single" w:sz="4" w:space="0" w:color="auto"/>
              <w:bottom w:val="single" w:sz="4" w:space="0" w:color="auto"/>
            </w:tcBorders>
          </w:tcPr>
          <w:p w:rsidR="008123B3" w:rsidRPr="008C586A" w:rsidRDefault="008123B3" w:rsidP="00E776D1">
            <w:pPr>
              <w:jc w:val="center"/>
            </w:pPr>
            <w:r w:rsidRPr="008C586A">
              <w:t>6</w:t>
            </w:r>
          </w:p>
        </w:tc>
      </w:tr>
      <w:tr w:rsidR="00F15720" w:rsidRPr="008C586A">
        <w:tc>
          <w:tcPr>
            <w:tcW w:w="14580" w:type="dxa"/>
            <w:gridSpan w:val="6"/>
            <w:tcBorders>
              <w:left w:val="single" w:sz="6" w:space="0" w:color="000000"/>
              <w:bottom w:val="single" w:sz="4" w:space="0" w:color="auto"/>
              <w:right w:val="single" w:sz="4" w:space="0" w:color="auto"/>
            </w:tcBorders>
          </w:tcPr>
          <w:p w:rsidR="00F15720" w:rsidRPr="008C586A" w:rsidRDefault="00F15720" w:rsidP="00B00B82">
            <w:pPr>
              <w:jc w:val="both"/>
              <w:rPr>
                <w:b/>
              </w:rPr>
            </w:pPr>
          </w:p>
        </w:tc>
      </w:tr>
      <w:tr w:rsidR="00B00B82" w:rsidRPr="008C586A" w:rsidTr="00EF3810">
        <w:trPr>
          <w:trHeight w:val="377"/>
        </w:trPr>
        <w:tc>
          <w:tcPr>
            <w:tcW w:w="708" w:type="dxa"/>
            <w:tcBorders>
              <w:left w:val="single" w:sz="6" w:space="0" w:color="000000"/>
              <w:bottom w:val="single" w:sz="4" w:space="0" w:color="auto"/>
              <w:right w:val="single" w:sz="6" w:space="0" w:color="000000"/>
            </w:tcBorders>
          </w:tcPr>
          <w:p w:rsidR="00B00B82" w:rsidRPr="008C586A" w:rsidRDefault="00B00B82" w:rsidP="00E776D1">
            <w:pPr>
              <w:pStyle w:val="naisc"/>
              <w:spacing w:before="0" w:after="0"/>
              <w:jc w:val="both"/>
            </w:pPr>
            <w:r w:rsidRPr="008C586A">
              <w:t>1.</w:t>
            </w:r>
          </w:p>
        </w:tc>
        <w:tc>
          <w:tcPr>
            <w:tcW w:w="1812" w:type="dxa"/>
            <w:tcBorders>
              <w:left w:val="single" w:sz="6" w:space="0" w:color="000000"/>
              <w:bottom w:val="single" w:sz="4" w:space="0" w:color="auto"/>
              <w:right w:val="single" w:sz="6" w:space="0" w:color="000000"/>
            </w:tcBorders>
          </w:tcPr>
          <w:p w:rsidR="00B00B82" w:rsidRPr="008C586A" w:rsidRDefault="00B00B82" w:rsidP="007C753E">
            <w:pPr>
              <w:pStyle w:val="naisf"/>
              <w:spacing w:before="0" w:beforeAutospacing="0" w:after="0" w:afterAutospacing="0"/>
            </w:pPr>
          </w:p>
          <w:p w:rsidR="00B00B82" w:rsidRPr="008C586A" w:rsidRDefault="00B00B82" w:rsidP="007C753E">
            <w:pPr>
              <w:pStyle w:val="naisf"/>
              <w:spacing w:before="0" w:beforeAutospacing="0" w:after="0" w:afterAutospacing="0"/>
              <w:jc w:val="both"/>
            </w:pPr>
          </w:p>
        </w:tc>
        <w:tc>
          <w:tcPr>
            <w:tcW w:w="5040" w:type="dxa"/>
            <w:tcBorders>
              <w:left w:val="single" w:sz="6" w:space="0" w:color="000000"/>
              <w:bottom w:val="single" w:sz="4" w:space="0" w:color="auto"/>
              <w:right w:val="single" w:sz="6" w:space="0" w:color="000000"/>
            </w:tcBorders>
          </w:tcPr>
          <w:p w:rsidR="00B00B82" w:rsidRPr="008C586A" w:rsidRDefault="00B00B82" w:rsidP="007C753E">
            <w:pPr>
              <w:jc w:val="both"/>
              <w:rPr>
                <w:sz w:val="26"/>
                <w:szCs w:val="26"/>
              </w:rPr>
            </w:pPr>
          </w:p>
        </w:tc>
        <w:tc>
          <w:tcPr>
            <w:tcW w:w="3012" w:type="dxa"/>
            <w:tcBorders>
              <w:left w:val="single" w:sz="6" w:space="0" w:color="000000"/>
              <w:bottom w:val="single" w:sz="4" w:space="0" w:color="auto"/>
              <w:right w:val="single" w:sz="6" w:space="0" w:color="000000"/>
            </w:tcBorders>
          </w:tcPr>
          <w:p w:rsidR="00B00B82" w:rsidRPr="008C586A" w:rsidRDefault="00B00B82" w:rsidP="007C753E">
            <w:pPr>
              <w:pStyle w:val="Pamatteksts"/>
              <w:spacing w:after="0"/>
              <w:jc w:val="both"/>
              <w:rPr>
                <w:lang w:val="lv-LV"/>
              </w:rPr>
            </w:pPr>
          </w:p>
        </w:tc>
        <w:tc>
          <w:tcPr>
            <w:tcW w:w="1848" w:type="dxa"/>
            <w:tcBorders>
              <w:top w:val="single" w:sz="4" w:space="0" w:color="auto"/>
              <w:left w:val="single" w:sz="4" w:space="0" w:color="auto"/>
              <w:bottom w:val="single" w:sz="4" w:space="0" w:color="auto"/>
              <w:right w:val="single" w:sz="4" w:space="0" w:color="auto"/>
            </w:tcBorders>
          </w:tcPr>
          <w:p w:rsidR="00B00B82" w:rsidRPr="008C586A" w:rsidRDefault="00B00B82" w:rsidP="007C753E">
            <w:pPr>
              <w:pStyle w:val="Pamatteksts"/>
              <w:tabs>
                <w:tab w:val="num" w:pos="0"/>
                <w:tab w:val="left" w:pos="286"/>
              </w:tabs>
              <w:spacing w:after="0"/>
              <w:jc w:val="both"/>
              <w:rPr>
                <w:lang w:val="lv-LV"/>
              </w:rPr>
            </w:pPr>
          </w:p>
        </w:tc>
        <w:tc>
          <w:tcPr>
            <w:tcW w:w="2160" w:type="dxa"/>
            <w:tcBorders>
              <w:top w:val="single" w:sz="4" w:space="0" w:color="auto"/>
              <w:left w:val="single" w:sz="4" w:space="0" w:color="auto"/>
              <w:bottom w:val="single" w:sz="4" w:space="0" w:color="auto"/>
              <w:right w:val="single" w:sz="4" w:space="0" w:color="auto"/>
            </w:tcBorders>
          </w:tcPr>
          <w:p w:rsidR="00B00B82" w:rsidRPr="008C586A" w:rsidRDefault="00B00B82" w:rsidP="00680220">
            <w:pPr>
              <w:jc w:val="both"/>
              <w:rPr>
                <w:lang w:eastAsia="en-US"/>
              </w:rPr>
            </w:pPr>
          </w:p>
        </w:tc>
      </w:tr>
    </w:tbl>
    <w:p w:rsidR="008C586A" w:rsidRPr="008C586A" w:rsidRDefault="008C586A" w:rsidP="008123B3">
      <w:pPr>
        <w:pStyle w:val="naisf"/>
        <w:spacing w:before="0" w:beforeAutospacing="0" w:after="0" w:afterAutospacing="0"/>
        <w:rPr>
          <w:b/>
        </w:rPr>
      </w:pPr>
    </w:p>
    <w:p w:rsidR="008123B3" w:rsidRPr="008C586A" w:rsidRDefault="008123B3" w:rsidP="008123B3">
      <w:pPr>
        <w:pStyle w:val="naisf"/>
        <w:spacing w:before="0" w:beforeAutospacing="0" w:after="0" w:afterAutospacing="0"/>
        <w:rPr>
          <w:b/>
        </w:rPr>
      </w:pPr>
      <w:r w:rsidRPr="008C586A">
        <w:rPr>
          <w:b/>
        </w:rPr>
        <w:t>Informācija par starpministriju (starpinstitūciju) sanāksmi vai elektronisko saskaņošanu</w:t>
      </w:r>
    </w:p>
    <w:p w:rsidR="008C586A" w:rsidRPr="008C586A" w:rsidRDefault="008C586A" w:rsidP="008123B3">
      <w:pPr>
        <w:pStyle w:val="naisf"/>
        <w:spacing w:before="0" w:beforeAutospacing="0" w:after="0" w:afterAutospacing="0"/>
        <w:rPr>
          <w:b/>
        </w:rPr>
      </w:pPr>
    </w:p>
    <w:tbl>
      <w:tblPr>
        <w:tblW w:w="14508" w:type="dxa"/>
        <w:tblLook w:val="00A0" w:firstRow="1" w:lastRow="0" w:firstColumn="1" w:lastColumn="0" w:noHBand="0" w:noVBand="0"/>
      </w:tblPr>
      <w:tblGrid>
        <w:gridCol w:w="3888"/>
        <w:gridCol w:w="1800"/>
        <w:gridCol w:w="1260"/>
        <w:gridCol w:w="840"/>
        <w:gridCol w:w="6720"/>
      </w:tblGrid>
      <w:tr w:rsidR="008123B3" w:rsidRPr="008C586A">
        <w:tc>
          <w:tcPr>
            <w:tcW w:w="3888" w:type="dxa"/>
          </w:tcPr>
          <w:p w:rsidR="008123B3" w:rsidRPr="008C586A" w:rsidRDefault="008123B3" w:rsidP="00E776D1">
            <w:pPr>
              <w:pStyle w:val="naisf"/>
              <w:spacing w:before="0" w:after="0"/>
            </w:pPr>
            <w:r w:rsidRPr="008C586A">
              <w:t>Datums</w:t>
            </w:r>
          </w:p>
        </w:tc>
        <w:tc>
          <w:tcPr>
            <w:tcW w:w="10620" w:type="dxa"/>
            <w:gridSpan w:val="4"/>
            <w:tcBorders>
              <w:bottom w:val="single" w:sz="4" w:space="0" w:color="auto"/>
            </w:tcBorders>
          </w:tcPr>
          <w:p w:rsidR="008123B3" w:rsidRPr="008C586A" w:rsidRDefault="00534B18" w:rsidP="0086631E">
            <w:pPr>
              <w:pStyle w:val="Paraststmeklis"/>
              <w:spacing w:before="0" w:after="0"/>
            </w:pPr>
            <w:r>
              <w:t xml:space="preserve">08.01.2021. – </w:t>
            </w:r>
            <w:r w:rsidR="00225B4F">
              <w:t>01.02</w:t>
            </w:r>
            <w:r w:rsidR="00102E7B">
              <w:t>.2021</w:t>
            </w:r>
            <w:r w:rsidR="009F462C" w:rsidRPr="008C586A">
              <w:t>.</w:t>
            </w:r>
          </w:p>
        </w:tc>
      </w:tr>
      <w:tr w:rsidR="008123B3" w:rsidRPr="008C586A">
        <w:tc>
          <w:tcPr>
            <w:tcW w:w="3888" w:type="dxa"/>
          </w:tcPr>
          <w:p w:rsidR="008123B3" w:rsidRPr="008C586A" w:rsidRDefault="008123B3" w:rsidP="00E776D1">
            <w:pPr>
              <w:pStyle w:val="naiskr"/>
              <w:spacing w:before="0" w:after="0"/>
            </w:pPr>
            <w:r w:rsidRPr="008C586A">
              <w:t>Saskaņošanas dalībnieki</w:t>
            </w:r>
          </w:p>
        </w:tc>
        <w:tc>
          <w:tcPr>
            <w:tcW w:w="10620" w:type="dxa"/>
            <w:gridSpan w:val="4"/>
          </w:tcPr>
          <w:p w:rsidR="008123B3" w:rsidRPr="008C586A" w:rsidRDefault="00102E7B" w:rsidP="00102E7B">
            <w:pPr>
              <w:pStyle w:val="Paraststmeklis"/>
            </w:pPr>
            <w:r w:rsidRPr="00102E7B">
              <w:t>V. Blūmentāls</w:t>
            </w:r>
            <w:r>
              <w:t xml:space="preserve"> </w:t>
            </w:r>
            <w:r w:rsidR="004015B8">
              <w:t>(</w:t>
            </w:r>
            <w:r w:rsidR="0001264C">
              <w:t>Tieslietu</w:t>
            </w:r>
            <w:r w:rsidR="004015B8">
              <w:t xml:space="preserve"> ministrija)</w:t>
            </w:r>
            <w:r w:rsidR="00652253">
              <w:t xml:space="preserve">; </w:t>
            </w:r>
            <w:r w:rsidRPr="00102E7B">
              <w:t>I.Artemjeva</w:t>
            </w:r>
            <w:r>
              <w:t xml:space="preserve"> </w:t>
            </w:r>
            <w:r w:rsidR="00652253">
              <w:t>(</w:t>
            </w:r>
            <w:r>
              <w:t>Valsts kanceleja</w:t>
            </w:r>
            <w:r w:rsidR="00652253">
              <w:t>)</w:t>
            </w:r>
          </w:p>
        </w:tc>
      </w:tr>
      <w:tr w:rsidR="008123B3" w:rsidRPr="008C586A">
        <w:trPr>
          <w:trHeight w:val="285"/>
        </w:trPr>
        <w:tc>
          <w:tcPr>
            <w:tcW w:w="6948" w:type="dxa"/>
            <w:gridSpan w:val="3"/>
          </w:tcPr>
          <w:p w:rsidR="008123B3" w:rsidRPr="008C586A" w:rsidRDefault="008123B3" w:rsidP="00652253">
            <w:pPr>
              <w:pStyle w:val="naiskr"/>
              <w:spacing w:before="0" w:after="0"/>
              <w:ind w:right="72"/>
            </w:pPr>
            <w:r w:rsidRPr="008C586A">
              <w:t xml:space="preserve">Saskaņošanas dalībnieki izskatīja šādu ministriju (citu institūciju) </w:t>
            </w:r>
          </w:p>
        </w:tc>
        <w:tc>
          <w:tcPr>
            <w:tcW w:w="840" w:type="dxa"/>
          </w:tcPr>
          <w:p w:rsidR="008123B3" w:rsidRPr="008C586A" w:rsidRDefault="008123B3" w:rsidP="00E776D1">
            <w:pPr>
              <w:pStyle w:val="naiskr"/>
              <w:spacing w:before="0" w:after="0"/>
              <w:ind w:firstLine="720"/>
              <w:rPr>
                <w:color w:val="FF0000"/>
              </w:rPr>
            </w:pPr>
          </w:p>
        </w:tc>
        <w:tc>
          <w:tcPr>
            <w:tcW w:w="6720" w:type="dxa"/>
          </w:tcPr>
          <w:p w:rsidR="008123B3" w:rsidRPr="008C586A" w:rsidRDefault="0001264C" w:rsidP="00102E7B">
            <w:pPr>
              <w:pStyle w:val="naiskr"/>
              <w:spacing w:before="0" w:after="0"/>
              <w:ind w:firstLine="12"/>
              <w:rPr>
                <w:b/>
              </w:rPr>
            </w:pPr>
            <w:r>
              <w:rPr>
                <w:b/>
              </w:rPr>
              <w:t>Tieslietu</w:t>
            </w:r>
            <w:r w:rsidR="008A7FEA" w:rsidRPr="008C586A">
              <w:rPr>
                <w:b/>
              </w:rPr>
              <w:t xml:space="preserve"> ministrijas</w:t>
            </w:r>
            <w:r w:rsidR="001F2264" w:rsidRPr="008C586A">
              <w:rPr>
                <w:b/>
              </w:rPr>
              <w:t xml:space="preserve"> </w:t>
            </w:r>
            <w:r w:rsidR="00652253">
              <w:rPr>
                <w:b/>
              </w:rPr>
              <w:t xml:space="preserve">un </w:t>
            </w:r>
            <w:r w:rsidR="00102E7B">
              <w:rPr>
                <w:b/>
              </w:rPr>
              <w:t>Valsts kancelejas</w:t>
            </w:r>
            <w:r w:rsidR="00652253">
              <w:rPr>
                <w:b/>
              </w:rPr>
              <w:t xml:space="preserve"> </w:t>
            </w:r>
            <w:r w:rsidR="00652253" w:rsidRPr="00652253">
              <w:rPr>
                <w:b/>
              </w:rPr>
              <w:t>iebildumus</w:t>
            </w:r>
          </w:p>
        </w:tc>
      </w:tr>
      <w:tr w:rsidR="008A7FEA" w:rsidRPr="008C586A">
        <w:tc>
          <w:tcPr>
            <w:tcW w:w="6948" w:type="dxa"/>
            <w:gridSpan w:val="3"/>
          </w:tcPr>
          <w:p w:rsidR="008A7FEA" w:rsidRDefault="008A7FEA" w:rsidP="00DD2B03">
            <w:pPr>
              <w:jc w:val="both"/>
            </w:pPr>
          </w:p>
          <w:p w:rsidR="00771DAC" w:rsidRDefault="00771DAC" w:rsidP="00DD2B03">
            <w:pPr>
              <w:jc w:val="both"/>
            </w:pPr>
          </w:p>
          <w:p w:rsidR="00771DAC" w:rsidRPr="008C586A" w:rsidRDefault="00771DAC" w:rsidP="00DD2B03">
            <w:pPr>
              <w:jc w:val="both"/>
            </w:pPr>
          </w:p>
        </w:tc>
        <w:tc>
          <w:tcPr>
            <w:tcW w:w="7560" w:type="dxa"/>
            <w:gridSpan w:val="2"/>
          </w:tcPr>
          <w:p w:rsidR="008A7FEA" w:rsidRPr="008C586A" w:rsidRDefault="008A7FEA" w:rsidP="008A7FEA">
            <w:pPr>
              <w:pStyle w:val="naiskr"/>
              <w:spacing w:before="0" w:beforeAutospacing="0" w:after="0" w:afterAutospacing="0"/>
            </w:pPr>
          </w:p>
        </w:tc>
      </w:tr>
      <w:tr w:rsidR="008123B3" w:rsidRPr="008C586A">
        <w:tc>
          <w:tcPr>
            <w:tcW w:w="5688" w:type="dxa"/>
            <w:gridSpan w:val="2"/>
          </w:tcPr>
          <w:p w:rsidR="008123B3" w:rsidRPr="008C586A" w:rsidRDefault="008123B3" w:rsidP="00E776D1">
            <w:pPr>
              <w:pStyle w:val="naiskr"/>
              <w:spacing w:before="0" w:after="0"/>
            </w:pPr>
            <w:r w:rsidRPr="008C586A">
              <w:lastRenderedPageBreak/>
              <w:t>Ministrijas (citas institūcijas), kuras nav ieradušās uz sanāksmi vai kuras nav atbildējušas uz uzaicinājumu piedalīties elektroniskajā saskaņošanā</w:t>
            </w:r>
          </w:p>
        </w:tc>
        <w:tc>
          <w:tcPr>
            <w:tcW w:w="8820" w:type="dxa"/>
            <w:gridSpan w:val="3"/>
          </w:tcPr>
          <w:p w:rsidR="008123B3" w:rsidRPr="008C586A" w:rsidRDefault="00E5737D" w:rsidP="00E5737D">
            <w:pPr>
              <w:pStyle w:val="naiskr"/>
              <w:spacing w:before="0" w:after="0"/>
            </w:pPr>
            <w:r w:rsidRPr="008C586A">
              <w:t>nav</w:t>
            </w:r>
          </w:p>
        </w:tc>
      </w:tr>
    </w:tbl>
    <w:p w:rsidR="00745729" w:rsidRPr="008C586A" w:rsidRDefault="00745729" w:rsidP="00771DAC">
      <w:pPr>
        <w:pStyle w:val="naisf"/>
        <w:spacing w:before="0" w:after="0"/>
        <w:rPr>
          <w:b/>
        </w:rPr>
      </w:pPr>
    </w:p>
    <w:p w:rsidR="008123B3" w:rsidRPr="008C586A" w:rsidRDefault="008123B3" w:rsidP="00E5737D">
      <w:pPr>
        <w:pStyle w:val="naisf"/>
        <w:spacing w:before="0" w:after="0"/>
        <w:jc w:val="center"/>
        <w:rPr>
          <w:b/>
        </w:rPr>
      </w:pPr>
      <w:r w:rsidRPr="008C586A">
        <w:rPr>
          <w:b/>
        </w:rPr>
        <w:t>II. Jautājumi, par kuriem saskaņošanā vienošanās ir panākta</w:t>
      </w:r>
    </w:p>
    <w:tbl>
      <w:tblPr>
        <w:tblW w:w="1476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9"/>
        <w:gridCol w:w="2033"/>
        <w:gridCol w:w="1148"/>
        <w:gridCol w:w="4500"/>
        <w:gridCol w:w="329"/>
        <w:gridCol w:w="2787"/>
        <w:gridCol w:w="3364"/>
      </w:tblGrid>
      <w:tr w:rsidR="00D75D2B" w:rsidRPr="008C586A" w:rsidTr="00774DF5">
        <w:tc>
          <w:tcPr>
            <w:tcW w:w="599"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jc w:val="center"/>
            </w:pPr>
            <w:r w:rsidRPr="008C586A">
              <w:t>Nr. p.k.</w:t>
            </w:r>
          </w:p>
        </w:tc>
        <w:tc>
          <w:tcPr>
            <w:tcW w:w="3181"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12"/>
              <w:jc w:val="center"/>
            </w:pPr>
            <w:r w:rsidRPr="008C586A">
              <w:t>Saskaņošanai nosūtītā projekta redakcija (konkrēta punkta (panta) redakcija)</w:t>
            </w:r>
          </w:p>
        </w:tc>
        <w:tc>
          <w:tcPr>
            <w:tcW w:w="4500"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116"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21"/>
              <w:jc w:val="center"/>
            </w:pPr>
            <w:r w:rsidRPr="008C586A">
              <w:t>Atbildīgās ministrijas norāde par to, ka iebildums ir ņemts vērā, vai informācija par saskaņošanā panākto alternatīvo risinājumu</w:t>
            </w:r>
          </w:p>
        </w:tc>
        <w:tc>
          <w:tcPr>
            <w:tcW w:w="3364" w:type="dxa"/>
            <w:tcBorders>
              <w:top w:val="single" w:sz="4" w:space="0" w:color="auto"/>
              <w:left w:val="single" w:sz="4" w:space="0" w:color="auto"/>
              <w:bottom w:val="single" w:sz="4" w:space="0" w:color="auto"/>
            </w:tcBorders>
            <w:vAlign w:val="center"/>
          </w:tcPr>
          <w:p w:rsidR="00D75D2B" w:rsidRPr="008C586A" w:rsidRDefault="00D75D2B" w:rsidP="00AE206B">
            <w:pPr>
              <w:jc w:val="center"/>
            </w:pPr>
            <w:r w:rsidRPr="008C586A">
              <w:t>Projekta attiecīgā punkta (panta) galīgā redakcija</w:t>
            </w:r>
          </w:p>
        </w:tc>
      </w:tr>
      <w:tr w:rsidR="00D75D2B" w:rsidRPr="008C586A" w:rsidTr="00774DF5">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pPr>
            <w:r w:rsidRPr="008C586A">
              <w:t>1</w:t>
            </w:r>
          </w:p>
        </w:tc>
        <w:tc>
          <w:tcPr>
            <w:tcW w:w="3181"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2</w:t>
            </w:r>
          </w:p>
        </w:tc>
        <w:tc>
          <w:tcPr>
            <w:tcW w:w="4500"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3</w:t>
            </w:r>
          </w:p>
        </w:tc>
        <w:tc>
          <w:tcPr>
            <w:tcW w:w="3116"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4</w:t>
            </w:r>
          </w:p>
        </w:tc>
        <w:tc>
          <w:tcPr>
            <w:tcW w:w="3364" w:type="dxa"/>
            <w:tcBorders>
              <w:top w:val="single" w:sz="4" w:space="0" w:color="auto"/>
              <w:left w:val="single" w:sz="4" w:space="0" w:color="auto"/>
              <w:bottom w:val="single" w:sz="4" w:space="0" w:color="auto"/>
            </w:tcBorders>
          </w:tcPr>
          <w:p w:rsidR="00D75D2B" w:rsidRPr="008C586A" w:rsidRDefault="00D75D2B" w:rsidP="00AE206B">
            <w:pPr>
              <w:jc w:val="center"/>
            </w:pPr>
            <w:r w:rsidRPr="008C586A">
              <w:t>5</w:t>
            </w:r>
          </w:p>
        </w:tc>
      </w:tr>
      <w:tr w:rsidR="00D75D2B" w:rsidRPr="008C586A" w:rsidTr="00774DF5">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rsidR="00D75D2B" w:rsidRPr="008C586A" w:rsidRDefault="0001264C" w:rsidP="00AE206B">
            <w:pPr>
              <w:pStyle w:val="Pamatteksts"/>
              <w:spacing w:after="0"/>
              <w:jc w:val="both"/>
              <w:rPr>
                <w:lang w:val="lv-LV"/>
              </w:rPr>
            </w:pPr>
            <w:r>
              <w:rPr>
                <w:b/>
                <w:iCs/>
                <w:lang w:val="lv-LV"/>
              </w:rPr>
              <w:t>Tieslietu</w:t>
            </w:r>
            <w:r w:rsidR="00D75D2B" w:rsidRPr="008C586A">
              <w:rPr>
                <w:b/>
                <w:iCs/>
                <w:lang w:val="lv-LV"/>
              </w:rPr>
              <w:t xml:space="preserve"> ministrijas iebildum</w:t>
            </w:r>
            <w:r w:rsidR="002838E8">
              <w:rPr>
                <w:b/>
                <w:iCs/>
                <w:lang w:val="lv-LV"/>
              </w:rPr>
              <w:t>i</w:t>
            </w:r>
          </w:p>
        </w:tc>
      </w:tr>
      <w:tr w:rsidR="00D75D2B" w:rsidRPr="008C586A"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771DAC" w:rsidP="00AE206B">
            <w:pPr>
              <w:pStyle w:val="naisc"/>
              <w:spacing w:before="0" w:after="0"/>
            </w:pPr>
            <w:r>
              <w:t>1.</w:t>
            </w:r>
          </w:p>
        </w:tc>
        <w:tc>
          <w:tcPr>
            <w:tcW w:w="3181" w:type="dxa"/>
            <w:gridSpan w:val="2"/>
            <w:tcBorders>
              <w:top w:val="single" w:sz="6" w:space="0" w:color="000000"/>
              <w:left w:val="single" w:sz="6" w:space="0" w:color="000000"/>
              <w:bottom w:val="single" w:sz="6" w:space="0" w:color="000000"/>
              <w:right w:val="single" w:sz="6" w:space="0" w:color="000000"/>
            </w:tcBorders>
          </w:tcPr>
          <w:p w:rsidR="009836B9" w:rsidRPr="009836B9" w:rsidRDefault="009836B9" w:rsidP="009836B9">
            <w:pPr>
              <w:jc w:val="both"/>
              <w:rPr>
                <w:bCs/>
              </w:rPr>
            </w:pPr>
            <w:r w:rsidRPr="009836B9">
              <w:rPr>
                <w:bCs/>
              </w:rPr>
              <w:t>1. Papildināt I nodaļu ar 7.</w:t>
            </w:r>
            <w:r w:rsidRPr="009836B9">
              <w:rPr>
                <w:bCs/>
                <w:vertAlign w:val="superscript"/>
              </w:rPr>
              <w:t>1</w:t>
            </w:r>
            <w:r w:rsidRPr="009836B9">
              <w:rPr>
                <w:bCs/>
              </w:rPr>
              <w:t> punktu šādā redakcijā:</w:t>
            </w:r>
          </w:p>
          <w:p w:rsidR="009836B9" w:rsidRPr="009836B9" w:rsidRDefault="009836B9" w:rsidP="009836B9">
            <w:pPr>
              <w:jc w:val="both"/>
              <w:rPr>
                <w:bCs/>
              </w:rPr>
            </w:pPr>
            <w:r w:rsidRPr="009836B9">
              <w:rPr>
                <w:bCs/>
              </w:rPr>
              <w:t>"7.</w:t>
            </w:r>
            <w:r w:rsidRPr="009836B9">
              <w:rPr>
                <w:bCs/>
                <w:vertAlign w:val="superscript"/>
              </w:rPr>
              <w:t>1</w:t>
            </w:r>
            <w:r w:rsidRPr="009836B9">
              <w:rPr>
                <w:bCs/>
              </w:rPr>
              <w:t xml:space="preserve"> Latvijā nav atļauts ievest cūkas, svaigu cūkgaļu, kā arī produktus un izstrādājumus, kas iegūti no cūkām, kuru izcelsmes novietne atrodas šo noteikumu </w:t>
            </w:r>
            <w:hyperlink r:id="rId7" w:anchor="piel4" w:history="1">
              <w:r w:rsidRPr="009836B9">
                <w:rPr>
                  <w:rStyle w:val="Hipersaite"/>
                  <w:bCs/>
                  <w:color w:val="auto"/>
                  <w:u w:val="none"/>
                </w:rPr>
                <w:t>4. pielikumā</w:t>
              </w:r>
            </w:hyperlink>
            <w:r w:rsidRPr="009836B9">
              <w:rPr>
                <w:bCs/>
              </w:rPr>
              <w:t xml:space="preserve"> minētajās Eiropas Savienības dalībvalstu administratīvajā teritorijā, izņemot, ja cūkas, svaiga cūkgaļa, kā arī produkti un izstrādājumi, kas iegūti no cūkām, iegūti atbilstoši tieši piemērojamiem Eiropas Savienības tiesību aktiem par dzīvnieku veselības kontroles </w:t>
            </w:r>
            <w:r w:rsidRPr="009836B9">
              <w:rPr>
                <w:bCs/>
              </w:rPr>
              <w:lastRenderedPageBreak/>
              <w:t>pasākumiem saistībā ar klasisko cūku mēri dažās dalībvalstīs."</w:t>
            </w:r>
          </w:p>
          <w:p w:rsidR="00CE6545" w:rsidRPr="00CE6545" w:rsidRDefault="00CE6545" w:rsidP="00702672">
            <w:pPr>
              <w:jc w:val="both"/>
              <w:rPr>
                <w:bCs/>
              </w:rPr>
            </w:pPr>
          </w:p>
        </w:tc>
        <w:tc>
          <w:tcPr>
            <w:tcW w:w="4500" w:type="dxa"/>
            <w:tcBorders>
              <w:top w:val="single" w:sz="6" w:space="0" w:color="000000"/>
              <w:left w:val="single" w:sz="6" w:space="0" w:color="000000"/>
              <w:bottom w:val="single" w:sz="6" w:space="0" w:color="000000"/>
              <w:right w:val="single" w:sz="6" w:space="0" w:color="000000"/>
            </w:tcBorders>
          </w:tcPr>
          <w:p w:rsidR="00D75D2B" w:rsidRPr="00CE6545" w:rsidRDefault="00102E7B" w:rsidP="00AE206B">
            <w:pPr>
              <w:jc w:val="both"/>
            </w:pPr>
            <w:r w:rsidRPr="00102E7B">
              <w:lastRenderedPageBreak/>
              <w:t xml:space="preserve">Vēršam uzmanību, ka no noteikumu projekta 1. punkta nav skaidri saprotams, atbilstoši kādiem tieši piemērojamiem Eiropas Savienības tiesību aktiem par dzīvnieku veselības kontroles pasākumiem saistībā ar klasisko cūku mēri dažās dalībvalstīs cūkām, svaigai cūkgaļai, kā arī produktiem un izstrādājumiem, kas iegūti no cūkām, jāatbilst, lai tos varētu ievest Latvijā, un vai ar attiecīgiem tiesību aktiem ir domāti lēmumi. Norādām, ka saskaņā ar Līguma par Eiropas Savienības darbību 288. pantu lēmumi, kuros ir norādīti konkrēti adresāti, ir saistoši tikai šiem adresātiem. Ja lēmumu adresāts ir dalībvalstis un ir nepieciešams to normas padarīt saistošas privātpersonām, tad lēmumi ir jāpārņem valsts tiesību sistēmā </w:t>
            </w:r>
            <w:r w:rsidRPr="00102E7B">
              <w:lastRenderedPageBreak/>
              <w:t>tāpat kā direktīvas. Attiecīgi, ja ar tieši piemērojamiem Eiropas Savienības tiesību aktiem noteikumu projekta 1. punkta izpratnē saprotami lēmumi, piemēram, Komisijas 2013. gada 13. decembra Īstenošanas lēmums Nr. 2013/764/ES par dzīvnieku veselības kontroles pasākumiem saistībā ar klasisko cūku mēri dažās dalībvalstīs, tad attiecīgais lēmums, pamatojoties uz tā 11. pantu, ir adresēts dalībvalstīm. Tādējādi, lai minētā lēmuma normas padarītu saistošas privātpersonām, tās jāpārņem nacionālajā normatīvajā aktā. Attiecīgi lūdzam izvērtēt un atbilstoši precizēt noteikumu projektu</w:t>
            </w:r>
            <w:r>
              <w:t>.</w:t>
            </w:r>
          </w:p>
        </w:tc>
        <w:tc>
          <w:tcPr>
            <w:tcW w:w="3116" w:type="dxa"/>
            <w:gridSpan w:val="2"/>
            <w:tcBorders>
              <w:top w:val="single" w:sz="6" w:space="0" w:color="000000"/>
              <w:left w:val="single" w:sz="6" w:space="0" w:color="000000"/>
              <w:bottom w:val="single" w:sz="6" w:space="0" w:color="000000"/>
              <w:right w:val="single" w:sz="6" w:space="0" w:color="000000"/>
            </w:tcBorders>
          </w:tcPr>
          <w:p w:rsidR="0001264C" w:rsidRPr="008C586A" w:rsidRDefault="00771DAC" w:rsidP="00102E7B">
            <w:pPr>
              <w:pStyle w:val="Pamatteksts"/>
              <w:spacing w:after="0"/>
              <w:jc w:val="both"/>
              <w:rPr>
                <w:lang w:val="lv-LV"/>
              </w:rPr>
            </w:pPr>
            <w:r>
              <w:rPr>
                <w:lang w:val="lv-LV"/>
              </w:rPr>
              <w:lastRenderedPageBreak/>
              <w:t xml:space="preserve">Ņemts vērā. </w:t>
            </w:r>
            <w:r w:rsidR="00061F66">
              <w:rPr>
                <w:lang w:val="lv-LV"/>
              </w:rPr>
              <w:t xml:space="preserve">Noteikumu projekta 1. punkts ir vītrots, jo turpmāk </w:t>
            </w:r>
            <w:r w:rsidR="00061F66" w:rsidRPr="00061F66">
              <w:rPr>
                <w:lang w:val="lv-LV"/>
              </w:rPr>
              <w:t>Komisijas 2013. gada</w:t>
            </w:r>
            <w:r w:rsidR="00061F66">
              <w:rPr>
                <w:lang w:val="lv-LV"/>
              </w:rPr>
              <w:t xml:space="preserve"> 13. decembra Īstenošanas lēmuma</w:t>
            </w:r>
            <w:r w:rsidR="00061F66" w:rsidRPr="00061F66">
              <w:rPr>
                <w:lang w:val="lv-LV"/>
              </w:rPr>
              <w:t xml:space="preserve"> 2013/764/ES par dzīvnieku veselības kontroles pasākumiem saistībā ar klasisko cūku mēri dažās dalībvalstīs</w:t>
            </w:r>
            <w:r w:rsidR="00061F66">
              <w:rPr>
                <w:lang w:val="lv-LV"/>
              </w:rPr>
              <w:t xml:space="preserve"> normas vairs nav saistošas Lavijai.</w:t>
            </w:r>
          </w:p>
        </w:tc>
        <w:tc>
          <w:tcPr>
            <w:tcW w:w="3364" w:type="dxa"/>
            <w:tcBorders>
              <w:top w:val="single" w:sz="6" w:space="0" w:color="000000"/>
              <w:left w:val="single" w:sz="6" w:space="0" w:color="000000"/>
              <w:bottom w:val="single" w:sz="6" w:space="0" w:color="000000"/>
              <w:right w:val="single" w:sz="6" w:space="0" w:color="000000"/>
            </w:tcBorders>
          </w:tcPr>
          <w:p w:rsidR="00D13168" w:rsidRPr="004E6C8B" w:rsidRDefault="00D13168" w:rsidP="00BC719B">
            <w:pPr>
              <w:jc w:val="both"/>
            </w:pPr>
          </w:p>
        </w:tc>
      </w:tr>
      <w:tr w:rsidR="002838E8" w:rsidRPr="008C586A"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2838E8" w:rsidRDefault="002838E8" w:rsidP="00AE206B">
            <w:pPr>
              <w:pStyle w:val="naisc"/>
              <w:spacing w:before="0" w:after="0"/>
            </w:pPr>
            <w:r>
              <w:t>2.</w:t>
            </w:r>
          </w:p>
        </w:tc>
        <w:tc>
          <w:tcPr>
            <w:tcW w:w="3181" w:type="dxa"/>
            <w:gridSpan w:val="2"/>
            <w:tcBorders>
              <w:top w:val="single" w:sz="6" w:space="0" w:color="000000"/>
              <w:left w:val="single" w:sz="6" w:space="0" w:color="000000"/>
              <w:bottom w:val="single" w:sz="6" w:space="0" w:color="000000"/>
              <w:right w:val="single" w:sz="6" w:space="0" w:color="000000"/>
            </w:tcBorders>
          </w:tcPr>
          <w:p w:rsidR="002838E8" w:rsidRPr="009836B9" w:rsidRDefault="002838E8" w:rsidP="009836B9">
            <w:pPr>
              <w:jc w:val="both"/>
              <w:rPr>
                <w:bCs/>
              </w:rPr>
            </w:pPr>
          </w:p>
        </w:tc>
        <w:tc>
          <w:tcPr>
            <w:tcW w:w="4500" w:type="dxa"/>
            <w:tcBorders>
              <w:top w:val="single" w:sz="6" w:space="0" w:color="000000"/>
              <w:left w:val="single" w:sz="6" w:space="0" w:color="000000"/>
              <w:bottom w:val="single" w:sz="6" w:space="0" w:color="000000"/>
              <w:right w:val="single" w:sz="6" w:space="0" w:color="000000"/>
            </w:tcBorders>
          </w:tcPr>
          <w:p w:rsidR="002838E8" w:rsidRPr="00102E7B" w:rsidRDefault="002838E8" w:rsidP="00AE206B">
            <w:pPr>
              <w:jc w:val="both"/>
            </w:pPr>
            <w:r w:rsidRPr="002838E8">
              <w:t xml:space="preserve">Noteikumu projektam pievienotajā izziņā norādīts, ka noteikumu projekta 1. punkts svītrots, jo turpmāk Komisijas 2013. gada 13. decembra Īstenošanas lēmuma 2013/764/ES par dzīvnieku veselības kontroles pasākumiem saistībā ar klasisko cūku mēri dažās dalībvalstīs (turpmāk - lēmums Nr. 2013/764/ES) normas vairs nav saistošas Latvijai. Vēršam uzmanību, ka lēmums Nr. 2013/764/ES atbilstoši tā 11. pantam ir adresēts dalībvalstīm (t.i., visām dalībvalstīm ne tikai "attiecīgām dalībvalstīm" - šī lēmuma 1. panta pirmajā daļā minētajām dalībvalstīm), attiecīgi tas ir saistošs arī Latvijas Republikai. Piemēram, lēmuma Nr. 2013/764/ES 8. panta pirmā daļa paredz, ka dalībvalstis izdara grozījumus </w:t>
            </w:r>
            <w:r w:rsidRPr="002838E8">
              <w:lastRenderedPageBreak/>
              <w:t>pasākumos, kurus tās piemēro tirdzniecībai, lai tie būtu saskaņā ar šo lēmumu, un nekavējoties attiecīgi paziņo par pieņemtajiem pasākumiem. Turklāt jau šobrīd Ministru kabineta 2004. gada 30. novembra noteikumos Nr. 991 " Klasiskā cūku mēra likvidēšanas un draudu novēršanas kārtība " ir ticis regulēts jautājums saistībā ar noteiktu produktu ievešanu Latvijā no Eiropas Savienības dalībvalstu vai to apgabaliem, kas minēti lēmuma Nr. 2013/764/ES pielikumā un attiecīgi no izziņas nav saprotams, kā konkrēti izmaiņas lēmumā Nr. 2013/764/ES to ietekmē. Attiecīgi lūdzam sniegt pamatotu skaidrojumu par lēmuma Nr. 2013/764/ES 8. panta pirmajā daļā ietverto prasību pārņemšanu un atbilstoši precizēt noteikumu projektu un tā anotāciju.</w:t>
            </w:r>
          </w:p>
        </w:tc>
        <w:tc>
          <w:tcPr>
            <w:tcW w:w="3116" w:type="dxa"/>
            <w:gridSpan w:val="2"/>
            <w:tcBorders>
              <w:top w:val="single" w:sz="6" w:space="0" w:color="000000"/>
              <w:left w:val="single" w:sz="6" w:space="0" w:color="000000"/>
              <w:bottom w:val="single" w:sz="6" w:space="0" w:color="000000"/>
              <w:right w:val="single" w:sz="6" w:space="0" w:color="000000"/>
            </w:tcBorders>
          </w:tcPr>
          <w:p w:rsidR="002838E8" w:rsidRDefault="00D37CE6" w:rsidP="00102E7B">
            <w:pPr>
              <w:pStyle w:val="Pamatteksts"/>
              <w:spacing w:after="0"/>
              <w:jc w:val="both"/>
              <w:rPr>
                <w:lang w:val="lv-LV"/>
              </w:rPr>
            </w:pPr>
            <w:r>
              <w:rPr>
                <w:lang w:val="lv-LV"/>
              </w:rPr>
              <w:lastRenderedPageBreak/>
              <w:t>Ņemts vērā. Anotācijas I sadaļas 4. punkts papildināts ar skaidrojošu informāciju.</w:t>
            </w:r>
          </w:p>
        </w:tc>
        <w:tc>
          <w:tcPr>
            <w:tcW w:w="3364" w:type="dxa"/>
            <w:tcBorders>
              <w:top w:val="single" w:sz="6" w:space="0" w:color="000000"/>
              <w:left w:val="single" w:sz="6" w:space="0" w:color="000000"/>
              <w:bottom w:val="single" w:sz="6" w:space="0" w:color="000000"/>
              <w:right w:val="single" w:sz="6" w:space="0" w:color="000000"/>
            </w:tcBorders>
          </w:tcPr>
          <w:p w:rsidR="002838E8" w:rsidRPr="004E6C8B" w:rsidRDefault="002838E8" w:rsidP="00BC719B">
            <w:pPr>
              <w:jc w:val="both"/>
            </w:pPr>
          </w:p>
        </w:tc>
      </w:tr>
      <w:tr w:rsidR="004953C4" w:rsidRPr="008C586A"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4953C4" w:rsidRDefault="004953C4" w:rsidP="00AE206B">
            <w:pPr>
              <w:pStyle w:val="naisc"/>
              <w:spacing w:before="0" w:after="0"/>
            </w:pPr>
            <w:r>
              <w:t>3.</w:t>
            </w:r>
          </w:p>
        </w:tc>
        <w:tc>
          <w:tcPr>
            <w:tcW w:w="3181" w:type="dxa"/>
            <w:gridSpan w:val="2"/>
            <w:tcBorders>
              <w:top w:val="single" w:sz="6" w:space="0" w:color="000000"/>
              <w:left w:val="single" w:sz="6" w:space="0" w:color="000000"/>
              <w:bottom w:val="single" w:sz="6" w:space="0" w:color="000000"/>
              <w:right w:val="single" w:sz="6" w:space="0" w:color="000000"/>
            </w:tcBorders>
          </w:tcPr>
          <w:p w:rsidR="004953C4" w:rsidRPr="009836B9" w:rsidRDefault="004953C4" w:rsidP="009836B9">
            <w:pPr>
              <w:jc w:val="both"/>
              <w:rPr>
                <w:bCs/>
              </w:rPr>
            </w:pPr>
          </w:p>
        </w:tc>
        <w:tc>
          <w:tcPr>
            <w:tcW w:w="4500" w:type="dxa"/>
            <w:tcBorders>
              <w:top w:val="single" w:sz="6" w:space="0" w:color="000000"/>
              <w:left w:val="single" w:sz="6" w:space="0" w:color="000000"/>
              <w:bottom w:val="single" w:sz="6" w:space="0" w:color="000000"/>
              <w:right w:val="single" w:sz="6" w:space="0" w:color="000000"/>
            </w:tcBorders>
          </w:tcPr>
          <w:p w:rsidR="004953C4" w:rsidRPr="004953C4" w:rsidRDefault="004953C4" w:rsidP="00AE206B">
            <w:pPr>
              <w:jc w:val="both"/>
            </w:pPr>
            <w:r w:rsidRPr="004953C4">
              <w:rPr>
                <w:bCs/>
                <w:iCs/>
              </w:rPr>
              <w:t xml:space="preserve">Uzturam Tieslietu ministrijas iepriekš saskaņošanas procesā izteikto iebildumu. Vēršam uzmanību, ka no izziņā un noteikumu projekta anotācijā sniegtās informācijas nav gūstama pārliecība par to, kā atbilstoši noteikumu projektam un Ministru kabineta 2004. gada 30. novembra noteikumiem Nr. 991 "Klasiskā cūku mēra likvidēšanas un draudu novēršanas kārtība" tiek nodrošināta Komisijas 2013. gada 13. decembra Īstenošanas lēmuma 2013/764/ES par dzīvnieku veselības kontroles pasākumiem saistībā ar klasisko cūku mēri </w:t>
            </w:r>
            <w:r w:rsidRPr="004953C4">
              <w:rPr>
                <w:bCs/>
                <w:iCs/>
              </w:rPr>
              <w:lastRenderedPageBreak/>
              <w:t>dažās dalībvalstīs 8. panta 1. punkta prasību pārņemšana, kas attiecināma uz visām Eiropas Savienības dalībvalstīm.</w:t>
            </w:r>
          </w:p>
        </w:tc>
        <w:tc>
          <w:tcPr>
            <w:tcW w:w="3116" w:type="dxa"/>
            <w:gridSpan w:val="2"/>
            <w:tcBorders>
              <w:top w:val="single" w:sz="6" w:space="0" w:color="000000"/>
              <w:left w:val="single" w:sz="6" w:space="0" w:color="000000"/>
              <w:bottom w:val="single" w:sz="6" w:space="0" w:color="000000"/>
              <w:right w:val="single" w:sz="6" w:space="0" w:color="000000"/>
            </w:tcBorders>
          </w:tcPr>
          <w:p w:rsidR="004953C4" w:rsidRDefault="003D6249" w:rsidP="00102E7B">
            <w:pPr>
              <w:pStyle w:val="Pamatteksts"/>
              <w:spacing w:after="0"/>
              <w:jc w:val="both"/>
              <w:rPr>
                <w:lang w:val="lv-LV"/>
              </w:rPr>
            </w:pPr>
            <w:r>
              <w:rPr>
                <w:lang w:val="lv-LV"/>
              </w:rPr>
              <w:lastRenderedPageBreak/>
              <w:t>Ņemts vērā. Noteikumu projekts papildināts ar vienu punktu.</w:t>
            </w:r>
          </w:p>
        </w:tc>
        <w:tc>
          <w:tcPr>
            <w:tcW w:w="3364" w:type="dxa"/>
            <w:tcBorders>
              <w:top w:val="single" w:sz="6" w:space="0" w:color="000000"/>
              <w:left w:val="single" w:sz="6" w:space="0" w:color="000000"/>
              <w:bottom w:val="single" w:sz="6" w:space="0" w:color="000000"/>
              <w:right w:val="single" w:sz="6" w:space="0" w:color="000000"/>
            </w:tcBorders>
          </w:tcPr>
          <w:p w:rsidR="007B54B7" w:rsidRPr="007B54B7" w:rsidRDefault="007B54B7" w:rsidP="007B54B7">
            <w:pPr>
              <w:jc w:val="both"/>
            </w:pPr>
            <w:r w:rsidRPr="007B54B7">
              <w:t>1. Papildināt I nodaļu ar 7.</w:t>
            </w:r>
            <w:r w:rsidRPr="007B54B7">
              <w:rPr>
                <w:vertAlign w:val="superscript"/>
              </w:rPr>
              <w:t>1</w:t>
            </w:r>
            <w:r w:rsidRPr="007B54B7">
              <w:t> punktu šādā redakcijā:</w:t>
            </w:r>
          </w:p>
          <w:p w:rsidR="004953C4" w:rsidRPr="004E6C8B" w:rsidRDefault="007B54B7" w:rsidP="007B54B7">
            <w:pPr>
              <w:jc w:val="both"/>
            </w:pPr>
            <w:r w:rsidRPr="007B54B7">
              <w:rPr>
                <w:bCs/>
              </w:rPr>
              <w:t>"</w:t>
            </w:r>
            <w:r w:rsidR="00225B4F" w:rsidRPr="00225B4F">
              <w:t>7.</w:t>
            </w:r>
            <w:r w:rsidR="00225B4F" w:rsidRPr="00225B4F">
              <w:rPr>
                <w:vertAlign w:val="superscript"/>
              </w:rPr>
              <w:t>1</w:t>
            </w:r>
            <w:r w:rsidR="00225B4F" w:rsidRPr="00225B4F">
              <w:t xml:space="preserve"> Latvijā nav atļauts ievest cūkas, svaigu cūkgaļu, kā arī produktus un izstrādājumus, kas iegūti no cūkām, kuru izcelsmes novietne atrodas šo noteikumu </w:t>
            </w:r>
            <w:hyperlink r:id="rId8" w:anchor="piel4" w:history="1">
              <w:r w:rsidR="00225B4F" w:rsidRPr="00225B4F">
                <w:rPr>
                  <w:rStyle w:val="Hipersaite"/>
                  <w:color w:val="auto"/>
                  <w:u w:val="none"/>
                </w:rPr>
                <w:t>4. pielikumā</w:t>
              </w:r>
            </w:hyperlink>
            <w:r w:rsidR="00225B4F" w:rsidRPr="00225B4F">
              <w:t xml:space="preserve"> minētajās Eiropas Savienības dalībvalstu administratīvajās teritorijās, izņemot, ja šo Eiropas Savienības dalībvalstu kompetentās iestādes, kas </w:t>
            </w:r>
            <w:r w:rsidR="00225B4F" w:rsidRPr="00225B4F">
              <w:lastRenderedPageBreak/>
              <w:t>atbildīgas par dzīvnieku veselības kontroli, ir veikušas attiecīgus pasākumus un apliecina, ka ievedamās cūkas, svaiga cūkgaļa, kā arī produkti un izstrādājumi, kas iegūti no cūkām, nerada klasiskā cūku mēra izplatīšanās risku, jo cūkām ir veiktas veselības kontroles, bet svaiga cūkgaļa, kā arī produkti un izstrādājumi, kas iegūti no cūkām, iegūti atbilstoši tieši piemērojamiem Eiropas Savienības tiesību aktiem par dzīvnieku veselības kontroles pasākumiem saistībā ar klasisko cūku mēri dažās dalībvalstīs.</w:t>
            </w:r>
            <w:r w:rsidRPr="007B54B7">
              <w:rPr>
                <w:bCs/>
              </w:rPr>
              <w:t>"</w:t>
            </w:r>
          </w:p>
        </w:tc>
      </w:tr>
      <w:tr w:rsidR="00652253" w:rsidRPr="008C586A" w:rsidTr="009836B9">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rsidR="00652253" w:rsidRPr="00652253" w:rsidRDefault="00102E7B" w:rsidP="00BC719B">
            <w:pPr>
              <w:jc w:val="both"/>
              <w:rPr>
                <w:b/>
              </w:rPr>
            </w:pPr>
            <w:r>
              <w:rPr>
                <w:b/>
              </w:rPr>
              <w:lastRenderedPageBreak/>
              <w:t>Valsts kancelejas</w:t>
            </w:r>
            <w:r w:rsidR="00652253">
              <w:rPr>
                <w:b/>
              </w:rPr>
              <w:t xml:space="preserve"> iebildums</w:t>
            </w:r>
          </w:p>
        </w:tc>
      </w:tr>
      <w:tr w:rsidR="00652253" w:rsidRPr="008C586A"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652253" w:rsidRDefault="004953C4" w:rsidP="00AE206B">
            <w:pPr>
              <w:pStyle w:val="naisc"/>
              <w:spacing w:before="0" w:after="0"/>
            </w:pPr>
            <w:r>
              <w:t>4</w:t>
            </w:r>
            <w:r w:rsidR="00652253">
              <w:t xml:space="preserve">. </w:t>
            </w:r>
          </w:p>
        </w:tc>
        <w:tc>
          <w:tcPr>
            <w:tcW w:w="3181" w:type="dxa"/>
            <w:gridSpan w:val="2"/>
            <w:tcBorders>
              <w:top w:val="single" w:sz="6" w:space="0" w:color="000000"/>
              <w:left w:val="single" w:sz="6" w:space="0" w:color="000000"/>
              <w:bottom w:val="single" w:sz="6" w:space="0" w:color="000000"/>
              <w:right w:val="single" w:sz="6" w:space="0" w:color="000000"/>
            </w:tcBorders>
          </w:tcPr>
          <w:p w:rsidR="00652253" w:rsidRPr="00CE6545" w:rsidRDefault="00652253" w:rsidP="00702672">
            <w:pPr>
              <w:jc w:val="both"/>
              <w:rPr>
                <w:bCs/>
              </w:rPr>
            </w:pPr>
          </w:p>
        </w:tc>
        <w:tc>
          <w:tcPr>
            <w:tcW w:w="4500" w:type="dxa"/>
            <w:tcBorders>
              <w:top w:val="single" w:sz="6" w:space="0" w:color="000000"/>
              <w:left w:val="single" w:sz="6" w:space="0" w:color="000000"/>
              <w:bottom w:val="single" w:sz="6" w:space="0" w:color="000000"/>
              <w:right w:val="single" w:sz="6" w:space="0" w:color="000000"/>
            </w:tcBorders>
          </w:tcPr>
          <w:p w:rsidR="00102E7B" w:rsidRPr="00102E7B" w:rsidRDefault="00102E7B" w:rsidP="00102E7B">
            <w:pPr>
              <w:jc w:val="both"/>
              <w:rPr>
                <w:bCs/>
              </w:rPr>
            </w:pPr>
            <w:r w:rsidRPr="00102E7B">
              <w:rPr>
                <w:bCs/>
              </w:rPr>
              <w:t xml:space="preserve">Atbilstoši sākotnējās ietekmes novērtējuma ziņojuma (anotācijas) I. un II. sadaļā minētajam, Latvijas teritorija tagad ir brīva no klasiskā cūku mēra un turpmāk klasiskā cūku mēra kontroles pasākumi vairs netiks īstenoti, attiecīgi cūku novietnēs vairs nenotiks Pārtikas un veterinārā dienesta inspektoru vizītes un netiks noņemti paraugi laboratoriskai izmeklēšanai uz klasisko cūku mēri. Attiecīgi varam secināt, ka samazināsies Pārtikas un veterinārā dienesta inspektoru veicamā darba apjoms, jo konkrētā funkcija vairs netiks veikta. </w:t>
            </w:r>
          </w:p>
          <w:p w:rsidR="00102E7B" w:rsidRPr="00102E7B" w:rsidRDefault="00102E7B" w:rsidP="00102E7B">
            <w:pPr>
              <w:jc w:val="both"/>
              <w:rPr>
                <w:bCs/>
              </w:rPr>
            </w:pPr>
            <w:r w:rsidRPr="00102E7B">
              <w:rPr>
                <w:bCs/>
              </w:rPr>
              <w:lastRenderedPageBreak/>
              <w:t>Savukārt, sākotnējās ietekmes novērtējuma ziņojuma (anotācijas) VII. sadaļā norādīts, ka “Noteikumu projekta izpilde neietekmēs institūcijām pieejamos cilvēkresursus”.</w:t>
            </w:r>
          </w:p>
          <w:p w:rsidR="00652253" w:rsidRPr="00771DAC" w:rsidRDefault="00102E7B" w:rsidP="00AE206B">
            <w:pPr>
              <w:jc w:val="both"/>
              <w:rPr>
                <w:bCs/>
              </w:rPr>
            </w:pPr>
            <w:r w:rsidRPr="00102E7B">
              <w:rPr>
                <w:bCs/>
              </w:rPr>
              <w:t>Ņemot vērā iepriekš minēto, lūdzam papildināt anotāciju ar informāciju, vai Pārtikas un veterinārajā dienestā ir izvērtēti iekšējie procesi un veikta procesu efektivizēšana, racionāli izmantojot institūcijai pieejamos cilvēkresursus.</w:t>
            </w:r>
          </w:p>
        </w:tc>
        <w:tc>
          <w:tcPr>
            <w:tcW w:w="3116" w:type="dxa"/>
            <w:gridSpan w:val="2"/>
            <w:tcBorders>
              <w:top w:val="single" w:sz="6" w:space="0" w:color="000000"/>
              <w:left w:val="single" w:sz="6" w:space="0" w:color="000000"/>
              <w:bottom w:val="single" w:sz="6" w:space="0" w:color="000000"/>
              <w:right w:val="single" w:sz="6" w:space="0" w:color="000000"/>
            </w:tcBorders>
          </w:tcPr>
          <w:p w:rsidR="00652253" w:rsidRDefault="00652253" w:rsidP="00AE206B">
            <w:pPr>
              <w:pStyle w:val="Pamatteksts"/>
              <w:spacing w:after="0"/>
              <w:jc w:val="both"/>
              <w:rPr>
                <w:lang w:val="lv-LV"/>
              </w:rPr>
            </w:pPr>
            <w:r>
              <w:rPr>
                <w:lang w:val="lv-LV"/>
              </w:rPr>
              <w:lastRenderedPageBreak/>
              <w:t>Ņemts vērā.</w:t>
            </w:r>
            <w:r w:rsidR="001D065D">
              <w:rPr>
                <w:lang w:val="lv-LV"/>
              </w:rPr>
              <w:t xml:space="preserve"> Skatīt anotācijas VII. sadaļu.</w:t>
            </w:r>
          </w:p>
        </w:tc>
        <w:tc>
          <w:tcPr>
            <w:tcW w:w="3364" w:type="dxa"/>
            <w:tcBorders>
              <w:top w:val="single" w:sz="6" w:space="0" w:color="000000"/>
              <w:left w:val="single" w:sz="6" w:space="0" w:color="000000"/>
              <w:bottom w:val="single" w:sz="6" w:space="0" w:color="000000"/>
              <w:right w:val="single" w:sz="6" w:space="0" w:color="000000"/>
            </w:tcBorders>
          </w:tcPr>
          <w:p w:rsidR="00652253" w:rsidRPr="004E6C8B" w:rsidRDefault="00652253" w:rsidP="003D6249">
            <w:pPr>
              <w:jc w:val="both"/>
            </w:pPr>
          </w:p>
        </w:tc>
      </w:tr>
      <w:tr w:rsidR="00D75D2B" w:rsidRPr="008C586A"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rsidR="00D75D2B" w:rsidRPr="008C586A" w:rsidRDefault="00D75D2B" w:rsidP="00AE206B">
            <w:pPr>
              <w:pStyle w:val="naiskr"/>
              <w:spacing w:before="0" w:after="0"/>
            </w:pPr>
            <w:r w:rsidRPr="008C586A">
              <w:t>Atbildīgā amatpersona</w:t>
            </w:r>
          </w:p>
        </w:tc>
        <w:tc>
          <w:tcPr>
            <w:tcW w:w="5977" w:type="dxa"/>
            <w:gridSpan w:val="3"/>
          </w:tcPr>
          <w:p w:rsidR="00D75D2B" w:rsidRPr="008C586A" w:rsidRDefault="00D75D2B" w:rsidP="00AE206B">
            <w:pPr>
              <w:pStyle w:val="naiskr"/>
              <w:spacing w:before="0" w:after="0"/>
              <w:ind w:firstLine="720"/>
            </w:pPr>
            <w:r w:rsidRPr="008C586A">
              <w:t>  </w:t>
            </w:r>
          </w:p>
        </w:tc>
      </w:tr>
      <w:tr w:rsidR="00D75D2B" w:rsidRPr="008C586A"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rsidR="00D75D2B" w:rsidRPr="008C586A" w:rsidRDefault="00D75D2B" w:rsidP="00AE206B">
            <w:pPr>
              <w:pStyle w:val="naiskr"/>
              <w:spacing w:before="0" w:after="0"/>
              <w:ind w:firstLine="720"/>
            </w:pPr>
          </w:p>
        </w:tc>
        <w:tc>
          <w:tcPr>
            <w:tcW w:w="5977" w:type="dxa"/>
            <w:gridSpan w:val="3"/>
            <w:tcBorders>
              <w:top w:val="single" w:sz="6" w:space="0" w:color="000000"/>
            </w:tcBorders>
          </w:tcPr>
          <w:p w:rsidR="00D75D2B" w:rsidRPr="008C586A" w:rsidRDefault="00D75D2B" w:rsidP="00AE206B">
            <w:pPr>
              <w:pStyle w:val="naisc"/>
              <w:spacing w:before="0" w:after="0"/>
              <w:ind w:firstLine="720"/>
            </w:pPr>
            <w:r w:rsidRPr="008C586A">
              <w:t>(paraksts)*</w:t>
            </w:r>
          </w:p>
        </w:tc>
      </w:tr>
    </w:tbl>
    <w:p w:rsidR="00D75D2B" w:rsidRPr="008C586A" w:rsidRDefault="00D75D2B" w:rsidP="00774DF5">
      <w:pPr>
        <w:pStyle w:val="naisf"/>
        <w:spacing w:before="0" w:beforeAutospacing="0" w:after="0" w:afterAutospacing="0"/>
      </w:pPr>
    </w:p>
    <w:p w:rsidR="008F2490" w:rsidRPr="008C586A" w:rsidRDefault="008F2490" w:rsidP="008F2490">
      <w:pPr>
        <w:pStyle w:val="naisf"/>
        <w:spacing w:before="0" w:beforeAutospacing="0" w:after="0" w:afterAutospacing="0"/>
        <w:ind w:firstLine="720"/>
      </w:pPr>
      <w:r w:rsidRPr="008C586A">
        <w:t xml:space="preserve">Piezīme. * Dokumenta rekvizītu </w:t>
      </w:r>
      <w:r w:rsidR="00EF3810" w:rsidRPr="008C586A">
        <w:t>„paraksts”</w:t>
      </w:r>
      <w:r w:rsidRPr="008C586A">
        <w:t xml:space="preserve"> neaizpilda, ja elektroniskais dokuments ir sagatavots atbilstoši normatīvajiem aktiem par elektronisko dokumentu noformēšanu.</w:t>
      </w:r>
    </w:p>
    <w:p w:rsidR="008F2490" w:rsidRPr="008C586A" w:rsidRDefault="008F2490" w:rsidP="008F2490">
      <w:pPr>
        <w:pStyle w:val="naisf"/>
        <w:spacing w:before="0" w:beforeAutospacing="0" w:after="0" w:afterAutospacing="0"/>
        <w:ind w:left="2880" w:firstLine="720"/>
      </w:pPr>
    </w:p>
    <w:p w:rsidR="008F2490" w:rsidRPr="008C586A" w:rsidRDefault="00EF3810" w:rsidP="008F2490">
      <w:pPr>
        <w:pStyle w:val="naisf"/>
        <w:spacing w:before="0" w:beforeAutospacing="0" w:after="0" w:afterAutospacing="0"/>
        <w:ind w:left="2880" w:firstLine="720"/>
      </w:pPr>
      <w:r w:rsidRPr="008C586A">
        <w:t>Olita Vecuma-Veco</w:t>
      </w:r>
    </w:p>
    <w:tbl>
      <w:tblPr>
        <w:tblW w:w="0" w:type="auto"/>
        <w:tblLook w:val="00A0" w:firstRow="1" w:lastRow="0" w:firstColumn="1" w:lastColumn="0" w:noHBand="0" w:noVBand="0"/>
      </w:tblPr>
      <w:tblGrid>
        <w:gridCol w:w="8268"/>
      </w:tblGrid>
      <w:tr w:rsidR="008F2490" w:rsidRPr="008C586A">
        <w:tc>
          <w:tcPr>
            <w:tcW w:w="8268" w:type="dxa"/>
            <w:tcBorders>
              <w:top w:val="single" w:sz="4" w:space="0" w:color="000000"/>
            </w:tcBorders>
          </w:tcPr>
          <w:p w:rsidR="008F2490" w:rsidRPr="008C586A" w:rsidRDefault="008F2490" w:rsidP="00E776D1">
            <w:pPr>
              <w:jc w:val="center"/>
            </w:pPr>
            <w:r w:rsidRPr="008C586A">
              <w:t>(par projektu atbildīgās amatpersonas vārds un uzvārds)</w:t>
            </w:r>
          </w:p>
        </w:tc>
      </w:tr>
      <w:tr w:rsidR="008F2490" w:rsidRPr="008C586A">
        <w:tc>
          <w:tcPr>
            <w:tcW w:w="8268" w:type="dxa"/>
            <w:tcBorders>
              <w:bottom w:val="single" w:sz="4" w:space="0" w:color="000000"/>
            </w:tcBorders>
          </w:tcPr>
          <w:p w:rsidR="008F2490" w:rsidRPr="008C586A" w:rsidRDefault="008F2490" w:rsidP="00E776D1">
            <w:pPr>
              <w:jc w:val="center"/>
            </w:pPr>
            <w:r w:rsidRPr="008C586A">
              <w:t>Zemkopības ministrijas Veterinārā un pārtikas departamenta Dzīvnieku veselības un veterināro zāļu nodaļas vecākā referente</w:t>
            </w:r>
          </w:p>
        </w:tc>
      </w:tr>
      <w:tr w:rsidR="008F2490" w:rsidRPr="008C586A">
        <w:tc>
          <w:tcPr>
            <w:tcW w:w="8268" w:type="dxa"/>
            <w:tcBorders>
              <w:top w:val="single" w:sz="4" w:space="0" w:color="000000"/>
            </w:tcBorders>
          </w:tcPr>
          <w:p w:rsidR="008F2490" w:rsidRPr="008C586A" w:rsidRDefault="008F2490" w:rsidP="00E776D1">
            <w:pPr>
              <w:jc w:val="center"/>
            </w:pPr>
            <w:r w:rsidRPr="008C586A">
              <w:t>(amats)</w:t>
            </w:r>
          </w:p>
        </w:tc>
      </w:tr>
      <w:tr w:rsidR="008F2490" w:rsidRPr="008C586A">
        <w:tc>
          <w:tcPr>
            <w:tcW w:w="8268" w:type="dxa"/>
            <w:tcBorders>
              <w:bottom w:val="single" w:sz="4" w:space="0" w:color="000000"/>
            </w:tcBorders>
          </w:tcPr>
          <w:p w:rsidR="008F2490" w:rsidRPr="008C586A" w:rsidRDefault="008F2490" w:rsidP="00E776D1">
            <w:pPr>
              <w:jc w:val="center"/>
            </w:pPr>
            <w:r w:rsidRPr="008C586A">
              <w:t>67027</w:t>
            </w:r>
            <w:r w:rsidR="00EF3810" w:rsidRPr="008C586A">
              <w:t>551</w:t>
            </w:r>
          </w:p>
        </w:tc>
      </w:tr>
      <w:tr w:rsidR="008F2490" w:rsidRPr="008C586A">
        <w:tc>
          <w:tcPr>
            <w:tcW w:w="8268" w:type="dxa"/>
            <w:tcBorders>
              <w:top w:val="single" w:sz="4" w:space="0" w:color="000000"/>
            </w:tcBorders>
          </w:tcPr>
          <w:p w:rsidR="008F2490" w:rsidRPr="008C586A" w:rsidRDefault="008F2490" w:rsidP="00E776D1">
            <w:pPr>
              <w:jc w:val="center"/>
            </w:pPr>
            <w:r w:rsidRPr="008C586A">
              <w:t>(tālruņa un faksa numurs)</w:t>
            </w:r>
          </w:p>
        </w:tc>
      </w:tr>
      <w:tr w:rsidR="008F2490" w:rsidRPr="008C586A">
        <w:tc>
          <w:tcPr>
            <w:tcW w:w="8268" w:type="dxa"/>
            <w:tcBorders>
              <w:bottom w:val="single" w:sz="4" w:space="0" w:color="000000"/>
            </w:tcBorders>
          </w:tcPr>
          <w:p w:rsidR="008F2490" w:rsidRPr="008C586A" w:rsidRDefault="00EF3810" w:rsidP="00E776D1">
            <w:pPr>
              <w:jc w:val="center"/>
            </w:pPr>
            <w:r w:rsidRPr="008C586A">
              <w:t>Olita.Vecuma-Veco</w:t>
            </w:r>
            <w:r w:rsidR="008F2490" w:rsidRPr="008C586A">
              <w:t>@</w:t>
            </w:r>
            <w:smartTag w:uri="urn:schemas-microsoft-com:office:smarttags" w:element="PersonName">
              <w:r w:rsidR="008F2490" w:rsidRPr="008C586A">
                <w:t>zm</w:t>
              </w:r>
            </w:smartTag>
            <w:r w:rsidR="008F2490" w:rsidRPr="008C586A">
              <w:t>.gov.lv</w:t>
            </w:r>
          </w:p>
        </w:tc>
      </w:tr>
      <w:tr w:rsidR="008F2490" w:rsidRPr="008C586A">
        <w:tc>
          <w:tcPr>
            <w:tcW w:w="8268" w:type="dxa"/>
            <w:tcBorders>
              <w:top w:val="single" w:sz="4" w:space="0" w:color="000000"/>
            </w:tcBorders>
          </w:tcPr>
          <w:p w:rsidR="008F2490" w:rsidRPr="008C586A" w:rsidRDefault="008F2490" w:rsidP="00E776D1">
            <w:pPr>
              <w:jc w:val="center"/>
            </w:pPr>
            <w:r w:rsidRPr="008C586A">
              <w:t>(e-pasta adrese)</w:t>
            </w:r>
          </w:p>
        </w:tc>
        <w:bookmarkStart w:id="0" w:name="_GoBack"/>
        <w:bookmarkEnd w:id="0"/>
      </w:tr>
    </w:tbl>
    <w:p w:rsidR="008123B3" w:rsidRPr="008C586A" w:rsidRDefault="008123B3" w:rsidP="00432B40">
      <w:pPr>
        <w:pStyle w:val="naisnod"/>
        <w:spacing w:before="0" w:beforeAutospacing="0" w:after="0" w:afterAutospacing="0"/>
      </w:pPr>
    </w:p>
    <w:sectPr w:rsidR="008123B3" w:rsidRPr="008C586A" w:rsidSect="00923B05">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B9" w:rsidRDefault="009836B9">
      <w:r>
        <w:separator/>
      </w:r>
    </w:p>
  </w:endnote>
  <w:endnote w:type="continuationSeparator" w:id="0">
    <w:p w:rsidR="009836B9" w:rsidRDefault="0098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B9" w:rsidRPr="00923B05" w:rsidRDefault="00923B05" w:rsidP="00923B05">
    <w:pPr>
      <w:pStyle w:val="Kjene"/>
    </w:pPr>
    <w:r w:rsidRPr="00923B05">
      <w:rPr>
        <w:sz w:val="20"/>
        <w:szCs w:val="20"/>
      </w:rPr>
      <w:t>ZMizz_010221_klas_cm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B9" w:rsidRPr="00923B05" w:rsidRDefault="00923B05" w:rsidP="00923B05">
    <w:pPr>
      <w:pStyle w:val="Kjene"/>
    </w:pPr>
    <w:r w:rsidRPr="00923B05">
      <w:rPr>
        <w:sz w:val="20"/>
        <w:szCs w:val="20"/>
      </w:rPr>
      <w:t>ZMizz_010221_klas_cm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B9" w:rsidRDefault="009836B9">
      <w:r>
        <w:separator/>
      </w:r>
    </w:p>
  </w:footnote>
  <w:footnote w:type="continuationSeparator" w:id="0">
    <w:p w:rsidR="009836B9" w:rsidRDefault="0098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B9" w:rsidRDefault="009836B9" w:rsidP="001C0A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225B4F">
      <w:rPr>
        <w:rStyle w:val="Lappusesnumurs"/>
        <w:noProof/>
      </w:rPr>
      <w:t>6</w:t>
    </w:r>
    <w:r>
      <w:rPr>
        <w:rStyle w:val="Lappusesnumu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769"/>
    <w:multiLevelType w:val="hybridMultilevel"/>
    <w:tmpl w:val="3E9C4B04"/>
    <w:lvl w:ilvl="0" w:tplc="63B0C8F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DD42DD3"/>
    <w:multiLevelType w:val="hybridMultilevel"/>
    <w:tmpl w:val="40CEAC6A"/>
    <w:lvl w:ilvl="0" w:tplc="84C271A4">
      <w:start w:val="1"/>
      <w:numFmt w:val="decimal"/>
      <w:lvlText w:val="%1)"/>
      <w:lvlJc w:val="left"/>
      <w:pPr>
        <w:tabs>
          <w:tab w:val="num" w:pos="720"/>
        </w:tabs>
        <w:ind w:left="720" w:hanging="360"/>
      </w:pPr>
      <w:rPr>
        <w:color w:val="auto"/>
      </w:rPr>
    </w:lvl>
    <w:lvl w:ilvl="1" w:tplc="CC321E5A">
      <w:start w:val="1"/>
      <w:numFmt w:val="decimal"/>
      <w:lvlText w:val="%2)"/>
      <w:lvlJc w:val="left"/>
      <w:pPr>
        <w:tabs>
          <w:tab w:val="num" w:pos="1440"/>
        </w:tabs>
        <w:ind w:left="1440" w:hanging="360"/>
      </w:pPr>
      <w:rPr>
        <w:color w:val="auto"/>
      </w:rPr>
    </w:lvl>
    <w:lvl w:ilvl="2" w:tplc="0DCE11FA">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F350ABA"/>
    <w:multiLevelType w:val="hybridMultilevel"/>
    <w:tmpl w:val="36ACCB68"/>
    <w:lvl w:ilvl="0" w:tplc="0426000F">
      <w:start w:val="1"/>
      <w:numFmt w:val="decimal"/>
      <w:lvlText w:val="%1."/>
      <w:lvlJc w:val="left"/>
      <w:pPr>
        <w:tabs>
          <w:tab w:val="num" w:pos="780"/>
        </w:tabs>
        <w:ind w:left="7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44066460"/>
    <w:multiLevelType w:val="hybridMultilevel"/>
    <w:tmpl w:val="7B2E180A"/>
    <w:lvl w:ilvl="0" w:tplc="88525ADC">
      <w:start w:val="1"/>
      <w:numFmt w:val="decimal"/>
      <w:lvlText w:val="%1)"/>
      <w:lvlJc w:val="left"/>
      <w:pPr>
        <w:tabs>
          <w:tab w:val="num" w:pos="960"/>
        </w:tabs>
        <w:ind w:left="960" w:hanging="60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671F63FE"/>
    <w:multiLevelType w:val="hybridMultilevel"/>
    <w:tmpl w:val="C232B2D8"/>
    <w:lvl w:ilvl="0" w:tplc="925E9C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B92034C"/>
    <w:multiLevelType w:val="multilevel"/>
    <w:tmpl w:val="0F685D2E"/>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15:restartNumberingAfterBreak="0">
    <w:nsid w:val="6D2567E4"/>
    <w:multiLevelType w:val="hybridMultilevel"/>
    <w:tmpl w:val="69C41E8A"/>
    <w:lvl w:ilvl="0" w:tplc="E794BF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79FF7D5C"/>
    <w:multiLevelType w:val="hybridMultilevel"/>
    <w:tmpl w:val="1E226E6C"/>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03"/>
    <w:rsid w:val="00007D65"/>
    <w:rsid w:val="0001264C"/>
    <w:rsid w:val="00014991"/>
    <w:rsid w:val="0003076A"/>
    <w:rsid w:val="00047959"/>
    <w:rsid w:val="00061F66"/>
    <w:rsid w:val="00074682"/>
    <w:rsid w:val="00090059"/>
    <w:rsid w:val="000A6082"/>
    <w:rsid w:val="000B08E0"/>
    <w:rsid w:val="000C291D"/>
    <w:rsid w:val="000F59B0"/>
    <w:rsid w:val="00102E7B"/>
    <w:rsid w:val="00123A1A"/>
    <w:rsid w:val="001615D8"/>
    <w:rsid w:val="00167AD9"/>
    <w:rsid w:val="00173954"/>
    <w:rsid w:val="00176AD9"/>
    <w:rsid w:val="00184B9C"/>
    <w:rsid w:val="00185AEE"/>
    <w:rsid w:val="001913B4"/>
    <w:rsid w:val="001A621B"/>
    <w:rsid w:val="001B4D35"/>
    <w:rsid w:val="001C0A53"/>
    <w:rsid w:val="001D065D"/>
    <w:rsid w:val="001D107F"/>
    <w:rsid w:val="001E1AF3"/>
    <w:rsid w:val="001E224F"/>
    <w:rsid w:val="001E789F"/>
    <w:rsid w:val="001F1817"/>
    <w:rsid w:val="001F2264"/>
    <w:rsid w:val="001F286C"/>
    <w:rsid w:val="00204DAA"/>
    <w:rsid w:val="00210B3F"/>
    <w:rsid w:val="00214D54"/>
    <w:rsid w:val="00225B4F"/>
    <w:rsid w:val="0024045F"/>
    <w:rsid w:val="0027133F"/>
    <w:rsid w:val="002838E8"/>
    <w:rsid w:val="002A129F"/>
    <w:rsid w:val="002D1D5F"/>
    <w:rsid w:val="002D3670"/>
    <w:rsid w:val="002E7349"/>
    <w:rsid w:val="002F03A3"/>
    <w:rsid w:val="002F09E1"/>
    <w:rsid w:val="002F1092"/>
    <w:rsid w:val="0030257B"/>
    <w:rsid w:val="0030459B"/>
    <w:rsid w:val="0030599D"/>
    <w:rsid w:val="0033117C"/>
    <w:rsid w:val="00333EE4"/>
    <w:rsid w:val="00346FA6"/>
    <w:rsid w:val="00351D9E"/>
    <w:rsid w:val="00362C18"/>
    <w:rsid w:val="00371CD5"/>
    <w:rsid w:val="003B0441"/>
    <w:rsid w:val="003B1DF6"/>
    <w:rsid w:val="003B1EAD"/>
    <w:rsid w:val="003C1202"/>
    <w:rsid w:val="003D07A0"/>
    <w:rsid w:val="003D3598"/>
    <w:rsid w:val="003D5AA7"/>
    <w:rsid w:val="003D6249"/>
    <w:rsid w:val="004015B8"/>
    <w:rsid w:val="00411254"/>
    <w:rsid w:val="004124A8"/>
    <w:rsid w:val="004146FC"/>
    <w:rsid w:val="00432B40"/>
    <w:rsid w:val="004413DC"/>
    <w:rsid w:val="004601B3"/>
    <w:rsid w:val="00460651"/>
    <w:rsid w:val="00464118"/>
    <w:rsid w:val="004672CE"/>
    <w:rsid w:val="00467BC7"/>
    <w:rsid w:val="0047780F"/>
    <w:rsid w:val="004953C4"/>
    <w:rsid w:val="004A0D85"/>
    <w:rsid w:val="004A0FB3"/>
    <w:rsid w:val="004D5314"/>
    <w:rsid w:val="004E0E30"/>
    <w:rsid w:val="004E677A"/>
    <w:rsid w:val="004E6C8B"/>
    <w:rsid w:val="0051038F"/>
    <w:rsid w:val="00520D1A"/>
    <w:rsid w:val="00534B18"/>
    <w:rsid w:val="005400DB"/>
    <w:rsid w:val="005405E3"/>
    <w:rsid w:val="005425C5"/>
    <w:rsid w:val="00565D84"/>
    <w:rsid w:val="005744F7"/>
    <w:rsid w:val="005835F5"/>
    <w:rsid w:val="0059406D"/>
    <w:rsid w:val="005B0F7A"/>
    <w:rsid w:val="005C1B5A"/>
    <w:rsid w:val="005E33A5"/>
    <w:rsid w:val="005F3A32"/>
    <w:rsid w:val="005F77AB"/>
    <w:rsid w:val="00607BCC"/>
    <w:rsid w:val="00612219"/>
    <w:rsid w:val="00617E32"/>
    <w:rsid w:val="00623C5C"/>
    <w:rsid w:val="006242C8"/>
    <w:rsid w:val="006402E2"/>
    <w:rsid w:val="00644569"/>
    <w:rsid w:val="00647581"/>
    <w:rsid w:val="00647B1C"/>
    <w:rsid w:val="00652253"/>
    <w:rsid w:val="00664B8F"/>
    <w:rsid w:val="00680220"/>
    <w:rsid w:val="00683BA6"/>
    <w:rsid w:val="006D47C6"/>
    <w:rsid w:val="006D591A"/>
    <w:rsid w:val="00702672"/>
    <w:rsid w:val="00713509"/>
    <w:rsid w:val="0074508F"/>
    <w:rsid w:val="00745729"/>
    <w:rsid w:val="00745AD2"/>
    <w:rsid w:val="00747A98"/>
    <w:rsid w:val="00771DAC"/>
    <w:rsid w:val="00774DF5"/>
    <w:rsid w:val="007823C3"/>
    <w:rsid w:val="007A522C"/>
    <w:rsid w:val="007B54B7"/>
    <w:rsid w:val="007C58E7"/>
    <w:rsid w:val="007C753E"/>
    <w:rsid w:val="007D6DEF"/>
    <w:rsid w:val="007D6F0A"/>
    <w:rsid w:val="00807ADB"/>
    <w:rsid w:val="0081067A"/>
    <w:rsid w:val="008123B3"/>
    <w:rsid w:val="00816B9E"/>
    <w:rsid w:val="00826E4E"/>
    <w:rsid w:val="008340F2"/>
    <w:rsid w:val="00837504"/>
    <w:rsid w:val="008445FC"/>
    <w:rsid w:val="0086631E"/>
    <w:rsid w:val="00866362"/>
    <w:rsid w:val="00871C18"/>
    <w:rsid w:val="00871E04"/>
    <w:rsid w:val="0087691B"/>
    <w:rsid w:val="00890DC1"/>
    <w:rsid w:val="00892F8E"/>
    <w:rsid w:val="008A7FEA"/>
    <w:rsid w:val="008B21B7"/>
    <w:rsid w:val="008B4DC8"/>
    <w:rsid w:val="008B5E89"/>
    <w:rsid w:val="008B7110"/>
    <w:rsid w:val="008C586A"/>
    <w:rsid w:val="008E0045"/>
    <w:rsid w:val="008F2490"/>
    <w:rsid w:val="00915D4C"/>
    <w:rsid w:val="00917470"/>
    <w:rsid w:val="00923B05"/>
    <w:rsid w:val="00925675"/>
    <w:rsid w:val="0094126F"/>
    <w:rsid w:val="0097029A"/>
    <w:rsid w:val="009736FD"/>
    <w:rsid w:val="00981343"/>
    <w:rsid w:val="00982CE4"/>
    <w:rsid w:val="009836B9"/>
    <w:rsid w:val="00987316"/>
    <w:rsid w:val="009A3FD0"/>
    <w:rsid w:val="009F1753"/>
    <w:rsid w:val="009F2868"/>
    <w:rsid w:val="009F462C"/>
    <w:rsid w:val="00A03FCF"/>
    <w:rsid w:val="00A05CB5"/>
    <w:rsid w:val="00A14BB2"/>
    <w:rsid w:val="00A158ED"/>
    <w:rsid w:val="00A16986"/>
    <w:rsid w:val="00A1725B"/>
    <w:rsid w:val="00A41164"/>
    <w:rsid w:val="00A45454"/>
    <w:rsid w:val="00A5306F"/>
    <w:rsid w:val="00A6341A"/>
    <w:rsid w:val="00A734F9"/>
    <w:rsid w:val="00A76182"/>
    <w:rsid w:val="00A76AA0"/>
    <w:rsid w:val="00AB00CA"/>
    <w:rsid w:val="00AC3676"/>
    <w:rsid w:val="00AD4AC4"/>
    <w:rsid w:val="00AE206B"/>
    <w:rsid w:val="00AE43D4"/>
    <w:rsid w:val="00AF3112"/>
    <w:rsid w:val="00B00B82"/>
    <w:rsid w:val="00B110F2"/>
    <w:rsid w:val="00B200A6"/>
    <w:rsid w:val="00B45F88"/>
    <w:rsid w:val="00B5628E"/>
    <w:rsid w:val="00B67018"/>
    <w:rsid w:val="00B87152"/>
    <w:rsid w:val="00B9046C"/>
    <w:rsid w:val="00BB6B52"/>
    <w:rsid w:val="00BC42C4"/>
    <w:rsid w:val="00BC719B"/>
    <w:rsid w:val="00BD336F"/>
    <w:rsid w:val="00BD41E2"/>
    <w:rsid w:val="00BD53AD"/>
    <w:rsid w:val="00BD712B"/>
    <w:rsid w:val="00C074E7"/>
    <w:rsid w:val="00C16B33"/>
    <w:rsid w:val="00C37CD8"/>
    <w:rsid w:val="00C5784C"/>
    <w:rsid w:val="00C81069"/>
    <w:rsid w:val="00C82BC1"/>
    <w:rsid w:val="00C87738"/>
    <w:rsid w:val="00CC11C4"/>
    <w:rsid w:val="00CC43AB"/>
    <w:rsid w:val="00CE06FD"/>
    <w:rsid w:val="00CE6545"/>
    <w:rsid w:val="00D13168"/>
    <w:rsid w:val="00D13B78"/>
    <w:rsid w:val="00D279F1"/>
    <w:rsid w:val="00D37CE6"/>
    <w:rsid w:val="00D45780"/>
    <w:rsid w:val="00D51FA5"/>
    <w:rsid w:val="00D71A7A"/>
    <w:rsid w:val="00D75D2B"/>
    <w:rsid w:val="00D82310"/>
    <w:rsid w:val="00DA06FA"/>
    <w:rsid w:val="00DA2EAC"/>
    <w:rsid w:val="00DA3F0C"/>
    <w:rsid w:val="00DA3F29"/>
    <w:rsid w:val="00DA4B45"/>
    <w:rsid w:val="00DB7AC3"/>
    <w:rsid w:val="00DC5737"/>
    <w:rsid w:val="00DD2B03"/>
    <w:rsid w:val="00DD48AB"/>
    <w:rsid w:val="00DD5B55"/>
    <w:rsid w:val="00DE2F03"/>
    <w:rsid w:val="00E01E21"/>
    <w:rsid w:val="00E11D0D"/>
    <w:rsid w:val="00E338B0"/>
    <w:rsid w:val="00E367D7"/>
    <w:rsid w:val="00E37ED8"/>
    <w:rsid w:val="00E50036"/>
    <w:rsid w:val="00E5737D"/>
    <w:rsid w:val="00E60710"/>
    <w:rsid w:val="00E776D1"/>
    <w:rsid w:val="00EB6BD4"/>
    <w:rsid w:val="00ED2D0F"/>
    <w:rsid w:val="00EF3810"/>
    <w:rsid w:val="00EF4579"/>
    <w:rsid w:val="00F0599C"/>
    <w:rsid w:val="00F12466"/>
    <w:rsid w:val="00F15720"/>
    <w:rsid w:val="00F4250E"/>
    <w:rsid w:val="00F521E0"/>
    <w:rsid w:val="00F54667"/>
    <w:rsid w:val="00F63C2F"/>
    <w:rsid w:val="00F66E17"/>
    <w:rsid w:val="00F708F5"/>
    <w:rsid w:val="00F76CB1"/>
    <w:rsid w:val="00F91087"/>
    <w:rsid w:val="00FA33F9"/>
    <w:rsid w:val="00FA4339"/>
    <w:rsid w:val="00FE2F9B"/>
    <w:rsid w:val="00FE6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61B362D-ABA5-4702-87E4-E64C897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paragraph" w:styleId="Virsraksts2">
    <w:name w:val="heading 2"/>
    <w:basedOn w:val="Parasts"/>
    <w:next w:val="Parasts"/>
    <w:qFormat/>
    <w:rsid w:val="008123B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character" w:styleId="Hipersaite">
    <w:name w:val="Hyperlink"/>
    <w:basedOn w:val="Noklusjumarindkopasfonts"/>
    <w:rsid w:val="00DE2F03"/>
    <w:rPr>
      <w:color w:val="0000FF"/>
      <w:u w:val="single"/>
    </w:rPr>
  </w:style>
  <w:style w:type="paragraph" w:customStyle="1" w:styleId="naisnod">
    <w:name w:val="naisnod"/>
    <w:basedOn w:val="Parasts"/>
    <w:rsid w:val="00DE2F03"/>
    <w:pPr>
      <w:spacing w:before="100" w:beforeAutospacing="1" w:after="100" w:afterAutospacing="1"/>
    </w:pPr>
  </w:style>
  <w:style w:type="paragraph" w:customStyle="1" w:styleId="naisf">
    <w:name w:val="naisf"/>
    <w:basedOn w:val="Parasts"/>
    <w:rsid w:val="00DE2F03"/>
    <w:pPr>
      <w:spacing w:before="100" w:beforeAutospacing="1" w:after="100" w:afterAutospacing="1"/>
    </w:pPr>
  </w:style>
  <w:style w:type="paragraph" w:customStyle="1" w:styleId="naisc">
    <w:name w:val="naisc"/>
    <w:basedOn w:val="Parasts"/>
    <w:rsid w:val="00DE2F03"/>
    <w:pPr>
      <w:spacing w:before="100" w:beforeAutospacing="1" w:after="100" w:afterAutospacing="1"/>
    </w:pPr>
  </w:style>
  <w:style w:type="paragraph" w:customStyle="1" w:styleId="naiskr">
    <w:name w:val="naiskr"/>
    <w:basedOn w:val="Parasts"/>
    <w:rsid w:val="00DE2F03"/>
    <w:pPr>
      <w:spacing w:before="100" w:beforeAutospacing="1" w:after="100" w:afterAutospacing="1"/>
    </w:pPr>
  </w:style>
  <w:style w:type="paragraph" w:styleId="Galvene">
    <w:name w:val="header"/>
    <w:basedOn w:val="Parasts"/>
    <w:rsid w:val="001C0A53"/>
    <w:pPr>
      <w:tabs>
        <w:tab w:val="center" w:pos="4153"/>
        <w:tab w:val="right" w:pos="8306"/>
      </w:tabs>
    </w:pPr>
  </w:style>
  <w:style w:type="paragraph" w:styleId="Kjene">
    <w:name w:val="footer"/>
    <w:basedOn w:val="Parasts"/>
    <w:link w:val="KjeneRakstz"/>
    <w:rsid w:val="001C0A53"/>
    <w:pPr>
      <w:tabs>
        <w:tab w:val="center" w:pos="4153"/>
        <w:tab w:val="right" w:pos="8306"/>
      </w:tabs>
    </w:pPr>
  </w:style>
  <w:style w:type="character" w:styleId="Lappusesnumurs">
    <w:name w:val="page number"/>
    <w:basedOn w:val="Noklusjumarindkopasfonts"/>
    <w:rsid w:val="001C0A53"/>
  </w:style>
  <w:style w:type="character" w:customStyle="1" w:styleId="KjeneRakstz">
    <w:name w:val="Kājene Rakstz."/>
    <w:basedOn w:val="Noklusjumarindkopasfonts"/>
    <w:link w:val="Kjene"/>
    <w:locked/>
    <w:rsid w:val="00623C5C"/>
    <w:rPr>
      <w:sz w:val="24"/>
      <w:szCs w:val="24"/>
      <w:lang w:val="lv-LV" w:eastAsia="lv-LV" w:bidi="ar-SA"/>
    </w:rPr>
  </w:style>
  <w:style w:type="paragraph" w:styleId="Vresteksts">
    <w:name w:val="footnote text"/>
    <w:basedOn w:val="Parasts"/>
    <w:semiHidden/>
    <w:rsid w:val="00AF3112"/>
    <w:rPr>
      <w:sz w:val="20"/>
      <w:szCs w:val="20"/>
    </w:rPr>
  </w:style>
  <w:style w:type="paragraph" w:styleId="Paraststmeklis">
    <w:name w:val="Normal (Web)"/>
    <w:basedOn w:val="Parasts"/>
    <w:rsid w:val="00F76CB1"/>
    <w:pPr>
      <w:spacing w:before="100" w:after="100"/>
    </w:pPr>
  </w:style>
  <w:style w:type="character" w:styleId="Izteiksmgs">
    <w:name w:val="Strong"/>
    <w:basedOn w:val="Noklusjumarindkopasfonts"/>
    <w:qFormat/>
    <w:rsid w:val="00866362"/>
    <w:rPr>
      <w:b/>
      <w:bCs/>
    </w:rPr>
  </w:style>
  <w:style w:type="paragraph" w:customStyle="1" w:styleId="CharCharRakstzCharCharRakstzCharChar">
    <w:name w:val="Char Char Rakstz. Char Char Rakstz. Char Char"/>
    <w:basedOn w:val="Parasts"/>
    <w:rsid w:val="008123B3"/>
    <w:pPr>
      <w:spacing w:before="40"/>
    </w:pPr>
    <w:rPr>
      <w:lang w:val="pl-PL" w:eastAsia="pl-PL"/>
    </w:rPr>
  </w:style>
  <w:style w:type="paragraph" w:styleId="Pamatteksts">
    <w:name w:val="Body Text"/>
    <w:basedOn w:val="Parasts"/>
    <w:rsid w:val="008123B3"/>
    <w:pPr>
      <w:spacing w:after="120"/>
    </w:pPr>
    <w:rPr>
      <w:lang w:val="en-GB" w:eastAsia="en-US"/>
    </w:rPr>
  </w:style>
  <w:style w:type="character" w:customStyle="1" w:styleId="SigitaRubene">
    <w:name w:val="Sigita.Rubene"/>
    <w:basedOn w:val="Noklusjumarindkopasfonts"/>
    <w:semiHidden/>
    <w:rsid w:val="008123B3"/>
    <w:rPr>
      <w:rFonts w:ascii="Comic Sans MS" w:hAnsi="Comic Sans MS" w:cs="Arial" w:hint="default"/>
      <w:color w:val="auto"/>
      <w:sz w:val="24"/>
      <w:szCs w:val="24"/>
    </w:rPr>
  </w:style>
  <w:style w:type="paragraph" w:styleId="Nosaukums">
    <w:name w:val="Title"/>
    <w:basedOn w:val="Parasts"/>
    <w:qFormat/>
    <w:rsid w:val="00E37ED8"/>
    <w:pPr>
      <w:jc w:val="center"/>
    </w:pPr>
    <w:rPr>
      <w:sz w:val="28"/>
      <w:szCs w:val="20"/>
      <w:lang w:eastAsia="en-US"/>
    </w:rPr>
  </w:style>
  <w:style w:type="paragraph" w:customStyle="1" w:styleId="CharChar1">
    <w:name w:val="Char Char1"/>
    <w:basedOn w:val="Parasts"/>
    <w:next w:val="Parasts"/>
    <w:rsid w:val="001615D8"/>
    <w:pPr>
      <w:spacing w:after="160" w:line="240" w:lineRule="exact"/>
    </w:pPr>
    <w:rPr>
      <w:rFonts w:ascii="Tahoma" w:hAnsi="Tahoma"/>
      <w:szCs w:val="20"/>
      <w:lang w:val="en-US" w:eastAsia="en-US"/>
    </w:rPr>
  </w:style>
  <w:style w:type="paragraph" w:styleId="Balonteksts">
    <w:name w:val="Balloon Text"/>
    <w:basedOn w:val="Parasts"/>
    <w:link w:val="BalontekstsRakstz"/>
    <w:rsid w:val="004A0FB3"/>
    <w:rPr>
      <w:rFonts w:ascii="Tahoma" w:hAnsi="Tahoma" w:cs="Tahoma"/>
      <w:sz w:val="16"/>
      <w:szCs w:val="16"/>
      <w:lang w:val="en-US" w:eastAsia="en-US"/>
    </w:rPr>
  </w:style>
  <w:style w:type="character" w:customStyle="1" w:styleId="BalontekstsRakstz">
    <w:name w:val="Balonteksts Rakstz."/>
    <w:basedOn w:val="Noklusjumarindkopasfonts"/>
    <w:link w:val="Balonteksts"/>
    <w:rsid w:val="004A0FB3"/>
    <w:rPr>
      <w:rFonts w:ascii="Tahoma" w:hAnsi="Tahoma" w:cs="Tahoma"/>
      <w:sz w:val="16"/>
      <w:szCs w:val="16"/>
      <w:lang w:val="en-US" w:eastAsia="en-US" w:bidi="ar-SA"/>
    </w:rPr>
  </w:style>
  <w:style w:type="paragraph" w:styleId="Komentrateksts">
    <w:name w:val="annotation text"/>
    <w:basedOn w:val="Parasts"/>
    <w:link w:val="KomentratekstsRakstz"/>
    <w:semiHidden/>
    <w:rsid w:val="0087691B"/>
    <w:rPr>
      <w:sz w:val="20"/>
      <w:szCs w:val="20"/>
    </w:rPr>
  </w:style>
  <w:style w:type="character" w:customStyle="1" w:styleId="KomentratekstsRakstz">
    <w:name w:val="Komentāra teksts Rakstz."/>
    <w:basedOn w:val="Noklusjumarindkopasfonts"/>
    <w:link w:val="Komentrateksts"/>
    <w:rsid w:val="0087691B"/>
    <w:rPr>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741">
      <w:bodyDiv w:val="1"/>
      <w:marLeft w:val="0"/>
      <w:marRight w:val="0"/>
      <w:marTop w:val="0"/>
      <w:marBottom w:val="0"/>
      <w:divBdr>
        <w:top w:val="none" w:sz="0" w:space="0" w:color="auto"/>
        <w:left w:val="none" w:sz="0" w:space="0" w:color="auto"/>
        <w:bottom w:val="none" w:sz="0" w:space="0" w:color="auto"/>
        <w:right w:val="none" w:sz="0" w:space="0" w:color="auto"/>
      </w:divBdr>
    </w:div>
    <w:div w:id="258487572">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899854465">
      <w:bodyDiv w:val="1"/>
      <w:marLeft w:val="0"/>
      <w:marRight w:val="0"/>
      <w:marTop w:val="0"/>
      <w:marBottom w:val="0"/>
      <w:divBdr>
        <w:top w:val="none" w:sz="0" w:space="0" w:color="auto"/>
        <w:left w:val="none" w:sz="0" w:space="0" w:color="auto"/>
        <w:bottom w:val="none" w:sz="0" w:space="0" w:color="auto"/>
        <w:right w:val="none" w:sz="0" w:space="0" w:color="auto"/>
      </w:divBdr>
    </w:div>
    <w:div w:id="2096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73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973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6</TotalTime>
  <Pages>6</Pages>
  <Words>1089</Words>
  <Characters>7580</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"Zirgu infekciozās anēmijas uzraudzības, kontroles un apkarošanas kārtība"</vt:lpstr>
      <vt:lpstr>Izziņa par atzinumos sniegtajiem iebildumiem par Ministru kabineta noteikumu projektu "Zirgu infekciozās anēmijas uzraudzības, kontroles un apkarošanas kārtība"</vt:lpstr>
    </vt:vector>
  </TitlesOfParts>
  <Company>Zemkopības ministrija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"Zirgu infekciozās anēmijas uzraudzības, kontroles un apkarošanas kārtība"</dc:title>
  <dc:subject>Izziņa</dc:subject>
  <dc:creator>Olita Vecuma-Veco</dc:creator>
  <cp:keywords/>
  <dc:description>Olita.Vecuma-Veco@zm.gov.lv, 67027551</dc:description>
  <cp:lastModifiedBy>Sanita Papinova</cp:lastModifiedBy>
  <cp:revision>5</cp:revision>
  <dcterms:created xsi:type="dcterms:W3CDTF">2021-01-26T11:56:00Z</dcterms:created>
  <dcterms:modified xsi:type="dcterms:W3CDTF">2021-02-02T11:12:00Z</dcterms:modified>
</cp:coreProperties>
</file>