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88" w:rsidRPr="00E63D57" w:rsidRDefault="00EF5588" w:rsidP="00EF5588">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Izziņa par atzinumos sniegtajiem iebildumiem</w:t>
      </w:r>
    </w:p>
    <w:p w:rsidR="000A7259" w:rsidRPr="00E63D57" w:rsidRDefault="00EF5588" w:rsidP="00086B3C">
      <w:pPr>
        <w:spacing w:after="0" w:line="240" w:lineRule="auto"/>
        <w:jc w:val="center"/>
        <w:rPr>
          <w:rFonts w:ascii="Times New Roman" w:hAnsi="Times New Roman" w:cs="Times New Roman"/>
          <w:b/>
          <w:sz w:val="28"/>
          <w:szCs w:val="28"/>
        </w:rPr>
      </w:pPr>
      <w:r w:rsidRPr="00E63D57">
        <w:rPr>
          <w:rFonts w:ascii="Times New Roman" w:hAnsi="Times New Roman" w:cs="Times New Roman"/>
          <w:b/>
          <w:bCs/>
          <w:sz w:val="28"/>
          <w:szCs w:val="28"/>
        </w:rPr>
        <w:t>Ministru kabineta</w:t>
      </w:r>
      <w:r w:rsidR="000A7259" w:rsidRPr="00E63D57">
        <w:rPr>
          <w:rFonts w:ascii="Times New Roman" w:hAnsi="Times New Roman" w:cs="Times New Roman"/>
          <w:b/>
          <w:bCs/>
          <w:sz w:val="28"/>
          <w:szCs w:val="28"/>
        </w:rPr>
        <w:t xml:space="preserve"> rīkojuma projekta</w:t>
      </w:r>
      <w:r w:rsidR="007540F4" w:rsidRPr="00E63D57">
        <w:rPr>
          <w:rFonts w:ascii="Times New Roman" w:hAnsi="Times New Roman" w:cs="Times New Roman"/>
          <w:b/>
          <w:bCs/>
          <w:sz w:val="28"/>
          <w:szCs w:val="28"/>
        </w:rPr>
        <w:t>m</w:t>
      </w:r>
      <w:r w:rsidRPr="00E63D57">
        <w:rPr>
          <w:rFonts w:ascii="Times New Roman" w:hAnsi="Times New Roman" w:cs="Times New Roman"/>
          <w:b/>
          <w:bCs/>
          <w:sz w:val="28"/>
          <w:szCs w:val="28"/>
        </w:rPr>
        <w:t xml:space="preserve"> </w:t>
      </w:r>
      <w:r w:rsidR="000A7259" w:rsidRPr="00E63D57">
        <w:rPr>
          <w:rFonts w:ascii="Times New Roman" w:hAnsi="Times New Roman" w:cs="Times New Roman"/>
          <w:b/>
          <w:bCs/>
          <w:sz w:val="28"/>
          <w:szCs w:val="28"/>
        </w:rPr>
        <w:t>“</w:t>
      </w:r>
      <w:r w:rsidR="00C27B0D" w:rsidRPr="00F17EC4">
        <w:rPr>
          <w:rFonts w:ascii="Times New Roman" w:eastAsia="Times New Roman" w:hAnsi="Times New Roman"/>
          <w:b/>
          <w:sz w:val="28"/>
          <w:szCs w:val="28"/>
          <w:lang w:eastAsia="lv-LV"/>
        </w:rPr>
        <w:t>Par Dagdas novada pašvaldības nekustamā īpašuma "Golovanovka–Astašova" pārņemšanu valsts īpašumā</w:t>
      </w:r>
      <w:r w:rsidR="000A7259" w:rsidRPr="00E63D57">
        <w:rPr>
          <w:rFonts w:ascii="Times New Roman" w:hAnsi="Times New Roman" w:cs="Times New Roman"/>
          <w:b/>
          <w:bCs/>
          <w:sz w:val="28"/>
          <w:szCs w:val="28"/>
        </w:rPr>
        <w:t>”</w:t>
      </w:r>
      <w:r w:rsidR="005B6338" w:rsidRPr="00E63D57">
        <w:rPr>
          <w:rFonts w:ascii="Times New Roman" w:hAnsi="Times New Roman" w:cs="Times New Roman"/>
          <w:b/>
          <w:bCs/>
          <w:sz w:val="28"/>
          <w:szCs w:val="28"/>
        </w:rPr>
        <w:t xml:space="preserve"> (VSS-</w:t>
      </w:r>
      <w:r w:rsidR="008465E6">
        <w:rPr>
          <w:rFonts w:ascii="Times New Roman" w:hAnsi="Times New Roman" w:cs="Times New Roman"/>
          <w:b/>
          <w:bCs/>
          <w:sz w:val="28"/>
          <w:szCs w:val="28"/>
        </w:rPr>
        <w:t>9</w:t>
      </w:r>
      <w:r w:rsidR="00C27B0D">
        <w:rPr>
          <w:rFonts w:ascii="Times New Roman" w:hAnsi="Times New Roman" w:cs="Times New Roman"/>
          <w:b/>
          <w:bCs/>
          <w:sz w:val="28"/>
          <w:szCs w:val="28"/>
        </w:rPr>
        <w:t>27</w:t>
      </w:r>
      <w:r w:rsidR="00E96368" w:rsidRPr="00E63D57">
        <w:rPr>
          <w:rFonts w:ascii="Times New Roman" w:hAnsi="Times New Roman" w:cs="Times New Roman"/>
          <w:b/>
          <w:bCs/>
          <w:sz w:val="28"/>
          <w:szCs w:val="28"/>
        </w:rPr>
        <w:t>)</w:t>
      </w:r>
    </w:p>
    <w:p w:rsidR="00EF5588" w:rsidRPr="002570B3" w:rsidRDefault="00EF5588" w:rsidP="00EF5588">
      <w:pPr>
        <w:spacing w:after="0" w:line="240" w:lineRule="auto"/>
        <w:jc w:val="center"/>
        <w:rPr>
          <w:rFonts w:ascii="Times New Roman" w:hAnsi="Times New Roman" w:cs="Times New Roman"/>
          <w:b/>
          <w:bCs/>
          <w:sz w:val="24"/>
          <w:szCs w:val="24"/>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bookmarkStart w:id="0" w:name="_GoBack"/>
      <w:bookmarkEnd w:id="0"/>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30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1844"/>
        <w:gridCol w:w="3969"/>
        <w:gridCol w:w="4394"/>
        <w:gridCol w:w="2693"/>
        <w:gridCol w:w="1816"/>
      </w:tblGrid>
      <w:tr w:rsidR="00585034" w:rsidRPr="00585034" w:rsidTr="00E63D57">
        <w:tc>
          <w:tcPr>
            <w:tcW w:w="593" w:type="dxa"/>
            <w:tcBorders>
              <w:top w:val="single" w:sz="6" w:space="0" w:color="000000"/>
              <w:left w:val="single" w:sz="6" w:space="0" w:color="000000"/>
              <w:bottom w:val="single" w:sz="6" w:space="0" w:color="000000"/>
              <w:right w:val="single" w:sz="6" w:space="0" w:color="000000"/>
            </w:tcBorders>
          </w:tcPr>
          <w:p w:rsidR="00585034" w:rsidRPr="00043955" w:rsidRDefault="00585034" w:rsidP="00043955">
            <w:pPr>
              <w:pStyle w:val="Bezatstarpm"/>
              <w:rPr>
                <w:rFonts w:ascii="Times New Roman" w:hAnsi="Times New Roman" w:cs="Times New Roman"/>
                <w:sz w:val="24"/>
                <w:szCs w:val="24"/>
                <w:lang w:eastAsia="lv-LV"/>
              </w:rPr>
            </w:pPr>
            <w:r w:rsidRPr="00043955">
              <w:rPr>
                <w:rFonts w:ascii="Times New Roman" w:hAnsi="Times New Roman" w:cs="Times New Roman"/>
                <w:sz w:val="24"/>
                <w:szCs w:val="24"/>
                <w:lang w:eastAsia="lv-LV"/>
              </w:rPr>
              <w:t>Nr.p.k.</w:t>
            </w:r>
          </w:p>
        </w:tc>
        <w:tc>
          <w:tcPr>
            <w:tcW w:w="184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16" w:type="dxa"/>
            <w:tcBorders>
              <w:top w:val="single" w:sz="4" w:space="0" w:color="auto"/>
              <w:left w:val="single" w:sz="4" w:space="0" w:color="auto"/>
              <w:bottom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bookmarkStart w:id="1" w:name="_Hlk49344038"/>
          </w:p>
        </w:tc>
        <w:tc>
          <w:tcPr>
            <w:tcW w:w="184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tr w:rsidR="00850F72"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850F72" w:rsidRDefault="00850F72" w:rsidP="001531C5">
            <w:pPr>
              <w:spacing w:after="0" w:line="240" w:lineRule="auto"/>
              <w:ind w:left="-119" w:firstLine="114"/>
              <w:rPr>
                <w:rFonts w:ascii="Times New Roman" w:eastAsia="Times New Roman" w:hAnsi="Times New Roman" w:cs="Times New Roman"/>
                <w:sz w:val="24"/>
                <w:szCs w:val="24"/>
                <w:lang w:eastAsia="lv-LV"/>
              </w:rPr>
            </w:pPr>
          </w:p>
        </w:tc>
        <w:tc>
          <w:tcPr>
            <w:tcW w:w="184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right="3"/>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r>
      <w:bookmarkEnd w:id="1"/>
    </w:tbl>
    <w:p w:rsidR="00EF5588" w:rsidRPr="00EF5588" w:rsidRDefault="00EF5588" w:rsidP="00EF5588">
      <w:pPr>
        <w:spacing w:after="0" w:line="240" w:lineRule="auto"/>
        <w:jc w:val="both"/>
        <w:rPr>
          <w:rFonts w:ascii="Times New Roman" w:hAnsi="Times New Roman" w:cs="Times New Roman"/>
          <w:sz w:val="24"/>
          <w:szCs w:val="24"/>
        </w:rPr>
      </w:pPr>
    </w:p>
    <w:p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rsidR="004249BD" w:rsidRDefault="00EF5588" w:rsidP="00652687">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sidRPr="004249BD">
        <w:rPr>
          <w:rFonts w:ascii="Times New Roman" w:hAnsi="Times New Roman" w:cs="Times New Roman"/>
          <w:b/>
          <w:sz w:val="24"/>
          <w:szCs w:val="24"/>
        </w:rPr>
        <w:t>no 20</w:t>
      </w:r>
      <w:r w:rsidR="00652687" w:rsidRPr="004249BD">
        <w:rPr>
          <w:rFonts w:ascii="Times New Roman" w:hAnsi="Times New Roman" w:cs="Times New Roman"/>
          <w:b/>
          <w:sz w:val="24"/>
          <w:szCs w:val="24"/>
        </w:rPr>
        <w:t>20</w:t>
      </w:r>
      <w:r w:rsidRPr="004249BD">
        <w:rPr>
          <w:rFonts w:ascii="Times New Roman" w:hAnsi="Times New Roman" w:cs="Times New Roman"/>
          <w:b/>
          <w:sz w:val="24"/>
          <w:szCs w:val="24"/>
        </w:rPr>
        <w:t>.</w:t>
      </w:r>
      <w:r w:rsidR="00E71623" w:rsidRPr="004249BD">
        <w:rPr>
          <w:rFonts w:ascii="Times New Roman" w:hAnsi="Times New Roman" w:cs="Times New Roman"/>
          <w:b/>
          <w:sz w:val="24"/>
          <w:szCs w:val="24"/>
        </w:rPr>
        <w:t xml:space="preserve"> </w:t>
      </w:r>
      <w:r w:rsidRPr="004249BD">
        <w:rPr>
          <w:rFonts w:ascii="Times New Roman" w:hAnsi="Times New Roman" w:cs="Times New Roman"/>
          <w:b/>
          <w:sz w:val="24"/>
          <w:szCs w:val="24"/>
        </w:rPr>
        <w:t xml:space="preserve">gada </w:t>
      </w:r>
      <w:r w:rsidR="00652687" w:rsidRPr="004249BD">
        <w:rPr>
          <w:rFonts w:ascii="Times New Roman" w:hAnsi="Times New Roman" w:cs="Times New Roman"/>
          <w:b/>
          <w:sz w:val="24"/>
          <w:szCs w:val="24"/>
        </w:rPr>
        <w:t>1</w:t>
      </w:r>
      <w:r w:rsidR="008465E6">
        <w:rPr>
          <w:rFonts w:ascii="Times New Roman" w:hAnsi="Times New Roman" w:cs="Times New Roman"/>
          <w:b/>
          <w:sz w:val="24"/>
          <w:szCs w:val="24"/>
        </w:rPr>
        <w:t>6</w:t>
      </w:r>
      <w:r w:rsidR="007679D3" w:rsidRPr="004249BD">
        <w:rPr>
          <w:rFonts w:ascii="Times New Roman" w:hAnsi="Times New Roman" w:cs="Times New Roman"/>
          <w:b/>
          <w:sz w:val="24"/>
          <w:szCs w:val="24"/>
        </w:rPr>
        <w:t>.</w:t>
      </w:r>
      <w:r w:rsidR="008465E6">
        <w:rPr>
          <w:rFonts w:ascii="Times New Roman" w:hAnsi="Times New Roman" w:cs="Times New Roman"/>
          <w:b/>
          <w:sz w:val="24"/>
          <w:szCs w:val="24"/>
        </w:rPr>
        <w:t>novembra</w:t>
      </w:r>
      <w:r w:rsidR="00D5018F" w:rsidRPr="004249BD">
        <w:rPr>
          <w:rFonts w:ascii="Times New Roman" w:hAnsi="Times New Roman" w:cs="Times New Roman"/>
          <w:b/>
          <w:sz w:val="24"/>
          <w:szCs w:val="24"/>
        </w:rPr>
        <w:t xml:space="preserve"> līdz </w:t>
      </w:r>
      <w:r w:rsidR="00652687" w:rsidRPr="004249BD">
        <w:rPr>
          <w:rFonts w:ascii="Times New Roman" w:hAnsi="Times New Roman" w:cs="Times New Roman"/>
          <w:b/>
          <w:sz w:val="24"/>
          <w:szCs w:val="24"/>
        </w:rPr>
        <w:t>2</w:t>
      </w:r>
      <w:r w:rsidR="008465E6">
        <w:rPr>
          <w:rFonts w:ascii="Times New Roman" w:hAnsi="Times New Roman" w:cs="Times New Roman"/>
          <w:b/>
          <w:sz w:val="24"/>
          <w:szCs w:val="24"/>
        </w:rPr>
        <w:t>3</w:t>
      </w:r>
      <w:r w:rsidR="004714B3" w:rsidRPr="004249BD">
        <w:rPr>
          <w:rFonts w:ascii="Times New Roman" w:hAnsi="Times New Roman" w:cs="Times New Roman"/>
          <w:b/>
          <w:sz w:val="24"/>
          <w:szCs w:val="24"/>
        </w:rPr>
        <w:t>.</w:t>
      </w:r>
      <w:r w:rsidR="00073FC6" w:rsidRPr="004249BD">
        <w:rPr>
          <w:rFonts w:ascii="Times New Roman" w:hAnsi="Times New Roman" w:cs="Times New Roman"/>
          <w:b/>
          <w:sz w:val="24"/>
          <w:szCs w:val="24"/>
        </w:rPr>
        <w:t xml:space="preserve"> </w:t>
      </w:r>
      <w:r w:rsidR="008465E6">
        <w:rPr>
          <w:rFonts w:ascii="Times New Roman" w:hAnsi="Times New Roman" w:cs="Times New Roman"/>
          <w:b/>
          <w:sz w:val="24"/>
          <w:szCs w:val="24"/>
        </w:rPr>
        <w:t>novembrim</w:t>
      </w:r>
    </w:p>
    <w:p w:rsidR="00EF5588" w:rsidRPr="00EF5588" w:rsidRDefault="004249BD" w:rsidP="008465E6">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65E6">
        <w:rPr>
          <w:rFonts w:ascii="Times New Roman" w:hAnsi="Times New Roman" w:cs="Times New Roman"/>
          <w:b/>
          <w:sz w:val="24"/>
          <w:szCs w:val="24"/>
        </w:rPr>
        <w:tab/>
      </w:r>
      <w:r w:rsidR="00EF5588" w:rsidRPr="00EF5588">
        <w:rPr>
          <w:rFonts w:ascii="Times New Roman" w:hAnsi="Times New Roman" w:cs="Times New Roman"/>
          <w:b/>
          <w:sz w:val="24"/>
          <w:szCs w:val="24"/>
        </w:rPr>
        <w:t xml:space="preserve">Tieslietu ministrija </w:t>
      </w:r>
    </w:p>
    <w:p w:rsidR="007679D3" w:rsidRPr="006C18BB"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rsidR="00EF5588" w:rsidRPr="00EF5588" w:rsidRDefault="00EF5588" w:rsidP="007679D3">
      <w:pPr>
        <w:spacing w:after="0" w:line="240" w:lineRule="auto"/>
        <w:ind w:left="3600" w:hanging="3600"/>
        <w:jc w:val="both"/>
        <w:rPr>
          <w:rFonts w:ascii="Times New Roman" w:hAnsi="Times New Roman" w:cs="Times New Roman"/>
          <w:b/>
          <w:bCs/>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r w:rsidR="009F0F43" w:rsidRPr="00EF5588">
        <w:rPr>
          <w:rFonts w:ascii="Times New Roman" w:hAnsi="Times New Roman" w:cs="Times New Roman"/>
          <w:b/>
          <w:sz w:val="24"/>
          <w:szCs w:val="24"/>
        </w:rPr>
        <w:t>Finanšu ministrija</w:t>
      </w:r>
      <w:r w:rsidR="009F0F43">
        <w:rPr>
          <w:rFonts w:ascii="Times New Roman" w:hAnsi="Times New Roman" w:cs="Times New Roman"/>
          <w:b/>
          <w:sz w:val="24"/>
          <w:szCs w:val="24"/>
        </w:rPr>
        <w:t>s</w:t>
      </w:r>
      <w:r w:rsidR="0005649D">
        <w:rPr>
          <w:rFonts w:ascii="Times New Roman" w:hAnsi="Times New Roman" w:cs="Times New Roman"/>
          <w:b/>
          <w:sz w:val="24"/>
          <w:szCs w:val="24"/>
        </w:rPr>
        <w:t xml:space="preserve"> 2020.gada </w:t>
      </w:r>
      <w:r w:rsidR="009A1F89">
        <w:rPr>
          <w:rFonts w:ascii="Times New Roman" w:hAnsi="Times New Roman" w:cs="Times New Roman"/>
          <w:b/>
          <w:sz w:val="24"/>
          <w:szCs w:val="24"/>
        </w:rPr>
        <w:t>12</w:t>
      </w:r>
      <w:r w:rsidR="0005649D">
        <w:rPr>
          <w:rFonts w:ascii="Times New Roman" w:hAnsi="Times New Roman" w:cs="Times New Roman"/>
          <w:b/>
          <w:sz w:val="24"/>
          <w:szCs w:val="24"/>
        </w:rPr>
        <w:t>.</w:t>
      </w:r>
      <w:r w:rsidR="008465E6">
        <w:rPr>
          <w:rFonts w:ascii="Times New Roman" w:hAnsi="Times New Roman" w:cs="Times New Roman"/>
          <w:b/>
          <w:sz w:val="24"/>
          <w:szCs w:val="24"/>
        </w:rPr>
        <w:t>novembra</w:t>
      </w:r>
      <w:r w:rsidR="0005649D">
        <w:rPr>
          <w:rFonts w:ascii="Times New Roman" w:hAnsi="Times New Roman" w:cs="Times New Roman"/>
          <w:b/>
          <w:sz w:val="24"/>
          <w:szCs w:val="24"/>
        </w:rPr>
        <w:t xml:space="preserve"> iebildums</w:t>
      </w:r>
      <w:r w:rsidR="009F0F43">
        <w:rPr>
          <w:rFonts w:ascii="Times New Roman" w:hAnsi="Times New Roman" w:cs="Times New Roman"/>
          <w:b/>
          <w:sz w:val="24"/>
          <w:szCs w:val="24"/>
        </w:rPr>
        <w:t>.</w:t>
      </w:r>
      <w:r w:rsidR="009F0F43" w:rsidRPr="00EF5588">
        <w:rPr>
          <w:rFonts w:ascii="Times New Roman" w:hAnsi="Times New Roman" w:cs="Times New Roman"/>
          <w:b/>
          <w:sz w:val="24"/>
          <w:szCs w:val="24"/>
        </w:rPr>
        <w:t xml:space="preserve"> </w:t>
      </w:r>
    </w:p>
    <w:p w:rsidR="00EF5588" w:rsidRPr="00EF5588" w:rsidRDefault="004249BD" w:rsidP="00EF5588">
      <w:pPr>
        <w:spacing w:after="0" w:line="240" w:lineRule="auto"/>
        <w:jc w:val="both"/>
        <w:rPr>
          <w:rFonts w:ascii="Times New Roman" w:hAnsi="Times New Roman" w:cs="Times New Roman"/>
          <w:b/>
          <w:sz w:val="24"/>
          <w:szCs w:val="24"/>
        </w:rPr>
      </w:pPr>
      <w:bookmarkStart w:id="2" w:name="OLE_LINK1"/>
      <w:bookmarkStart w:id="3" w:name="OLE_LINK2"/>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5588" w:rsidRPr="00EF5588">
        <w:rPr>
          <w:rFonts w:ascii="Times New Roman" w:hAnsi="Times New Roman" w:cs="Times New Roman"/>
          <w:b/>
          <w:sz w:val="24"/>
          <w:szCs w:val="24"/>
        </w:rPr>
        <w:t>II. Jautājumi, par kuriem saskaņošanā vienošanās ir panākta</w:t>
      </w:r>
    </w:p>
    <w:p w:rsidR="00EF5588" w:rsidRPr="00EF5588" w:rsidRDefault="00EF5588" w:rsidP="00EF5588">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286"/>
      </w:tblGrid>
      <w:tr w:rsidR="00EF5588" w:rsidRPr="00EF5588" w:rsidTr="00E63D57">
        <w:tc>
          <w:tcPr>
            <w:tcW w:w="828" w:type="dxa"/>
            <w:tcBorders>
              <w:top w:val="single" w:sz="6" w:space="0" w:color="000000"/>
              <w:left w:val="single" w:sz="6" w:space="0" w:color="000000"/>
              <w:bottom w:val="single" w:sz="6" w:space="0" w:color="000000"/>
              <w:right w:val="single" w:sz="6" w:space="0" w:color="000000"/>
            </w:tcBorders>
          </w:tcPr>
          <w:p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Atbildīgās ministrijas norāde par to, ka iebildums ir ņemts vērā, vai informācija par saskaņošanā panākto alternatīvo risinājumu</w:t>
            </w:r>
          </w:p>
        </w:tc>
        <w:tc>
          <w:tcPr>
            <w:tcW w:w="3286" w:type="dxa"/>
            <w:tcBorders>
              <w:top w:val="single" w:sz="4" w:space="0" w:color="auto"/>
              <w:left w:val="single" w:sz="4" w:space="0" w:color="auto"/>
              <w:bottom w:val="single" w:sz="4" w:space="0" w:color="auto"/>
              <w:right w:val="single" w:sz="4" w:space="0" w:color="auto"/>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Projekta attiecīgā punkta (panta) galīgā redakcija</w:t>
            </w:r>
          </w:p>
        </w:tc>
      </w:tr>
      <w:tr w:rsidR="002C75BA" w:rsidRPr="00EF5588" w:rsidTr="00E63D57">
        <w:tc>
          <w:tcPr>
            <w:tcW w:w="828" w:type="dxa"/>
            <w:tcBorders>
              <w:top w:val="single" w:sz="6" w:space="0" w:color="000000"/>
              <w:left w:val="single" w:sz="6" w:space="0" w:color="000000"/>
              <w:bottom w:val="single" w:sz="6" w:space="0" w:color="000000"/>
              <w:right w:val="single" w:sz="6" w:space="0" w:color="000000"/>
            </w:tcBorders>
          </w:tcPr>
          <w:p w:rsidR="002C75BA" w:rsidRPr="000A479D" w:rsidRDefault="002C75BA"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2C75BA" w:rsidRPr="000A479D" w:rsidRDefault="002C75BA"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2C75BA" w:rsidRPr="00CA6196" w:rsidRDefault="002C75BA" w:rsidP="00CA6196">
            <w:pPr>
              <w:pStyle w:val="Bezatstarpm"/>
              <w:jc w:val="both"/>
              <w:rPr>
                <w:rFonts w:ascii="Times New Roman" w:hAnsi="Times New Roman" w:cs="Times New Roman"/>
                <w:b/>
                <w:sz w:val="24"/>
                <w:szCs w:val="24"/>
              </w:rPr>
            </w:pPr>
            <w:r w:rsidRPr="001D4E77">
              <w:rPr>
                <w:rFonts w:ascii="Times New Roman" w:hAnsi="Times New Roman" w:cs="Times New Roman"/>
                <w:b/>
                <w:sz w:val="24"/>
                <w:szCs w:val="24"/>
              </w:rPr>
              <w:t>Finanšu ministrija</w:t>
            </w:r>
            <w:r w:rsidR="00A17740">
              <w:rPr>
                <w:rFonts w:ascii="Times New Roman" w:hAnsi="Times New Roman" w:cs="Times New Roman"/>
                <w:b/>
                <w:sz w:val="24"/>
                <w:szCs w:val="24"/>
              </w:rPr>
              <w:t xml:space="preserve"> </w:t>
            </w:r>
            <w:r w:rsidR="00A17740">
              <w:rPr>
                <w:rFonts w:ascii="Times New Roman" w:hAnsi="Times New Roman" w:cs="Times New Roman"/>
                <w:sz w:val="24"/>
                <w:szCs w:val="24"/>
              </w:rPr>
              <w:t>(</w:t>
            </w:r>
            <w:r w:rsidR="00C27B0D">
              <w:rPr>
                <w:rFonts w:ascii="Times New Roman" w:hAnsi="Times New Roman" w:cs="Times New Roman"/>
                <w:sz w:val="24"/>
                <w:szCs w:val="24"/>
              </w:rPr>
              <w:t>12</w:t>
            </w:r>
            <w:r w:rsidR="00A17740">
              <w:rPr>
                <w:rFonts w:ascii="Times New Roman" w:hAnsi="Times New Roman" w:cs="Times New Roman"/>
                <w:sz w:val="24"/>
                <w:szCs w:val="24"/>
              </w:rPr>
              <w:t>.</w:t>
            </w:r>
            <w:r w:rsidR="008465E6">
              <w:rPr>
                <w:rFonts w:ascii="Times New Roman" w:hAnsi="Times New Roman" w:cs="Times New Roman"/>
                <w:sz w:val="24"/>
                <w:szCs w:val="24"/>
              </w:rPr>
              <w:t>11</w:t>
            </w:r>
            <w:r w:rsidR="00A17740">
              <w:rPr>
                <w:rFonts w:ascii="Times New Roman" w:hAnsi="Times New Roman" w:cs="Times New Roman"/>
                <w:sz w:val="24"/>
                <w:szCs w:val="24"/>
              </w:rPr>
              <w:t>.2020. atzinums Nr. 12/A-7/5</w:t>
            </w:r>
            <w:r w:rsidR="00C27B0D">
              <w:rPr>
                <w:rFonts w:ascii="Times New Roman" w:hAnsi="Times New Roman" w:cs="Times New Roman"/>
                <w:sz w:val="24"/>
                <w:szCs w:val="24"/>
              </w:rPr>
              <w:t>985</w:t>
            </w:r>
            <w:r w:rsidR="00A17740">
              <w:rPr>
                <w:rFonts w:ascii="Times New Roman" w:hAnsi="Times New Roman" w:cs="Times New Roman"/>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rsidR="002C75BA" w:rsidRPr="00CE6188" w:rsidRDefault="002C75BA"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2C75BA" w:rsidRDefault="002C75BA" w:rsidP="002C75BA">
            <w:pPr>
              <w:pStyle w:val="naiskr"/>
              <w:tabs>
                <w:tab w:val="left" w:pos="142"/>
                <w:tab w:val="left" w:pos="425"/>
              </w:tabs>
              <w:spacing w:before="0" w:after="0"/>
              <w:ind w:right="143"/>
              <w:jc w:val="both"/>
            </w:pPr>
          </w:p>
        </w:tc>
      </w:tr>
      <w:tr w:rsidR="002C75BA" w:rsidRPr="00EF5588" w:rsidTr="00E63D57">
        <w:tc>
          <w:tcPr>
            <w:tcW w:w="828" w:type="dxa"/>
            <w:tcBorders>
              <w:top w:val="single" w:sz="6" w:space="0" w:color="000000"/>
              <w:left w:val="single" w:sz="6" w:space="0" w:color="000000"/>
              <w:bottom w:val="single" w:sz="6" w:space="0" w:color="000000"/>
              <w:right w:val="single" w:sz="6" w:space="0" w:color="000000"/>
            </w:tcBorders>
          </w:tcPr>
          <w:p w:rsidR="002C75BA" w:rsidRDefault="00652687" w:rsidP="002C7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7CFE">
              <w:rPr>
                <w:rFonts w:ascii="Times New Roman" w:hAnsi="Times New Roman" w:cs="Times New Roman"/>
                <w:sz w:val="24"/>
                <w:szCs w:val="24"/>
              </w:rPr>
              <w:t>.</w:t>
            </w:r>
          </w:p>
        </w:tc>
        <w:tc>
          <w:tcPr>
            <w:tcW w:w="2966" w:type="dxa"/>
            <w:tcBorders>
              <w:top w:val="single" w:sz="6" w:space="0" w:color="000000"/>
              <w:left w:val="single" w:sz="6" w:space="0" w:color="000000"/>
              <w:bottom w:val="single" w:sz="6" w:space="0" w:color="000000"/>
              <w:right w:val="single" w:sz="6" w:space="0" w:color="000000"/>
            </w:tcBorders>
          </w:tcPr>
          <w:p w:rsidR="002C75BA" w:rsidRDefault="00086B3C" w:rsidP="00086B3C">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 xml:space="preserve">Ministru kabineta rīkojuma </w:t>
            </w:r>
            <w:r w:rsidRPr="00086B3C">
              <w:rPr>
                <w:rFonts w:ascii="Times New Roman" w:eastAsia="Times New Roman" w:hAnsi="Times New Roman" w:cs="Times New Roman"/>
                <w:sz w:val="24"/>
                <w:szCs w:val="24"/>
              </w:rPr>
              <w:lastRenderedPageBreak/>
              <w:t>projekta „</w:t>
            </w:r>
            <w:r w:rsidR="00C27B0D" w:rsidRPr="00C27B0D">
              <w:rPr>
                <w:rFonts w:ascii="Times New Roman" w:eastAsia="Times New Roman" w:hAnsi="Times New Roman"/>
                <w:sz w:val="24"/>
                <w:szCs w:val="24"/>
                <w:lang w:eastAsia="lv-LV"/>
              </w:rPr>
              <w:t>Par Dagdas novada pašvaldības nekustamā īpašuma "Golovanovka–Astašova" pārņemšanu valsts īpašumā</w:t>
            </w:r>
            <w:r w:rsidR="008620B4">
              <w:rPr>
                <w:rFonts w:ascii="Times New Roman" w:hAnsi="Times New Roman" w:cs="Times New Roman"/>
                <w:bCs/>
                <w:sz w:val="24"/>
                <w:szCs w:val="24"/>
              </w:rPr>
              <w:t>”</w:t>
            </w:r>
            <w:r w:rsidR="008620B4" w:rsidRPr="00086B3C">
              <w:rPr>
                <w:rFonts w:ascii="Times New Roman" w:eastAsia="Times New Roman" w:hAnsi="Times New Roman" w:cs="Times New Roman"/>
                <w:sz w:val="24"/>
                <w:szCs w:val="24"/>
              </w:rPr>
              <w:t xml:space="preserve">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sidR="007B11BE">
              <w:rPr>
                <w:rFonts w:ascii="Times New Roman" w:eastAsia="Times New Roman" w:hAnsi="Times New Roman" w:cs="Times New Roman"/>
                <w:sz w:val="24"/>
                <w:szCs w:val="24"/>
              </w:rPr>
              <w:t xml:space="preserve"> I sadaļas 2.punkts</w:t>
            </w: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Default="008620B4" w:rsidP="00086B3C">
            <w:pPr>
              <w:spacing w:after="0" w:line="240" w:lineRule="auto"/>
              <w:rPr>
                <w:rFonts w:ascii="Times New Roman" w:eastAsia="Times New Roman" w:hAnsi="Times New Roman" w:cs="Times New Roman"/>
                <w:sz w:val="24"/>
                <w:szCs w:val="24"/>
              </w:rPr>
            </w:pPr>
          </w:p>
          <w:p w:rsidR="008620B4" w:rsidRPr="00086B3C" w:rsidRDefault="008620B4" w:rsidP="00086B3C">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 xml:space="preserve">Ministru kabineta rīkojuma </w:t>
            </w:r>
            <w:r w:rsidRPr="00086B3C">
              <w:rPr>
                <w:rFonts w:ascii="Times New Roman" w:eastAsia="Times New Roman" w:hAnsi="Times New Roman" w:cs="Times New Roman"/>
                <w:sz w:val="24"/>
                <w:szCs w:val="24"/>
              </w:rPr>
              <w:lastRenderedPageBreak/>
              <w:t>projekta „</w:t>
            </w:r>
            <w:r w:rsidR="00C27B0D" w:rsidRPr="00C27B0D">
              <w:rPr>
                <w:rFonts w:ascii="Times New Roman" w:eastAsia="Times New Roman" w:hAnsi="Times New Roman"/>
                <w:sz w:val="24"/>
                <w:szCs w:val="24"/>
                <w:lang w:eastAsia="lv-LV"/>
              </w:rPr>
              <w:t>Par Dagdas novada pašvaldības nekustamā īpašuma "Golovanovka–Astašova" pārņemšanu valsts īpašumā</w:t>
            </w:r>
            <w:r w:rsidRPr="008620B4">
              <w:rPr>
                <w:rFonts w:ascii="Times New Roman" w:hAnsi="Times New Roman" w:cs="Times New Roman"/>
                <w:bCs/>
                <w:sz w:val="24"/>
                <w:szCs w:val="24"/>
              </w:rPr>
              <w:t>"</w:t>
            </w:r>
            <w:r>
              <w:rPr>
                <w:rFonts w:ascii="Times New Roman" w:hAnsi="Times New Roman" w:cs="Times New Roman"/>
                <w:bCs/>
                <w:sz w:val="24"/>
                <w:szCs w:val="24"/>
              </w:rPr>
              <w:t xml:space="preserve"> 1.punkts</w:t>
            </w:r>
          </w:p>
        </w:tc>
        <w:tc>
          <w:tcPr>
            <w:tcW w:w="4819" w:type="dxa"/>
            <w:tcBorders>
              <w:top w:val="single" w:sz="6" w:space="0" w:color="000000"/>
              <w:left w:val="single" w:sz="6" w:space="0" w:color="000000"/>
              <w:bottom w:val="single" w:sz="6" w:space="0" w:color="000000"/>
              <w:right w:val="single" w:sz="6" w:space="0" w:color="000000"/>
            </w:tcBorders>
          </w:tcPr>
          <w:p w:rsidR="008620B4" w:rsidRPr="00C27B0D" w:rsidRDefault="008620B4" w:rsidP="00C27B0D">
            <w:pPr>
              <w:pStyle w:val="Bezatstarpm"/>
              <w:jc w:val="both"/>
              <w:rPr>
                <w:rFonts w:ascii="Times New Roman" w:hAnsi="Times New Roman" w:cs="Times New Roman"/>
                <w:b/>
                <w:sz w:val="24"/>
                <w:szCs w:val="24"/>
              </w:rPr>
            </w:pPr>
            <w:r w:rsidRPr="00C27B0D">
              <w:rPr>
                <w:rFonts w:ascii="Times New Roman" w:hAnsi="Times New Roman" w:cs="Times New Roman"/>
                <w:b/>
                <w:sz w:val="24"/>
                <w:szCs w:val="24"/>
              </w:rPr>
              <w:lastRenderedPageBreak/>
              <w:t>Iebildums:</w:t>
            </w:r>
          </w:p>
          <w:p w:rsidR="00C27B0D" w:rsidRPr="00C27B0D" w:rsidRDefault="00C27B0D" w:rsidP="00C27B0D">
            <w:pPr>
              <w:pStyle w:val="Bezatstarpm"/>
              <w:jc w:val="both"/>
              <w:rPr>
                <w:rFonts w:ascii="Times New Roman" w:eastAsia="Calibri" w:hAnsi="Times New Roman" w:cs="Times New Roman"/>
                <w:sz w:val="24"/>
                <w:szCs w:val="24"/>
                <w:lang w:eastAsia="lv-LV"/>
              </w:rPr>
            </w:pPr>
            <w:r w:rsidRPr="00C27B0D">
              <w:rPr>
                <w:rFonts w:ascii="Times New Roman" w:eastAsia="Calibri" w:hAnsi="Times New Roman" w:cs="Times New Roman"/>
                <w:sz w:val="24"/>
                <w:szCs w:val="24"/>
                <w:lang w:eastAsia="lv-LV"/>
              </w:rPr>
              <w:lastRenderedPageBreak/>
              <w:t>Atbilstoši rīkojuma projektam pievienotajam Daugavpils tiesas Andrupenes pagasta zemesgrāmatas nodalījuma norakstam nekustamais īpašums “Golovanovka–Astašova” (nekustamā īpašuma kadastra Nr. 6042 005 3002) – Andrupenes pagastā, Dagdas novadā, sastāv no zemes vienības (zemes vienības kadastra apzīmējums 6042 005 3002) 0,93 ha platībā un būves (būves kadastra apzīmējums 6042 005 3002 001).</w:t>
            </w:r>
          </w:p>
          <w:p w:rsidR="00C27B0D" w:rsidRPr="00C27B0D" w:rsidRDefault="00C27B0D" w:rsidP="00C27B0D">
            <w:pPr>
              <w:pStyle w:val="Bezatstarpm"/>
              <w:jc w:val="both"/>
              <w:rPr>
                <w:rFonts w:ascii="Times New Roman" w:eastAsia="Calibri" w:hAnsi="Times New Roman" w:cs="Times New Roman"/>
                <w:sz w:val="24"/>
                <w:szCs w:val="24"/>
                <w:lang w:eastAsia="lv-LV"/>
              </w:rPr>
            </w:pPr>
            <w:r w:rsidRPr="00C27B0D">
              <w:rPr>
                <w:rFonts w:ascii="Times New Roman" w:eastAsia="Calibri" w:hAnsi="Times New Roman" w:cs="Times New Roman"/>
                <w:sz w:val="24"/>
                <w:szCs w:val="24"/>
                <w:lang w:eastAsia="lv-LV"/>
              </w:rPr>
              <w:t>Anotācijas I sadaļas 2.punktā (2.lpp.) ir norādīts, ka rīkojuma projektā minētā nekustamā īpašuma sastāvā esošā inženierbūve (ceļš) ir funkcionāli saistīta ar nododamo zemes vienību, un tiesiskā izpratnē atzīstama par attiecīgā zemesgabala galvenās lietas blakus lietu. Saskaņā ar Civillikuma 850.pantu viss, kas pastāv tikai ar galveno lietu vai pieder pie tās, vai kā citādi ar to saistīts, ir blakus lieta. Savukārt atbilstoši Civillikuma 853.pantam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C27B0D" w:rsidRPr="00C27B0D" w:rsidRDefault="00C27B0D" w:rsidP="00C27B0D">
            <w:pPr>
              <w:pStyle w:val="Bezatstarpm"/>
              <w:jc w:val="both"/>
              <w:rPr>
                <w:rFonts w:ascii="Times New Roman" w:eastAsia="Calibri" w:hAnsi="Times New Roman" w:cs="Times New Roman"/>
                <w:sz w:val="24"/>
                <w:szCs w:val="24"/>
                <w:lang w:eastAsia="lv-LV"/>
              </w:rPr>
            </w:pPr>
            <w:r w:rsidRPr="00C27B0D">
              <w:rPr>
                <w:rFonts w:ascii="Times New Roman" w:eastAsia="Calibri" w:hAnsi="Times New Roman" w:cs="Times New Roman"/>
                <w:sz w:val="24"/>
                <w:szCs w:val="24"/>
                <w:lang w:eastAsia="lv-LV"/>
              </w:rPr>
              <w:t xml:space="preserve">Lūdzam izvērtēt, vai anotācijā norādītā informācija par galveno lietu un tās blakus lietu ir attiecināma uz rīkojuma projektā minēto nekustamo īpašumu. </w:t>
            </w:r>
          </w:p>
          <w:p w:rsidR="008620B4" w:rsidRPr="00C27B0D" w:rsidRDefault="008620B4" w:rsidP="00C27B0D">
            <w:pPr>
              <w:pStyle w:val="Bezatstarpm"/>
              <w:jc w:val="both"/>
              <w:rPr>
                <w:rFonts w:ascii="Times New Roman" w:hAnsi="Times New Roman" w:cs="Times New Roman"/>
                <w:sz w:val="24"/>
                <w:szCs w:val="24"/>
              </w:rPr>
            </w:pPr>
            <w:r w:rsidRPr="00C27B0D">
              <w:rPr>
                <w:rFonts w:ascii="Times New Roman" w:hAnsi="Times New Roman" w:cs="Times New Roman"/>
                <w:sz w:val="24"/>
                <w:szCs w:val="24"/>
              </w:rPr>
              <w:t xml:space="preserve">Vienlaikus lūdzam atbilstoši precizēt rīkojuma projekta 1.punktā norādīto nekustamā īpašuma </w:t>
            </w:r>
            <w:r w:rsidRPr="00C27B0D">
              <w:rPr>
                <w:rFonts w:ascii="Times New Roman" w:hAnsi="Times New Roman" w:cs="Times New Roman"/>
                <w:sz w:val="24"/>
                <w:szCs w:val="24"/>
              </w:rPr>
              <w:lastRenderedPageBreak/>
              <w:t>sastāvu.</w:t>
            </w:r>
          </w:p>
          <w:p w:rsidR="002C75BA" w:rsidRPr="00C27B0D" w:rsidRDefault="002C75BA" w:rsidP="00C27B0D">
            <w:pPr>
              <w:pStyle w:val="Bezatstarpm"/>
              <w:jc w:val="both"/>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B945DE" w:rsidRDefault="008620B4" w:rsidP="00517D02">
            <w:pPr>
              <w:pStyle w:val="Bezatstarpm"/>
              <w:jc w:val="both"/>
              <w:rPr>
                <w:rFonts w:ascii="Times New Roman" w:hAnsi="Times New Roman" w:cs="Times New Roman"/>
                <w:sz w:val="24"/>
                <w:szCs w:val="24"/>
              </w:rPr>
            </w:pPr>
            <w:r w:rsidRPr="004D7DB1">
              <w:rPr>
                <w:rFonts w:ascii="Times New Roman" w:hAnsi="Times New Roman" w:cs="Times New Roman"/>
                <w:b/>
                <w:sz w:val="24"/>
                <w:szCs w:val="24"/>
              </w:rPr>
              <w:lastRenderedPageBreak/>
              <w:t xml:space="preserve">Ņemts vērā. </w:t>
            </w:r>
            <w:r w:rsidRPr="004D7DB1">
              <w:rPr>
                <w:rFonts w:ascii="Times New Roman" w:hAnsi="Times New Roman" w:cs="Times New Roman"/>
                <w:sz w:val="24"/>
                <w:szCs w:val="24"/>
              </w:rPr>
              <w:t xml:space="preserve">Anotācija   </w:t>
            </w:r>
            <w:r>
              <w:rPr>
                <w:rFonts w:ascii="Times New Roman" w:hAnsi="Times New Roman" w:cs="Times New Roman"/>
                <w:sz w:val="24"/>
                <w:szCs w:val="24"/>
              </w:rPr>
              <w:lastRenderedPageBreak/>
              <w:t>precizēta.</w:t>
            </w: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Default="008620B4" w:rsidP="00517D02">
            <w:pPr>
              <w:pStyle w:val="Bezatstarpm"/>
              <w:jc w:val="both"/>
              <w:rPr>
                <w:rFonts w:ascii="Times New Roman" w:hAnsi="Times New Roman" w:cs="Times New Roman"/>
                <w:sz w:val="24"/>
                <w:szCs w:val="24"/>
              </w:rPr>
            </w:pPr>
          </w:p>
          <w:p w:rsidR="008620B4" w:rsidRPr="008620B4" w:rsidRDefault="008620B4" w:rsidP="00517D02">
            <w:pPr>
              <w:pStyle w:val="Bezatstarpm"/>
              <w:jc w:val="both"/>
              <w:rPr>
                <w:rFonts w:ascii="Times New Roman" w:hAnsi="Times New Roman" w:cs="Times New Roman"/>
                <w:sz w:val="24"/>
                <w:szCs w:val="24"/>
              </w:rPr>
            </w:pPr>
            <w:r w:rsidRPr="004D7DB1">
              <w:rPr>
                <w:rFonts w:ascii="Times New Roman" w:hAnsi="Times New Roman" w:cs="Times New Roman"/>
                <w:b/>
                <w:sz w:val="24"/>
                <w:szCs w:val="24"/>
              </w:rPr>
              <w:t xml:space="preserve">Ņemts vērā. </w:t>
            </w:r>
            <w:r>
              <w:rPr>
                <w:rFonts w:ascii="Times New Roman" w:hAnsi="Times New Roman" w:cs="Times New Roman"/>
                <w:sz w:val="24"/>
                <w:szCs w:val="24"/>
              </w:rPr>
              <w:t>Rīkoj</w:t>
            </w:r>
            <w:r w:rsidR="00B538C0">
              <w:rPr>
                <w:rFonts w:ascii="Times New Roman" w:hAnsi="Times New Roman" w:cs="Times New Roman"/>
                <w:sz w:val="24"/>
                <w:szCs w:val="24"/>
              </w:rPr>
              <w:t>u</w:t>
            </w:r>
            <w:r>
              <w:rPr>
                <w:rFonts w:ascii="Times New Roman" w:hAnsi="Times New Roman" w:cs="Times New Roman"/>
                <w:sz w:val="24"/>
                <w:szCs w:val="24"/>
              </w:rPr>
              <w:t xml:space="preserve">ma projekts </w:t>
            </w:r>
            <w:r>
              <w:rPr>
                <w:rFonts w:ascii="Times New Roman" w:hAnsi="Times New Roman" w:cs="Times New Roman"/>
                <w:sz w:val="24"/>
                <w:szCs w:val="24"/>
              </w:rPr>
              <w:lastRenderedPageBreak/>
              <w:t>precizēts.</w:t>
            </w:r>
          </w:p>
        </w:tc>
        <w:tc>
          <w:tcPr>
            <w:tcW w:w="3286" w:type="dxa"/>
            <w:tcBorders>
              <w:top w:val="single" w:sz="4" w:space="0" w:color="auto"/>
              <w:left w:val="single" w:sz="4" w:space="0" w:color="auto"/>
              <w:bottom w:val="single" w:sz="4" w:space="0" w:color="auto"/>
            </w:tcBorders>
          </w:tcPr>
          <w:p w:rsidR="00C675FA" w:rsidRDefault="00B945DE"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Lūdzu skatīt precizēto </w:t>
            </w:r>
            <w:r>
              <w:rPr>
                <w:rFonts w:ascii="Times New Roman" w:eastAsia="Times New Roman" w:hAnsi="Times New Roman" w:cs="Times New Roman"/>
                <w:sz w:val="24"/>
                <w:szCs w:val="24"/>
              </w:rPr>
              <w:lastRenderedPageBreak/>
              <w:t>anotāciju.</w:t>
            </w: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8620B4" w:rsidRPr="00103524" w:rsidRDefault="008620B4"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Lūdzu skatīt precizēto rīkojuma </w:t>
            </w:r>
            <w:r>
              <w:rPr>
                <w:rFonts w:ascii="Times New Roman" w:eastAsia="Times New Roman" w:hAnsi="Times New Roman" w:cs="Times New Roman"/>
                <w:sz w:val="24"/>
                <w:szCs w:val="24"/>
              </w:rPr>
              <w:lastRenderedPageBreak/>
              <w:t>projektu.</w:t>
            </w:r>
          </w:p>
        </w:tc>
      </w:tr>
      <w:bookmarkEnd w:id="2"/>
      <w:bookmarkEnd w:id="3"/>
      <w:tr w:rsidR="004249BD" w:rsidRPr="00103524" w:rsidTr="00E63D57">
        <w:tc>
          <w:tcPr>
            <w:tcW w:w="828" w:type="dxa"/>
            <w:tcBorders>
              <w:top w:val="single" w:sz="6" w:space="0" w:color="000000"/>
              <w:left w:val="single" w:sz="6" w:space="0" w:color="000000"/>
              <w:bottom w:val="single" w:sz="6" w:space="0" w:color="000000"/>
              <w:right w:val="single" w:sz="6" w:space="0" w:color="000000"/>
            </w:tcBorders>
          </w:tcPr>
          <w:p w:rsidR="004249BD" w:rsidRDefault="004249BD" w:rsidP="004768F7">
            <w:pPr>
              <w:spacing w:after="0" w:line="240" w:lineRule="auto"/>
              <w:jc w:val="both"/>
              <w:rPr>
                <w:rFonts w:ascii="Times New Roman" w:hAnsi="Times New Roman" w:cs="Times New Roman"/>
                <w:sz w:val="24"/>
                <w:szCs w:val="24"/>
              </w:rPr>
            </w:pPr>
          </w:p>
        </w:tc>
        <w:tc>
          <w:tcPr>
            <w:tcW w:w="2966" w:type="dxa"/>
            <w:tcBorders>
              <w:top w:val="single" w:sz="6" w:space="0" w:color="000000"/>
              <w:left w:val="single" w:sz="6" w:space="0" w:color="000000"/>
              <w:bottom w:val="single" w:sz="6" w:space="0" w:color="000000"/>
              <w:right w:val="single" w:sz="6" w:space="0" w:color="000000"/>
            </w:tcBorders>
          </w:tcPr>
          <w:p w:rsidR="004249BD" w:rsidRPr="00086B3C" w:rsidRDefault="004249BD" w:rsidP="004768F7">
            <w:pPr>
              <w:spacing w:after="0" w:line="240" w:lineRule="auto"/>
              <w:rPr>
                <w:rFonts w:ascii="Times New Roman" w:eastAsia="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4249BD" w:rsidRPr="00652687" w:rsidRDefault="004249BD" w:rsidP="004768F7">
            <w:pPr>
              <w:ind w:firstLine="709"/>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4249BD" w:rsidRPr="004D7DB1" w:rsidRDefault="004249BD" w:rsidP="00CC7649">
            <w:pPr>
              <w:pStyle w:val="Bezatstarpm"/>
              <w:ind w:firstLine="318"/>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4249BD" w:rsidRPr="00103524" w:rsidRDefault="004249BD" w:rsidP="004768F7">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tc>
      </w:tr>
    </w:tbl>
    <w:p w:rsidR="00C675FA" w:rsidRDefault="00C675FA" w:rsidP="00EF5588">
      <w:pPr>
        <w:spacing w:after="0" w:line="240" w:lineRule="auto"/>
        <w:jc w:val="both"/>
        <w:rPr>
          <w:rFonts w:ascii="Times New Roman" w:hAnsi="Times New Roman" w:cs="Times New Roman"/>
          <w:sz w:val="20"/>
          <w:szCs w:val="20"/>
        </w:rPr>
      </w:pPr>
    </w:p>
    <w:tbl>
      <w:tblPr>
        <w:tblW w:w="12121" w:type="dxa"/>
        <w:tblLayout w:type="fixed"/>
        <w:tblLook w:val="00A0" w:firstRow="1" w:lastRow="0" w:firstColumn="1" w:lastColumn="0" w:noHBand="0" w:noVBand="0"/>
      </w:tblPr>
      <w:tblGrid>
        <w:gridCol w:w="2469"/>
        <w:gridCol w:w="9652"/>
      </w:tblGrid>
      <w:tr w:rsidR="004D14A4" w:rsidRPr="00F06212" w:rsidTr="00673282">
        <w:trPr>
          <w:trHeight w:val="386"/>
        </w:trPr>
        <w:tc>
          <w:tcPr>
            <w:tcW w:w="2469" w:type="dxa"/>
          </w:tcPr>
          <w:p w:rsidR="004D14A4" w:rsidRDefault="004D14A4" w:rsidP="00673282">
            <w:pPr>
              <w:spacing w:after="0" w:line="240" w:lineRule="auto"/>
              <w:rPr>
                <w:rFonts w:ascii="Times New Roman" w:eastAsia="Times New Roman" w:hAnsi="Times New Roman" w:cs="Times New Roman"/>
                <w:sz w:val="24"/>
                <w:szCs w:val="24"/>
                <w:lang w:eastAsia="lv-LV"/>
              </w:rPr>
            </w:pPr>
          </w:p>
          <w:p w:rsidR="004D14A4" w:rsidRPr="00F06212" w:rsidRDefault="004D14A4" w:rsidP="00673282">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4D14A4" w:rsidRPr="00F06212" w:rsidTr="00673282">
        <w:trPr>
          <w:trHeight w:val="408"/>
        </w:trPr>
        <w:tc>
          <w:tcPr>
            <w:tcW w:w="2469"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p>
        </w:tc>
        <w:tc>
          <w:tcPr>
            <w:tcW w:w="9652" w:type="dxa"/>
            <w:tcBorders>
              <w:top w:val="single" w:sz="6" w:space="0" w:color="000000"/>
            </w:tcBorders>
          </w:tcPr>
          <w:p w:rsidR="004D14A4" w:rsidRPr="00F06212" w:rsidRDefault="004D14A4" w:rsidP="00673282">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rsidR="004D14A4" w:rsidRDefault="004D14A4" w:rsidP="004D14A4">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rsidR="004D14A4" w:rsidRPr="00F06212" w:rsidRDefault="004D14A4" w:rsidP="004D14A4">
      <w:pPr>
        <w:spacing w:after="0" w:line="240" w:lineRule="auto"/>
        <w:ind w:firstLine="720"/>
        <w:jc w:val="both"/>
        <w:rPr>
          <w:rFonts w:ascii="Times New Roman" w:eastAsia="Times New Roman" w:hAnsi="Times New Roman" w:cs="Times New Roman"/>
          <w:sz w:val="24"/>
          <w:szCs w:val="24"/>
          <w:lang w:eastAsia="lv-LV"/>
        </w:rPr>
      </w:pPr>
    </w:p>
    <w:p w:rsidR="004D14A4" w:rsidRPr="00F06212" w:rsidRDefault="004D14A4" w:rsidP="004D14A4">
      <w:pPr>
        <w:spacing w:after="0" w:line="240" w:lineRule="auto"/>
        <w:ind w:firstLine="3402"/>
        <w:rPr>
          <w:rFonts w:ascii="Times New Roman" w:hAnsi="Times New Roman" w:cs="Times New Roman"/>
          <w:sz w:val="24"/>
          <w:szCs w:val="24"/>
        </w:rPr>
      </w:pPr>
      <w:r w:rsidRPr="00F06212">
        <w:rPr>
          <w:rFonts w:ascii="Times New Roman" w:hAnsi="Times New Roman" w:cs="Times New Roman"/>
          <w:sz w:val="24"/>
          <w:szCs w:val="24"/>
        </w:rPr>
        <w:t>Tamāra Rasnača</w:t>
      </w:r>
    </w:p>
    <w:tbl>
      <w:tblPr>
        <w:tblW w:w="0" w:type="auto"/>
        <w:tblLook w:val="00A0" w:firstRow="1" w:lastRow="0" w:firstColumn="1" w:lastColumn="0" w:noHBand="0" w:noVBand="0"/>
      </w:tblPr>
      <w:tblGrid>
        <w:gridCol w:w="8268"/>
      </w:tblGrid>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p>
        </w:tc>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tr>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tr>
      <w:tr w:rsidR="004D14A4" w:rsidRPr="00F06212" w:rsidTr="00673282">
        <w:tc>
          <w:tcPr>
            <w:tcW w:w="8268" w:type="dxa"/>
            <w:tcBorders>
              <w:top w:val="single" w:sz="4" w:space="0" w:color="000000"/>
            </w:tcBorders>
          </w:tcPr>
          <w:p w:rsidR="004D14A4"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p>
        </w:tc>
      </w:tr>
      <w:tr w:rsidR="004D14A4" w:rsidRPr="00F06212" w:rsidTr="00673282">
        <w:tc>
          <w:tcPr>
            <w:tcW w:w="8268" w:type="dxa"/>
            <w:tcBorders>
              <w:bottom w:val="single" w:sz="4" w:space="0" w:color="000000"/>
            </w:tcBorders>
          </w:tcPr>
          <w:p w:rsidR="004D14A4" w:rsidRPr="00F06212" w:rsidRDefault="002D24B0" w:rsidP="00673282">
            <w:pPr>
              <w:spacing w:after="0" w:line="240" w:lineRule="auto"/>
              <w:jc w:val="center"/>
              <w:rPr>
                <w:rFonts w:ascii="Times New Roman" w:eastAsia="Times New Roman" w:hAnsi="Times New Roman" w:cs="Times New Roman"/>
                <w:sz w:val="24"/>
                <w:szCs w:val="24"/>
                <w:lang w:eastAsia="lv-LV"/>
              </w:rPr>
            </w:pPr>
            <w:hyperlink r:id="rId8" w:history="1">
              <w:proofErr w:type="spellStart"/>
              <w:r w:rsidR="004D14A4" w:rsidRPr="00F06212">
                <w:rPr>
                  <w:rStyle w:val="Hipersaite"/>
                  <w:rFonts w:ascii="Times New Roman" w:hAnsi="Times New Roman" w:cs="Times New Roman"/>
                  <w:sz w:val="24"/>
                  <w:szCs w:val="24"/>
                </w:rPr>
                <w:t>Tamara.Rasnaca</w:t>
              </w:r>
              <w:proofErr w:type="spellEnd"/>
              <w:r w:rsidR="004D14A4" w:rsidRPr="00F06212">
                <w:rPr>
                  <w:rStyle w:val="Hipersaite"/>
                  <w:rFonts w:ascii="Times New Roman" w:hAnsi="Times New Roman" w:cs="Times New Roman"/>
                  <w:sz w:val="24"/>
                  <w:szCs w:val="24"/>
                </w:rPr>
                <w:t xml:space="preserve"> @</w:t>
              </w:r>
              <w:proofErr w:type="spellStart"/>
              <w:r w:rsidR="004D14A4" w:rsidRPr="00F06212">
                <w:rPr>
                  <w:rStyle w:val="Hipersaite"/>
                  <w:rFonts w:ascii="Times New Roman" w:hAnsi="Times New Roman" w:cs="Times New Roman"/>
                  <w:sz w:val="24"/>
                  <w:szCs w:val="24"/>
                </w:rPr>
                <w:t>zm.gov.lv</w:t>
              </w:r>
              <w:proofErr w:type="spellEnd"/>
            </w:hyperlink>
          </w:p>
        </w:tc>
      </w:tr>
      <w:tr w:rsidR="004D14A4" w:rsidRPr="00F06212" w:rsidTr="00673282">
        <w:trPr>
          <w:trHeight w:val="70"/>
        </w:trPr>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(e-pasta adrese)</w:t>
            </w:r>
          </w:p>
        </w:tc>
      </w:tr>
    </w:tbl>
    <w:p w:rsidR="004D14A4" w:rsidRPr="00EF5588" w:rsidRDefault="004D14A4" w:rsidP="004D14A4">
      <w:pPr>
        <w:spacing w:after="0" w:line="240" w:lineRule="auto"/>
        <w:jc w:val="both"/>
        <w:rPr>
          <w:rFonts w:ascii="Times New Roman" w:hAnsi="Times New Roman" w:cs="Times New Roman"/>
          <w:sz w:val="24"/>
          <w:szCs w:val="24"/>
        </w:rPr>
      </w:pPr>
    </w:p>
    <w:p w:rsidR="00845838" w:rsidRPr="00845838" w:rsidRDefault="00845838" w:rsidP="00CC7649">
      <w:pPr>
        <w:spacing w:after="0" w:line="240" w:lineRule="auto"/>
        <w:jc w:val="both"/>
        <w:rPr>
          <w:rFonts w:ascii="Times New Roman" w:hAnsi="Times New Roman" w:cs="Times New Roman"/>
          <w:sz w:val="24"/>
          <w:szCs w:val="24"/>
        </w:rPr>
      </w:pPr>
    </w:p>
    <w:sectPr w:rsidR="00845838" w:rsidRPr="00845838" w:rsidSect="00E63D57">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C69" w:rsidRDefault="00982C69" w:rsidP="009C7DB3">
      <w:pPr>
        <w:spacing w:after="0" w:line="240" w:lineRule="auto"/>
      </w:pPr>
      <w:r>
        <w:separator/>
      </w:r>
    </w:p>
  </w:endnote>
  <w:endnote w:type="continuationSeparator" w:id="0">
    <w:p w:rsidR="00982C69" w:rsidRDefault="00982C69"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D" w:rsidRPr="002D24B0" w:rsidRDefault="002D24B0" w:rsidP="002D24B0">
    <w:pPr>
      <w:pStyle w:val="Kjene"/>
    </w:pPr>
    <w:r w:rsidRPr="002D24B0">
      <w:rPr>
        <w:rFonts w:ascii="Times New Roman" w:hAnsi="Times New Roman" w:cs="Times New Roman"/>
        <w:sz w:val="20"/>
        <w:szCs w:val="20"/>
      </w:rPr>
      <w:t>ZMizz_231120_dagdas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3F" w:rsidRPr="002D24B0" w:rsidRDefault="002D24B0" w:rsidP="002D24B0">
    <w:pPr>
      <w:pStyle w:val="Kjene"/>
    </w:pPr>
    <w:r w:rsidRPr="002D24B0">
      <w:rPr>
        <w:rFonts w:ascii="Times New Roman" w:hAnsi="Times New Roman" w:cs="Times New Roman"/>
        <w:sz w:val="20"/>
        <w:szCs w:val="20"/>
      </w:rPr>
      <w:t>ZMizz_231120_dagdas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C69" w:rsidRDefault="00982C69" w:rsidP="009C7DB3">
      <w:pPr>
        <w:spacing w:after="0" w:line="240" w:lineRule="auto"/>
      </w:pPr>
      <w:r>
        <w:separator/>
      </w:r>
    </w:p>
  </w:footnote>
  <w:footnote w:type="continuationSeparator" w:id="0">
    <w:p w:rsidR="00982C69" w:rsidRDefault="00982C69" w:rsidP="009C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45611"/>
      <w:docPartObj>
        <w:docPartGallery w:val="Page Numbers (Top of Page)"/>
        <w:docPartUnique/>
      </w:docPartObj>
    </w:sdtPr>
    <w:sdtEndPr>
      <w:rPr>
        <w:rFonts w:ascii="Times New Roman" w:hAnsi="Times New Roman" w:cs="Times New Roman"/>
        <w:sz w:val="24"/>
        <w:szCs w:val="24"/>
      </w:rPr>
    </w:sdtEndPr>
    <w:sdtContent>
      <w:p w:rsidR="0099386D" w:rsidRPr="00ED2ECC" w:rsidRDefault="0099386D">
        <w:pPr>
          <w:pStyle w:val="Galvene"/>
          <w:jc w:val="center"/>
          <w:rPr>
            <w:rFonts w:ascii="Times New Roman" w:hAnsi="Times New Roman" w:cs="Times New Roman"/>
            <w:sz w:val="24"/>
            <w:szCs w:val="24"/>
          </w:rPr>
        </w:pPr>
        <w:r w:rsidRPr="00ED2ECC">
          <w:rPr>
            <w:rFonts w:ascii="Times New Roman" w:hAnsi="Times New Roman" w:cs="Times New Roman"/>
            <w:sz w:val="24"/>
            <w:szCs w:val="24"/>
          </w:rPr>
          <w:fldChar w:fldCharType="begin"/>
        </w:r>
        <w:r w:rsidRPr="00ED2ECC">
          <w:rPr>
            <w:rFonts w:ascii="Times New Roman" w:hAnsi="Times New Roman" w:cs="Times New Roman"/>
            <w:sz w:val="24"/>
            <w:szCs w:val="24"/>
          </w:rPr>
          <w:instrText>PAGE   \* MERGEFORMAT</w:instrText>
        </w:r>
        <w:r w:rsidRPr="00ED2ECC">
          <w:rPr>
            <w:rFonts w:ascii="Times New Roman" w:hAnsi="Times New Roman" w:cs="Times New Roman"/>
            <w:sz w:val="24"/>
            <w:szCs w:val="24"/>
          </w:rPr>
          <w:fldChar w:fldCharType="separate"/>
        </w:r>
        <w:r w:rsidR="00395613">
          <w:rPr>
            <w:rFonts w:ascii="Times New Roman" w:hAnsi="Times New Roman" w:cs="Times New Roman"/>
            <w:noProof/>
            <w:sz w:val="24"/>
            <w:szCs w:val="24"/>
          </w:rPr>
          <w:t>3</w:t>
        </w:r>
        <w:r w:rsidRPr="00ED2ECC">
          <w:rPr>
            <w:rFonts w:ascii="Times New Roman" w:hAnsi="Times New Roman" w:cs="Times New Roman"/>
            <w:sz w:val="24"/>
            <w:szCs w:val="24"/>
          </w:rPr>
          <w:fldChar w:fldCharType="end"/>
        </w:r>
      </w:p>
    </w:sdtContent>
  </w:sdt>
  <w:p w:rsidR="0099386D" w:rsidRDefault="009938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2"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0"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5"/>
  </w:num>
  <w:num w:numId="17">
    <w:abstractNumId w:val="17"/>
  </w:num>
  <w:num w:numId="18">
    <w:abstractNumId w:val="3"/>
  </w:num>
  <w:num w:numId="19">
    <w:abstractNumId w:val="1"/>
  </w:num>
  <w:num w:numId="20">
    <w:abstractNumId w:val="7"/>
  </w:num>
  <w:num w:numId="21">
    <w:abstractNumId w:val="16"/>
  </w:num>
  <w:num w:numId="22">
    <w:abstractNumId w:val="8"/>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588"/>
    <w:rsid w:val="000036F5"/>
    <w:rsid w:val="00006D0F"/>
    <w:rsid w:val="000104C9"/>
    <w:rsid w:val="00013534"/>
    <w:rsid w:val="000135FB"/>
    <w:rsid w:val="00015392"/>
    <w:rsid w:val="000235ED"/>
    <w:rsid w:val="00027616"/>
    <w:rsid w:val="00034299"/>
    <w:rsid w:val="00040021"/>
    <w:rsid w:val="000415BD"/>
    <w:rsid w:val="00043955"/>
    <w:rsid w:val="00046F68"/>
    <w:rsid w:val="0005649D"/>
    <w:rsid w:val="000654C7"/>
    <w:rsid w:val="00070869"/>
    <w:rsid w:val="0007263B"/>
    <w:rsid w:val="00073FC6"/>
    <w:rsid w:val="00077827"/>
    <w:rsid w:val="0008076F"/>
    <w:rsid w:val="00086039"/>
    <w:rsid w:val="00086B3C"/>
    <w:rsid w:val="00092574"/>
    <w:rsid w:val="00093A95"/>
    <w:rsid w:val="000960F9"/>
    <w:rsid w:val="0009659C"/>
    <w:rsid w:val="00096F12"/>
    <w:rsid w:val="000A4580"/>
    <w:rsid w:val="000A479D"/>
    <w:rsid w:val="000A4E0F"/>
    <w:rsid w:val="000A68A6"/>
    <w:rsid w:val="000A6B29"/>
    <w:rsid w:val="000A7099"/>
    <w:rsid w:val="000A7259"/>
    <w:rsid w:val="000B1695"/>
    <w:rsid w:val="000B3D6D"/>
    <w:rsid w:val="000D666F"/>
    <w:rsid w:val="000E0FF3"/>
    <w:rsid w:val="000E76A8"/>
    <w:rsid w:val="00103524"/>
    <w:rsid w:val="0011115B"/>
    <w:rsid w:val="00114E07"/>
    <w:rsid w:val="00115F69"/>
    <w:rsid w:val="001231FE"/>
    <w:rsid w:val="00123D4C"/>
    <w:rsid w:val="00123DF0"/>
    <w:rsid w:val="0012456A"/>
    <w:rsid w:val="00140327"/>
    <w:rsid w:val="0014244D"/>
    <w:rsid w:val="001531C5"/>
    <w:rsid w:val="00154818"/>
    <w:rsid w:val="00154D8A"/>
    <w:rsid w:val="00163F0F"/>
    <w:rsid w:val="00164D0B"/>
    <w:rsid w:val="00166A19"/>
    <w:rsid w:val="0018107C"/>
    <w:rsid w:val="00181634"/>
    <w:rsid w:val="0018754A"/>
    <w:rsid w:val="001908E1"/>
    <w:rsid w:val="00190CB2"/>
    <w:rsid w:val="00191E1F"/>
    <w:rsid w:val="001A6DC3"/>
    <w:rsid w:val="001B16F8"/>
    <w:rsid w:val="001C24DD"/>
    <w:rsid w:val="001C39A3"/>
    <w:rsid w:val="001D4D7D"/>
    <w:rsid w:val="001D4E77"/>
    <w:rsid w:val="001D5FEA"/>
    <w:rsid w:val="001D70EB"/>
    <w:rsid w:val="001E4E83"/>
    <w:rsid w:val="001E7701"/>
    <w:rsid w:val="001F0086"/>
    <w:rsid w:val="001F15DB"/>
    <w:rsid w:val="00205C2A"/>
    <w:rsid w:val="00206FEE"/>
    <w:rsid w:val="00211CD2"/>
    <w:rsid w:val="00236812"/>
    <w:rsid w:val="00242A24"/>
    <w:rsid w:val="00242DC1"/>
    <w:rsid w:val="00246BB1"/>
    <w:rsid w:val="00253C6C"/>
    <w:rsid w:val="002570B3"/>
    <w:rsid w:val="00257E0B"/>
    <w:rsid w:val="00261B34"/>
    <w:rsid w:val="002623D4"/>
    <w:rsid w:val="0026330F"/>
    <w:rsid w:val="00263591"/>
    <w:rsid w:val="002700BA"/>
    <w:rsid w:val="00270FFA"/>
    <w:rsid w:val="00275DB6"/>
    <w:rsid w:val="0028333A"/>
    <w:rsid w:val="00286AE0"/>
    <w:rsid w:val="002871E0"/>
    <w:rsid w:val="002874B5"/>
    <w:rsid w:val="00294363"/>
    <w:rsid w:val="002A1978"/>
    <w:rsid w:val="002A3023"/>
    <w:rsid w:val="002A54A8"/>
    <w:rsid w:val="002B004C"/>
    <w:rsid w:val="002B2BEB"/>
    <w:rsid w:val="002C3B04"/>
    <w:rsid w:val="002C681C"/>
    <w:rsid w:val="002C75BA"/>
    <w:rsid w:val="002D24B0"/>
    <w:rsid w:val="002D2D5E"/>
    <w:rsid w:val="002D7002"/>
    <w:rsid w:val="002D7BE1"/>
    <w:rsid w:val="002D7FD4"/>
    <w:rsid w:val="002E3B52"/>
    <w:rsid w:val="002E4246"/>
    <w:rsid w:val="002E6499"/>
    <w:rsid w:val="00313498"/>
    <w:rsid w:val="00313BB4"/>
    <w:rsid w:val="00317713"/>
    <w:rsid w:val="00322461"/>
    <w:rsid w:val="00330117"/>
    <w:rsid w:val="00337378"/>
    <w:rsid w:val="0034197B"/>
    <w:rsid w:val="003624AD"/>
    <w:rsid w:val="003722E2"/>
    <w:rsid w:val="00395613"/>
    <w:rsid w:val="003A21FA"/>
    <w:rsid w:val="003A4A51"/>
    <w:rsid w:val="003A4E77"/>
    <w:rsid w:val="003B7899"/>
    <w:rsid w:val="003E2CCD"/>
    <w:rsid w:val="003E3ABF"/>
    <w:rsid w:val="003E4F76"/>
    <w:rsid w:val="003E561B"/>
    <w:rsid w:val="003F00D4"/>
    <w:rsid w:val="003F0CDC"/>
    <w:rsid w:val="003F6764"/>
    <w:rsid w:val="004037C7"/>
    <w:rsid w:val="00412EF3"/>
    <w:rsid w:val="00414075"/>
    <w:rsid w:val="00415769"/>
    <w:rsid w:val="00422211"/>
    <w:rsid w:val="004249BD"/>
    <w:rsid w:val="004260BE"/>
    <w:rsid w:val="00433595"/>
    <w:rsid w:val="00446A4B"/>
    <w:rsid w:val="0044705A"/>
    <w:rsid w:val="004524C5"/>
    <w:rsid w:val="004714B3"/>
    <w:rsid w:val="00474866"/>
    <w:rsid w:val="004757ED"/>
    <w:rsid w:val="004766A2"/>
    <w:rsid w:val="00476ADF"/>
    <w:rsid w:val="00486B8A"/>
    <w:rsid w:val="00497402"/>
    <w:rsid w:val="004A2298"/>
    <w:rsid w:val="004A2FA5"/>
    <w:rsid w:val="004A3BF5"/>
    <w:rsid w:val="004A410E"/>
    <w:rsid w:val="004A42ED"/>
    <w:rsid w:val="004B3223"/>
    <w:rsid w:val="004C5F15"/>
    <w:rsid w:val="004C63DF"/>
    <w:rsid w:val="004C68E5"/>
    <w:rsid w:val="004D14A4"/>
    <w:rsid w:val="004D4A3C"/>
    <w:rsid w:val="004D6116"/>
    <w:rsid w:val="004D7004"/>
    <w:rsid w:val="004D7DB1"/>
    <w:rsid w:val="004E66F4"/>
    <w:rsid w:val="004F2267"/>
    <w:rsid w:val="00505BB2"/>
    <w:rsid w:val="005067F0"/>
    <w:rsid w:val="00510B5A"/>
    <w:rsid w:val="0051429D"/>
    <w:rsid w:val="00517D02"/>
    <w:rsid w:val="00526718"/>
    <w:rsid w:val="005312C7"/>
    <w:rsid w:val="0053266E"/>
    <w:rsid w:val="00532FB4"/>
    <w:rsid w:val="005347F3"/>
    <w:rsid w:val="00544E1D"/>
    <w:rsid w:val="005478F4"/>
    <w:rsid w:val="00547C6E"/>
    <w:rsid w:val="00552BCA"/>
    <w:rsid w:val="00555534"/>
    <w:rsid w:val="00560E36"/>
    <w:rsid w:val="005739BF"/>
    <w:rsid w:val="0057794A"/>
    <w:rsid w:val="005844B1"/>
    <w:rsid w:val="00585034"/>
    <w:rsid w:val="00585C5B"/>
    <w:rsid w:val="00585F7C"/>
    <w:rsid w:val="005908F7"/>
    <w:rsid w:val="00591E77"/>
    <w:rsid w:val="00592C20"/>
    <w:rsid w:val="0059341F"/>
    <w:rsid w:val="00597F42"/>
    <w:rsid w:val="005A7101"/>
    <w:rsid w:val="005B6338"/>
    <w:rsid w:val="005B64B4"/>
    <w:rsid w:val="005B701D"/>
    <w:rsid w:val="005D53A0"/>
    <w:rsid w:val="005E31BD"/>
    <w:rsid w:val="005E5CDB"/>
    <w:rsid w:val="005F53E9"/>
    <w:rsid w:val="00603D6A"/>
    <w:rsid w:val="00613538"/>
    <w:rsid w:val="00614C1D"/>
    <w:rsid w:val="0061781C"/>
    <w:rsid w:val="006229D8"/>
    <w:rsid w:val="006304BC"/>
    <w:rsid w:val="006319E8"/>
    <w:rsid w:val="006401BD"/>
    <w:rsid w:val="00652687"/>
    <w:rsid w:val="00660570"/>
    <w:rsid w:val="006611D2"/>
    <w:rsid w:val="00661390"/>
    <w:rsid w:val="00661A22"/>
    <w:rsid w:val="0066220B"/>
    <w:rsid w:val="00676D7D"/>
    <w:rsid w:val="00677ADA"/>
    <w:rsid w:val="006A6CB5"/>
    <w:rsid w:val="006A7320"/>
    <w:rsid w:val="006B3E9A"/>
    <w:rsid w:val="006C18BB"/>
    <w:rsid w:val="006C4E4D"/>
    <w:rsid w:val="006C7D3F"/>
    <w:rsid w:val="006E196D"/>
    <w:rsid w:val="006F050F"/>
    <w:rsid w:val="006F7368"/>
    <w:rsid w:val="007003FD"/>
    <w:rsid w:val="0070153E"/>
    <w:rsid w:val="00707CFE"/>
    <w:rsid w:val="00710832"/>
    <w:rsid w:val="0071261E"/>
    <w:rsid w:val="007175F6"/>
    <w:rsid w:val="007206F3"/>
    <w:rsid w:val="00721F2E"/>
    <w:rsid w:val="00723E3D"/>
    <w:rsid w:val="00724584"/>
    <w:rsid w:val="007276C5"/>
    <w:rsid w:val="00727A15"/>
    <w:rsid w:val="00731813"/>
    <w:rsid w:val="00735DB9"/>
    <w:rsid w:val="00736669"/>
    <w:rsid w:val="00743BBD"/>
    <w:rsid w:val="007459FD"/>
    <w:rsid w:val="00747940"/>
    <w:rsid w:val="007540F4"/>
    <w:rsid w:val="00755BCF"/>
    <w:rsid w:val="0076226D"/>
    <w:rsid w:val="0076418A"/>
    <w:rsid w:val="007641CA"/>
    <w:rsid w:val="00764E53"/>
    <w:rsid w:val="007679D3"/>
    <w:rsid w:val="00772603"/>
    <w:rsid w:val="00776313"/>
    <w:rsid w:val="00780141"/>
    <w:rsid w:val="00782562"/>
    <w:rsid w:val="0078753E"/>
    <w:rsid w:val="00790727"/>
    <w:rsid w:val="00791D9C"/>
    <w:rsid w:val="0079471B"/>
    <w:rsid w:val="00794FDF"/>
    <w:rsid w:val="00797C69"/>
    <w:rsid w:val="007A150D"/>
    <w:rsid w:val="007A435C"/>
    <w:rsid w:val="007A4CE0"/>
    <w:rsid w:val="007B11BE"/>
    <w:rsid w:val="007B550A"/>
    <w:rsid w:val="007B7086"/>
    <w:rsid w:val="007D1ED9"/>
    <w:rsid w:val="007D35A3"/>
    <w:rsid w:val="007D76D6"/>
    <w:rsid w:val="007E68CE"/>
    <w:rsid w:val="007F7A09"/>
    <w:rsid w:val="0080403F"/>
    <w:rsid w:val="008049BE"/>
    <w:rsid w:val="008051A3"/>
    <w:rsid w:val="0080538D"/>
    <w:rsid w:val="00806884"/>
    <w:rsid w:val="00814FA9"/>
    <w:rsid w:val="00815CF8"/>
    <w:rsid w:val="00820FF1"/>
    <w:rsid w:val="00834ECD"/>
    <w:rsid w:val="008416EE"/>
    <w:rsid w:val="00845838"/>
    <w:rsid w:val="008465E6"/>
    <w:rsid w:val="00846D11"/>
    <w:rsid w:val="00850F72"/>
    <w:rsid w:val="008620B4"/>
    <w:rsid w:val="008667EF"/>
    <w:rsid w:val="008672FA"/>
    <w:rsid w:val="00867622"/>
    <w:rsid w:val="00874198"/>
    <w:rsid w:val="0088634A"/>
    <w:rsid w:val="00886E7C"/>
    <w:rsid w:val="00890977"/>
    <w:rsid w:val="00892E41"/>
    <w:rsid w:val="008947CB"/>
    <w:rsid w:val="00895E3A"/>
    <w:rsid w:val="008A0233"/>
    <w:rsid w:val="008A6CBF"/>
    <w:rsid w:val="008B0612"/>
    <w:rsid w:val="008B57D0"/>
    <w:rsid w:val="008B614F"/>
    <w:rsid w:val="008C633D"/>
    <w:rsid w:val="008C6BE4"/>
    <w:rsid w:val="008D54F6"/>
    <w:rsid w:val="008E7C4F"/>
    <w:rsid w:val="008F1827"/>
    <w:rsid w:val="008F289B"/>
    <w:rsid w:val="008F453C"/>
    <w:rsid w:val="008F49D1"/>
    <w:rsid w:val="0090338E"/>
    <w:rsid w:val="0090454E"/>
    <w:rsid w:val="00905F81"/>
    <w:rsid w:val="00907741"/>
    <w:rsid w:val="009105F0"/>
    <w:rsid w:val="009213C6"/>
    <w:rsid w:val="009300A3"/>
    <w:rsid w:val="009327A0"/>
    <w:rsid w:val="00935A15"/>
    <w:rsid w:val="009361F3"/>
    <w:rsid w:val="0093770F"/>
    <w:rsid w:val="009402AC"/>
    <w:rsid w:val="009464E6"/>
    <w:rsid w:val="00950E9D"/>
    <w:rsid w:val="00951033"/>
    <w:rsid w:val="00956082"/>
    <w:rsid w:val="009561CD"/>
    <w:rsid w:val="00960155"/>
    <w:rsid w:val="009616B3"/>
    <w:rsid w:val="00962ACF"/>
    <w:rsid w:val="00967A08"/>
    <w:rsid w:val="00976E12"/>
    <w:rsid w:val="009827D5"/>
    <w:rsid w:val="00982C69"/>
    <w:rsid w:val="00985E5D"/>
    <w:rsid w:val="0098664E"/>
    <w:rsid w:val="0099001E"/>
    <w:rsid w:val="0099386D"/>
    <w:rsid w:val="009A1F89"/>
    <w:rsid w:val="009A32A5"/>
    <w:rsid w:val="009A4540"/>
    <w:rsid w:val="009A4B98"/>
    <w:rsid w:val="009B12C7"/>
    <w:rsid w:val="009B17AB"/>
    <w:rsid w:val="009B3789"/>
    <w:rsid w:val="009B5EC1"/>
    <w:rsid w:val="009B7B08"/>
    <w:rsid w:val="009C14D5"/>
    <w:rsid w:val="009C1D01"/>
    <w:rsid w:val="009C4DA8"/>
    <w:rsid w:val="009C7DB3"/>
    <w:rsid w:val="009D0CB8"/>
    <w:rsid w:val="009D65CC"/>
    <w:rsid w:val="009F0F43"/>
    <w:rsid w:val="009F256C"/>
    <w:rsid w:val="009F6670"/>
    <w:rsid w:val="00A00A31"/>
    <w:rsid w:val="00A00BAE"/>
    <w:rsid w:val="00A03AA7"/>
    <w:rsid w:val="00A075E0"/>
    <w:rsid w:val="00A14B6B"/>
    <w:rsid w:val="00A17740"/>
    <w:rsid w:val="00A24DC2"/>
    <w:rsid w:val="00A27FF0"/>
    <w:rsid w:val="00A330CC"/>
    <w:rsid w:val="00A36934"/>
    <w:rsid w:val="00A4053E"/>
    <w:rsid w:val="00A5336B"/>
    <w:rsid w:val="00A65AF3"/>
    <w:rsid w:val="00A75E27"/>
    <w:rsid w:val="00A76789"/>
    <w:rsid w:val="00A818E4"/>
    <w:rsid w:val="00A83187"/>
    <w:rsid w:val="00A85F25"/>
    <w:rsid w:val="00A917F3"/>
    <w:rsid w:val="00AA2752"/>
    <w:rsid w:val="00AA66E4"/>
    <w:rsid w:val="00AB7990"/>
    <w:rsid w:val="00AC30B1"/>
    <w:rsid w:val="00AC4A8E"/>
    <w:rsid w:val="00AD2F3F"/>
    <w:rsid w:val="00AD34A5"/>
    <w:rsid w:val="00AD6A2A"/>
    <w:rsid w:val="00AD6ADA"/>
    <w:rsid w:val="00AF3179"/>
    <w:rsid w:val="00AF40D1"/>
    <w:rsid w:val="00B044D0"/>
    <w:rsid w:val="00B10BD3"/>
    <w:rsid w:val="00B12FF5"/>
    <w:rsid w:val="00B16406"/>
    <w:rsid w:val="00B16B56"/>
    <w:rsid w:val="00B17905"/>
    <w:rsid w:val="00B22ECA"/>
    <w:rsid w:val="00B34566"/>
    <w:rsid w:val="00B37743"/>
    <w:rsid w:val="00B5335E"/>
    <w:rsid w:val="00B538C0"/>
    <w:rsid w:val="00B54B5F"/>
    <w:rsid w:val="00B66E7B"/>
    <w:rsid w:val="00B67DD0"/>
    <w:rsid w:val="00B72A6B"/>
    <w:rsid w:val="00B73C0D"/>
    <w:rsid w:val="00B83395"/>
    <w:rsid w:val="00B871DF"/>
    <w:rsid w:val="00B945DE"/>
    <w:rsid w:val="00B94ADB"/>
    <w:rsid w:val="00B965BE"/>
    <w:rsid w:val="00BA2EED"/>
    <w:rsid w:val="00BA7569"/>
    <w:rsid w:val="00BB2976"/>
    <w:rsid w:val="00BB43F2"/>
    <w:rsid w:val="00BB51C0"/>
    <w:rsid w:val="00BC5F89"/>
    <w:rsid w:val="00BD2265"/>
    <w:rsid w:val="00BD6480"/>
    <w:rsid w:val="00BE26E6"/>
    <w:rsid w:val="00BE4ABD"/>
    <w:rsid w:val="00BF1206"/>
    <w:rsid w:val="00C1092E"/>
    <w:rsid w:val="00C10BA3"/>
    <w:rsid w:val="00C14E81"/>
    <w:rsid w:val="00C17931"/>
    <w:rsid w:val="00C21E71"/>
    <w:rsid w:val="00C231E0"/>
    <w:rsid w:val="00C24336"/>
    <w:rsid w:val="00C27B0D"/>
    <w:rsid w:val="00C33704"/>
    <w:rsid w:val="00C34BED"/>
    <w:rsid w:val="00C42DAE"/>
    <w:rsid w:val="00C42EE9"/>
    <w:rsid w:val="00C525E7"/>
    <w:rsid w:val="00C568BE"/>
    <w:rsid w:val="00C62827"/>
    <w:rsid w:val="00C628D1"/>
    <w:rsid w:val="00C675FA"/>
    <w:rsid w:val="00C71BA3"/>
    <w:rsid w:val="00C770F8"/>
    <w:rsid w:val="00C77A89"/>
    <w:rsid w:val="00C80759"/>
    <w:rsid w:val="00CA6196"/>
    <w:rsid w:val="00CB15C3"/>
    <w:rsid w:val="00CB4862"/>
    <w:rsid w:val="00CC26B2"/>
    <w:rsid w:val="00CC7649"/>
    <w:rsid w:val="00CE15C1"/>
    <w:rsid w:val="00CE293C"/>
    <w:rsid w:val="00CE2DF3"/>
    <w:rsid w:val="00CE6188"/>
    <w:rsid w:val="00D001ED"/>
    <w:rsid w:val="00D05BE7"/>
    <w:rsid w:val="00D15B7C"/>
    <w:rsid w:val="00D15D5A"/>
    <w:rsid w:val="00D17E5A"/>
    <w:rsid w:val="00D2021A"/>
    <w:rsid w:val="00D34491"/>
    <w:rsid w:val="00D5018F"/>
    <w:rsid w:val="00D529DB"/>
    <w:rsid w:val="00D711D1"/>
    <w:rsid w:val="00D71CD3"/>
    <w:rsid w:val="00D73ABD"/>
    <w:rsid w:val="00D74CC1"/>
    <w:rsid w:val="00D76A89"/>
    <w:rsid w:val="00D8272E"/>
    <w:rsid w:val="00D83BE8"/>
    <w:rsid w:val="00D86201"/>
    <w:rsid w:val="00D8658C"/>
    <w:rsid w:val="00D8784E"/>
    <w:rsid w:val="00DA1DA9"/>
    <w:rsid w:val="00DA2975"/>
    <w:rsid w:val="00DA771E"/>
    <w:rsid w:val="00DB0114"/>
    <w:rsid w:val="00DB1F5E"/>
    <w:rsid w:val="00DB2C04"/>
    <w:rsid w:val="00DC5418"/>
    <w:rsid w:val="00DD06BE"/>
    <w:rsid w:val="00DD271F"/>
    <w:rsid w:val="00DD71F2"/>
    <w:rsid w:val="00DE173F"/>
    <w:rsid w:val="00DE198D"/>
    <w:rsid w:val="00DE31DD"/>
    <w:rsid w:val="00DE5942"/>
    <w:rsid w:val="00DF3FCE"/>
    <w:rsid w:val="00E12F52"/>
    <w:rsid w:val="00E147E3"/>
    <w:rsid w:val="00E16F5E"/>
    <w:rsid w:val="00E249DC"/>
    <w:rsid w:val="00E51769"/>
    <w:rsid w:val="00E63332"/>
    <w:rsid w:val="00E63D57"/>
    <w:rsid w:val="00E66023"/>
    <w:rsid w:val="00E67D1F"/>
    <w:rsid w:val="00E71623"/>
    <w:rsid w:val="00E72F39"/>
    <w:rsid w:val="00E751A7"/>
    <w:rsid w:val="00E776DD"/>
    <w:rsid w:val="00E80255"/>
    <w:rsid w:val="00E85E18"/>
    <w:rsid w:val="00E91FE7"/>
    <w:rsid w:val="00E93C74"/>
    <w:rsid w:val="00E96368"/>
    <w:rsid w:val="00E97650"/>
    <w:rsid w:val="00EA05BF"/>
    <w:rsid w:val="00EA7207"/>
    <w:rsid w:val="00EB6222"/>
    <w:rsid w:val="00EC023F"/>
    <w:rsid w:val="00ED1AA8"/>
    <w:rsid w:val="00ED24D0"/>
    <w:rsid w:val="00ED284E"/>
    <w:rsid w:val="00ED2ECC"/>
    <w:rsid w:val="00ED43B4"/>
    <w:rsid w:val="00EE0515"/>
    <w:rsid w:val="00EE44ED"/>
    <w:rsid w:val="00EE56A2"/>
    <w:rsid w:val="00EF043F"/>
    <w:rsid w:val="00EF2139"/>
    <w:rsid w:val="00EF5588"/>
    <w:rsid w:val="00F03E87"/>
    <w:rsid w:val="00F07D9C"/>
    <w:rsid w:val="00F1063C"/>
    <w:rsid w:val="00F10A0B"/>
    <w:rsid w:val="00F12118"/>
    <w:rsid w:val="00F12D2F"/>
    <w:rsid w:val="00F156AB"/>
    <w:rsid w:val="00F17669"/>
    <w:rsid w:val="00F220FA"/>
    <w:rsid w:val="00F278F9"/>
    <w:rsid w:val="00F34580"/>
    <w:rsid w:val="00F36E5B"/>
    <w:rsid w:val="00F37904"/>
    <w:rsid w:val="00F4148A"/>
    <w:rsid w:val="00F43572"/>
    <w:rsid w:val="00F47EB0"/>
    <w:rsid w:val="00F51FF0"/>
    <w:rsid w:val="00F52769"/>
    <w:rsid w:val="00F57CEF"/>
    <w:rsid w:val="00F671D1"/>
    <w:rsid w:val="00F81B93"/>
    <w:rsid w:val="00F835AC"/>
    <w:rsid w:val="00FA0E9C"/>
    <w:rsid w:val="00FA42C0"/>
    <w:rsid w:val="00FA76B2"/>
    <w:rsid w:val="00FB04E1"/>
    <w:rsid w:val="00FB1CDF"/>
    <w:rsid w:val="00FB630E"/>
    <w:rsid w:val="00FC2A92"/>
    <w:rsid w:val="00FD24CB"/>
    <w:rsid w:val="00FD4926"/>
    <w:rsid w:val="00FD54B2"/>
    <w:rsid w:val="00FD79E6"/>
    <w:rsid w:val="00FE0692"/>
    <w:rsid w:val="00FE5F67"/>
    <w:rsid w:val="00FF1355"/>
    <w:rsid w:val="00FF1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docId w15:val="{354A59FF-CE40-4DA3-8ED1-074A911E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249BD"/>
    <w:pPr>
      <w:spacing w:before="75" w:after="75" w:line="240" w:lineRule="auto"/>
      <w:jc w:val="center"/>
    </w:pPr>
    <w:rPr>
      <w:rFonts w:ascii="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2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6470">
      <w:bodyDiv w:val="1"/>
      <w:marLeft w:val="0"/>
      <w:marRight w:val="0"/>
      <w:marTop w:val="0"/>
      <w:marBottom w:val="0"/>
      <w:divBdr>
        <w:top w:val="none" w:sz="0" w:space="0" w:color="auto"/>
        <w:left w:val="none" w:sz="0" w:space="0" w:color="auto"/>
        <w:bottom w:val="none" w:sz="0" w:space="0" w:color="auto"/>
        <w:right w:val="none" w:sz="0" w:space="0" w:color="auto"/>
      </w:divBdr>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5677">
      <w:bodyDiv w:val="1"/>
      <w:marLeft w:val="0"/>
      <w:marRight w:val="0"/>
      <w:marTop w:val="0"/>
      <w:marBottom w:val="0"/>
      <w:divBdr>
        <w:top w:val="none" w:sz="0" w:space="0" w:color="auto"/>
        <w:left w:val="none" w:sz="0" w:space="0" w:color="auto"/>
        <w:bottom w:val="none" w:sz="0" w:space="0" w:color="auto"/>
        <w:right w:val="none" w:sz="0" w:space="0" w:color="auto"/>
      </w:divBdr>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Libietis@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C0D5-3E2E-434F-B455-0D867231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2589</Words>
  <Characters>1477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Tamāra Rasnača</dc:creator>
  <dc:description>Rasnača 67027517_x000d_
tamara.rasnaca@zm.gov.lv</dc:description>
  <cp:lastModifiedBy>Sanita Papinova</cp:lastModifiedBy>
  <cp:revision>3</cp:revision>
  <cp:lastPrinted>2016-09-01T13:04:00Z</cp:lastPrinted>
  <dcterms:created xsi:type="dcterms:W3CDTF">2020-11-23T10:17:00Z</dcterms:created>
  <dcterms:modified xsi:type="dcterms:W3CDTF">2020-12-01T12:26:00Z</dcterms:modified>
</cp:coreProperties>
</file>