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3987" w14:textId="77777777" w:rsidR="00A85AFE" w:rsidRDefault="00A47409">
      <w:pPr>
        <w:pStyle w:val="naisnod"/>
        <w:spacing w:before="0" w:after="0"/>
        <w:rPr>
          <w:sz w:val="28"/>
          <w:szCs w:val="28"/>
        </w:rPr>
      </w:pPr>
      <w:r>
        <w:rPr>
          <w:sz w:val="28"/>
          <w:szCs w:val="28"/>
        </w:rPr>
        <w:t>Izziņa par atzinumos sniegtajiem iebildumiem</w:t>
      </w:r>
    </w:p>
    <w:tbl>
      <w:tblPr>
        <w:tblW w:w="10188" w:type="dxa"/>
        <w:jc w:val="center"/>
        <w:tblCellMar>
          <w:left w:w="10" w:type="dxa"/>
          <w:right w:w="10" w:type="dxa"/>
        </w:tblCellMar>
        <w:tblLook w:val="04A0" w:firstRow="1" w:lastRow="0" w:firstColumn="1" w:lastColumn="0" w:noHBand="0" w:noVBand="1"/>
      </w:tblPr>
      <w:tblGrid>
        <w:gridCol w:w="10188"/>
      </w:tblGrid>
      <w:tr w:rsidR="00A85AFE" w14:paraId="35A37061" w14:textId="77777777">
        <w:trPr>
          <w:jc w:val="center"/>
        </w:trPr>
        <w:tc>
          <w:tcPr>
            <w:tcW w:w="10188" w:type="dxa"/>
            <w:tcBorders>
              <w:bottom w:val="single" w:sz="6" w:space="0" w:color="000000"/>
            </w:tcBorders>
            <w:shd w:val="clear" w:color="auto" w:fill="auto"/>
            <w:tcMar>
              <w:top w:w="0" w:type="dxa"/>
              <w:left w:w="108" w:type="dxa"/>
              <w:bottom w:w="0" w:type="dxa"/>
              <w:right w:w="108" w:type="dxa"/>
            </w:tcMar>
          </w:tcPr>
          <w:p w14:paraId="4484CC6E" w14:textId="31FAD6E8" w:rsidR="00A85AFE" w:rsidRDefault="00A47409">
            <w:pPr>
              <w:pStyle w:val="Paraststmeklis"/>
              <w:spacing w:before="0" w:after="0"/>
              <w:jc w:val="center"/>
            </w:pPr>
            <w:r>
              <w:rPr>
                <w:b/>
                <w:sz w:val="28"/>
                <w:szCs w:val="28"/>
              </w:rPr>
              <w:t xml:space="preserve">Ministru kabineta noteikumu projektam </w:t>
            </w:r>
            <w:r w:rsidR="00B92D1C">
              <w:rPr>
                <w:b/>
                <w:sz w:val="28"/>
                <w:szCs w:val="28"/>
              </w:rPr>
              <w:t>“</w:t>
            </w:r>
            <w:r>
              <w:rPr>
                <w:b/>
                <w:bCs/>
                <w:sz w:val="28"/>
                <w:szCs w:val="28"/>
              </w:rPr>
              <w:t xml:space="preserve">Grozījumi Ministru kabineta 2012. gada 28. februāra noteikumos Nr. 145 </w:t>
            </w:r>
            <w:r>
              <w:rPr>
                <w:sz w:val="28"/>
                <w:szCs w:val="28"/>
              </w:rPr>
              <w:t>“</w:t>
            </w:r>
            <w:r>
              <w:rPr>
                <w:rFonts w:eastAsia="Calibri"/>
                <w:b/>
                <w:sz w:val="28"/>
                <w:szCs w:val="28"/>
                <w:lang w:eastAsia="en-US"/>
              </w:rPr>
              <w:t>Noteikumi par fitosanitāriem pasākumiem un to piemērošanas kārtību koksnes iepakojamam materiālam</w:t>
            </w:r>
            <w:r>
              <w:rPr>
                <w:sz w:val="28"/>
                <w:szCs w:val="28"/>
              </w:rPr>
              <w:t>”</w:t>
            </w:r>
            <w:r>
              <w:rPr>
                <w:b/>
                <w:bCs/>
                <w:sz w:val="28"/>
                <w:szCs w:val="28"/>
              </w:rPr>
              <w:t>”</w:t>
            </w:r>
            <w:r>
              <w:rPr>
                <w:b/>
                <w:sz w:val="28"/>
                <w:szCs w:val="28"/>
              </w:rPr>
              <w:t xml:space="preserve"> </w:t>
            </w:r>
          </w:p>
        </w:tc>
      </w:tr>
    </w:tbl>
    <w:p w14:paraId="5A1AF99A" w14:textId="77777777" w:rsidR="00A85AFE" w:rsidRDefault="00A47409">
      <w:pPr>
        <w:pStyle w:val="naisc"/>
        <w:spacing w:before="0" w:after="0"/>
        <w:ind w:firstLine="1080"/>
      </w:pPr>
      <w:r>
        <w:t>(dokumenta veids un nosaukums)</w:t>
      </w:r>
    </w:p>
    <w:p w14:paraId="57E663E8" w14:textId="77777777" w:rsidR="00A85AFE" w:rsidRDefault="00A47409">
      <w:pPr>
        <w:pStyle w:val="naisf"/>
        <w:numPr>
          <w:ilvl w:val="0"/>
          <w:numId w:val="1"/>
        </w:numPr>
        <w:spacing w:before="0" w:after="0"/>
        <w:jc w:val="center"/>
        <w:rPr>
          <w:b/>
        </w:rPr>
      </w:pPr>
      <w:r>
        <w:rPr>
          <w:b/>
        </w:rPr>
        <w:t>Jautājumi, par kuriem saskaņošanā vienošanās nav panākta</w:t>
      </w:r>
    </w:p>
    <w:p w14:paraId="3C93A8C1" w14:textId="77777777" w:rsidR="00A85AFE" w:rsidRDefault="00A85AFE">
      <w:pPr>
        <w:pStyle w:val="naisf"/>
        <w:spacing w:before="0" w:after="0"/>
        <w:ind w:left="1080" w:firstLine="0"/>
        <w:rPr>
          <w:b/>
        </w:rPr>
      </w:pPr>
    </w:p>
    <w:tbl>
      <w:tblPr>
        <w:tblW w:w="14175" w:type="dxa"/>
        <w:tblInd w:w="-8" w:type="dxa"/>
        <w:tblLayout w:type="fixed"/>
        <w:tblCellMar>
          <w:left w:w="10" w:type="dxa"/>
          <w:right w:w="10" w:type="dxa"/>
        </w:tblCellMar>
        <w:tblLook w:val="04A0" w:firstRow="1" w:lastRow="0" w:firstColumn="1" w:lastColumn="0" w:noHBand="0" w:noVBand="1"/>
      </w:tblPr>
      <w:tblGrid>
        <w:gridCol w:w="40"/>
        <w:gridCol w:w="706"/>
        <w:gridCol w:w="2772"/>
        <w:gridCol w:w="3690"/>
        <w:gridCol w:w="3150"/>
        <w:gridCol w:w="1620"/>
        <w:gridCol w:w="823"/>
        <w:gridCol w:w="1374"/>
      </w:tblGrid>
      <w:tr w:rsidR="00A85AFE" w14:paraId="1487E3F4" w14:textId="77777777">
        <w:tc>
          <w:tcPr>
            <w:tcW w:w="40" w:type="dxa"/>
            <w:shd w:val="clear" w:color="auto" w:fill="auto"/>
            <w:tcMar>
              <w:top w:w="0" w:type="dxa"/>
              <w:left w:w="10" w:type="dxa"/>
              <w:bottom w:w="0" w:type="dxa"/>
              <w:right w:w="10" w:type="dxa"/>
            </w:tcMar>
          </w:tcPr>
          <w:p w14:paraId="07BDB60E" w14:textId="77777777" w:rsidR="00A85AFE" w:rsidRDefault="00A85AFE">
            <w:pPr>
              <w:pStyle w:val="naisc"/>
              <w:spacing w:before="0" w:after="0"/>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FDE492" w14:textId="77777777" w:rsidR="00A85AFE" w:rsidRDefault="00A47409">
            <w:pPr>
              <w:pStyle w:val="naisc"/>
              <w:spacing w:before="0" w:after="0"/>
            </w:pPr>
            <w:r>
              <w:t>Nr. p.k.</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367255" w14:textId="77777777" w:rsidR="00A85AFE" w:rsidRDefault="00A47409">
            <w:pPr>
              <w:pStyle w:val="naisc"/>
              <w:spacing w:before="0" w:after="0"/>
              <w:ind w:firstLine="12"/>
            </w:pPr>
            <w:r>
              <w:t>Saskaņošanai nosūtītā projekta redakcija (konkrēta punkta (panta) redakcija)</w:t>
            </w: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9CCF0AF" w14:textId="77777777" w:rsidR="00A85AFE" w:rsidRDefault="00A47409">
            <w:pPr>
              <w:pStyle w:val="naisc"/>
              <w:spacing w:before="0" w:after="0"/>
              <w:ind w:right="3"/>
            </w:pPr>
            <w:r>
              <w:t>Atzinumā norādītais ministrijas (citas institūcijas) iebildums, kā arī saskaņošanā papildus izteiktais iebildums par projekta konkrēto punktu (pantu)</w:t>
            </w:r>
          </w:p>
        </w:tc>
        <w:tc>
          <w:tcPr>
            <w:tcW w:w="31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3A4031" w14:textId="77777777" w:rsidR="00A85AFE" w:rsidRDefault="00A47409">
            <w:pPr>
              <w:pStyle w:val="naisc"/>
              <w:spacing w:before="0" w:after="0"/>
              <w:ind w:firstLine="21"/>
            </w:pPr>
            <w:r>
              <w:t>Atbildīgās ministrijas pamatojums iebilduma noraidījumam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D70BE" w14:textId="77777777" w:rsidR="00A85AFE" w:rsidRDefault="00A47409">
            <w:pPr>
              <w:jc w:val="center"/>
            </w:pPr>
            <w:r>
              <w:t>Atzinuma sniedzēja uzturētais iebildums, ja tas atšķiras no atzinumā norādītā iebilduma pamatojuma</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AF3CE" w14:textId="77777777" w:rsidR="00A85AFE" w:rsidRDefault="00A47409">
            <w:pPr>
              <w:jc w:val="center"/>
            </w:pPr>
            <w:r>
              <w:t>Projekta attiecīgā punkta (panta) galīgā redakcija</w:t>
            </w:r>
          </w:p>
        </w:tc>
      </w:tr>
      <w:tr w:rsidR="00A85AFE" w14:paraId="372D672E" w14:textId="77777777">
        <w:tc>
          <w:tcPr>
            <w:tcW w:w="40" w:type="dxa"/>
            <w:shd w:val="clear" w:color="auto" w:fill="auto"/>
            <w:tcMar>
              <w:top w:w="0" w:type="dxa"/>
              <w:left w:w="10" w:type="dxa"/>
              <w:bottom w:w="0" w:type="dxa"/>
              <w:right w:w="10" w:type="dxa"/>
            </w:tcMar>
          </w:tcPr>
          <w:p w14:paraId="3C40D15F" w14:textId="77777777" w:rsidR="00A85AFE" w:rsidRDefault="00A85AFE">
            <w:pPr>
              <w:pStyle w:val="naisc"/>
              <w:spacing w:before="0" w:after="0"/>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ACF92A" w14:textId="77777777" w:rsidR="00A85AFE" w:rsidRDefault="00A47409">
            <w:pPr>
              <w:pStyle w:val="naisc"/>
              <w:spacing w:before="0" w:after="0"/>
            </w:pPr>
            <w:r>
              <w:t>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DF76F5" w14:textId="77777777" w:rsidR="00A85AFE" w:rsidRDefault="00A47409">
            <w:pPr>
              <w:pStyle w:val="naisc"/>
              <w:spacing w:before="0" w:after="0"/>
              <w:ind w:firstLine="12"/>
            </w:pPr>
            <w:r>
              <w:t>2.</w:t>
            </w: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E35F69" w14:textId="77777777" w:rsidR="00A85AFE" w:rsidRDefault="00A47409">
            <w:pPr>
              <w:pStyle w:val="naisc"/>
              <w:spacing w:before="0" w:after="0"/>
              <w:ind w:right="3"/>
            </w:pPr>
            <w:r>
              <w:t>3.</w:t>
            </w:r>
          </w:p>
        </w:tc>
        <w:tc>
          <w:tcPr>
            <w:tcW w:w="31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D000C8" w14:textId="77777777" w:rsidR="00A85AFE" w:rsidRDefault="00A47409">
            <w:pPr>
              <w:pStyle w:val="naisc"/>
              <w:spacing w:before="0" w:after="0"/>
              <w:ind w:firstLine="21"/>
            </w:pPr>
            <w: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AD6FD" w14:textId="77777777" w:rsidR="00A85AFE" w:rsidRDefault="00A47409">
            <w:pPr>
              <w:jc w:val="center"/>
            </w:pPr>
            <w:r>
              <w:t>5.</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69C0D" w14:textId="77777777" w:rsidR="00A85AFE" w:rsidRDefault="00A47409">
            <w:pPr>
              <w:jc w:val="center"/>
            </w:pPr>
            <w:r>
              <w:t>6.</w:t>
            </w:r>
          </w:p>
        </w:tc>
      </w:tr>
      <w:tr w:rsidR="00A85AFE" w14:paraId="7613F586" w14:textId="77777777">
        <w:tc>
          <w:tcPr>
            <w:tcW w:w="12801" w:type="dxa"/>
            <w:gridSpan w:val="7"/>
            <w:shd w:val="clear" w:color="auto" w:fill="auto"/>
            <w:tcMar>
              <w:top w:w="0" w:type="dxa"/>
              <w:left w:w="108" w:type="dxa"/>
              <w:bottom w:w="0" w:type="dxa"/>
              <w:right w:w="108" w:type="dxa"/>
            </w:tcMar>
          </w:tcPr>
          <w:p w14:paraId="63DC1BFC" w14:textId="77777777" w:rsidR="00A85AFE" w:rsidRDefault="00A47409">
            <w:pPr>
              <w:pStyle w:val="naisf"/>
              <w:spacing w:before="0" w:after="0"/>
              <w:ind w:firstLine="0"/>
              <w:rPr>
                <w:b/>
              </w:rPr>
            </w:pPr>
            <w:r>
              <w:rPr>
                <w:b/>
              </w:rPr>
              <w:t>Informācija par starpministriju (starpinstitūciju) sanāksmi vai elektronisko saskaņošanu</w:t>
            </w:r>
          </w:p>
          <w:p w14:paraId="0E2A8F4E" w14:textId="77777777" w:rsidR="00A85AFE" w:rsidRDefault="00A85AFE">
            <w:pPr>
              <w:pStyle w:val="naisf"/>
              <w:spacing w:before="0" w:after="0"/>
              <w:ind w:firstLine="0"/>
              <w:rPr>
                <w:b/>
              </w:rPr>
            </w:pPr>
          </w:p>
          <w:tbl>
            <w:tblPr>
              <w:tblW w:w="12582" w:type="dxa"/>
              <w:tblLayout w:type="fixed"/>
              <w:tblCellMar>
                <w:left w:w="10" w:type="dxa"/>
                <w:right w:w="10" w:type="dxa"/>
              </w:tblCellMar>
              <w:tblLook w:val="04A0" w:firstRow="1" w:lastRow="0" w:firstColumn="1" w:lastColumn="0" w:noHBand="0" w:noVBand="1"/>
            </w:tblPr>
            <w:tblGrid>
              <w:gridCol w:w="6345"/>
              <w:gridCol w:w="6237"/>
            </w:tblGrid>
            <w:tr w:rsidR="00A85AFE" w14:paraId="3C31B006" w14:textId="77777777">
              <w:tc>
                <w:tcPr>
                  <w:tcW w:w="6345" w:type="dxa"/>
                  <w:shd w:val="clear" w:color="auto" w:fill="auto"/>
                  <w:tcMar>
                    <w:top w:w="0" w:type="dxa"/>
                    <w:left w:w="108" w:type="dxa"/>
                    <w:bottom w:w="0" w:type="dxa"/>
                    <w:right w:w="108" w:type="dxa"/>
                  </w:tcMar>
                </w:tcPr>
                <w:p w14:paraId="11C86760" w14:textId="77777777" w:rsidR="00A85AFE" w:rsidRDefault="00A47409">
                  <w:pPr>
                    <w:pStyle w:val="naisf"/>
                    <w:spacing w:before="0" w:after="0"/>
                    <w:ind w:firstLine="0"/>
                  </w:pPr>
                  <w:r>
                    <w:t>Datums</w:t>
                  </w:r>
                </w:p>
              </w:tc>
              <w:tc>
                <w:tcPr>
                  <w:tcW w:w="6237" w:type="dxa"/>
                  <w:tcBorders>
                    <w:bottom w:val="single" w:sz="4" w:space="0" w:color="000000"/>
                  </w:tcBorders>
                  <w:shd w:val="clear" w:color="auto" w:fill="auto"/>
                  <w:tcMar>
                    <w:top w:w="0" w:type="dxa"/>
                    <w:left w:w="108" w:type="dxa"/>
                    <w:bottom w:w="0" w:type="dxa"/>
                    <w:right w:w="108" w:type="dxa"/>
                  </w:tcMar>
                </w:tcPr>
                <w:p w14:paraId="50327EA7" w14:textId="73D7B002" w:rsidR="00A85AFE" w:rsidRDefault="00C5492D" w:rsidP="00C5492D">
                  <w:pPr>
                    <w:pStyle w:val="Paraststmeklis"/>
                    <w:spacing w:before="0" w:after="0"/>
                  </w:pPr>
                  <w:r>
                    <w:t>30.07.2020-</w:t>
                  </w:r>
                  <w:r w:rsidR="00AC6754">
                    <w:t>13</w:t>
                  </w:r>
                  <w:r w:rsidRPr="00EB7A49">
                    <w:t>.</w:t>
                  </w:r>
                  <w:r>
                    <w:t>10</w:t>
                  </w:r>
                  <w:r w:rsidRPr="00EB7A49">
                    <w:t>.2020</w:t>
                  </w:r>
                </w:p>
              </w:tc>
            </w:tr>
            <w:tr w:rsidR="00A85AFE" w14:paraId="453CD5E4" w14:textId="77777777">
              <w:tc>
                <w:tcPr>
                  <w:tcW w:w="6345" w:type="dxa"/>
                  <w:shd w:val="clear" w:color="auto" w:fill="auto"/>
                  <w:tcMar>
                    <w:top w:w="0" w:type="dxa"/>
                    <w:left w:w="108" w:type="dxa"/>
                    <w:bottom w:w="0" w:type="dxa"/>
                    <w:right w:w="108" w:type="dxa"/>
                  </w:tcMar>
                </w:tcPr>
                <w:p w14:paraId="593AAA79" w14:textId="77777777" w:rsidR="00A85AFE" w:rsidRDefault="00A85AFE">
                  <w:pPr>
                    <w:pStyle w:val="naisf"/>
                    <w:spacing w:before="0" w:after="0"/>
                    <w:ind w:firstLine="0"/>
                  </w:pPr>
                </w:p>
              </w:tc>
              <w:tc>
                <w:tcPr>
                  <w:tcW w:w="6237" w:type="dxa"/>
                  <w:tcBorders>
                    <w:top w:val="single" w:sz="4" w:space="0" w:color="000000"/>
                  </w:tcBorders>
                  <w:shd w:val="clear" w:color="auto" w:fill="auto"/>
                  <w:tcMar>
                    <w:top w:w="0" w:type="dxa"/>
                    <w:left w:w="108" w:type="dxa"/>
                    <w:bottom w:w="0" w:type="dxa"/>
                    <w:right w:w="108" w:type="dxa"/>
                  </w:tcMar>
                </w:tcPr>
                <w:p w14:paraId="3AAACB0F" w14:textId="1D0CCB1A" w:rsidR="00A85AFE" w:rsidRPr="00C5492D" w:rsidRDefault="00C5492D" w:rsidP="00C5492D">
                  <w:pPr>
                    <w:pStyle w:val="Paraststmeklis"/>
                    <w:spacing w:before="0" w:after="0"/>
                  </w:pPr>
                  <w:r w:rsidRPr="00C5492D">
                    <w:t>Tieslietu ministrija</w:t>
                  </w:r>
                </w:p>
              </w:tc>
            </w:tr>
            <w:tr w:rsidR="00A85AFE" w14:paraId="0CCB3E8F" w14:textId="77777777">
              <w:tc>
                <w:tcPr>
                  <w:tcW w:w="6345" w:type="dxa"/>
                  <w:shd w:val="clear" w:color="auto" w:fill="auto"/>
                  <w:tcMar>
                    <w:top w:w="0" w:type="dxa"/>
                    <w:left w:w="108" w:type="dxa"/>
                    <w:bottom w:w="0" w:type="dxa"/>
                    <w:right w:w="108" w:type="dxa"/>
                  </w:tcMar>
                </w:tcPr>
                <w:p w14:paraId="49E664B1" w14:textId="77777777" w:rsidR="00A85AFE" w:rsidRDefault="00A47409">
                  <w:pPr>
                    <w:pStyle w:val="naiskr"/>
                    <w:spacing w:before="0" w:after="0"/>
                  </w:pPr>
                  <w:r>
                    <w:t>Saskaņošanas dalībnieki</w:t>
                  </w:r>
                </w:p>
              </w:tc>
              <w:tc>
                <w:tcPr>
                  <w:tcW w:w="6237" w:type="dxa"/>
                  <w:shd w:val="clear" w:color="auto" w:fill="auto"/>
                  <w:tcMar>
                    <w:top w:w="0" w:type="dxa"/>
                    <w:left w:w="108" w:type="dxa"/>
                    <w:bottom w:w="0" w:type="dxa"/>
                    <w:right w:w="108" w:type="dxa"/>
                  </w:tcMar>
                </w:tcPr>
                <w:p w14:paraId="26B1C47A" w14:textId="5BEAD202" w:rsidR="00A85AFE" w:rsidRPr="00C5492D" w:rsidRDefault="00C31592">
                  <w:pPr>
                    <w:pStyle w:val="Paraststmeklis"/>
                    <w:spacing w:before="0" w:after="0"/>
                  </w:pPr>
                  <w:hyperlink r:id="rId7" w:history="1">
                    <w:r w:rsidR="00C5492D" w:rsidRPr="00E74FB8">
                      <w:rPr>
                        <w:rStyle w:val="Hipersaite"/>
                      </w:rPr>
                      <w:t>andra.reinfelde@tm.gov.lv</w:t>
                    </w:r>
                  </w:hyperlink>
                  <w:r w:rsidR="00C5492D">
                    <w:rPr>
                      <w:color w:val="000000" w:themeColor="text1"/>
                    </w:rPr>
                    <w:t xml:space="preserve"> </w:t>
                  </w:r>
                </w:p>
              </w:tc>
            </w:tr>
            <w:tr w:rsidR="00A85AFE" w14:paraId="525A42AE" w14:textId="77777777">
              <w:tc>
                <w:tcPr>
                  <w:tcW w:w="6345" w:type="dxa"/>
                  <w:shd w:val="clear" w:color="auto" w:fill="auto"/>
                  <w:tcMar>
                    <w:top w:w="0" w:type="dxa"/>
                    <w:left w:w="108" w:type="dxa"/>
                    <w:bottom w:w="0" w:type="dxa"/>
                    <w:right w:w="108" w:type="dxa"/>
                  </w:tcMar>
                </w:tcPr>
                <w:p w14:paraId="6C2BBD4D" w14:textId="77777777" w:rsidR="00A85AFE" w:rsidRDefault="00A47409">
                  <w:pPr>
                    <w:pStyle w:val="naiskr"/>
                    <w:spacing w:before="0" w:after="0"/>
                    <w:ind w:firstLine="720"/>
                  </w:pPr>
                  <w:r>
                    <w:t>  </w:t>
                  </w:r>
                </w:p>
              </w:tc>
              <w:tc>
                <w:tcPr>
                  <w:tcW w:w="6237" w:type="dxa"/>
                  <w:tcBorders>
                    <w:top w:val="single" w:sz="6" w:space="0" w:color="000000"/>
                    <w:bottom w:val="single" w:sz="6" w:space="0" w:color="000000"/>
                  </w:tcBorders>
                  <w:shd w:val="clear" w:color="auto" w:fill="auto"/>
                  <w:tcMar>
                    <w:top w:w="0" w:type="dxa"/>
                    <w:left w:w="108" w:type="dxa"/>
                    <w:bottom w:w="0" w:type="dxa"/>
                    <w:right w:w="108" w:type="dxa"/>
                  </w:tcMar>
                </w:tcPr>
                <w:p w14:paraId="650A2C81" w14:textId="79185A82" w:rsidR="00A85AFE" w:rsidRPr="00C5492D" w:rsidRDefault="00A85AFE" w:rsidP="00C5492D"/>
              </w:tc>
            </w:tr>
            <w:tr w:rsidR="00A85AFE" w14:paraId="250CF214" w14:textId="77777777">
              <w:tc>
                <w:tcPr>
                  <w:tcW w:w="6345" w:type="dxa"/>
                  <w:shd w:val="clear" w:color="auto" w:fill="auto"/>
                  <w:tcMar>
                    <w:top w:w="0" w:type="dxa"/>
                    <w:left w:w="108" w:type="dxa"/>
                    <w:bottom w:w="0" w:type="dxa"/>
                    <w:right w:w="108" w:type="dxa"/>
                  </w:tcMar>
                </w:tcPr>
                <w:p w14:paraId="6BBCE3AD" w14:textId="77777777" w:rsidR="00A85AFE" w:rsidRDefault="00A47409">
                  <w:pPr>
                    <w:pStyle w:val="naiskr"/>
                    <w:spacing w:before="0" w:after="0"/>
                    <w:ind w:firstLine="720"/>
                  </w:pPr>
                  <w:r>
                    <w:t>  </w:t>
                  </w:r>
                </w:p>
              </w:tc>
              <w:tc>
                <w:tcPr>
                  <w:tcW w:w="6237" w:type="dxa"/>
                  <w:tcBorders>
                    <w:top w:val="single" w:sz="6" w:space="0" w:color="000000"/>
                    <w:bottom w:val="single" w:sz="6" w:space="0" w:color="000000"/>
                  </w:tcBorders>
                  <w:shd w:val="clear" w:color="auto" w:fill="auto"/>
                  <w:tcMar>
                    <w:top w:w="0" w:type="dxa"/>
                    <w:left w:w="108" w:type="dxa"/>
                    <w:bottom w:w="0" w:type="dxa"/>
                    <w:right w:w="108" w:type="dxa"/>
                  </w:tcMar>
                </w:tcPr>
                <w:p w14:paraId="78EE3279" w14:textId="77777777" w:rsidR="00C5492D" w:rsidRDefault="00C5492D" w:rsidP="00C5492D">
                  <w:r w:rsidRPr="00C5492D">
                    <w:t xml:space="preserve">Finanšu ministrija </w:t>
                  </w:r>
                </w:p>
                <w:p w14:paraId="48775537" w14:textId="6E29727B" w:rsidR="00A85AFE" w:rsidRPr="00C5492D" w:rsidRDefault="00C31592" w:rsidP="00C5492D">
                  <w:hyperlink r:id="rId8" w:history="1">
                    <w:r w:rsidR="00C5492D" w:rsidRPr="00E74FB8">
                      <w:rPr>
                        <w:rStyle w:val="Hipersaite"/>
                      </w:rPr>
                      <w:t>inese.vanaga@fm.gov.lv</w:t>
                    </w:r>
                  </w:hyperlink>
                  <w:r w:rsidR="00C5492D">
                    <w:t xml:space="preserve"> </w:t>
                  </w:r>
                  <w:hyperlink r:id="rId9" w:history="1">
                    <w:r w:rsidR="00C5492D" w:rsidRPr="00E74FB8">
                      <w:rPr>
                        <w:rStyle w:val="Hipersaite"/>
                      </w:rPr>
                      <w:t>elina.mihejeva@fm.gov.lv</w:t>
                    </w:r>
                  </w:hyperlink>
                  <w:r w:rsidR="00C5492D">
                    <w:t xml:space="preserve"> </w:t>
                  </w:r>
                </w:p>
              </w:tc>
            </w:tr>
          </w:tbl>
          <w:p w14:paraId="7CAFAD99" w14:textId="77777777" w:rsidR="00A85AFE" w:rsidRDefault="00A47409">
            <w:pPr>
              <w:pStyle w:val="naisf"/>
              <w:rPr>
                <w:b/>
              </w:rPr>
            </w:pPr>
            <w:r>
              <w:rPr>
                <w:b/>
              </w:rPr>
              <w:t>Ministrijas (citas institūcijas), kuras nav ieradušās uz sanāksmi vai kuras nav atbildējušas uz uzaicinājumu piedalīties elektroniskajā saskaņošanā</w:t>
            </w:r>
          </w:p>
        </w:tc>
        <w:tc>
          <w:tcPr>
            <w:tcW w:w="1374" w:type="dxa"/>
            <w:shd w:val="clear" w:color="auto" w:fill="auto"/>
            <w:tcMar>
              <w:top w:w="0" w:type="dxa"/>
              <w:left w:w="10" w:type="dxa"/>
              <w:bottom w:w="0" w:type="dxa"/>
              <w:right w:w="10" w:type="dxa"/>
            </w:tcMar>
          </w:tcPr>
          <w:p w14:paraId="7AA3B998" w14:textId="77777777" w:rsidR="00A85AFE" w:rsidRDefault="00A85AFE">
            <w:pPr>
              <w:pStyle w:val="naisf"/>
              <w:rPr>
                <w:b/>
              </w:rPr>
            </w:pPr>
          </w:p>
        </w:tc>
      </w:tr>
    </w:tbl>
    <w:p w14:paraId="76BF18E0" w14:textId="77777777" w:rsidR="00A85AFE" w:rsidRDefault="00A85AFE"/>
    <w:p w14:paraId="1C2A4BAE" w14:textId="77777777" w:rsidR="00A85AFE" w:rsidRDefault="00A85AFE"/>
    <w:p w14:paraId="1DA600E5" w14:textId="77777777" w:rsidR="00A85AFE" w:rsidRDefault="00A85AFE"/>
    <w:p w14:paraId="047D0AE4" w14:textId="77777777" w:rsidR="00A85AFE" w:rsidRDefault="00A85AFE"/>
    <w:p w14:paraId="4C177B0F" w14:textId="77777777" w:rsidR="00A85AFE" w:rsidRDefault="00A85AFE"/>
    <w:p w14:paraId="3BD8CB10" w14:textId="77777777" w:rsidR="00A85AFE" w:rsidRDefault="00A85AFE"/>
    <w:p w14:paraId="06F2EBC6" w14:textId="77777777" w:rsidR="00A85AFE" w:rsidRDefault="00A47409">
      <w:pPr>
        <w:pStyle w:val="naisf"/>
        <w:spacing w:before="0" w:after="0"/>
        <w:ind w:firstLine="0"/>
        <w:jc w:val="center"/>
        <w:rPr>
          <w:b/>
        </w:rPr>
      </w:pPr>
      <w:r>
        <w:rPr>
          <w:b/>
        </w:rPr>
        <w:t>II. Jautājumi, par kuriem saskaņošanā vienošanās ir panākta</w:t>
      </w:r>
    </w:p>
    <w:tbl>
      <w:tblPr>
        <w:tblW w:w="14028" w:type="dxa"/>
        <w:tblLayout w:type="fixed"/>
        <w:tblCellMar>
          <w:left w:w="10" w:type="dxa"/>
          <w:right w:w="10" w:type="dxa"/>
        </w:tblCellMar>
        <w:tblLook w:val="04A0" w:firstRow="1" w:lastRow="0" w:firstColumn="1" w:lastColumn="0" w:noHBand="0" w:noVBand="1"/>
      </w:tblPr>
      <w:tblGrid>
        <w:gridCol w:w="944"/>
        <w:gridCol w:w="3086"/>
        <w:gridCol w:w="4751"/>
        <w:gridCol w:w="2247"/>
        <w:gridCol w:w="3000"/>
      </w:tblGrid>
      <w:tr w:rsidR="00A85AFE" w14:paraId="00CB6FA3" w14:textId="77777777">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4BBEEE" w14:textId="77777777" w:rsidR="00A85AFE" w:rsidRDefault="00A47409">
            <w:pPr>
              <w:pStyle w:val="naisc"/>
              <w:spacing w:before="0" w:after="0"/>
            </w:pPr>
            <w:r>
              <w:t>Nr. p.k.</w:t>
            </w:r>
          </w:p>
        </w:tc>
        <w:tc>
          <w:tcPr>
            <w:tcW w:w="30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E88C8C" w14:textId="77777777" w:rsidR="00A85AFE" w:rsidRDefault="00A47409">
            <w:pPr>
              <w:pStyle w:val="naisc"/>
              <w:spacing w:before="0" w:after="0"/>
              <w:ind w:firstLine="12"/>
            </w:pPr>
            <w:r>
              <w:t>Saskaņošanai nosūtītā projekta redakcija (konkrēta punkta (panta) redakcija)</w:t>
            </w:r>
          </w:p>
        </w:tc>
        <w:tc>
          <w:tcPr>
            <w:tcW w:w="47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64B9C4" w14:textId="77777777" w:rsidR="00A85AFE" w:rsidRDefault="00A47409">
            <w:pPr>
              <w:pStyle w:val="naisc"/>
              <w:spacing w:before="0" w:after="0"/>
              <w:ind w:right="3"/>
            </w:pPr>
            <w:r>
              <w:t>Atzinumā norādītais ministrijas (citas institūcijas) iebildums, kā arī saskaņošanā papildus izteiktais iebildums par projekta konkrēto punktu (pantu)</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1CEA38" w14:textId="77777777" w:rsidR="00A85AFE" w:rsidRDefault="00A47409">
            <w:pPr>
              <w:pStyle w:val="naisc"/>
              <w:spacing w:before="0" w:after="0"/>
              <w:ind w:firstLine="21"/>
            </w:pPr>
            <w:r>
              <w:t>Atbildīgās ministrijas norāde par to, ka iebildums ir ņemts vērā, vai informācija par saskaņošanā panākto alternatīvo risinājumu</w:t>
            </w:r>
          </w:p>
          <w:p w14:paraId="5B37650D" w14:textId="3DB1BFEE" w:rsidR="00C31592" w:rsidRDefault="00C31592">
            <w:pPr>
              <w:pStyle w:val="naisc"/>
              <w:spacing w:before="0" w:after="0"/>
              <w:ind w:firstLine="21"/>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C7D2F" w14:textId="77777777" w:rsidR="00A85AFE" w:rsidRDefault="00A47409">
            <w:pPr>
              <w:jc w:val="center"/>
            </w:pPr>
            <w:r>
              <w:t>Projekta attiecīgā punkta (panta) galīgā redakcija</w:t>
            </w:r>
          </w:p>
        </w:tc>
      </w:tr>
      <w:tr w:rsidR="00A85AFE" w14:paraId="3EAFE3AC" w14:textId="77777777">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866190" w14:textId="77777777" w:rsidR="00A85AFE" w:rsidRDefault="00A47409">
            <w:pPr>
              <w:pStyle w:val="naisc"/>
              <w:spacing w:before="0" w:after="0"/>
            </w:pPr>
            <w:r>
              <w:t>1</w:t>
            </w:r>
          </w:p>
        </w:tc>
        <w:tc>
          <w:tcPr>
            <w:tcW w:w="30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597E46" w14:textId="77777777" w:rsidR="00A85AFE" w:rsidRDefault="00A47409">
            <w:pPr>
              <w:pStyle w:val="naisc"/>
              <w:spacing w:before="0" w:after="0"/>
              <w:ind w:firstLine="720"/>
            </w:pPr>
            <w:r>
              <w:t>2</w:t>
            </w:r>
          </w:p>
        </w:tc>
        <w:tc>
          <w:tcPr>
            <w:tcW w:w="47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4E01CF" w14:textId="77777777" w:rsidR="00A85AFE" w:rsidRDefault="00A47409">
            <w:pPr>
              <w:pStyle w:val="naisc"/>
              <w:spacing w:before="0" w:after="0"/>
              <w:ind w:firstLine="720"/>
            </w:pPr>
            <w:r>
              <w:t>3</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A83122" w14:textId="77777777" w:rsidR="00A85AFE" w:rsidRDefault="00A47409">
            <w:pPr>
              <w:pStyle w:val="naisc"/>
              <w:spacing w:before="0" w:after="0"/>
              <w:ind w:firstLine="720"/>
            </w:pPr>
            <w:r>
              <w:t>4</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E01F" w14:textId="77777777" w:rsidR="00A85AFE" w:rsidRDefault="00A47409">
            <w:pPr>
              <w:jc w:val="center"/>
            </w:pPr>
            <w:r>
              <w:t>5</w:t>
            </w:r>
          </w:p>
        </w:tc>
      </w:tr>
      <w:tr w:rsidR="00A85AFE" w14:paraId="2B515B9D" w14:textId="77777777">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BE123A" w14:textId="77777777" w:rsidR="00A85AFE" w:rsidRDefault="00A85AFE">
            <w:pPr>
              <w:pStyle w:val="naisc"/>
              <w:spacing w:before="0" w:after="0"/>
            </w:pPr>
          </w:p>
        </w:tc>
        <w:tc>
          <w:tcPr>
            <w:tcW w:w="30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CE259F" w14:textId="77777777" w:rsidR="00A85AFE" w:rsidRDefault="00A85AFE">
            <w:pPr>
              <w:pStyle w:val="naisc"/>
              <w:spacing w:before="0" w:after="0"/>
              <w:ind w:firstLine="720"/>
            </w:pPr>
          </w:p>
        </w:tc>
        <w:tc>
          <w:tcPr>
            <w:tcW w:w="47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8603A0" w14:textId="77777777" w:rsidR="00A85AFE" w:rsidRDefault="00A47409">
            <w:pPr>
              <w:pStyle w:val="naisc"/>
              <w:spacing w:before="0" w:after="0"/>
              <w:ind w:firstLine="720"/>
              <w:rPr>
                <w:b/>
                <w:bCs/>
              </w:rPr>
            </w:pPr>
            <w:r>
              <w:rPr>
                <w:b/>
                <w:bCs/>
              </w:rPr>
              <w:t>Finanšu ministrija</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45FA2E" w14:textId="77777777" w:rsidR="00A85AFE" w:rsidRDefault="00A85AFE">
            <w:pPr>
              <w:pStyle w:val="naisc"/>
              <w:spacing w:before="0" w:after="0"/>
              <w:ind w:firstLine="72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B5D26" w14:textId="77777777" w:rsidR="00A85AFE" w:rsidRDefault="00A85AFE">
            <w:pPr>
              <w:jc w:val="center"/>
            </w:pPr>
          </w:p>
        </w:tc>
      </w:tr>
      <w:tr w:rsidR="00A85AFE" w14:paraId="13644381" w14:textId="77777777">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346395" w14:textId="77777777" w:rsidR="00A85AFE" w:rsidRDefault="00A47409">
            <w:pPr>
              <w:pStyle w:val="naisc"/>
              <w:spacing w:before="0" w:after="0"/>
            </w:pPr>
            <w:r>
              <w:t>1.</w:t>
            </w:r>
          </w:p>
        </w:tc>
        <w:tc>
          <w:tcPr>
            <w:tcW w:w="30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DD4B41" w14:textId="77777777" w:rsidR="00A85AFE" w:rsidRDefault="00A85AFE">
            <w:pPr>
              <w:ind w:right="-475"/>
            </w:pPr>
          </w:p>
        </w:tc>
        <w:tc>
          <w:tcPr>
            <w:tcW w:w="47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9CEDD4" w14:textId="77777777" w:rsidR="00A85AFE" w:rsidRDefault="00A47409">
            <w:pPr>
              <w:jc w:val="both"/>
            </w:pPr>
            <w:r>
              <w:t>Lūdzam papildināt anotāciju ar informāciju, kādēļ ar noteikumu projekta 9.punktu tiek svītrots Ministru kabineta 2012.gada 28.februāra noteikumu Nr.145 "Noteikumi par fitosanitāriem pasākumiem un to piemērošanas kārtību koksnes iepakojamam materiālam"" 15.punkts, kurš nosaka, ka r</w:t>
            </w:r>
            <w:r>
              <w:rPr>
                <w:shd w:val="clear" w:color="auto" w:fill="FFFFFF"/>
              </w:rPr>
              <w:t>eģistru kārto un uztur Valsts augu aizsardzības dienests.</w:t>
            </w:r>
          </w:p>
          <w:p w14:paraId="7E5CC976" w14:textId="77777777" w:rsidR="00A85AFE" w:rsidRDefault="00A85AFE">
            <w:pPr>
              <w:pStyle w:val="naisc"/>
              <w:spacing w:before="0" w:after="0"/>
              <w:ind w:firstLine="356"/>
              <w:jc w:val="left"/>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A99FFD" w14:textId="2A14F9BD" w:rsidR="00A85AFE" w:rsidRDefault="00CA34E6">
            <w:pPr>
              <w:pStyle w:val="naisc"/>
              <w:spacing w:before="0" w:after="0"/>
              <w:jc w:val="both"/>
            </w:pPr>
            <w:r>
              <w:t>Ņ</w:t>
            </w:r>
            <w:r w:rsidR="00A47409">
              <w:t>emts vērā. Papildināts projekta anotācijas I sadaļas 2.</w:t>
            </w:r>
            <w:r w:rsidR="00C5492D">
              <w:t xml:space="preserve"> </w:t>
            </w:r>
            <w:r w:rsidR="00A47409">
              <w:t>punkts.</w:t>
            </w:r>
          </w:p>
          <w:p w14:paraId="2E6B8AF2" w14:textId="77777777" w:rsidR="00A85AFE" w:rsidRDefault="00A85AFE">
            <w:pPr>
              <w:pStyle w:val="naisc"/>
              <w:spacing w:before="0" w:after="0"/>
              <w:jc w:val="both"/>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8592D" w14:textId="77777777" w:rsidR="00A85AFE" w:rsidRDefault="00A47409">
            <w:pPr>
              <w:jc w:val="both"/>
            </w:pPr>
            <w:r>
              <w:t>Turpmāk koksnes iepakojamā materiāla marķētāju reģistrs vairs nebūs atsevišķs reģistrs, bet tiks integrēts Profesionālo operatoru oficiālajā reģistrā kā viena no reģistrācijai pakļautajām profesionālo operatoru grupām. Tā kā Augu karantīnas noteikumi noteiks, ka Valsts augu aizsardzības dienests ir institūcija, kas kārto un uztur Profesionālo operatoru oficiālo reģistru, kā arī noteiks vispārīgo reģistrācijas procedūru, tad nav nepieciešams šo prasību atkārtot šajos noteikumos.</w:t>
            </w:r>
          </w:p>
          <w:p w14:paraId="6EBE3E2D" w14:textId="0F7B3D38" w:rsidR="00C31592" w:rsidRDefault="00C31592">
            <w:pPr>
              <w:jc w:val="both"/>
            </w:pPr>
          </w:p>
        </w:tc>
      </w:tr>
      <w:tr w:rsidR="00A85AFE" w14:paraId="10A6C344" w14:textId="77777777">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DE1000" w14:textId="77777777" w:rsidR="00A85AFE" w:rsidRDefault="00A85AFE">
            <w:pPr>
              <w:pStyle w:val="naisc"/>
              <w:spacing w:before="0" w:after="0"/>
            </w:pPr>
          </w:p>
        </w:tc>
        <w:tc>
          <w:tcPr>
            <w:tcW w:w="30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18917C" w14:textId="77777777" w:rsidR="00A85AFE" w:rsidRDefault="00A85AFE">
            <w:pPr>
              <w:pStyle w:val="naisc"/>
              <w:spacing w:before="0" w:after="0"/>
              <w:ind w:firstLine="12"/>
              <w:jc w:val="left"/>
            </w:pPr>
          </w:p>
        </w:tc>
        <w:tc>
          <w:tcPr>
            <w:tcW w:w="47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924450" w14:textId="77777777" w:rsidR="00A85AFE" w:rsidRDefault="00A47409">
            <w:pPr>
              <w:pStyle w:val="naisc"/>
              <w:spacing w:before="0" w:after="0"/>
              <w:ind w:right="3"/>
            </w:pPr>
            <w:r>
              <w:rPr>
                <w:b/>
                <w:bCs/>
                <w:color w:val="000000"/>
              </w:rPr>
              <w:t>Tieslietu ministrija</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536F7A" w14:textId="77777777" w:rsidR="00A85AFE" w:rsidRDefault="00A85AFE">
            <w:pPr>
              <w:pStyle w:val="tv213"/>
              <w:spacing w:before="0" w:after="0"/>
              <w:jc w:val="both"/>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880ED" w14:textId="77777777" w:rsidR="00A85AFE" w:rsidRDefault="00A85AFE">
            <w:pPr>
              <w:pStyle w:val="Sarakstarindkopa"/>
              <w:suppressAutoHyphens w:val="0"/>
              <w:ind w:left="110" w:right="70"/>
              <w:jc w:val="both"/>
              <w:textAlignment w:val="auto"/>
            </w:pPr>
          </w:p>
        </w:tc>
      </w:tr>
      <w:tr w:rsidR="00A85AFE" w14:paraId="1FD39D9C" w14:textId="77777777">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9DBFE6" w14:textId="77777777" w:rsidR="00A85AFE" w:rsidRDefault="00A47409">
            <w:pPr>
              <w:pStyle w:val="naisc"/>
              <w:spacing w:before="0" w:after="0"/>
            </w:pPr>
            <w:r>
              <w:t>4.</w:t>
            </w:r>
          </w:p>
        </w:tc>
        <w:tc>
          <w:tcPr>
            <w:tcW w:w="30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D7BD3D" w14:textId="77777777" w:rsidR="00A85AFE" w:rsidRDefault="00A85AFE">
            <w:pPr>
              <w:pStyle w:val="naisc"/>
              <w:spacing w:before="0" w:after="0"/>
              <w:ind w:firstLine="376"/>
              <w:jc w:val="left"/>
            </w:pPr>
          </w:p>
        </w:tc>
        <w:tc>
          <w:tcPr>
            <w:tcW w:w="47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83891B" w14:textId="77777777" w:rsidR="00A85AFE" w:rsidRDefault="00A47409">
            <w:pPr>
              <w:pStyle w:val="Sarakstarindkopa"/>
              <w:tabs>
                <w:tab w:val="left" w:pos="993"/>
              </w:tabs>
              <w:ind w:left="0"/>
              <w:jc w:val="both"/>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Projekta 1.punkts paredz precizēt Ministru kabineta 2012. gada 28. februāra noteikumos Nr. 145 "Noteikumi par fitosanitāriem pasākumiem un to piemērošanas kārtību koksnes iepakojamam materiālam" (turpmāk – Noteikumi) 1.2. apakšpunktu, paredzot, ka Noteikumi noteiks kārtību, kādā veicama un anulējama reģistrācija Profesionālo operatoru oficiālajā reģistrā (turpmāk – reģistrs) kā koksnes iepakojamā materiāla marķētājam. Pēc būtības ar minēto grozījumu tiek noteikts, ka līdzšinējais koksnes iepakojuma marķētāju reģistrs ir daļa no Profesionālo operatoru oficiālā reģistra (turpmāk – Reģistrs).</w:t>
            </w:r>
          </w:p>
          <w:p w14:paraId="5A2F9046" w14:textId="77777777" w:rsidR="00A85AFE" w:rsidRPr="00C5492D" w:rsidRDefault="00A47409">
            <w:pPr>
              <w:pStyle w:val="Sarakstarindkopa"/>
              <w:tabs>
                <w:tab w:val="left" w:pos="993"/>
              </w:tabs>
              <w:ind w:left="0" w:firstLine="567"/>
              <w:jc w:val="both"/>
              <w:rPr>
                <w:lang w:val="lv-LV"/>
              </w:rPr>
            </w:pPr>
            <w:r>
              <w:rPr>
                <w:rFonts w:ascii="Times New Roman" w:eastAsia="Times New Roman" w:hAnsi="Times New Roman"/>
                <w:color w:val="000000"/>
                <w:sz w:val="24"/>
                <w:szCs w:val="24"/>
                <w:lang w:val="lv-LV" w:eastAsia="lv-LV"/>
              </w:rPr>
              <w:t xml:space="preserve">Tieslietu ministrija ņem vērā, ka minētie grozījumi Noteikumu 1.punktā, kā arī citās Noteikumu normās, tiek veikti nolūkā salāgot Latvijas nacionālos normatīvos aktus ar </w:t>
            </w:r>
            <w:r>
              <w:rPr>
                <w:rFonts w:ascii="Times New Roman" w:eastAsia="Times New Roman" w:hAnsi="Times New Roman"/>
                <w:i/>
                <w:color w:val="000000"/>
                <w:sz w:val="24"/>
                <w:szCs w:val="24"/>
                <w:lang w:val="lv-LV" w:eastAsia="lv-LV"/>
              </w:rPr>
              <w:t>Eiropas Parlamenta un Padomes 2016. gada 26. oktobra regulu (ES) 2016/2031 par aizsardzības pasākumiem pret augiem kaitīgajiem organismiem, ar ko groza Eiropas Parlamenta un Padomes Regulas (ES) Nr. 228/2013, (ES) Nr. 652/2014 un (ES) Nr. 1143/2014 un atceļ Padomes Direktīvas 69/464/EEK, 74/647/EEK, 93/85/EEK, 98/57/EK, 2000/29/EK, 2006/91/EK un 2007/33/EK</w:t>
            </w:r>
            <w:r>
              <w:rPr>
                <w:rFonts w:ascii="Times New Roman" w:eastAsia="Times New Roman" w:hAnsi="Times New Roman"/>
                <w:color w:val="000000"/>
                <w:sz w:val="24"/>
                <w:szCs w:val="24"/>
                <w:lang w:val="lv-LV" w:eastAsia="lv-LV"/>
              </w:rPr>
              <w:t xml:space="preserve"> (turpmāk – Augu veselības regula), it īpaši šīs regulas 65. pantu, kas paredz Reģistra izveidi. Tāpat novērtējam projekta autoru izvēlēto risinājumu</w:t>
            </w:r>
            <w:r>
              <w:rPr>
                <w:rFonts w:ascii="Times New Roman" w:hAnsi="Times New Roman"/>
                <w:sz w:val="24"/>
                <w:szCs w:val="24"/>
                <w:lang w:val="lv-LV"/>
              </w:rPr>
              <w:t xml:space="preserve"> </w:t>
            </w:r>
            <w:r>
              <w:rPr>
                <w:rFonts w:ascii="Times New Roman" w:eastAsia="Times New Roman" w:hAnsi="Times New Roman"/>
                <w:color w:val="000000"/>
                <w:sz w:val="24"/>
                <w:szCs w:val="24"/>
                <w:lang w:val="lv-LV" w:eastAsia="lv-LV"/>
              </w:rPr>
              <w:t xml:space="preserve">Augu veselības </w:t>
            </w:r>
            <w:r>
              <w:rPr>
                <w:rFonts w:ascii="Times New Roman" w:eastAsia="Times New Roman" w:hAnsi="Times New Roman"/>
                <w:color w:val="000000"/>
                <w:sz w:val="24"/>
                <w:szCs w:val="24"/>
                <w:lang w:val="lv-LV" w:eastAsia="lv-LV"/>
              </w:rPr>
              <w:lastRenderedPageBreak/>
              <w:t>regulas normu ieviešanai izmantot valstī jau esošos tiesiskos mehānismus.</w:t>
            </w:r>
          </w:p>
          <w:p w14:paraId="6DBEA17F" w14:textId="77777777" w:rsidR="00A85AFE" w:rsidRDefault="00A47409">
            <w:pPr>
              <w:pStyle w:val="Sarakstarindkopa"/>
              <w:tabs>
                <w:tab w:val="left" w:pos="993"/>
              </w:tabs>
              <w:ind w:left="0" w:firstLine="567"/>
              <w:jc w:val="both"/>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Tomēr vēršam uzmanību Augu aizsardzības likumam, tai skaitā Augu aizsardzības likuma 5. panta 24. punktā ietvertajam pilnvarojumam, kas paredz Ministru kabineta kompetenci noteikt  kārtību, kādā veicama un anulējama reģistrācija koksnes iepakojuma marķētāju reģistrā, Augu aizsardzības likuma 4. panta ceturtās daļas 16. punktā noteikto, ka Valsts augu aizsardzības dienests uzrauga pieņem lēmumu par personas iekļaušanu koksnes iepakojuma marķētāju reģistrā, un citām likuma normām, kas noteic Koksnes iepakojuma marķētāju reģistra (nevis Reģistra) darbību.</w:t>
            </w:r>
          </w:p>
          <w:p w14:paraId="45467DB2" w14:textId="77777777" w:rsidR="00A85AFE" w:rsidRDefault="00A47409">
            <w:pPr>
              <w:pStyle w:val="Sarakstarindkopa"/>
              <w:tabs>
                <w:tab w:val="left" w:pos="993"/>
              </w:tabs>
              <w:ind w:left="0" w:firstLine="567"/>
              <w:jc w:val="both"/>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Līdz ar to Tieslietu ministrijas ieskatā Augu veselības regulas normu pilnīgai un korektai ieviešanai nepieciešams veikt grozījumus Augu aizsardzības likumā. Ievērojot minēto, lūdzam skaidrot, vai un kad plānots šādus grozījumus veikt, kā arī lūdzam izvērtēt iespēju projekta normas attiecībā uz Reģistra ieviešanu virzīt pēc attiecīgu grozījumu izdarīšanas Augu aizsardzības likumā.</w:t>
            </w:r>
          </w:p>
          <w:p w14:paraId="3C50F98B" w14:textId="77777777" w:rsidR="00A85AFE" w:rsidRDefault="00A85AFE">
            <w:pPr>
              <w:ind w:right="12"/>
              <w:jc w:val="both"/>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822836" w14:textId="5DFF0B47" w:rsidR="00A85AFE" w:rsidRDefault="00CA34E6">
            <w:pPr>
              <w:pStyle w:val="naisc"/>
              <w:spacing w:before="0" w:after="0"/>
              <w:jc w:val="both"/>
            </w:pPr>
            <w:r>
              <w:lastRenderedPageBreak/>
              <w:t>Ņ</w:t>
            </w:r>
            <w:r w:rsidR="00A47409">
              <w:t>emts vērā.</w:t>
            </w:r>
          </w:p>
          <w:p w14:paraId="614D4382" w14:textId="77777777" w:rsidR="00A85AFE" w:rsidRDefault="00A85AFE">
            <w:pPr>
              <w:pStyle w:val="naisc"/>
              <w:spacing w:before="0" w:after="0"/>
              <w:jc w:val="both"/>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3AC4A" w14:textId="77777777" w:rsidR="00A85AFE" w:rsidRDefault="00A47409">
            <w:pPr>
              <w:suppressAutoHyphens w:val="0"/>
              <w:jc w:val="both"/>
              <w:textAlignment w:val="auto"/>
              <w:rPr>
                <w:rFonts w:eastAsia="Calibri"/>
              </w:rPr>
            </w:pPr>
            <w:r>
              <w:rPr>
                <w:rFonts w:eastAsia="Calibri"/>
              </w:rPr>
              <w:t>Augu veselības regulas preambulas 4.punktā noteikts:</w:t>
            </w:r>
          </w:p>
          <w:p w14:paraId="2F957976" w14:textId="77777777" w:rsidR="00A85AFE" w:rsidRDefault="00A47409">
            <w:pPr>
              <w:suppressAutoHyphens w:val="0"/>
              <w:jc w:val="both"/>
              <w:textAlignment w:val="auto"/>
              <w:rPr>
                <w:rFonts w:eastAsia="Calibri"/>
                <w:i/>
                <w:iCs/>
              </w:rPr>
            </w:pPr>
            <w:r>
              <w:rPr>
                <w:rFonts w:eastAsia="Calibri"/>
                <w:i/>
                <w:iCs/>
              </w:rPr>
              <w:t>“Augu veselība ir ļoti svarīga augkopībai, mežiem, dabas teritorijām un apstādītām platībām, dabiskajām ekosistēmām, ekosistēmu pakalpojumiem un bioloģiskajai daudzveidībai Savienībā. Augu veselību apdraud sugas, kas kaitē augiem un augu produktiem un kuru ievešanas Savienības teritorijā risks tagad ir lielāks tirdzniecības un klimata pārmaiņu globalizācijas dēļ. Lai novērstu minēto apdraudējumu, ir jāpieņem pasākumi saistībā ar minēto kaitīgo organismu radīto fitosanitāro risku noteikšanu un minēto risku samazināšanu līdz pieņemamam līmenim.”</w:t>
            </w:r>
          </w:p>
          <w:p w14:paraId="146170F9" w14:textId="7EDB64DF" w:rsidR="00A85AFE" w:rsidRDefault="00A47409">
            <w:pPr>
              <w:suppressAutoHyphens w:val="0"/>
              <w:jc w:val="both"/>
              <w:textAlignment w:val="auto"/>
              <w:rPr>
                <w:rFonts w:eastAsia="Calibri"/>
              </w:rPr>
            </w:pPr>
            <w:r>
              <w:rPr>
                <w:rFonts w:eastAsia="Calibri"/>
              </w:rPr>
              <w:t>Augu aizsardzības līdzekļu lietošana ir viens no pamatpasākumiem fitosanitār</w:t>
            </w:r>
            <w:r w:rsidR="00B92D1C">
              <w:rPr>
                <w:rFonts w:eastAsia="Calibri"/>
              </w:rPr>
              <w:t>ā</w:t>
            </w:r>
            <w:r>
              <w:rPr>
                <w:rFonts w:eastAsia="Calibri"/>
              </w:rPr>
              <w:t xml:space="preserve"> risk</w:t>
            </w:r>
            <w:r w:rsidR="00B92D1C">
              <w:rPr>
                <w:rFonts w:eastAsia="Calibri"/>
              </w:rPr>
              <w:t>a</w:t>
            </w:r>
            <w:r>
              <w:rPr>
                <w:rFonts w:eastAsia="Calibri"/>
              </w:rPr>
              <w:t xml:space="preserve"> samazināšanai, tā</w:t>
            </w:r>
            <w:r w:rsidR="00B92D1C">
              <w:rPr>
                <w:rFonts w:eastAsia="Calibri"/>
              </w:rPr>
              <w:t>pēc</w:t>
            </w:r>
            <w:r>
              <w:rPr>
                <w:rFonts w:eastAsia="Calibri"/>
              </w:rPr>
              <w:t xml:space="preserve"> turpmāk</w:t>
            </w:r>
            <w:r w:rsidR="00B92D1C">
              <w:rPr>
                <w:rFonts w:eastAsia="Calibri"/>
              </w:rPr>
              <w:t>ie</w:t>
            </w:r>
            <w:r>
              <w:rPr>
                <w:rFonts w:eastAsia="Calibri"/>
              </w:rPr>
              <w:t xml:space="preserve"> Augu aizsardzības likuma </w:t>
            </w:r>
            <w:r w:rsidR="00B92D1C">
              <w:rPr>
                <w:rFonts w:eastAsia="Calibri"/>
              </w:rPr>
              <w:t>grozījumi</w:t>
            </w:r>
            <w:r>
              <w:rPr>
                <w:rFonts w:eastAsia="Calibri"/>
              </w:rPr>
              <w:t xml:space="preserve"> augu vese</w:t>
            </w:r>
            <w:r>
              <w:rPr>
                <w:rFonts w:eastAsia="Calibri"/>
              </w:rPr>
              <w:lastRenderedPageBreak/>
              <w:t>lības un augu aizsardzības līdzekļu lietošanas jautājumos ir jāplāno vienlaikus.</w:t>
            </w:r>
          </w:p>
          <w:p w14:paraId="7937B068" w14:textId="232BC39B" w:rsidR="00A85AFE" w:rsidRDefault="00A47409">
            <w:pPr>
              <w:suppressAutoHyphens w:val="0"/>
              <w:jc w:val="both"/>
              <w:textAlignment w:val="auto"/>
              <w:rPr>
                <w:rFonts w:eastAsia="Calibri"/>
              </w:rPr>
            </w:pPr>
            <w:r>
              <w:rPr>
                <w:rFonts w:eastAsia="Calibri"/>
              </w:rPr>
              <w:t>2020. gada 20. maijā Eiropas Komisija publicēja stratēģiju "No lauka līdz galdam", kas paredz, ka Eiropas Komisija līdz 2022.gada 1. ceturksnim izstrādās likumdošanas priekšlikumus pārskatīt Eiropas Parlamenta un Padomes Direktīvu 2009/128/EK (2009. gada 21. oktobris), ar kuru nosaka Kopienas sistēmu pesticīdu ilgtspējīgas lietošanas nodrošināšanai. Sagaidāms, ka Direktīvas 2009/128/EK grozījumi attiecībā uz prasībām augu aizsardzības līdzekļu lietošanai varētu stāties spēkā un būtu jātransponē nacionālaj</w:t>
            </w:r>
            <w:r w:rsidR="00B92D1C">
              <w:rPr>
                <w:rFonts w:eastAsia="Calibri"/>
              </w:rPr>
              <w:t>os</w:t>
            </w:r>
            <w:r>
              <w:rPr>
                <w:rFonts w:eastAsia="Calibri"/>
              </w:rPr>
              <w:t xml:space="preserve"> </w:t>
            </w:r>
            <w:r w:rsidR="00B92D1C">
              <w:rPr>
                <w:rFonts w:eastAsia="Calibri"/>
              </w:rPr>
              <w:t>normatīvajos aktos</w:t>
            </w:r>
            <w:r>
              <w:rPr>
                <w:rFonts w:eastAsia="Calibri"/>
              </w:rPr>
              <w:t xml:space="preserve"> 2023.</w:t>
            </w:r>
            <w:r w:rsidR="00B92D1C">
              <w:rPr>
                <w:rFonts w:eastAsia="Calibri"/>
              </w:rPr>
              <w:t>–</w:t>
            </w:r>
            <w:r>
              <w:rPr>
                <w:rFonts w:eastAsia="Calibri"/>
              </w:rPr>
              <w:t>2024. gadā.</w:t>
            </w:r>
          </w:p>
          <w:p w14:paraId="68778F92" w14:textId="3911BE27" w:rsidR="00A85AFE" w:rsidRDefault="00A47409">
            <w:pPr>
              <w:suppressAutoHyphens w:val="0"/>
              <w:jc w:val="both"/>
              <w:textAlignment w:val="auto"/>
              <w:rPr>
                <w:rFonts w:eastAsia="Calibri"/>
              </w:rPr>
            </w:pPr>
            <w:r>
              <w:rPr>
                <w:rFonts w:eastAsia="Calibri"/>
              </w:rPr>
              <w:t xml:space="preserve">Ņemot vērā iepriekšminēto, grozījumi Augu aizsardzības likumā būtu </w:t>
            </w:r>
            <w:r w:rsidR="00B92D1C">
              <w:rPr>
                <w:rFonts w:eastAsia="Calibri"/>
              </w:rPr>
              <w:t>izdarāmi</w:t>
            </w:r>
            <w:r>
              <w:rPr>
                <w:rFonts w:eastAsia="Calibri"/>
              </w:rPr>
              <w:t xml:space="preserve"> 2023.</w:t>
            </w:r>
            <w:r w:rsidR="00B92D1C">
              <w:rPr>
                <w:rFonts w:eastAsia="Calibri"/>
              </w:rPr>
              <w:t>–</w:t>
            </w:r>
            <w:r>
              <w:rPr>
                <w:rFonts w:eastAsia="Calibri"/>
              </w:rPr>
              <w:t xml:space="preserve">2024. gadā. </w:t>
            </w:r>
          </w:p>
          <w:p w14:paraId="4DCBD5BD" w14:textId="77777777" w:rsidR="00A85AFE" w:rsidRDefault="00A85AFE">
            <w:pPr>
              <w:jc w:val="center"/>
            </w:pPr>
          </w:p>
        </w:tc>
      </w:tr>
    </w:tbl>
    <w:p w14:paraId="14523D5F" w14:textId="77777777" w:rsidR="00A85AFE" w:rsidRDefault="00A85AFE">
      <w:pPr>
        <w:ind w:right="90"/>
      </w:pPr>
    </w:p>
    <w:tbl>
      <w:tblPr>
        <w:tblW w:w="9510" w:type="dxa"/>
        <w:tblLayout w:type="fixed"/>
        <w:tblCellMar>
          <w:left w:w="10" w:type="dxa"/>
          <w:right w:w="10" w:type="dxa"/>
        </w:tblCellMar>
        <w:tblLook w:val="04A0" w:firstRow="1" w:lastRow="0" w:firstColumn="1" w:lastColumn="0" w:noHBand="0" w:noVBand="1"/>
      </w:tblPr>
      <w:tblGrid>
        <w:gridCol w:w="3524"/>
        <w:gridCol w:w="5986"/>
      </w:tblGrid>
      <w:tr w:rsidR="00A85AFE" w14:paraId="2B022564" w14:textId="77777777">
        <w:tc>
          <w:tcPr>
            <w:tcW w:w="3524" w:type="dxa"/>
            <w:shd w:val="clear" w:color="auto" w:fill="auto"/>
            <w:tcMar>
              <w:top w:w="0" w:type="dxa"/>
              <w:left w:w="108" w:type="dxa"/>
              <w:bottom w:w="0" w:type="dxa"/>
              <w:right w:w="108" w:type="dxa"/>
            </w:tcMar>
          </w:tcPr>
          <w:p w14:paraId="320914DE" w14:textId="77777777" w:rsidR="00A85AFE" w:rsidRDefault="00A85AFE">
            <w:pPr>
              <w:pStyle w:val="naiskr"/>
              <w:spacing w:before="0" w:after="0"/>
              <w:jc w:val="both"/>
            </w:pPr>
          </w:p>
          <w:p w14:paraId="21725AB2" w14:textId="77777777" w:rsidR="00A85AFE" w:rsidRDefault="00A47409">
            <w:pPr>
              <w:pStyle w:val="naiskr"/>
              <w:spacing w:before="0" w:after="0"/>
              <w:jc w:val="both"/>
            </w:pPr>
            <w:r>
              <w:t>Atbildīgā amatpersona</w:t>
            </w:r>
          </w:p>
        </w:tc>
        <w:tc>
          <w:tcPr>
            <w:tcW w:w="5986" w:type="dxa"/>
            <w:shd w:val="clear" w:color="auto" w:fill="auto"/>
            <w:tcMar>
              <w:top w:w="0" w:type="dxa"/>
              <w:left w:w="108" w:type="dxa"/>
              <w:bottom w:w="0" w:type="dxa"/>
              <w:right w:w="108" w:type="dxa"/>
            </w:tcMar>
          </w:tcPr>
          <w:p w14:paraId="3B0E3488" w14:textId="77777777" w:rsidR="00A85AFE" w:rsidRDefault="00A85AFE">
            <w:pPr>
              <w:pStyle w:val="naiskr"/>
              <w:spacing w:before="0" w:after="0"/>
              <w:jc w:val="both"/>
            </w:pPr>
          </w:p>
        </w:tc>
      </w:tr>
      <w:tr w:rsidR="00A85AFE" w14:paraId="18FFC076" w14:textId="77777777">
        <w:tc>
          <w:tcPr>
            <w:tcW w:w="3524" w:type="dxa"/>
            <w:shd w:val="clear" w:color="auto" w:fill="auto"/>
            <w:tcMar>
              <w:top w:w="0" w:type="dxa"/>
              <w:left w:w="108" w:type="dxa"/>
              <w:bottom w:w="0" w:type="dxa"/>
              <w:right w:w="108" w:type="dxa"/>
            </w:tcMar>
          </w:tcPr>
          <w:p w14:paraId="0C613AF5" w14:textId="77777777" w:rsidR="00A85AFE" w:rsidRDefault="00A85AFE">
            <w:pPr>
              <w:pStyle w:val="naiskr"/>
              <w:spacing w:before="0" w:after="0"/>
              <w:ind w:firstLine="720"/>
              <w:jc w:val="both"/>
            </w:pPr>
          </w:p>
        </w:tc>
        <w:tc>
          <w:tcPr>
            <w:tcW w:w="5986" w:type="dxa"/>
            <w:tcBorders>
              <w:top w:val="single" w:sz="6" w:space="0" w:color="000000"/>
            </w:tcBorders>
            <w:shd w:val="clear" w:color="auto" w:fill="auto"/>
            <w:tcMar>
              <w:top w:w="0" w:type="dxa"/>
              <w:left w:w="108" w:type="dxa"/>
              <w:bottom w:w="0" w:type="dxa"/>
              <w:right w:w="108" w:type="dxa"/>
            </w:tcMar>
          </w:tcPr>
          <w:p w14:paraId="091F8360" w14:textId="77777777" w:rsidR="00A85AFE" w:rsidRDefault="00A47409">
            <w:pPr>
              <w:pStyle w:val="naisc"/>
              <w:spacing w:before="0" w:after="0"/>
              <w:ind w:firstLine="720"/>
              <w:jc w:val="both"/>
            </w:pPr>
            <w:r>
              <w:t>(paraksts)*</w:t>
            </w:r>
          </w:p>
        </w:tc>
      </w:tr>
    </w:tbl>
    <w:p w14:paraId="26872664" w14:textId="77777777" w:rsidR="00A85AFE" w:rsidRDefault="00A85AFE">
      <w:pPr>
        <w:pStyle w:val="naisf"/>
        <w:spacing w:before="0" w:after="0"/>
        <w:ind w:firstLine="0"/>
      </w:pPr>
    </w:p>
    <w:p w14:paraId="29D894A9" w14:textId="77777777" w:rsidR="00A85AFE" w:rsidRDefault="00A47409">
      <w:pPr>
        <w:pStyle w:val="naisf"/>
        <w:spacing w:before="0" w:after="0"/>
        <w:ind w:firstLine="0"/>
        <w:jc w:val="center"/>
      </w:pPr>
      <w:r>
        <w:t>Piezīme. * Dokumenta rekvizītu "paraksts" neaizpilda, ja elektroniskais dokuments ir sagatavots atbilstoši normatīvajiem aktiem par elektronisko dokumentu noformēšanu.</w:t>
      </w:r>
    </w:p>
    <w:p w14:paraId="74CBD20F" w14:textId="77777777" w:rsidR="00A85AFE" w:rsidRDefault="00A85AFE">
      <w:pPr>
        <w:pStyle w:val="naisf"/>
        <w:spacing w:before="0" w:after="0"/>
        <w:ind w:firstLine="0"/>
      </w:pPr>
    </w:p>
    <w:p w14:paraId="4A469245" w14:textId="77777777" w:rsidR="00A85AFE" w:rsidRDefault="00A47409">
      <w:pPr>
        <w:pStyle w:val="naisf"/>
        <w:spacing w:before="0" w:after="0"/>
        <w:ind w:firstLine="720"/>
      </w:pPr>
      <w:r>
        <w:t xml:space="preserve">Kristīne </w:t>
      </w:r>
      <w:proofErr w:type="spellStart"/>
      <w:r>
        <w:t>Lifānova</w:t>
      </w:r>
      <w:proofErr w:type="spellEnd"/>
    </w:p>
    <w:tbl>
      <w:tblPr>
        <w:tblW w:w="8268" w:type="dxa"/>
        <w:tblCellMar>
          <w:left w:w="10" w:type="dxa"/>
          <w:right w:w="10" w:type="dxa"/>
        </w:tblCellMar>
        <w:tblLook w:val="04A0" w:firstRow="1" w:lastRow="0" w:firstColumn="1" w:lastColumn="0" w:noHBand="0" w:noVBand="1"/>
      </w:tblPr>
      <w:tblGrid>
        <w:gridCol w:w="8268"/>
      </w:tblGrid>
      <w:tr w:rsidR="00A85AFE" w14:paraId="3B173D2A" w14:textId="77777777">
        <w:tc>
          <w:tcPr>
            <w:tcW w:w="8268" w:type="dxa"/>
            <w:tcBorders>
              <w:top w:val="single" w:sz="4" w:space="0" w:color="000000"/>
            </w:tcBorders>
            <w:shd w:val="clear" w:color="auto" w:fill="auto"/>
            <w:tcMar>
              <w:top w:w="0" w:type="dxa"/>
              <w:left w:w="108" w:type="dxa"/>
              <w:bottom w:w="0" w:type="dxa"/>
              <w:right w:w="108" w:type="dxa"/>
            </w:tcMar>
          </w:tcPr>
          <w:p w14:paraId="10662E9F" w14:textId="77777777" w:rsidR="00A85AFE" w:rsidRDefault="00A47409">
            <w:r>
              <w:t>(par projektu atbildīgās amatpersonas vārds un uzvārds)</w:t>
            </w:r>
          </w:p>
        </w:tc>
      </w:tr>
      <w:tr w:rsidR="00A85AFE" w14:paraId="568640E0" w14:textId="77777777">
        <w:tc>
          <w:tcPr>
            <w:tcW w:w="8268" w:type="dxa"/>
            <w:tcBorders>
              <w:bottom w:val="single" w:sz="4" w:space="0" w:color="000000"/>
            </w:tcBorders>
            <w:shd w:val="clear" w:color="auto" w:fill="auto"/>
            <w:tcMar>
              <w:top w:w="0" w:type="dxa"/>
              <w:left w:w="108" w:type="dxa"/>
              <w:bottom w:w="0" w:type="dxa"/>
              <w:right w:w="108" w:type="dxa"/>
            </w:tcMar>
          </w:tcPr>
          <w:p w14:paraId="05923EF7" w14:textId="77777777" w:rsidR="00A85AFE" w:rsidRDefault="00A47409">
            <w:pPr>
              <w:widowControl w:val="0"/>
              <w:jc w:val="both"/>
            </w:pPr>
            <w:r>
              <w:t>Valsts augu aizsardzības dienesta direktore</w:t>
            </w:r>
          </w:p>
        </w:tc>
      </w:tr>
      <w:tr w:rsidR="00A85AFE" w14:paraId="2F700122" w14:textId="77777777">
        <w:tc>
          <w:tcPr>
            <w:tcW w:w="8268" w:type="dxa"/>
            <w:tcBorders>
              <w:top w:val="single" w:sz="4" w:space="0" w:color="000000"/>
            </w:tcBorders>
            <w:shd w:val="clear" w:color="auto" w:fill="auto"/>
            <w:tcMar>
              <w:top w:w="0" w:type="dxa"/>
              <w:left w:w="108" w:type="dxa"/>
              <w:bottom w:w="0" w:type="dxa"/>
              <w:right w:w="108" w:type="dxa"/>
            </w:tcMar>
          </w:tcPr>
          <w:p w14:paraId="7773C596" w14:textId="77777777" w:rsidR="00A85AFE" w:rsidRDefault="00A47409">
            <w:r>
              <w:t>(amats)</w:t>
            </w:r>
          </w:p>
        </w:tc>
      </w:tr>
      <w:tr w:rsidR="00A85AFE" w14:paraId="447B92CA" w14:textId="77777777">
        <w:tc>
          <w:tcPr>
            <w:tcW w:w="8268" w:type="dxa"/>
            <w:tcBorders>
              <w:bottom w:val="single" w:sz="4" w:space="0" w:color="000000"/>
            </w:tcBorders>
            <w:shd w:val="clear" w:color="auto" w:fill="auto"/>
            <w:tcMar>
              <w:top w:w="0" w:type="dxa"/>
              <w:left w:w="108" w:type="dxa"/>
              <w:bottom w:w="0" w:type="dxa"/>
              <w:right w:w="108" w:type="dxa"/>
            </w:tcMar>
          </w:tcPr>
          <w:p w14:paraId="76E82FB8" w14:textId="77777777" w:rsidR="00A85AFE" w:rsidRDefault="00A47409">
            <w:pPr>
              <w:widowControl w:val="0"/>
              <w:jc w:val="both"/>
            </w:pPr>
            <w:r>
              <w:t>Tālr.: 67027309</w:t>
            </w:r>
          </w:p>
        </w:tc>
      </w:tr>
      <w:tr w:rsidR="00A85AFE" w14:paraId="4ECA3A23" w14:textId="77777777">
        <w:tc>
          <w:tcPr>
            <w:tcW w:w="8268" w:type="dxa"/>
            <w:tcBorders>
              <w:top w:val="single" w:sz="4" w:space="0" w:color="000000"/>
            </w:tcBorders>
            <w:shd w:val="clear" w:color="auto" w:fill="auto"/>
            <w:tcMar>
              <w:top w:w="0" w:type="dxa"/>
              <w:left w:w="108" w:type="dxa"/>
              <w:bottom w:w="0" w:type="dxa"/>
              <w:right w:w="108" w:type="dxa"/>
            </w:tcMar>
          </w:tcPr>
          <w:p w14:paraId="53BB2D6B" w14:textId="77777777" w:rsidR="00A85AFE" w:rsidRDefault="00A47409">
            <w:r>
              <w:t>(tālruņa un faksa numurs)</w:t>
            </w:r>
          </w:p>
        </w:tc>
      </w:tr>
      <w:tr w:rsidR="00A85AFE" w14:paraId="0FB61D12" w14:textId="77777777">
        <w:tc>
          <w:tcPr>
            <w:tcW w:w="8268" w:type="dxa"/>
            <w:tcBorders>
              <w:bottom w:val="single" w:sz="4" w:space="0" w:color="000000"/>
            </w:tcBorders>
            <w:shd w:val="clear" w:color="auto" w:fill="auto"/>
            <w:tcMar>
              <w:top w:w="0" w:type="dxa"/>
              <w:left w:w="108" w:type="dxa"/>
              <w:bottom w:w="0" w:type="dxa"/>
              <w:right w:w="108" w:type="dxa"/>
            </w:tcMar>
          </w:tcPr>
          <w:p w14:paraId="3F252981" w14:textId="77777777" w:rsidR="00A85AFE" w:rsidRDefault="00A47409">
            <w:pPr>
              <w:widowControl w:val="0"/>
              <w:jc w:val="both"/>
            </w:pPr>
            <w:r>
              <w:t>kristine.lifanova@vaad.gov.lv</w:t>
            </w:r>
          </w:p>
        </w:tc>
      </w:tr>
      <w:tr w:rsidR="00A85AFE" w14:paraId="28039D89" w14:textId="77777777">
        <w:tc>
          <w:tcPr>
            <w:tcW w:w="8268" w:type="dxa"/>
            <w:tcBorders>
              <w:top w:val="single" w:sz="4" w:space="0" w:color="000000"/>
            </w:tcBorders>
            <w:shd w:val="clear" w:color="auto" w:fill="auto"/>
            <w:tcMar>
              <w:top w:w="0" w:type="dxa"/>
              <w:left w:w="108" w:type="dxa"/>
              <w:bottom w:w="0" w:type="dxa"/>
              <w:right w:w="108" w:type="dxa"/>
            </w:tcMar>
          </w:tcPr>
          <w:p w14:paraId="588601E5" w14:textId="77777777" w:rsidR="00A85AFE" w:rsidRDefault="00A47409">
            <w:r>
              <w:t>(e-pasta adrese)</w:t>
            </w:r>
          </w:p>
        </w:tc>
      </w:tr>
    </w:tbl>
    <w:p w14:paraId="2DBF6777" w14:textId="77777777" w:rsidR="00A85AFE" w:rsidRDefault="00A85AFE">
      <w:bookmarkStart w:id="0" w:name="_GoBack"/>
      <w:bookmarkEnd w:id="0"/>
    </w:p>
    <w:sectPr w:rsidR="00A85AFE" w:rsidSect="00C31592">
      <w:headerReference w:type="default" r:id="rId10"/>
      <w:footerReference w:type="default" r:id="rId11"/>
      <w:footerReference w:type="first" r:id="rId12"/>
      <w:pgSz w:w="15840" w:h="12240" w:orient="landscape"/>
      <w:pgMar w:top="1701" w:right="1418"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D3D5A" w14:textId="77777777" w:rsidR="0096336A" w:rsidRDefault="00A47409">
      <w:r>
        <w:separator/>
      </w:r>
    </w:p>
  </w:endnote>
  <w:endnote w:type="continuationSeparator" w:id="0">
    <w:p w14:paraId="25F7B182" w14:textId="77777777" w:rsidR="0096336A" w:rsidRDefault="00A4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7B5A" w14:textId="4DE97005" w:rsidR="00C31592" w:rsidRPr="00C31592" w:rsidRDefault="00C31592" w:rsidP="00C31592">
    <w:pPr>
      <w:pStyle w:val="Kjene"/>
      <w:rPr>
        <w:sz w:val="20"/>
      </w:rPr>
    </w:pPr>
    <w:r w:rsidRPr="00C31592">
      <w:rPr>
        <w:sz w:val="20"/>
      </w:rPr>
      <w:t>ZMizz_291020_KIeM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B14D" w14:textId="6A8FE01F" w:rsidR="00C31592" w:rsidRPr="00C31592" w:rsidRDefault="00C31592">
    <w:pPr>
      <w:pStyle w:val="Kjene"/>
      <w:rPr>
        <w:sz w:val="20"/>
      </w:rPr>
    </w:pPr>
    <w:r w:rsidRPr="00C31592">
      <w:rPr>
        <w:sz w:val="20"/>
      </w:rPr>
      <w:t>ZMizz_291020_KIeM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0F9C7" w14:textId="77777777" w:rsidR="0096336A" w:rsidRDefault="00A47409">
      <w:r>
        <w:rPr>
          <w:color w:val="000000"/>
        </w:rPr>
        <w:separator/>
      </w:r>
    </w:p>
  </w:footnote>
  <w:footnote w:type="continuationSeparator" w:id="0">
    <w:p w14:paraId="6A430821" w14:textId="77777777" w:rsidR="0096336A" w:rsidRDefault="00A47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541081"/>
      <w:docPartObj>
        <w:docPartGallery w:val="Page Numbers (Top of Page)"/>
        <w:docPartUnique/>
      </w:docPartObj>
    </w:sdtPr>
    <w:sdtContent>
      <w:p w14:paraId="5AB97B44" w14:textId="50B1810B" w:rsidR="00C31592" w:rsidRDefault="00C31592">
        <w:pPr>
          <w:pStyle w:val="Galvene"/>
          <w:jc w:val="center"/>
        </w:pPr>
        <w:r>
          <w:fldChar w:fldCharType="begin"/>
        </w:r>
        <w:r>
          <w:instrText>PAGE   \* MERGEFORMAT</w:instrText>
        </w:r>
        <w:r>
          <w:fldChar w:fldCharType="separate"/>
        </w:r>
        <w:r>
          <w:t>2</w:t>
        </w:r>
        <w:r>
          <w:fldChar w:fldCharType="end"/>
        </w:r>
      </w:p>
    </w:sdtContent>
  </w:sdt>
  <w:p w14:paraId="1EB97B0E" w14:textId="77777777" w:rsidR="00C31592" w:rsidRDefault="00C3159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2D9"/>
    <w:multiLevelType w:val="multilevel"/>
    <w:tmpl w:val="3A9011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AFE"/>
    <w:rsid w:val="00432B12"/>
    <w:rsid w:val="0096336A"/>
    <w:rsid w:val="00A47409"/>
    <w:rsid w:val="00A85AFE"/>
    <w:rsid w:val="00AC6754"/>
    <w:rsid w:val="00B92D1C"/>
    <w:rsid w:val="00C31592"/>
    <w:rsid w:val="00C5492D"/>
    <w:rsid w:val="00CA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0FF0"/>
  <w15:docId w15:val="{7E9DA57F-4D59-46EC-B008-9C3D3153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uppressAutoHyphens/>
      <w:spacing w:after="0"/>
    </w:pPr>
    <w:rPr>
      <w:rFonts w:ascii="Times New Roman" w:eastAsia="Times New Roman" w:hAnsi="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rPr>
      <w:rFonts w:ascii="Segoe UI" w:hAnsi="Segoe UI" w:cs="Segoe UI"/>
      <w:sz w:val="18"/>
      <w:szCs w:val="18"/>
    </w:rPr>
  </w:style>
  <w:style w:type="character" w:customStyle="1" w:styleId="BalloonTextChar">
    <w:name w:val="Balloon Text Char"/>
    <w:basedOn w:val="Noklusjumarindkopasfonts"/>
    <w:rPr>
      <w:rFonts w:ascii="Segoe UI" w:hAnsi="Segoe UI" w:cs="Segoe UI"/>
      <w:sz w:val="18"/>
      <w:szCs w:val="18"/>
    </w:rPr>
  </w:style>
  <w:style w:type="paragraph" w:customStyle="1" w:styleId="naisf">
    <w:name w:val="naisf"/>
    <w:basedOn w:val="Parasts"/>
    <w:pPr>
      <w:spacing w:before="75" w:after="75"/>
      <w:ind w:firstLine="375"/>
      <w:jc w:val="both"/>
    </w:pPr>
  </w:style>
  <w:style w:type="paragraph" w:customStyle="1" w:styleId="naisnod">
    <w:name w:val="naisnod"/>
    <w:basedOn w:val="Parasts"/>
    <w:pPr>
      <w:spacing w:before="150" w:after="150"/>
      <w:jc w:val="center"/>
    </w:pPr>
    <w:rPr>
      <w:b/>
      <w:bCs/>
    </w:rPr>
  </w:style>
  <w:style w:type="paragraph" w:customStyle="1" w:styleId="naisc">
    <w:name w:val="naisc"/>
    <w:basedOn w:val="Parasts"/>
    <w:pPr>
      <w:spacing w:before="75" w:after="75"/>
      <w:jc w:val="center"/>
    </w:pPr>
  </w:style>
  <w:style w:type="paragraph" w:customStyle="1" w:styleId="naispant">
    <w:name w:val="naispant"/>
    <w:basedOn w:val="Parasts"/>
    <w:pPr>
      <w:spacing w:before="75" w:after="75"/>
      <w:ind w:left="375" w:firstLine="375"/>
      <w:jc w:val="both"/>
    </w:pPr>
    <w:rPr>
      <w:b/>
      <w:bCs/>
    </w:rPr>
  </w:style>
  <w:style w:type="paragraph" w:styleId="Paraststmeklis">
    <w:name w:val="Normal (Web)"/>
    <w:basedOn w:val="Parasts"/>
    <w:pPr>
      <w:spacing w:before="100" w:after="100"/>
    </w:pPr>
  </w:style>
  <w:style w:type="paragraph" w:customStyle="1" w:styleId="naiskr">
    <w:name w:val="naiskr"/>
    <w:basedOn w:val="Parasts"/>
    <w:pPr>
      <w:spacing w:before="75" w:after="75"/>
    </w:pPr>
  </w:style>
  <w:style w:type="paragraph" w:styleId="Sarakstarindkopa">
    <w:name w:val="List Paragraph"/>
    <w:basedOn w:val="Parasts"/>
    <w:pPr>
      <w:spacing w:after="160"/>
      <w:ind w:left="720"/>
    </w:pPr>
    <w:rPr>
      <w:rFonts w:ascii="Calibri" w:eastAsia="Calibri" w:hAnsi="Calibri"/>
      <w:sz w:val="22"/>
      <w:szCs w:val="22"/>
      <w:lang w:val="en-US" w:eastAsia="en-US"/>
    </w:rPr>
  </w:style>
  <w:style w:type="character" w:styleId="Komentraatsauce">
    <w:name w:val="annotation reference"/>
    <w:basedOn w:val="Noklusjumarindkopasfonts"/>
    <w:rPr>
      <w:sz w:val="16"/>
      <w:szCs w:val="16"/>
    </w:rPr>
  </w:style>
  <w:style w:type="paragraph" w:styleId="Komentrateksts">
    <w:name w:val="annotation text"/>
    <w:basedOn w:val="Parasts"/>
    <w:pPr>
      <w:spacing w:after="160"/>
    </w:pPr>
    <w:rPr>
      <w:rFonts w:ascii="Calibri" w:eastAsia="Calibri" w:hAnsi="Calibri"/>
      <w:sz w:val="20"/>
      <w:szCs w:val="20"/>
      <w:lang w:val="en-US" w:eastAsia="en-US"/>
    </w:rPr>
  </w:style>
  <w:style w:type="character" w:customStyle="1" w:styleId="CommentTextChar">
    <w:name w:val="Comment Text Char"/>
    <w:basedOn w:val="Noklusjumarindkopasfonts"/>
    <w:rPr>
      <w:sz w:val="20"/>
      <w:szCs w:val="20"/>
    </w:rPr>
  </w:style>
  <w:style w:type="character" w:customStyle="1" w:styleId="highlight">
    <w:name w:val="highlight"/>
    <w:basedOn w:val="Noklusjumarindkopasfonts"/>
  </w:style>
  <w:style w:type="character" w:customStyle="1" w:styleId="bold">
    <w:name w:val="bold"/>
    <w:basedOn w:val="Noklusjumarindkopasfonts"/>
  </w:style>
  <w:style w:type="paragraph" w:styleId="Komentratma">
    <w:name w:val="annotation subject"/>
    <w:basedOn w:val="Komentrateksts"/>
    <w:next w:val="Komentrateksts"/>
    <w:pPr>
      <w:spacing w:after="0"/>
    </w:pPr>
    <w:rPr>
      <w:rFonts w:ascii="Times New Roman" w:eastAsia="Times New Roman" w:hAnsi="Times New Roman"/>
      <w:b/>
      <w:bCs/>
      <w:lang w:val="lv-LV" w:eastAsia="lv-LV"/>
    </w:rPr>
  </w:style>
  <w:style w:type="character" w:customStyle="1" w:styleId="CommentTextChar1">
    <w:name w:val="Comment Text Char1"/>
    <w:basedOn w:val="Noklusjumarindkopasfonts"/>
    <w:rPr>
      <w:sz w:val="20"/>
      <w:szCs w:val="20"/>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customStyle="1" w:styleId="tv213">
    <w:name w:val="tv213"/>
    <w:basedOn w:val="Parasts"/>
    <w:pPr>
      <w:suppressAutoHyphens w:val="0"/>
      <w:spacing w:before="100" w:after="100"/>
      <w:textAlignment w:val="auto"/>
    </w:pPr>
    <w:rPr>
      <w:lang w:val="en-US" w:eastAsia="en-US"/>
    </w:rPr>
  </w:style>
  <w:style w:type="paragraph" w:styleId="Bezatstarpm">
    <w:name w:val="No Spacing"/>
    <w:pPr>
      <w:widowControl w:val="0"/>
      <w:spacing w:after="0"/>
      <w:textAlignment w:val="auto"/>
    </w:pPr>
  </w:style>
  <w:style w:type="character" w:customStyle="1" w:styleId="NoSpacingChar">
    <w:name w:val="No Spacing Char"/>
  </w:style>
  <w:style w:type="paragraph" w:styleId="Beiguvresteksts">
    <w:name w:val="endnote text"/>
    <w:basedOn w:val="Parasts"/>
    <w:rPr>
      <w:sz w:val="20"/>
      <w:szCs w:val="20"/>
    </w:rPr>
  </w:style>
  <w:style w:type="character" w:customStyle="1" w:styleId="EndnoteTextChar">
    <w:name w:val="Endnote Text Char"/>
    <w:basedOn w:val="Noklusjumarindkopasfonts"/>
    <w:rPr>
      <w:rFonts w:ascii="Times New Roman" w:eastAsia="Times New Roman" w:hAnsi="Times New Roman"/>
      <w:sz w:val="20"/>
      <w:szCs w:val="20"/>
      <w:lang w:val="lv-LV" w:eastAsia="lv-LV"/>
    </w:rPr>
  </w:style>
  <w:style w:type="character" w:styleId="Beiguvresatsauce">
    <w:name w:val="endnote reference"/>
    <w:basedOn w:val="Noklusjumarindkopasfonts"/>
    <w:rPr>
      <w:position w:val="0"/>
      <w:vertAlign w:val="superscript"/>
    </w:rPr>
  </w:style>
  <w:style w:type="paragraph" w:styleId="Vresteksts">
    <w:name w:val="footnote text"/>
    <w:basedOn w:val="Parasts"/>
    <w:rPr>
      <w:sz w:val="20"/>
      <w:szCs w:val="20"/>
    </w:rPr>
  </w:style>
  <w:style w:type="character" w:customStyle="1" w:styleId="FootnoteTextChar">
    <w:name w:val="Footnote Text Char"/>
    <w:basedOn w:val="Noklusjumarindkopasfonts"/>
    <w:rPr>
      <w:rFonts w:ascii="Times New Roman" w:eastAsia="Times New Roman" w:hAnsi="Times New Roman"/>
      <w:sz w:val="20"/>
      <w:szCs w:val="20"/>
      <w:lang w:val="lv-LV" w:eastAsia="lv-LV"/>
    </w:rPr>
  </w:style>
  <w:style w:type="character" w:styleId="Vresatsauce">
    <w:name w:val="footnote reference"/>
    <w:basedOn w:val="Noklusjumarindkopasfonts"/>
    <w:rPr>
      <w:position w:val="0"/>
      <w:vertAlign w:val="superscript"/>
    </w:rPr>
  </w:style>
  <w:style w:type="character" w:styleId="Hipersaite">
    <w:name w:val="Hyperlink"/>
    <w:basedOn w:val="Noklusjumarindkopasfonts"/>
    <w:uiPriority w:val="99"/>
    <w:unhideWhenUsed/>
    <w:rsid w:val="00C5492D"/>
    <w:rPr>
      <w:color w:val="0563C1" w:themeColor="hyperlink"/>
      <w:u w:val="single"/>
    </w:rPr>
  </w:style>
  <w:style w:type="character" w:styleId="Neatrisintapieminana">
    <w:name w:val="Unresolved Mention"/>
    <w:basedOn w:val="Noklusjumarindkopasfonts"/>
    <w:uiPriority w:val="99"/>
    <w:semiHidden/>
    <w:unhideWhenUsed/>
    <w:rsid w:val="00C5492D"/>
    <w:rPr>
      <w:color w:val="605E5C"/>
      <w:shd w:val="clear" w:color="auto" w:fill="E1DFDD"/>
    </w:rPr>
  </w:style>
  <w:style w:type="paragraph" w:styleId="Galvene">
    <w:name w:val="header"/>
    <w:basedOn w:val="Parasts"/>
    <w:link w:val="GalveneRakstz"/>
    <w:uiPriority w:val="99"/>
    <w:unhideWhenUsed/>
    <w:rsid w:val="00C31592"/>
    <w:pPr>
      <w:tabs>
        <w:tab w:val="center" w:pos="4153"/>
        <w:tab w:val="right" w:pos="8306"/>
      </w:tabs>
    </w:pPr>
  </w:style>
  <w:style w:type="character" w:customStyle="1" w:styleId="GalveneRakstz">
    <w:name w:val="Galvene Rakstz."/>
    <w:basedOn w:val="Noklusjumarindkopasfonts"/>
    <w:link w:val="Galvene"/>
    <w:uiPriority w:val="99"/>
    <w:rsid w:val="00C31592"/>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31592"/>
    <w:pPr>
      <w:tabs>
        <w:tab w:val="center" w:pos="4153"/>
        <w:tab w:val="right" w:pos="8306"/>
      </w:tabs>
    </w:pPr>
  </w:style>
  <w:style w:type="character" w:customStyle="1" w:styleId="KjeneRakstz">
    <w:name w:val="Kājene Rakstz."/>
    <w:basedOn w:val="Noklusjumarindkopasfonts"/>
    <w:link w:val="Kjene"/>
    <w:uiPriority w:val="99"/>
    <w:rsid w:val="00C31592"/>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ese.vanaga@f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a.reinfelde@t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ina.mihejev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4500</Words>
  <Characters>2566</Characters>
  <Application>Microsoft Office Word</Application>
  <DocSecurity>0</DocSecurity>
  <Lines>21</Lines>
  <Paragraphs>14</Paragraphs>
  <ScaleCrop>false</ScaleCrop>
  <Company>VAAD</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izziņa</dc:subject>
  <dc:creator>Kristīne Lifānova</dc:creator>
  <dc:description>Lifānova 67027309 kristine.lifanova@vaad.gov.lv</dc:description>
  <cp:lastModifiedBy>Sanita Papinova</cp:lastModifiedBy>
  <cp:revision>3</cp:revision>
  <dcterms:created xsi:type="dcterms:W3CDTF">2020-11-06T09:41:00Z</dcterms:created>
  <dcterms:modified xsi:type="dcterms:W3CDTF">2020-11-06T10:16:00Z</dcterms:modified>
</cp:coreProperties>
</file>