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B3EB" w14:textId="02121BF8" w:rsidR="00560A89" w:rsidRPr="00E421F8" w:rsidRDefault="000644F2" w:rsidP="00E421F8">
      <w:pPr>
        <w:spacing w:after="0" w:line="240" w:lineRule="auto"/>
        <w:jc w:val="center"/>
        <w:rPr>
          <w:rFonts w:ascii="Times New Roman" w:hAnsi="Times New Roman"/>
          <w:b/>
          <w:sz w:val="28"/>
          <w:szCs w:val="28"/>
        </w:rPr>
      </w:pPr>
      <w:bookmarkStart w:id="0" w:name="_Hlk494896082"/>
      <w:r w:rsidRPr="00E421F8">
        <w:rPr>
          <w:rFonts w:ascii="Times New Roman" w:eastAsia="Times New Roman" w:hAnsi="Times New Roman"/>
          <w:b/>
          <w:bCs/>
          <w:color w:val="000000"/>
          <w:sz w:val="28"/>
          <w:szCs w:val="28"/>
          <w:lang w:eastAsia="lv-LV"/>
        </w:rPr>
        <w:t>Izziņa par atzinumos sniegtajiem iebildumiem</w:t>
      </w:r>
      <w:r w:rsidR="0084021D" w:rsidRPr="00E421F8">
        <w:rPr>
          <w:rFonts w:ascii="Times New Roman" w:eastAsia="Times New Roman" w:hAnsi="Times New Roman"/>
          <w:b/>
          <w:bCs/>
          <w:color w:val="000000"/>
          <w:sz w:val="28"/>
          <w:szCs w:val="28"/>
          <w:lang w:eastAsia="lv-LV"/>
        </w:rPr>
        <w:t xml:space="preserve"> </w:t>
      </w:r>
      <w:r w:rsidR="00E415FE" w:rsidRPr="00E421F8">
        <w:rPr>
          <w:rFonts w:ascii="Times New Roman" w:eastAsia="Times New Roman" w:hAnsi="Times New Roman"/>
          <w:b/>
          <w:bCs/>
          <w:color w:val="000000"/>
          <w:sz w:val="28"/>
          <w:szCs w:val="28"/>
          <w:lang w:eastAsia="lv-LV"/>
        </w:rPr>
        <w:t xml:space="preserve"> </w:t>
      </w:r>
      <w:r w:rsidRPr="00E421F8">
        <w:rPr>
          <w:rFonts w:ascii="Times New Roman" w:hAnsi="Times New Roman"/>
          <w:b/>
          <w:color w:val="000000"/>
          <w:sz w:val="28"/>
          <w:szCs w:val="28"/>
        </w:rPr>
        <w:t xml:space="preserve">Ministru kabineta </w:t>
      </w:r>
      <w:r w:rsidR="00A334BA" w:rsidRPr="00E421F8">
        <w:rPr>
          <w:rFonts w:ascii="Times New Roman" w:hAnsi="Times New Roman"/>
          <w:b/>
          <w:color w:val="000000"/>
          <w:sz w:val="28"/>
          <w:szCs w:val="28"/>
        </w:rPr>
        <w:t>noteikumu</w:t>
      </w:r>
      <w:r w:rsidRPr="00E421F8">
        <w:rPr>
          <w:rFonts w:ascii="Times New Roman" w:hAnsi="Times New Roman"/>
          <w:b/>
          <w:color w:val="000000"/>
          <w:sz w:val="28"/>
          <w:szCs w:val="28"/>
        </w:rPr>
        <w:t xml:space="preserve"> projekt</w:t>
      </w:r>
      <w:r w:rsidR="00A334BA" w:rsidRPr="00E421F8">
        <w:rPr>
          <w:rFonts w:ascii="Times New Roman" w:hAnsi="Times New Roman"/>
          <w:b/>
          <w:color w:val="000000"/>
          <w:sz w:val="28"/>
          <w:szCs w:val="28"/>
        </w:rPr>
        <w:t>ā</w:t>
      </w:r>
      <w:r w:rsidRPr="00E421F8">
        <w:rPr>
          <w:rFonts w:ascii="Times New Roman" w:hAnsi="Times New Roman"/>
          <w:b/>
          <w:color w:val="000000"/>
          <w:sz w:val="28"/>
          <w:szCs w:val="28"/>
        </w:rPr>
        <w:t xml:space="preserve"> </w:t>
      </w:r>
      <w:r w:rsidR="00277475" w:rsidRPr="00E421F8">
        <w:rPr>
          <w:rFonts w:ascii="Times New Roman" w:hAnsi="Times New Roman"/>
          <w:b/>
          <w:sz w:val="28"/>
          <w:szCs w:val="28"/>
        </w:rPr>
        <w:t>„</w:t>
      </w:r>
      <w:r w:rsidR="00693251" w:rsidRPr="00693251">
        <w:t xml:space="preserve"> </w:t>
      </w:r>
      <w:r w:rsidR="00693251" w:rsidRPr="00693251">
        <w:rPr>
          <w:rFonts w:ascii="Times New Roman" w:hAnsi="Times New Roman"/>
          <w:b/>
          <w:sz w:val="28"/>
          <w:szCs w:val="28"/>
        </w:rPr>
        <w:t>Grozījumi Ministru kabineta 2016. gada 20. decembra noteikumos Nr. 812 “Oficiālās statistikas veidlapu paraugu apstiprināšanas un veidlapu aizpildīšanas un iesniegšanas noteikumi”</w:t>
      </w:r>
      <w:r w:rsidR="00341C6D" w:rsidRPr="00E421F8">
        <w:rPr>
          <w:rFonts w:ascii="Times New Roman" w:hAnsi="Times New Roman"/>
          <w:b/>
          <w:sz w:val="28"/>
          <w:szCs w:val="28"/>
        </w:rPr>
        <w:t>”</w:t>
      </w:r>
      <w:bookmarkEnd w:id="0"/>
      <w:r w:rsidR="00277475" w:rsidRPr="00E421F8">
        <w:rPr>
          <w:rFonts w:ascii="Times New Roman" w:hAnsi="Times New Roman"/>
          <w:b/>
          <w:sz w:val="28"/>
          <w:szCs w:val="28"/>
        </w:rPr>
        <w:t xml:space="preserve"> </w:t>
      </w:r>
      <w:r w:rsidR="00560A89" w:rsidRPr="00E421F8">
        <w:rPr>
          <w:rFonts w:ascii="Times New Roman" w:hAnsi="Times New Roman"/>
          <w:b/>
          <w:sz w:val="28"/>
          <w:szCs w:val="28"/>
        </w:rPr>
        <w:t xml:space="preserve">(VSS – </w:t>
      </w:r>
      <w:r w:rsidR="006D1253">
        <w:rPr>
          <w:rFonts w:ascii="Times New Roman" w:hAnsi="Times New Roman"/>
          <w:b/>
          <w:sz w:val="28"/>
          <w:szCs w:val="28"/>
        </w:rPr>
        <w:t>36</w:t>
      </w:r>
      <w:r w:rsidR="00560A89" w:rsidRPr="00E421F8">
        <w:rPr>
          <w:rFonts w:ascii="Times New Roman" w:hAnsi="Times New Roman"/>
          <w:b/>
          <w:sz w:val="28"/>
          <w:szCs w:val="28"/>
        </w:rPr>
        <w:t>)</w:t>
      </w:r>
    </w:p>
    <w:p w14:paraId="6310FAD6" w14:textId="77777777" w:rsidR="003D15AD" w:rsidRDefault="003D15AD" w:rsidP="00475310">
      <w:pPr>
        <w:spacing w:line="240" w:lineRule="auto"/>
        <w:jc w:val="center"/>
        <w:rPr>
          <w:rFonts w:ascii="Times New Roman" w:eastAsia="Times New Roman" w:hAnsi="Times New Roman"/>
          <w:b/>
          <w:bCs/>
          <w:sz w:val="28"/>
          <w:szCs w:val="28"/>
          <w:lang w:eastAsia="lv-LV"/>
        </w:rPr>
      </w:pPr>
    </w:p>
    <w:p w14:paraId="1D73D3FD" w14:textId="77777777" w:rsidR="000C6764" w:rsidRDefault="000C6764" w:rsidP="00475310">
      <w:pPr>
        <w:spacing w:line="240" w:lineRule="auto"/>
        <w:jc w:val="center"/>
        <w:rPr>
          <w:rFonts w:ascii="Times New Roman" w:eastAsia="Times New Roman" w:hAnsi="Times New Roman"/>
          <w:b/>
          <w:bCs/>
          <w:sz w:val="28"/>
          <w:szCs w:val="28"/>
          <w:lang w:eastAsia="lv-LV"/>
        </w:rPr>
      </w:pPr>
      <w:r w:rsidRPr="00475310">
        <w:rPr>
          <w:rFonts w:ascii="Times New Roman" w:eastAsia="Times New Roman" w:hAnsi="Times New Roman"/>
          <w:b/>
          <w:bCs/>
          <w:color w:val="000000"/>
          <w:sz w:val="24"/>
          <w:szCs w:val="24"/>
          <w:lang w:eastAsia="lv-LV"/>
        </w:rPr>
        <w:t xml:space="preserve">Informācija par </w:t>
      </w:r>
      <w:proofErr w:type="spellStart"/>
      <w:r w:rsidRPr="00475310">
        <w:rPr>
          <w:rFonts w:ascii="Times New Roman" w:eastAsia="Times New Roman" w:hAnsi="Times New Roman"/>
          <w:b/>
          <w:bCs/>
          <w:color w:val="000000"/>
          <w:sz w:val="24"/>
          <w:szCs w:val="24"/>
          <w:lang w:eastAsia="lv-LV"/>
        </w:rPr>
        <w:t>starpministriju</w:t>
      </w:r>
      <w:proofErr w:type="spellEnd"/>
      <w:r w:rsidRPr="00475310">
        <w:rPr>
          <w:rFonts w:ascii="Times New Roman" w:eastAsia="Times New Roman" w:hAnsi="Times New Roman"/>
          <w:b/>
          <w:bCs/>
          <w:color w:val="000000"/>
          <w:sz w:val="24"/>
          <w:szCs w:val="24"/>
          <w:lang w:eastAsia="lv-LV"/>
        </w:rPr>
        <w:t xml:space="preserve"> (starpinstitūciju) sanāksmi vai elektronisko saskaņošanu</w:t>
      </w:r>
    </w:p>
    <w:tbl>
      <w:tblPr>
        <w:tblStyle w:val="TableGrid"/>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1"/>
        <w:gridCol w:w="4628"/>
        <w:gridCol w:w="1051"/>
        <w:gridCol w:w="3201"/>
        <w:gridCol w:w="1560"/>
      </w:tblGrid>
      <w:tr w:rsidR="000C6764" w:rsidRPr="00475310" w14:paraId="701493AB" w14:textId="77777777" w:rsidTr="007864F9">
        <w:trPr>
          <w:gridAfter w:val="1"/>
          <w:wAfter w:w="1560" w:type="dxa"/>
        </w:trPr>
        <w:tc>
          <w:tcPr>
            <w:tcW w:w="4161" w:type="dxa"/>
          </w:tcPr>
          <w:p w14:paraId="7F984821"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Datums</w:t>
            </w:r>
          </w:p>
        </w:tc>
        <w:tc>
          <w:tcPr>
            <w:tcW w:w="4628" w:type="dxa"/>
            <w:tcBorders>
              <w:bottom w:val="single" w:sz="4" w:space="0" w:color="auto"/>
            </w:tcBorders>
          </w:tcPr>
          <w:p w14:paraId="1014152C" w14:textId="4A327869"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Elektroniskā saskaņošana </w:t>
            </w:r>
            <w:r w:rsidR="0078489A" w:rsidRPr="0078489A">
              <w:rPr>
                <w:rFonts w:ascii="Times New Roman" w:eastAsia="Times New Roman" w:hAnsi="Times New Roman"/>
                <w:color w:val="000000"/>
                <w:sz w:val="24"/>
                <w:szCs w:val="24"/>
                <w:lang w:eastAsia="lv-LV"/>
              </w:rPr>
              <w:t>05.02.2021. – 11.02.2021.</w:t>
            </w:r>
            <w:r w:rsidR="0078489A">
              <w:rPr>
                <w:rFonts w:ascii="Times New Roman" w:eastAsia="Times New Roman" w:hAnsi="Times New Roman"/>
                <w:color w:val="000000"/>
                <w:sz w:val="24"/>
                <w:szCs w:val="24"/>
                <w:lang w:eastAsia="lv-LV"/>
              </w:rPr>
              <w:t xml:space="preserve">, </w:t>
            </w:r>
            <w:r w:rsidR="007430AC">
              <w:rPr>
                <w:rFonts w:ascii="Times New Roman" w:eastAsia="Times New Roman" w:hAnsi="Times New Roman"/>
                <w:color w:val="000000"/>
                <w:sz w:val="24"/>
                <w:szCs w:val="24"/>
                <w:lang w:eastAsia="lv-LV"/>
              </w:rPr>
              <w:t>25</w:t>
            </w:r>
            <w:r w:rsidR="003A6E00">
              <w:rPr>
                <w:rFonts w:ascii="Times New Roman" w:eastAsia="Times New Roman" w:hAnsi="Times New Roman"/>
                <w:color w:val="000000"/>
                <w:sz w:val="24"/>
                <w:szCs w:val="24"/>
                <w:lang w:eastAsia="lv-LV"/>
              </w:rPr>
              <w:t>.02</w:t>
            </w:r>
            <w:r w:rsidR="006D1253">
              <w:rPr>
                <w:rFonts w:ascii="Times New Roman" w:eastAsia="Times New Roman" w:hAnsi="Times New Roman"/>
                <w:color w:val="000000"/>
                <w:sz w:val="24"/>
                <w:szCs w:val="24"/>
                <w:lang w:eastAsia="lv-LV"/>
              </w:rPr>
              <w:t>.2021</w:t>
            </w:r>
            <w:r w:rsidRPr="0034766D">
              <w:rPr>
                <w:rFonts w:ascii="Times New Roman" w:eastAsia="Times New Roman" w:hAnsi="Times New Roman"/>
                <w:color w:val="000000"/>
                <w:sz w:val="24"/>
                <w:szCs w:val="24"/>
                <w:lang w:eastAsia="lv-LV"/>
              </w:rPr>
              <w:t xml:space="preserve">. – </w:t>
            </w:r>
            <w:r w:rsidR="007430AC">
              <w:rPr>
                <w:rFonts w:ascii="Times New Roman" w:eastAsia="Times New Roman" w:hAnsi="Times New Roman"/>
                <w:color w:val="000000"/>
                <w:sz w:val="24"/>
                <w:szCs w:val="24"/>
                <w:lang w:eastAsia="lv-LV"/>
              </w:rPr>
              <w:t>03.03</w:t>
            </w:r>
            <w:r w:rsidR="006D1253">
              <w:rPr>
                <w:rFonts w:ascii="Times New Roman" w:eastAsia="Times New Roman" w:hAnsi="Times New Roman"/>
                <w:color w:val="000000"/>
                <w:sz w:val="24"/>
                <w:szCs w:val="24"/>
                <w:lang w:eastAsia="lv-LV"/>
              </w:rPr>
              <w:t>.2021</w:t>
            </w:r>
            <w:r w:rsidRPr="0034766D">
              <w:rPr>
                <w:rFonts w:ascii="Times New Roman" w:eastAsia="Times New Roman" w:hAnsi="Times New Roman"/>
                <w:color w:val="000000"/>
                <w:sz w:val="24"/>
                <w:szCs w:val="24"/>
                <w:lang w:eastAsia="lv-LV"/>
              </w:rPr>
              <w:t>.</w:t>
            </w:r>
          </w:p>
        </w:tc>
        <w:tc>
          <w:tcPr>
            <w:tcW w:w="4252" w:type="dxa"/>
            <w:gridSpan w:val="2"/>
          </w:tcPr>
          <w:p w14:paraId="6D7D0423"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78F726FA" w14:textId="77777777" w:rsidTr="007864F9">
        <w:trPr>
          <w:gridAfter w:val="1"/>
          <w:wAfter w:w="1560" w:type="dxa"/>
        </w:trPr>
        <w:tc>
          <w:tcPr>
            <w:tcW w:w="4161" w:type="dxa"/>
          </w:tcPr>
          <w:p w14:paraId="6072091F"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628" w:type="dxa"/>
            <w:tcBorders>
              <w:top w:val="single" w:sz="4" w:space="0" w:color="auto"/>
            </w:tcBorders>
          </w:tcPr>
          <w:p w14:paraId="11D4C9CC"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Pr>
          <w:p w14:paraId="2B4E614A"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6C9A5A85" w14:textId="77777777" w:rsidTr="007864F9">
        <w:trPr>
          <w:gridAfter w:val="1"/>
          <w:wAfter w:w="1560" w:type="dxa"/>
        </w:trPr>
        <w:tc>
          <w:tcPr>
            <w:tcW w:w="4161" w:type="dxa"/>
          </w:tcPr>
          <w:p w14:paraId="3C9F2F85"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Saskaņošanas dalībnieki</w:t>
            </w:r>
          </w:p>
        </w:tc>
        <w:tc>
          <w:tcPr>
            <w:tcW w:w="4628" w:type="dxa"/>
            <w:tcBorders>
              <w:bottom w:val="single" w:sz="4" w:space="0" w:color="auto"/>
            </w:tcBorders>
          </w:tcPr>
          <w:p w14:paraId="41EECDF8" w14:textId="22C2415E" w:rsidR="000C6764" w:rsidRPr="00D06AA6" w:rsidRDefault="000C6764" w:rsidP="007864F9">
            <w:pPr>
              <w:spacing w:before="100" w:beforeAutospacing="1" w:after="100" w:afterAutospacing="1"/>
              <w:rPr>
                <w:rFonts w:ascii="Times New Roman" w:eastAsia="Times New Roman" w:hAnsi="Times New Roman"/>
                <w:color w:val="000000"/>
                <w:sz w:val="24"/>
                <w:szCs w:val="24"/>
                <w:lang w:eastAsia="lv-LV"/>
              </w:rPr>
            </w:pPr>
            <w:r w:rsidRPr="00D06AA6">
              <w:rPr>
                <w:rFonts w:ascii="Times New Roman" w:eastAsia="Times New Roman" w:hAnsi="Times New Roman"/>
                <w:color w:val="000000"/>
                <w:sz w:val="24"/>
                <w:szCs w:val="24"/>
                <w:lang w:eastAsia="lv-LV"/>
              </w:rPr>
              <w:t xml:space="preserve">Labklājības ministrija, </w:t>
            </w:r>
          </w:p>
        </w:tc>
        <w:tc>
          <w:tcPr>
            <w:tcW w:w="4252" w:type="dxa"/>
            <w:gridSpan w:val="2"/>
            <w:tcBorders>
              <w:bottom w:val="single" w:sz="4" w:space="0" w:color="auto"/>
            </w:tcBorders>
          </w:tcPr>
          <w:p w14:paraId="016075F8" w14:textId="77777777" w:rsidR="000C6764" w:rsidRPr="00D06AA6" w:rsidRDefault="000C6764" w:rsidP="007864F9">
            <w:pPr>
              <w:spacing w:before="100" w:beforeAutospacing="1" w:after="100" w:afterAutospacing="1"/>
              <w:rPr>
                <w:rFonts w:ascii="Times New Roman" w:eastAsia="Times New Roman" w:hAnsi="Times New Roman"/>
                <w:color w:val="000000"/>
                <w:sz w:val="24"/>
                <w:szCs w:val="24"/>
                <w:lang w:eastAsia="lv-LV"/>
              </w:rPr>
            </w:pPr>
            <w:r w:rsidRPr="00D06AA6">
              <w:rPr>
                <w:rFonts w:ascii="Times New Roman" w:eastAsia="Times New Roman" w:hAnsi="Times New Roman"/>
                <w:color w:val="000000"/>
                <w:sz w:val="24"/>
                <w:szCs w:val="24"/>
                <w:lang w:eastAsia="lv-LV"/>
              </w:rPr>
              <w:t xml:space="preserve">Tieslietu ministrija, </w:t>
            </w:r>
          </w:p>
        </w:tc>
      </w:tr>
      <w:tr w:rsidR="000C6764" w:rsidRPr="00475310" w14:paraId="22196701" w14:textId="77777777" w:rsidTr="007864F9">
        <w:trPr>
          <w:gridAfter w:val="1"/>
          <w:wAfter w:w="1560" w:type="dxa"/>
        </w:trPr>
        <w:tc>
          <w:tcPr>
            <w:tcW w:w="4161" w:type="dxa"/>
          </w:tcPr>
          <w:p w14:paraId="788F9FB1"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628" w:type="dxa"/>
            <w:tcBorders>
              <w:top w:val="single" w:sz="4" w:space="0" w:color="auto"/>
              <w:bottom w:val="single" w:sz="4" w:space="0" w:color="auto"/>
            </w:tcBorders>
          </w:tcPr>
          <w:p w14:paraId="38EE4CF3" w14:textId="01FB83B3" w:rsidR="000C6764" w:rsidRPr="00D06AA6" w:rsidRDefault="006D1253" w:rsidP="007864F9">
            <w:pPr>
              <w:spacing w:after="0"/>
              <w:rPr>
                <w:rFonts w:ascii="Times New Roman" w:hAnsi="Times New Roman"/>
                <w:sz w:val="24"/>
                <w:szCs w:val="24"/>
              </w:rPr>
            </w:pPr>
            <w:r w:rsidRPr="00D06AA6">
              <w:rPr>
                <w:rFonts w:ascii="Times New Roman" w:eastAsia="Times New Roman" w:hAnsi="Times New Roman"/>
                <w:color w:val="000000"/>
                <w:sz w:val="24"/>
                <w:szCs w:val="24"/>
                <w:lang w:eastAsia="lv-LV"/>
              </w:rPr>
              <w:t>Izglītības un zinātnes ministrija</w:t>
            </w:r>
          </w:p>
        </w:tc>
        <w:tc>
          <w:tcPr>
            <w:tcW w:w="4252" w:type="dxa"/>
            <w:gridSpan w:val="2"/>
            <w:tcBorders>
              <w:top w:val="single" w:sz="4" w:space="0" w:color="auto"/>
              <w:bottom w:val="single" w:sz="4" w:space="0" w:color="auto"/>
            </w:tcBorders>
          </w:tcPr>
          <w:p w14:paraId="290AE5AA" w14:textId="77777777" w:rsidR="000C6764" w:rsidRPr="00D06AA6" w:rsidRDefault="000C6764" w:rsidP="007864F9">
            <w:pPr>
              <w:spacing w:before="100" w:beforeAutospacing="1" w:after="100" w:afterAutospacing="1"/>
              <w:rPr>
                <w:rFonts w:ascii="Times New Roman" w:eastAsia="Times New Roman" w:hAnsi="Times New Roman"/>
                <w:color w:val="000000"/>
                <w:sz w:val="24"/>
                <w:szCs w:val="24"/>
                <w:lang w:eastAsia="lv-LV"/>
              </w:rPr>
            </w:pPr>
            <w:r w:rsidRPr="00D06AA6">
              <w:rPr>
                <w:rFonts w:ascii="Times New Roman" w:eastAsia="Times New Roman" w:hAnsi="Times New Roman"/>
                <w:color w:val="000000"/>
                <w:sz w:val="24"/>
                <w:szCs w:val="24"/>
                <w:lang w:eastAsia="lv-LV"/>
              </w:rPr>
              <w:t>Finanšu ministrija,</w:t>
            </w:r>
          </w:p>
        </w:tc>
      </w:tr>
      <w:tr w:rsidR="006D1253" w:rsidRPr="00475310" w14:paraId="38F6CFDB" w14:textId="77777777" w:rsidTr="007864F9">
        <w:trPr>
          <w:gridAfter w:val="3"/>
          <w:wAfter w:w="5812" w:type="dxa"/>
        </w:trPr>
        <w:tc>
          <w:tcPr>
            <w:tcW w:w="4161" w:type="dxa"/>
          </w:tcPr>
          <w:p w14:paraId="43914656" w14:textId="77777777" w:rsidR="006D1253" w:rsidRPr="00475310" w:rsidRDefault="006D1253" w:rsidP="007864F9">
            <w:pPr>
              <w:spacing w:before="100" w:beforeAutospacing="1" w:after="100" w:afterAutospacing="1"/>
              <w:rPr>
                <w:rFonts w:ascii="Times New Roman" w:eastAsia="Times New Roman" w:hAnsi="Times New Roman"/>
                <w:color w:val="000000"/>
                <w:sz w:val="24"/>
                <w:szCs w:val="24"/>
                <w:lang w:eastAsia="lv-LV"/>
              </w:rPr>
            </w:pPr>
          </w:p>
        </w:tc>
        <w:tc>
          <w:tcPr>
            <w:tcW w:w="4628" w:type="dxa"/>
            <w:tcBorders>
              <w:top w:val="single" w:sz="4" w:space="0" w:color="auto"/>
              <w:bottom w:val="single" w:sz="4" w:space="0" w:color="auto"/>
            </w:tcBorders>
          </w:tcPr>
          <w:p w14:paraId="37443B31" w14:textId="6ADF7AA0" w:rsidR="006D1253" w:rsidRPr="00D06AA6" w:rsidRDefault="005E3FE6" w:rsidP="007864F9">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Datu valsts inspekcija</w:t>
            </w:r>
          </w:p>
        </w:tc>
      </w:tr>
      <w:tr w:rsidR="000C6764" w:rsidRPr="00475310" w14:paraId="3A0A3F61" w14:textId="77777777" w:rsidTr="007864F9">
        <w:trPr>
          <w:gridAfter w:val="1"/>
          <w:wAfter w:w="1560" w:type="dxa"/>
        </w:trPr>
        <w:tc>
          <w:tcPr>
            <w:tcW w:w="4161" w:type="dxa"/>
          </w:tcPr>
          <w:p w14:paraId="6F90D69A" w14:textId="77777777" w:rsidR="000C6764" w:rsidRDefault="000C6764" w:rsidP="007864F9">
            <w:pPr>
              <w:spacing w:before="100" w:beforeAutospacing="1" w:after="100" w:afterAutospacing="1"/>
              <w:ind w:firstLine="720"/>
              <w:rPr>
                <w:rFonts w:ascii="Times New Roman" w:eastAsia="Times New Roman" w:hAnsi="Times New Roman"/>
                <w:color w:val="000000"/>
                <w:sz w:val="24"/>
                <w:szCs w:val="24"/>
                <w:lang w:eastAsia="lv-LV"/>
              </w:rPr>
            </w:pPr>
          </w:p>
          <w:p w14:paraId="2285CE2E" w14:textId="77777777" w:rsidR="000C6764" w:rsidRPr="0036593F" w:rsidRDefault="000C6764" w:rsidP="007864F9">
            <w:pPr>
              <w:rPr>
                <w:rFonts w:ascii="Times New Roman" w:eastAsia="Times New Roman" w:hAnsi="Times New Roman"/>
                <w:sz w:val="24"/>
                <w:szCs w:val="24"/>
                <w:lang w:eastAsia="lv-LV"/>
              </w:rPr>
            </w:pPr>
          </w:p>
        </w:tc>
        <w:tc>
          <w:tcPr>
            <w:tcW w:w="4628" w:type="dxa"/>
            <w:tcBorders>
              <w:top w:val="single" w:sz="4" w:space="0" w:color="auto"/>
            </w:tcBorders>
          </w:tcPr>
          <w:p w14:paraId="0243747C"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Borders>
              <w:top w:val="single" w:sz="4" w:space="0" w:color="auto"/>
            </w:tcBorders>
          </w:tcPr>
          <w:p w14:paraId="70D86E3E"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04330629" w14:textId="77777777" w:rsidTr="006D1253">
        <w:trPr>
          <w:gridAfter w:val="1"/>
          <w:wAfter w:w="1560" w:type="dxa"/>
          <w:trHeight w:val="556"/>
        </w:trPr>
        <w:tc>
          <w:tcPr>
            <w:tcW w:w="8789" w:type="dxa"/>
            <w:gridSpan w:val="2"/>
          </w:tcPr>
          <w:p w14:paraId="362E4A93" w14:textId="77777777" w:rsidR="000C6764"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Saskaņošanas dalībnieki izskatīja šādu ministriju (citu institūciju) iebildumus</w:t>
            </w:r>
          </w:p>
          <w:p w14:paraId="28EFB72E" w14:textId="77777777" w:rsidR="000C6764" w:rsidRPr="00A012F5" w:rsidRDefault="000C6764" w:rsidP="007864F9">
            <w:pPr>
              <w:rPr>
                <w:rFonts w:ascii="Times New Roman" w:eastAsia="Times New Roman" w:hAnsi="Times New Roman"/>
                <w:sz w:val="24"/>
                <w:szCs w:val="24"/>
                <w:lang w:eastAsia="lv-LV"/>
              </w:rPr>
            </w:pPr>
          </w:p>
        </w:tc>
        <w:tc>
          <w:tcPr>
            <w:tcW w:w="4252" w:type="dxa"/>
            <w:gridSpan w:val="2"/>
            <w:tcBorders>
              <w:bottom w:val="single" w:sz="4" w:space="0" w:color="auto"/>
            </w:tcBorders>
          </w:tcPr>
          <w:p w14:paraId="0F532805" w14:textId="7E119E49" w:rsidR="00B3312B" w:rsidRPr="00475310" w:rsidRDefault="00B3312B" w:rsidP="007864F9">
            <w:pPr>
              <w:spacing w:before="100" w:beforeAutospacing="1" w:after="100" w:afterAutospacing="1"/>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Tieslietu ministrija</w:t>
            </w:r>
            <w:r w:rsidR="00E8432E">
              <w:rPr>
                <w:rFonts w:ascii="Times New Roman" w:eastAsia="Times New Roman" w:hAnsi="Times New Roman"/>
                <w:color w:val="000000"/>
                <w:sz w:val="24"/>
                <w:szCs w:val="24"/>
                <w:lang w:eastAsia="lv-LV"/>
              </w:rPr>
              <w:t>, Labklājības ministrija</w:t>
            </w:r>
          </w:p>
        </w:tc>
      </w:tr>
      <w:tr w:rsidR="000C6764" w:rsidRPr="00475310" w14:paraId="40892977" w14:textId="77777777" w:rsidTr="007864F9">
        <w:trPr>
          <w:gridAfter w:val="1"/>
          <w:wAfter w:w="1560" w:type="dxa"/>
        </w:trPr>
        <w:tc>
          <w:tcPr>
            <w:tcW w:w="8789" w:type="dxa"/>
            <w:gridSpan w:val="2"/>
          </w:tcPr>
          <w:p w14:paraId="34800B2B"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Borders>
              <w:bottom w:val="single" w:sz="4" w:space="0" w:color="auto"/>
            </w:tcBorders>
          </w:tcPr>
          <w:p w14:paraId="2F3933E8"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09B258F8" w14:textId="77777777" w:rsidTr="007864F9">
        <w:trPr>
          <w:gridAfter w:val="1"/>
          <w:wAfter w:w="1560" w:type="dxa"/>
        </w:trPr>
        <w:tc>
          <w:tcPr>
            <w:tcW w:w="8789" w:type="dxa"/>
            <w:gridSpan w:val="2"/>
          </w:tcPr>
          <w:p w14:paraId="6908A06E"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252" w:type="dxa"/>
            <w:gridSpan w:val="2"/>
            <w:tcBorders>
              <w:bottom w:val="single" w:sz="4" w:space="0" w:color="auto"/>
            </w:tcBorders>
          </w:tcPr>
          <w:p w14:paraId="0AFF92E0"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r w:rsidR="000C6764" w:rsidRPr="00475310" w14:paraId="7FB1F77C" w14:textId="77777777" w:rsidTr="007864F9">
        <w:tc>
          <w:tcPr>
            <w:tcW w:w="9840" w:type="dxa"/>
            <w:gridSpan w:val="3"/>
          </w:tcPr>
          <w:p w14:paraId="1A0BE169"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Ministrijas (citas institūcijas), kuras nav ieradušās uz sanāksmi vai kuras nav atbildējušas uz uzaicinājumu piedalīties elektroniskajā saskaņošanā</w:t>
            </w:r>
          </w:p>
          <w:p w14:paraId="54D33F47"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c>
          <w:tcPr>
            <w:tcW w:w="4761" w:type="dxa"/>
            <w:gridSpan w:val="2"/>
          </w:tcPr>
          <w:p w14:paraId="472F613B" w14:textId="77777777" w:rsidR="000C6764" w:rsidRPr="00475310" w:rsidRDefault="000C6764" w:rsidP="007864F9">
            <w:pPr>
              <w:spacing w:before="100" w:beforeAutospacing="1" w:after="100" w:afterAutospacing="1"/>
              <w:rPr>
                <w:rFonts w:ascii="Times New Roman" w:eastAsia="Times New Roman" w:hAnsi="Times New Roman"/>
                <w:color w:val="000000"/>
                <w:sz w:val="24"/>
                <w:szCs w:val="24"/>
                <w:lang w:eastAsia="lv-LV"/>
              </w:rPr>
            </w:pPr>
          </w:p>
        </w:tc>
      </w:tr>
    </w:tbl>
    <w:p w14:paraId="69705531" w14:textId="2CD60BD7" w:rsidR="000C6764" w:rsidRDefault="000C6764" w:rsidP="00FD2294">
      <w:pPr>
        <w:spacing w:line="240" w:lineRule="auto"/>
        <w:rPr>
          <w:rFonts w:ascii="Times New Roman" w:eastAsia="Times New Roman" w:hAnsi="Times New Roman"/>
          <w:b/>
          <w:bCs/>
          <w:sz w:val="28"/>
          <w:szCs w:val="28"/>
          <w:lang w:eastAsia="lv-LV"/>
        </w:rPr>
      </w:pPr>
    </w:p>
    <w:p w14:paraId="2A9108B4" w14:textId="77777777" w:rsidR="00D21B6B" w:rsidRPr="00D21B6B" w:rsidRDefault="00D21B6B" w:rsidP="00D21B6B">
      <w:pPr>
        <w:ind w:firstLine="720"/>
        <w:rPr>
          <w:rFonts w:ascii="Times New Roman" w:eastAsia="Times New Roman" w:hAnsi="Times New Roman"/>
          <w:sz w:val="28"/>
          <w:szCs w:val="28"/>
          <w:lang w:eastAsia="lv-LV"/>
        </w:rPr>
      </w:pPr>
    </w:p>
    <w:tbl>
      <w:tblPr>
        <w:tblStyle w:val="TableGrid"/>
        <w:tblW w:w="15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7"/>
      </w:tblGrid>
      <w:tr w:rsidR="000C6764" w:rsidRPr="00475310" w14:paraId="46136981" w14:textId="77777777" w:rsidTr="0000024A">
        <w:tc>
          <w:tcPr>
            <w:tcW w:w="15177" w:type="dxa"/>
          </w:tcPr>
          <w:p w14:paraId="1E7D1FF8" w14:textId="2B7BB046" w:rsidR="00BB0A4D" w:rsidRPr="005E3FE6" w:rsidRDefault="00BB0A4D" w:rsidP="005E3FE6">
            <w:pPr>
              <w:spacing w:before="100" w:beforeAutospacing="1" w:after="100" w:afterAutospacing="1"/>
              <w:rPr>
                <w:rFonts w:ascii="Times New Roman" w:eastAsia="Times New Roman" w:hAnsi="Times New Roman"/>
                <w:b/>
                <w:color w:val="000000"/>
                <w:sz w:val="24"/>
                <w:szCs w:val="24"/>
                <w:lang w:eastAsia="lv-LV"/>
              </w:rPr>
            </w:pPr>
          </w:p>
          <w:p w14:paraId="68F3435F" w14:textId="77777777" w:rsidR="00BB0A4D" w:rsidRPr="00BB0A4D" w:rsidRDefault="00BB0A4D" w:rsidP="00BB0A4D">
            <w:pPr>
              <w:pStyle w:val="ListParagraph"/>
              <w:spacing w:before="100" w:beforeAutospacing="1" w:after="100" w:afterAutospacing="1"/>
              <w:ind w:left="1800"/>
              <w:jc w:val="center"/>
              <w:rPr>
                <w:rFonts w:ascii="Times New Roman" w:eastAsia="Times New Roman" w:hAnsi="Times New Roman"/>
                <w:b/>
                <w:color w:val="000000"/>
                <w:sz w:val="24"/>
                <w:szCs w:val="24"/>
                <w:lang w:val="lv-LV" w:eastAsia="lv-LV"/>
              </w:rPr>
            </w:pPr>
          </w:p>
          <w:p w14:paraId="182CFBC8" w14:textId="5926F8FF" w:rsidR="000C6764" w:rsidRPr="00475310" w:rsidRDefault="000C6764" w:rsidP="0000024A">
            <w:pPr>
              <w:spacing w:before="100" w:beforeAutospacing="1" w:after="100" w:afterAutospacing="1"/>
              <w:jc w:val="center"/>
              <w:rPr>
                <w:rFonts w:ascii="Times New Roman" w:eastAsia="Times New Roman" w:hAnsi="Times New Roman"/>
                <w:b/>
                <w:color w:val="000000"/>
                <w:sz w:val="24"/>
                <w:szCs w:val="24"/>
                <w:lang w:eastAsia="lv-LV"/>
              </w:rPr>
            </w:pPr>
            <w:r w:rsidRPr="00475310">
              <w:rPr>
                <w:rFonts w:ascii="Times New Roman" w:eastAsia="Times New Roman" w:hAnsi="Times New Roman"/>
                <w:b/>
                <w:color w:val="000000"/>
                <w:sz w:val="24"/>
                <w:szCs w:val="24"/>
                <w:lang w:eastAsia="lv-LV"/>
              </w:rPr>
              <w:t>II. Jautājumi, par kuriem saskaņošanā vienošanās ir panākta</w:t>
            </w:r>
          </w:p>
          <w:tbl>
            <w:tblPr>
              <w:tblStyle w:val="TableGrid"/>
              <w:tblW w:w="14601" w:type="dxa"/>
              <w:tblLook w:val="04A0" w:firstRow="1" w:lastRow="0" w:firstColumn="1" w:lastColumn="0" w:noHBand="0" w:noVBand="1"/>
            </w:tblPr>
            <w:tblGrid>
              <w:gridCol w:w="576"/>
              <w:gridCol w:w="3799"/>
              <w:gridCol w:w="3889"/>
              <w:gridCol w:w="2475"/>
              <w:gridCol w:w="3862"/>
            </w:tblGrid>
            <w:tr w:rsidR="0000024A" w:rsidRPr="00475310" w14:paraId="1FA88F53" w14:textId="77777777" w:rsidTr="006D1253">
              <w:tc>
                <w:tcPr>
                  <w:tcW w:w="576" w:type="dxa"/>
                </w:tcPr>
                <w:p w14:paraId="40088FAD"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Nr. p.k.</w:t>
                  </w:r>
                </w:p>
              </w:tc>
              <w:tc>
                <w:tcPr>
                  <w:tcW w:w="3799" w:type="dxa"/>
                </w:tcPr>
                <w:p w14:paraId="237CC334"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Saskaņošanai nosūtītā projekta redakcija (konkrēta punkta (panta) redakcija)</w:t>
                  </w:r>
                </w:p>
              </w:tc>
              <w:tc>
                <w:tcPr>
                  <w:tcW w:w="3889" w:type="dxa"/>
                </w:tcPr>
                <w:p w14:paraId="04597630"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Atzinumā norādītais ministrijas (citas institūcijas) iebildums, kā arī saskaņošanā papildus izteiktais iebildums par projekta konkrēto punktu (pantu)</w:t>
                  </w:r>
                </w:p>
              </w:tc>
              <w:tc>
                <w:tcPr>
                  <w:tcW w:w="2475" w:type="dxa"/>
                </w:tcPr>
                <w:p w14:paraId="7717D02C"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Atbildīgās ministrijas norāde par to, ka iebildums ir ņemts vērā, vai informācija par saskaņošanā panākto alternatīvo risinājumu</w:t>
                  </w:r>
                </w:p>
              </w:tc>
              <w:tc>
                <w:tcPr>
                  <w:tcW w:w="3862" w:type="dxa"/>
                </w:tcPr>
                <w:p w14:paraId="679A25C9" w14:textId="77777777" w:rsidR="0000024A" w:rsidRPr="00475310" w:rsidRDefault="0000024A" w:rsidP="0000024A">
                  <w:pPr>
                    <w:spacing w:before="100" w:beforeAutospacing="1" w:after="100" w:afterAutospacing="1"/>
                    <w:jc w:val="both"/>
                    <w:rPr>
                      <w:rFonts w:ascii="Times New Roman" w:eastAsia="Times New Roman" w:hAnsi="Times New Roman"/>
                      <w:b/>
                      <w:color w:val="000000"/>
                      <w:sz w:val="24"/>
                      <w:szCs w:val="24"/>
                      <w:lang w:eastAsia="lv-LV"/>
                    </w:rPr>
                  </w:pPr>
                  <w:r w:rsidRPr="00475310">
                    <w:rPr>
                      <w:rFonts w:ascii="Times New Roman" w:eastAsia="Times New Roman" w:hAnsi="Times New Roman"/>
                      <w:color w:val="000000"/>
                      <w:sz w:val="24"/>
                      <w:szCs w:val="24"/>
                      <w:lang w:eastAsia="lv-LV"/>
                    </w:rPr>
                    <w:t>Projekta attiecīgā punkta (panta) galīgā redakcija</w:t>
                  </w:r>
                </w:p>
              </w:tc>
            </w:tr>
            <w:tr w:rsidR="0000024A" w:rsidRPr="00475310" w14:paraId="4D1B6C1C" w14:textId="77777777" w:rsidTr="006D1253">
              <w:trPr>
                <w:trHeight w:val="447"/>
              </w:trPr>
              <w:tc>
                <w:tcPr>
                  <w:tcW w:w="576" w:type="dxa"/>
                </w:tcPr>
                <w:p w14:paraId="208F2DEF"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1</w:t>
                  </w:r>
                </w:p>
              </w:tc>
              <w:tc>
                <w:tcPr>
                  <w:tcW w:w="3799" w:type="dxa"/>
                </w:tcPr>
                <w:p w14:paraId="2FE1E7F1" w14:textId="77777777" w:rsidR="0000024A" w:rsidRPr="00475310" w:rsidRDefault="0000024A" w:rsidP="0000024A">
                  <w:pPr>
                    <w:tabs>
                      <w:tab w:val="left" w:pos="688"/>
                      <w:tab w:val="center" w:pos="2025"/>
                    </w:tabs>
                    <w:spacing w:before="100" w:beforeAutospacing="1" w:after="100" w:afterAutospacing="1"/>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ab/>
                  </w:r>
                  <w:r w:rsidRPr="00475310">
                    <w:rPr>
                      <w:rFonts w:ascii="Times New Roman" w:eastAsia="Times New Roman" w:hAnsi="Times New Roman"/>
                      <w:color w:val="000000"/>
                      <w:sz w:val="24"/>
                      <w:szCs w:val="24"/>
                      <w:lang w:eastAsia="lv-LV"/>
                    </w:rPr>
                    <w:tab/>
                    <w:t>2</w:t>
                  </w:r>
                </w:p>
              </w:tc>
              <w:tc>
                <w:tcPr>
                  <w:tcW w:w="3889" w:type="dxa"/>
                </w:tcPr>
                <w:p w14:paraId="088BD249"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3</w:t>
                  </w:r>
                </w:p>
              </w:tc>
              <w:tc>
                <w:tcPr>
                  <w:tcW w:w="2475" w:type="dxa"/>
                </w:tcPr>
                <w:p w14:paraId="770EE3CD"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4</w:t>
                  </w:r>
                </w:p>
              </w:tc>
              <w:tc>
                <w:tcPr>
                  <w:tcW w:w="3862" w:type="dxa"/>
                </w:tcPr>
                <w:p w14:paraId="114632E6"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5</w:t>
                  </w:r>
                </w:p>
              </w:tc>
            </w:tr>
            <w:tr w:rsidR="0000024A" w:rsidRPr="00475310" w14:paraId="374D6B1F" w14:textId="77777777" w:rsidTr="006D1253">
              <w:trPr>
                <w:trHeight w:val="447"/>
              </w:trPr>
              <w:tc>
                <w:tcPr>
                  <w:tcW w:w="576" w:type="dxa"/>
                </w:tcPr>
                <w:p w14:paraId="300F3DBF"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t>1.</w:t>
                  </w:r>
                </w:p>
              </w:tc>
              <w:tc>
                <w:tcPr>
                  <w:tcW w:w="3799" w:type="dxa"/>
                </w:tcPr>
                <w:p w14:paraId="53C09E7A" w14:textId="7D2CB6F7" w:rsidR="0000024A" w:rsidRPr="00475310" w:rsidRDefault="0000024A" w:rsidP="0000024A">
                  <w:pPr>
                    <w:spacing w:before="100" w:beforeAutospacing="1" w:after="100" w:afterAutospacing="1"/>
                    <w:jc w:val="both"/>
                    <w:rPr>
                      <w:rFonts w:ascii="Times New Roman" w:eastAsia="Times New Roman" w:hAnsi="Times New Roman"/>
                      <w:color w:val="000000"/>
                      <w:sz w:val="24"/>
                      <w:szCs w:val="24"/>
                      <w:lang w:eastAsia="lv-LV"/>
                    </w:rPr>
                  </w:pPr>
                  <w:r w:rsidRPr="00475310">
                    <w:rPr>
                      <w:rFonts w:ascii="Times New Roman" w:hAnsi="Times New Roman"/>
                      <w:sz w:val="24"/>
                      <w:szCs w:val="24"/>
                    </w:rPr>
                    <w:t xml:space="preserve">MK noteikumu projekta </w:t>
                  </w:r>
                  <w:r w:rsidR="00CE4593">
                    <w:rPr>
                      <w:rFonts w:ascii="Times New Roman" w:hAnsi="Times New Roman"/>
                      <w:sz w:val="24"/>
                      <w:szCs w:val="24"/>
                    </w:rPr>
                    <w:t>anotācijas kopsavilkums.</w:t>
                  </w:r>
                </w:p>
              </w:tc>
              <w:tc>
                <w:tcPr>
                  <w:tcW w:w="3889" w:type="dxa"/>
                </w:tcPr>
                <w:p w14:paraId="1F8CA336" w14:textId="63933DDF" w:rsidR="0000024A" w:rsidRPr="00475310" w:rsidRDefault="00CE4593" w:rsidP="0000024A">
                  <w:pPr>
                    <w:spacing w:after="0"/>
                    <w:rPr>
                      <w:rFonts w:ascii="Times New Roman" w:hAnsi="Times New Roman"/>
                      <w:b/>
                      <w:color w:val="000000"/>
                      <w:sz w:val="24"/>
                      <w:szCs w:val="24"/>
                      <w:lang w:eastAsia="lv-LV" w:bidi="lo-LA"/>
                    </w:rPr>
                  </w:pPr>
                  <w:r>
                    <w:rPr>
                      <w:rFonts w:ascii="Times New Roman" w:hAnsi="Times New Roman"/>
                      <w:b/>
                      <w:color w:val="000000"/>
                      <w:sz w:val="24"/>
                      <w:szCs w:val="24"/>
                      <w:lang w:eastAsia="lv-LV" w:bidi="lo-LA"/>
                    </w:rPr>
                    <w:t>Tieslietu</w:t>
                  </w:r>
                  <w:r w:rsidR="006D1253">
                    <w:rPr>
                      <w:rFonts w:ascii="Times New Roman" w:hAnsi="Times New Roman"/>
                      <w:b/>
                      <w:color w:val="000000"/>
                      <w:sz w:val="24"/>
                      <w:szCs w:val="24"/>
                      <w:lang w:eastAsia="lv-LV" w:bidi="lo-LA"/>
                    </w:rPr>
                    <w:t xml:space="preserve"> ministrija</w:t>
                  </w:r>
                </w:p>
                <w:p w14:paraId="22B98827" w14:textId="77777777" w:rsidR="00CE4593" w:rsidRPr="00CE4593" w:rsidRDefault="00CE4593" w:rsidP="00CE4593">
                  <w:pPr>
                    <w:spacing w:after="0"/>
                    <w:jc w:val="both"/>
                    <w:rPr>
                      <w:rFonts w:ascii="Times New Roman" w:eastAsia="Times New Roman" w:hAnsi="Times New Roman"/>
                      <w:sz w:val="24"/>
                      <w:szCs w:val="24"/>
                    </w:rPr>
                  </w:pPr>
                  <w:r w:rsidRPr="00CE4593">
                    <w:rPr>
                      <w:rFonts w:ascii="Times New Roman" w:eastAsia="Times New Roman" w:hAnsi="Times New Roman"/>
                      <w:sz w:val="24"/>
                      <w:szCs w:val="24"/>
                    </w:rPr>
                    <w:t xml:space="preserve">Anotācijas kopsavilkumā norādīts, ka projektu mērķis ir izpildīt Eiropas Savienības Statistikas biroja prasības. Taču no anotācijas joprojām nav saprotams, par kādu Eiropas Savienības Statistikas biroja uzdoto uzdevumu ir runa. </w:t>
                  </w:r>
                </w:p>
                <w:p w14:paraId="715E0FE1" w14:textId="42A90879" w:rsidR="0000024A" w:rsidRPr="00475310" w:rsidRDefault="00CE4593" w:rsidP="00CE4593">
                  <w:pPr>
                    <w:spacing w:after="0"/>
                    <w:jc w:val="both"/>
                    <w:rPr>
                      <w:rFonts w:ascii="Times New Roman" w:eastAsia="Times New Roman" w:hAnsi="Times New Roman"/>
                      <w:sz w:val="24"/>
                      <w:szCs w:val="24"/>
                    </w:rPr>
                  </w:pPr>
                  <w:r w:rsidRPr="00CE4593">
                    <w:rPr>
                      <w:rFonts w:ascii="Times New Roman" w:eastAsia="Times New Roman" w:hAnsi="Times New Roman"/>
                      <w:sz w:val="24"/>
                      <w:szCs w:val="24"/>
                    </w:rPr>
                    <w:t xml:space="preserve">Atkārtoti norādām, ka gadījumā, ja datu vākšana izriet no Eiropas Savienības tiesību aktiem, </w:t>
                  </w:r>
                  <w:r w:rsidRPr="00CE4593">
                    <w:rPr>
                      <w:rFonts w:ascii="Times New Roman" w:eastAsia="Times New Roman" w:hAnsi="Times New Roman"/>
                      <w:sz w:val="24"/>
                      <w:szCs w:val="24"/>
                      <w:u w:val="single"/>
                    </w:rPr>
                    <w:t xml:space="preserve">anotācijā tie ir jānorāda un jāaizpilda anotācijas V sadaļa atbilstoši </w:t>
                  </w:r>
                  <w:r w:rsidRPr="00CE4593">
                    <w:rPr>
                      <w:rFonts w:ascii="Times New Roman" w:eastAsia="Times New Roman" w:hAnsi="Times New Roman"/>
                      <w:sz w:val="24"/>
                      <w:szCs w:val="24"/>
                    </w:rPr>
                    <w:t>Ministru kabineta 2009. gada 15. decembra instrukcijas Nr. 19 "Tiesību akta projekta sākotnējās ietekmes izvērtēšanas kārtība" (turpmāk – MK instrukcija Nr. 19) VI nodaļas prasībām.</w:t>
                  </w:r>
                </w:p>
              </w:tc>
              <w:tc>
                <w:tcPr>
                  <w:tcW w:w="2475" w:type="dxa"/>
                </w:tcPr>
                <w:p w14:paraId="6A89217A" w14:textId="77777777" w:rsidR="0000024A" w:rsidRDefault="00D06AA6" w:rsidP="0000024A">
                  <w:pPr>
                    <w:spacing w:after="0"/>
                    <w:jc w:val="both"/>
                    <w:rPr>
                      <w:rFonts w:ascii="Times New Roman" w:hAnsi="Times New Roman"/>
                      <w:b/>
                      <w:sz w:val="24"/>
                      <w:szCs w:val="24"/>
                    </w:rPr>
                  </w:pPr>
                  <w:r>
                    <w:rPr>
                      <w:rFonts w:ascii="Times New Roman" w:hAnsi="Times New Roman"/>
                      <w:b/>
                      <w:sz w:val="24"/>
                      <w:szCs w:val="24"/>
                    </w:rPr>
                    <w:t>Iebildums</w:t>
                  </w:r>
                  <w:r w:rsidR="0000024A" w:rsidRPr="00354DE1">
                    <w:rPr>
                      <w:rFonts w:ascii="Times New Roman" w:hAnsi="Times New Roman"/>
                      <w:b/>
                      <w:sz w:val="24"/>
                      <w:szCs w:val="24"/>
                    </w:rPr>
                    <w:t xml:space="preserve"> ņemts vērā</w:t>
                  </w:r>
                </w:p>
                <w:p w14:paraId="40940C98" w14:textId="1CB384E9" w:rsidR="00B40263" w:rsidRPr="00B40263" w:rsidRDefault="00B40263" w:rsidP="0000024A">
                  <w:pPr>
                    <w:spacing w:after="0"/>
                    <w:jc w:val="both"/>
                    <w:rPr>
                      <w:rFonts w:ascii="Times New Roman" w:hAnsi="Times New Roman"/>
                      <w:bCs/>
                      <w:color w:val="FF0000"/>
                      <w:sz w:val="24"/>
                      <w:szCs w:val="24"/>
                    </w:rPr>
                  </w:pPr>
                </w:p>
              </w:tc>
              <w:tc>
                <w:tcPr>
                  <w:tcW w:w="3862" w:type="dxa"/>
                </w:tcPr>
                <w:p w14:paraId="0AB405C1" w14:textId="0F59A572" w:rsidR="0000024A" w:rsidRPr="00475310" w:rsidRDefault="00B40263" w:rsidP="0000024A">
                  <w:pPr>
                    <w:spacing w:before="100" w:beforeAutospacing="1" w:after="100" w:afterAutospacing="1"/>
                    <w:jc w:val="both"/>
                    <w:rPr>
                      <w:rFonts w:ascii="Times New Roman" w:eastAsia="Times New Roman" w:hAnsi="Times New Roman"/>
                      <w:color w:val="000000"/>
                      <w:sz w:val="24"/>
                      <w:szCs w:val="24"/>
                      <w:lang w:eastAsia="lv-LV"/>
                    </w:rPr>
                  </w:pPr>
                  <w:r>
                    <w:rPr>
                      <w:rFonts w:ascii="Times New Roman" w:hAnsi="Times New Roman"/>
                      <w:sz w:val="24"/>
                      <w:szCs w:val="24"/>
                    </w:rPr>
                    <w:t xml:space="preserve">MK noteikumu projekta </w:t>
                  </w:r>
                  <w:r w:rsidR="00CE4593">
                    <w:rPr>
                      <w:rFonts w:ascii="Times New Roman" w:hAnsi="Times New Roman"/>
                      <w:sz w:val="24"/>
                      <w:szCs w:val="24"/>
                    </w:rPr>
                    <w:t>anotācijas kopsavilkums un I sadaļas 2. punkts precizēti.</w:t>
                  </w:r>
                </w:p>
              </w:tc>
            </w:tr>
            <w:tr w:rsidR="0000024A" w:rsidRPr="00475310" w14:paraId="0E604B85" w14:textId="77777777" w:rsidTr="006D1253">
              <w:trPr>
                <w:trHeight w:val="447"/>
              </w:trPr>
              <w:tc>
                <w:tcPr>
                  <w:tcW w:w="576" w:type="dxa"/>
                </w:tcPr>
                <w:p w14:paraId="30134BF8" w14:textId="77777777" w:rsidR="0000024A" w:rsidRPr="00475310" w:rsidRDefault="0000024A" w:rsidP="0000024A">
                  <w:pPr>
                    <w:spacing w:before="100" w:beforeAutospacing="1" w:after="100" w:afterAutospacing="1"/>
                    <w:jc w:val="center"/>
                    <w:rPr>
                      <w:rFonts w:ascii="Times New Roman" w:eastAsia="Times New Roman" w:hAnsi="Times New Roman"/>
                      <w:color w:val="000000"/>
                      <w:sz w:val="24"/>
                      <w:szCs w:val="24"/>
                      <w:lang w:eastAsia="lv-LV"/>
                    </w:rPr>
                  </w:pPr>
                  <w:r w:rsidRPr="00475310">
                    <w:rPr>
                      <w:rFonts w:ascii="Times New Roman" w:eastAsia="Times New Roman" w:hAnsi="Times New Roman"/>
                      <w:color w:val="000000"/>
                      <w:sz w:val="24"/>
                      <w:szCs w:val="24"/>
                      <w:lang w:eastAsia="lv-LV"/>
                    </w:rPr>
                    <w:lastRenderedPageBreak/>
                    <w:t>2.</w:t>
                  </w:r>
                </w:p>
              </w:tc>
              <w:tc>
                <w:tcPr>
                  <w:tcW w:w="3799" w:type="dxa"/>
                </w:tcPr>
                <w:p w14:paraId="6F563C69" w14:textId="12D165CD" w:rsidR="0000024A" w:rsidRPr="00475310" w:rsidRDefault="0000024A" w:rsidP="0000024A">
                  <w:pPr>
                    <w:spacing w:before="100" w:beforeAutospacing="1" w:after="100" w:afterAutospacing="1"/>
                    <w:jc w:val="both"/>
                    <w:rPr>
                      <w:rFonts w:ascii="Times New Roman" w:eastAsia="Times New Roman" w:hAnsi="Times New Roman"/>
                      <w:color w:val="000000"/>
                      <w:sz w:val="24"/>
                      <w:szCs w:val="24"/>
                      <w:lang w:eastAsia="lv-LV"/>
                    </w:rPr>
                  </w:pPr>
                  <w:r w:rsidRPr="004C56C2">
                    <w:rPr>
                      <w:rFonts w:ascii="Times New Roman" w:hAnsi="Times New Roman"/>
                      <w:sz w:val="24"/>
                      <w:szCs w:val="24"/>
                    </w:rPr>
                    <w:t xml:space="preserve">MK noteikumu </w:t>
                  </w:r>
                  <w:r w:rsidR="00263736">
                    <w:rPr>
                      <w:rFonts w:ascii="Times New Roman" w:hAnsi="Times New Roman"/>
                      <w:sz w:val="24"/>
                      <w:szCs w:val="24"/>
                    </w:rPr>
                    <w:t>projek</w:t>
                  </w:r>
                  <w:r w:rsidR="00EF066E">
                    <w:rPr>
                      <w:rFonts w:ascii="Times New Roman" w:hAnsi="Times New Roman"/>
                      <w:sz w:val="24"/>
                      <w:szCs w:val="24"/>
                    </w:rPr>
                    <w:t xml:space="preserve">ta </w:t>
                  </w:r>
                  <w:r w:rsidR="00CE4593">
                    <w:rPr>
                      <w:rFonts w:ascii="Times New Roman" w:hAnsi="Times New Roman"/>
                      <w:sz w:val="24"/>
                      <w:szCs w:val="24"/>
                    </w:rPr>
                    <w:t>anotācijas I sadaļas 1. punkts</w:t>
                  </w:r>
                  <w:r w:rsidR="00F77C81">
                    <w:rPr>
                      <w:rFonts w:ascii="Times New Roman" w:hAnsi="Times New Roman"/>
                      <w:sz w:val="24"/>
                      <w:szCs w:val="24"/>
                    </w:rPr>
                    <w:t>.</w:t>
                  </w:r>
                </w:p>
              </w:tc>
              <w:tc>
                <w:tcPr>
                  <w:tcW w:w="3889" w:type="dxa"/>
                </w:tcPr>
                <w:p w14:paraId="63352FEE" w14:textId="1982CC5F" w:rsidR="00263736" w:rsidRDefault="00CE4593" w:rsidP="00263736">
                  <w:pPr>
                    <w:spacing w:after="0"/>
                    <w:jc w:val="both"/>
                    <w:rPr>
                      <w:rFonts w:ascii="Times New Roman" w:hAnsi="Times New Roman"/>
                      <w:b/>
                      <w:sz w:val="24"/>
                      <w:szCs w:val="24"/>
                    </w:rPr>
                  </w:pPr>
                  <w:r>
                    <w:rPr>
                      <w:rFonts w:ascii="Times New Roman" w:hAnsi="Times New Roman"/>
                      <w:b/>
                      <w:sz w:val="24"/>
                      <w:szCs w:val="24"/>
                    </w:rPr>
                    <w:t>Tieslietu</w:t>
                  </w:r>
                  <w:r w:rsidR="006D1253">
                    <w:rPr>
                      <w:rFonts w:ascii="Times New Roman" w:hAnsi="Times New Roman"/>
                      <w:b/>
                      <w:sz w:val="24"/>
                      <w:szCs w:val="24"/>
                    </w:rPr>
                    <w:t xml:space="preserve"> mini</w:t>
                  </w:r>
                  <w:r w:rsidR="00BF792D">
                    <w:rPr>
                      <w:rFonts w:ascii="Times New Roman" w:hAnsi="Times New Roman"/>
                      <w:b/>
                      <w:sz w:val="24"/>
                      <w:szCs w:val="24"/>
                    </w:rPr>
                    <w:t>s</w:t>
                  </w:r>
                  <w:r w:rsidR="006D1253">
                    <w:rPr>
                      <w:rFonts w:ascii="Times New Roman" w:hAnsi="Times New Roman"/>
                      <w:b/>
                      <w:sz w:val="24"/>
                      <w:szCs w:val="24"/>
                    </w:rPr>
                    <w:t>trija</w:t>
                  </w:r>
                </w:p>
                <w:p w14:paraId="2737E080" w14:textId="5A674DFD" w:rsidR="0000024A" w:rsidRPr="00263736" w:rsidRDefault="00CE4593" w:rsidP="00CE4593">
                  <w:pPr>
                    <w:spacing w:after="0"/>
                    <w:jc w:val="both"/>
                    <w:rPr>
                      <w:rFonts w:ascii="Times New Roman" w:hAnsi="Times New Roman"/>
                      <w:b/>
                      <w:sz w:val="24"/>
                      <w:szCs w:val="24"/>
                    </w:rPr>
                  </w:pPr>
                  <w:r w:rsidRPr="00CE4593">
                    <w:rPr>
                      <w:rFonts w:ascii="Times New Roman" w:hAnsi="Times New Roman"/>
                      <w:bCs/>
                      <w:iCs/>
                      <w:color w:val="000000"/>
                      <w:sz w:val="24"/>
                      <w:szCs w:val="24"/>
                      <w:lang w:eastAsia="lv-LV" w:bidi="lo-LA"/>
                    </w:rPr>
                    <w:t>Saskaņā ar MK instrukcijas Nr. 19 13. punktu anotācijas I sadaļas 1. punktā "Pamatojums" norāda atsauci uz Deklarāciju par Ministru kabineta iecerēto darbību, attīstības plānošanas dokumentiem vai tiesību aktiem, no kuriem izriet nepieciešamība izstrādāt projektu vai kuru īstenošanu veicinās projekts. Norādām, ka projekta nepieciešamība neizriet nedz no Statistikas likuma 6. panta otrās daļas, nedz no minētā likuma 11. panta. Ievērojot minēto, lūdzam precizēt anotācijas I sadaļas 1. punktu.</w:t>
                  </w:r>
                </w:p>
              </w:tc>
              <w:tc>
                <w:tcPr>
                  <w:tcW w:w="2475" w:type="dxa"/>
                </w:tcPr>
                <w:p w14:paraId="25AC559C" w14:textId="77777777" w:rsidR="0000024A" w:rsidRPr="00354DE1" w:rsidRDefault="0000024A" w:rsidP="0000024A">
                  <w:pPr>
                    <w:spacing w:after="0"/>
                    <w:jc w:val="both"/>
                    <w:rPr>
                      <w:rFonts w:ascii="Times New Roman" w:hAnsi="Times New Roman"/>
                      <w:b/>
                      <w:color w:val="FF0000"/>
                      <w:sz w:val="24"/>
                      <w:szCs w:val="24"/>
                    </w:rPr>
                  </w:pPr>
                  <w:r w:rsidRPr="00354DE1">
                    <w:rPr>
                      <w:rFonts w:ascii="Times New Roman" w:hAnsi="Times New Roman"/>
                      <w:b/>
                      <w:sz w:val="24"/>
                      <w:szCs w:val="24"/>
                    </w:rPr>
                    <w:t>Iebildums ņemts vērā</w:t>
                  </w:r>
                </w:p>
              </w:tc>
              <w:tc>
                <w:tcPr>
                  <w:tcW w:w="3862" w:type="dxa"/>
                </w:tcPr>
                <w:p w14:paraId="5F5D039B" w14:textId="711041DC" w:rsidR="0000024A" w:rsidRPr="00475310" w:rsidRDefault="00CE4593" w:rsidP="0000024A">
                  <w:pPr>
                    <w:pStyle w:val="NormalWeb"/>
                    <w:spacing w:before="0" w:after="0"/>
                    <w:ind w:right="527"/>
                    <w:jc w:val="both"/>
                  </w:pPr>
                  <w:r w:rsidRPr="004C56C2">
                    <w:t xml:space="preserve">MK noteikumu </w:t>
                  </w:r>
                  <w:r>
                    <w:t xml:space="preserve">projekta anotācijas I sadaļas 1. punkts precizēts. </w:t>
                  </w:r>
                </w:p>
              </w:tc>
            </w:tr>
            <w:tr w:rsidR="003A6E00" w:rsidRPr="00475310" w14:paraId="1AD295CB" w14:textId="77777777" w:rsidTr="006D1253">
              <w:trPr>
                <w:trHeight w:val="447"/>
              </w:trPr>
              <w:tc>
                <w:tcPr>
                  <w:tcW w:w="576" w:type="dxa"/>
                </w:tcPr>
                <w:p w14:paraId="326DC4F5" w14:textId="05652A83" w:rsidR="003A6E00" w:rsidRPr="00475310" w:rsidRDefault="003A6E00"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3. </w:t>
                  </w:r>
                </w:p>
              </w:tc>
              <w:tc>
                <w:tcPr>
                  <w:tcW w:w="3799" w:type="dxa"/>
                </w:tcPr>
                <w:p w14:paraId="3829C66B" w14:textId="7F7455B3" w:rsidR="003A6E00" w:rsidRPr="004C56C2" w:rsidRDefault="003A6E00" w:rsidP="0000024A">
                  <w:pPr>
                    <w:spacing w:before="100" w:beforeAutospacing="1" w:after="100" w:afterAutospacing="1"/>
                    <w:jc w:val="both"/>
                    <w:rPr>
                      <w:rFonts w:ascii="Times New Roman" w:hAnsi="Times New Roman"/>
                      <w:sz w:val="24"/>
                      <w:szCs w:val="24"/>
                    </w:rPr>
                  </w:pPr>
                  <w:r>
                    <w:rPr>
                      <w:rFonts w:ascii="Times New Roman" w:hAnsi="Times New Roman"/>
                      <w:sz w:val="24"/>
                      <w:szCs w:val="24"/>
                    </w:rPr>
                    <w:t>MK noteikumu projekt</w:t>
                  </w:r>
                  <w:r w:rsidR="00286A2E">
                    <w:rPr>
                      <w:rFonts w:ascii="Times New Roman" w:hAnsi="Times New Roman"/>
                      <w:sz w:val="24"/>
                      <w:szCs w:val="24"/>
                    </w:rPr>
                    <w:t>a anotācijas II sadaļas 1. un 2. punkts.</w:t>
                  </w:r>
                </w:p>
              </w:tc>
              <w:tc>
                <w:tcPr>
                  <w:tcW w:w="3889" w:type="dxa"/>
                </w:tcPr>
                <w:p w14:paraId="067403A0" w14:textId="77777777" w:rsidR="003A6E00" w:rsidRDefault="003A6E00" w:rsidP="00263736">
                  <w:pPr>
                    <w:spacing w:after="0"/>
                    <w:jc w:val="both"/>
                    <w:rPr>
                      <w:rFonts w:ascii="Times New Roman" w:hAnsi="Times New Roman"/>
                      <w:b/>
                      <w:sz w:val="24"/>
                      <w:szCs w:val="24"/>
                    </w:rPr>
                  </w:pPr>
                  <w:r>
                    <w:rPr>
                      <w:rFonts w:ascii="Times New Roman" w:hAnsi="Times New Roman"/>
                      <w:b/>
                      <w:sz w:val="24"/>
                      <w:szCs w:val="24"/>
                    </w:rPr>
                    <w:t>Tieslietu ministrija</w:t>
                  </w:r>
                </w:p>
                <w:p w14:paraId="5D43BE85" w14:textId="77777777" w:rsidR="00286A2E" w:rsidRPr="00286A2E" w:rsidRDefault="00286A2E" w:rsidP="00286A2E">
                  <w:pPr>
                    <w:spacing w:after="0"/>
                    <w:jc w:val="both"/>
                    <w:rPr>
                      <w:rFonts w:ascii="Times New Roman" w:hAnsi="Times New Roman"/>
                      <w:bCs/>
                      <w:sz w:val="24"/>
                      <w:szCs w:val="24"/>
                    </w:rPr>
                  </w:pPr>
                  <w:r w:rsidRPr="00286A2E">
                    <w:rPr>
                      <w:rFonts w:ascii="Times New Roman" w:hAnsi="Times New Roman"/>
                      <w:bCs/>
                      <w:sz w:val="24"/>
                      <w:szCs w:val="24"/>
                    </w:rPr>
                    <w:t>Anotācijas II sadaļas 2. punktā norādīts, ka "</w:t>
                  </w:r>
                  <w:r w:rsidRPr="00286A2E">
                    <w:rPr>
                      <w:rFonts w:ascii="Times New Roman" w:hAnsi="Times New Roman"/>
                      <w:bCs/>
                      <w:i/>
                      <w:iCs/>
                      <w:sz w:val="24"/>
                      <w:szCs w:val="24"/>
                    </w:rPr>
                    <w:t>Pārvaldes administratīvais slogs, kas rodas, apkopojot MK noteikumu projektā noteiktās veidlapas, tiks aprēķināts Ministru kabineta noteikumu „Noteikumi par Oficiālās statistikas programmu 2021.-2023. gadam” ietvaros</w:t>
                  </w:r>
                  <w:r w:rsidRPr="00286A2E">
                    <w:rPr>
                      <w:rFonts w:ascii="Times New Roman" w:hAnsi="Times New Roman"/>
                      <w:bCs/>
                      <w:sz w:val="24"/>
                      <w:szCs w:val="24"/>
                    </w:rPr>
                    <w:t>". Tieslietu ministrija norāda, ka anotācija ir apvienota, proti, tajā ir atspoguļots gan MK noteikumu projekts Nr. 812, gan MK noteikumu projekts Nr. 691. Līdz ar to nav skaidri saprotams, kas ar minēto tika domāts.</w:t>
                  </w:r>
                </w:p>
                <w:p w14:paraId="0AF0D162" w14:textId="77777777" w:rsidR="00286A2E" w:rsidRPr="00286A2E" w:rsidRDefault="00286A2E" w:rsidP="00286A2E">
                  <w:pPr>
                    <w:spacing w:after="0"/>
                    <w:jc w:val="both"/>
                    <w:rPr>
                      <w:rFonts w:ascii="Times New Roman" w:hAnsi="Times New Roman"/>
                      <w:bCs/>
                      <w:sz w:val="24"/>
                      <w:szCs w:val="24"/>
                    </w:rPr>
                  </w:pPr>
                  <w:r w:rsidRPr="00286A2E">
                    <w:rPr>
                      <w:rFonts w:ascii="Times New Roman" w:hAnsi="Times New Roman"/>
                      <w:bCs/>
                      <w:sz w:val="24"/>
                      <w:szCs w:val="24"/>
                    </w:rPr>
                    <w:t xml:space="preserve">Atkārtoti lūdzam precizēt anotācijas II sadaļas 2. punktu atbilstoši MK </w:t>
                  </w:r>
                  <w:r w:rsidRPr="00286A2E">
                    <w:rPr>
                      <w:rFonts w:ascii="Times New Roman" w:hAnsi="Times New Roman"/>
                      <w:bCs/>
                      <w:sz w:val="24"/>
                      <w:szCs w:val="24"/>
                    </w:rPr>
                    <w:lastRenderedPageBreak/>
                    <w:t xml:space="preserve">instrukcija Nr. 19 22.2. apakšpunktā noteiktajam. </w:t>
                  </w:r>
                </w:p>
                <w:p w14:paraId="35ADC16D" w14:textId="539D40A4" w:rsidR="003A6E00" w:rsidRPr="003A6E00" w:rsidRDefault="00286A2E" w:rsidP="00286A2E">
                  <w:pPr>
                    <w:spacing w:after="0"/>
                    <w:jc w:val="both"/>
                    <w:rPr>
                      <w:rFonts w:ascii="Times New Roman" w:hAnsi="Times New Roman"/>
                      <w:bCs/>
                      <w:sz w:val="24"/>
                      <w:szCs w:val="24"/>
                    </w:rPr>
                  </w:pPr>
                  <w:r w:rsidRPr="00286A2E">
                    <w:rPr>
                      <w:rFonts w:ascii="Times New Roman" w:hAnsi="Times New Roman"/>
                      <w:bCs/>
                      <w:sz w:val="24"/>
                      <w:szCs w:val="24"/>
                    </w:rPr>
                    <w:t>Vienlaikus lūdzam papildināt anotācijas II sadaļas 1. punktu arī ar Centrālo statistikas pārvaldi (turpmāk – Pārvalde), ņemot vērā, ka projekti tiešā veidā skars Pārvaldi.</w:t>
                  </w:r>
                </w:p>
              </w:tc>
              <w:tc>
                <w:tcPr>
                  <w:tcW w:w="2475" w:type="dxa"/>
                </w:tcPr>
                <w:p w14:paraId="65E2422B" w14:textId="598649C9" w:rsidR="003A6E00" w:rsidRPr="00354DE1" w:rsidRDefault="003A6E00" w:rsidP="0000024A">
                  <w:pPr>
                    <w:spacing w:after="0"/>
                    <w:jc w:val="both"/>
                    <w:rPr>
                      <w:rFonts w:ascii="Times New Roman" w:hAnsi="Times New Roman"/>
                      <w:b/>
                      <w:sz w:val="24"/>
                      <w:szCs w:val="24"/>
                    </w:rPr>
                  </w:pPr>
                  <w:r>
                    <w:rPr>
                      <w:rFonts w:ascii="Times New Roman" w:hAnsi="Times New Roman"/>
                      <w:b/>
                      <w:sz w:val="24"/>
                      <w:szCs w:val="24"/>
                    </w:rPr>
                    <w:lastRenderedPageBreak/>
                    <w:t>Iebildums ņemts vērā</w:t>
                  </w:r>
                </w:p>
              </w:tc>
              <w:tc>
                <w:tcPr>
                  <w:tcW w:w="3862" w:type="dxa"/>
                </w:tcPr>
                <w:p w14:paraId="34116814" w14:textId="5FF8479C" w:rsidR="003A6E00" w:rsidRDefault="00286A2E" w:rsidP="0000024A">
                  <w:pPr>
                    <w:pStyle w:val="NormalWeb"/>
                    <w:spacing w:before="0" w:after="0"/>
                    <w:ind w:right="527"/>
                    <w:jc w:val="both"/>
                  </w:pPr>
                  <w:r w:rsidRPr="00286A2E">
                    <w:t>MK noteikumu projekta anotācijas II sadaļas 1. un 2. punkts</w:t>
                  </w:r>
                  <w:r>
                    <w:t xml:space="preserve"> precizēts. </w:t>
                  </w:r>
                </w:p>
              </w:tc>
            </w:tr>
            <w:tr w:rsidR="00D67E09" w:rsidRPr="00475310" w14:paraId="5F320734" w14:textId="77777777" w:rsidTr="006D1253">
              <w:trPr>
                <w:trHeight w:val="447"/>
              </w:trPr>
              <w:tc>
                <w:tcPr>
                  <w:tcW w:w="576" w:type="dxa"/>
                </w:tcPr>
                <w:p w14:paraId="67B5D4FA" w14:textId="689848EC" w:rsidR="00D67E09" w:rsidRDefault="00D67E09"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4.</w:t>
                  </w:r>
                </w:p>
              </w:tc>
              <w:tc>
                <w:tcPr>
                  <w:tcW w:w="3799" w:type="dxa"/>
                </w:tcPr>
                <w:p w14:paraId="45B86A17" w14:textId="5370533C" w:rsidR="00D67E09" w:rsidRDefault="00D67E09" w:rsidP="0000024A">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MK noteikumu projekta anotācijas II sadaļas </w:t>
                  </w:r>
                  <w:r w:rsidR="00286A2E">
                    <w:rPr>
                      <w:rFonts w:ascii="Times New Roman" w:hAnsi="Times New Roman"/>
                      <w:sz w:val="24"/>
                      <w:szCs w:val="24"/>
                    </w:rPr>
                    <w:t>3</w:t>
                  </w:r>
                  <w:r>
                    <w:rPr>
                      <w:rFonts w:ascii="Times New Roman" w:hAnsi="Times New Roman"/>
                      <w:sz w:val="24"/>
                      <w:szCs w:val="24"/>
                    </w:rPr>
                    <w:t>. punkts</w:t>
                  </w:r>
                  <w:r w:rsidR="00286A2E">
                    <w:rPr>
                      <w:rFonts w:ascii="Times New Roman" w:hAnsi="Times New Roman"/>
                      <w:sz w:val="24"/>
                      <w:szCs w:val="24"/>
                    </w:rPr>
                    <w:t>.</w:t>
                  </w:r>
                </w:p>
              </w:tc>
              <w:tc>
                <w:tcPr>
                  <w:tcW w:w="3889" w:type="dxa"/>
                </w:tcPr>
                <w:p w14:paraId="4E554B8A" w14:textId="77777777" w:rsidR="00D67E09" w:rsidRDefault="00D67E09" w:rsidP="00263736">
                  <w:pPr>
                    <w:spacing w:after="0"/>
                    <w:jc w:val="both"/>
                    <w:rPr>
                      <w:rFonts w:ascii="Times New Roman" w:hAnsi="Times New Roman"/>
                      <w:b/>
                      <w:sz w:val="24"/>
                      <w:szCs w:val="24"/>
                    </w:rPr>
                  </w:pPr>
                  <w:r>
                    <w:rPr>
                      <w:rFonts w:ascii="Times New Roman" w:hAnsi="Times New Roman"/>
                      <w:b/>
                      <w:sz w:val="24"/>
                      <w:szCs w:val="24"/>
                    </w:rPr>
                    <w:t>Tieslietu ministrija</w:t>
                  </w:r>
                </w:p>
                <w:p w14:paraId="5DB379D9" w14:textId="77777777" w:rsidR="00286A2E" w:rsidRPr="00286A2E" w:rsidRDefault="00286A2E" w:rsidP="00286A2E">
                  <w:pPr>
                    <w:spacing w:after="0"/>
                    <w:jc w:val="both"/>
                    <w:rPr>
                      <w:rFonts w:ascii="Times New Roman" w:hAnsi="Times New Roman"/>
                      <w:bCs/>
                      <w:sz w:val="24"/>
                      <w:szCs w:val="24"/>
                    </w:rPr>
                  </w:pPr>
                  <w:r w:rsidRPr="00286A2E">
                    <w:rPr>
                      <w:rFonts w:ascii="Times New Roman" w:hAnsi="Times New Roman"/>
                      <w:bCs/>
                      <w:sz w:val="24"/>
                      <w:szCs w:val="24"/>
                    </w:rPr>
                    <w:t>Anotācijas II sadaļas 3.punktā norādīts, ka MK noteikumu projekts Nr. 691 1. punktā ietvertā tiesiskā regulējuma īstenošana tiks nodrošināta esošo resursu ietvaros un neprasa papildu resursus. Vēršam uzmanību, ka anotācijas II sadaļas 3. punktā jānorāda projekta ietekme uz administratīvajām izmaksām, nevis ietekme uz budžetu. Līdz ar to anotācijas II sadaļas 3.punkts atbilstoši precizējams.</w:t>
                  </w:r>
                </w:p>
                <w:p w14:paraId="4ECAC414" w14:textId="1790500F" w:rsidR="00D67E09" w:rsidRPr="00D67E09" w:rsidRDefault="00286A2E" w:rsidP="00286A2E">
                  <w:pPr>
                    <w:spacing w:after="0"/>
                    <w:jc w:val="both"/>
                    <w:rPr>
                      <w:rFonts w:ascii="Times New Roman" w:hAnsi="Times New Roman"/>
                      <w:bCs/>
                      <w:sz w:val="24"/>
                      <w:szCs w:val="24"/>
                    </w:rPr>
                  </w:pPr>
                  <w:r w:rsidRPr="00286A2E">
                    <w:rPr>
                      <w:rFonts w:ascii="Times New Roman" w:hAnsi="Times New Roman"/>
                      <w:bCs/>
                      <w:sz w:val="24"/>
                      <w:szCs w:val="24"/>
                    </w:rPr>
                    <w:t>Papildus vēršam uzmanību uz anotācijas II sadaļas 3.punktā norādīto, proti, ka "</w:t>
                  </w:r>
                  <w:r w:rsidRPr="00286A2E">
                    <w:rPr>
                      <w:rFonts w:ascii="Times New Roman" w:hAnsi="Times New Roman"/>
                      <w:bCs/>
                      <w:i/>
                      <w:iCs/>
                      <w:sz w:val="24"/>
                      <w:szCs w:val="24"/>
                    </w:rPr>
                    <w:t xml:space="preserve">OSP MK noteikumu projekta 1. punkts - ietvertā tiesiskā regulējuma īstenošana tiks nodrošināta esošo resursu ietvaros un neprasa papildu resursus. </w:t>
                  </w:r>
                  <w:r w:rsidRPr="00286A2E">
                    <w:rPr>
                      <w:rFonts w:ascii="Times New Roman" w:hAnsi="Times New Roman"/>
                      <w:bCs/>
                      <w:i/>
                      <w:iCs/>
                      <w:sz w:val="24"/>
                      <w:szCs w:val="24"/>
                      <w:u w:val="single"/>
                    </w:rPr>
                    <w:t>Minētie resursi/administratīvais slogs tiek aprēķināti, izstrādājot ikgadējos Oficiālās statistikas programmas noteikumus</w:t>
                  </w:r>
                  <w:r w:rsidRPr="00286A2E">
                    <w:rPr>
                      <w:rFonts w:ascii="Times New Roman" w:hAnsi="Times New Roman"/>
                      <w:bCs/>
                      <w:sz w:val="24"/>
                      <w:szCs w:val="24"/>
                      <w:u w:val="single"/>
                    </w:rPr>
                    <w:t>"</w:t>
                  </w:r>
                  <w:r w:rsidRPr="00286A2E">
                    <w:rPr>
                      <w:rFonts w:ascii="Times New Roman" w:hAnsi="Times New Roman"/>
                      <w:bCs/>
                      <w:i/>
                      <w:iCs/>
                      <w:sz w:val="24"/>
                      <w:szCs w:val="24"/>
                    </w:rPr>
                    <w:t xml:space="preserve">. </w:t>
                  </w:r>
                  <w:r w:rsidRPr="00286A2E">
                    <w:rPr>
                      <w:rFonts w:ascii="Times New Roman" w:hAnsi="Times New Roman"/>
                      <w:bCs/>
                      <w:sz w:val="24"/>
                      <w:szCs w:val="24"/>
                    </w:rPr>
                    <w:t xml:space="preserve">Lūdzam sniegt skaidrojumu, par kādiem ikgadējiem Oficiālās statistikas programmas </w:t>
                  </w:r>
                  <w:r w:rsidRPr="00286A2E">
                    <w:rPr>
                      <w:rFonts w:ascii="Times New Roman" w:hAnsi="Times New Roman"/>
                      <w:bCs/>
                      <w:sz w:val="24"/>
                      <w:szCs w:val="24"/>
                    </w:rPr>
                    <w:lastRenderedPageBreak/>
                    <w:t>noteikumiem šeit ir domāts. Tāpat norādām, ka</w:t>
                  </w:r>
                  <w:r w:rsidRPr="00286A2E">
                    <w:rPr>
                      <w:rFonts w:ascii="Times New Roman" w:hAnsi="Times New Roman"/>
                      <w:bCs/>
                      <w:sz w:val="24"/>
                      <w:szCs w:val="24"/>
                      <w:u w:val="single"/>
                    </w:rPr>
                    <w:t xml:space="preserve"> anotācijā ir jāatspoguļo projekta sākotnējās ietekmes izvērtēšanas rezultāts, un tas netiek vērtēts kāda cita projekta anotācijā.</w:t>
                  </w:r>
                  <w:r w:rsidR="00D224A2" w:rsidRPr="00D224A2">
                    <w:rPr>
                      <w:rFonts w:ascii="Times New Roman" w:eastAsia="Times New Roman" w:hAnsi="Times New Roman"/>
                      <w:sz w:val="24"/>
                      <w:szCs w:val="24"/>
                      <w:lang w:eastAsia="lv-LV"/>
                    </w:rPr>
                    <w:t xml:space="preserve"> </w:t>
                  </w:r>
                  <w:r w:rsidR="00D224A2" w:rsidRPr="00D224A2">
                    <w:rPr>
                      <w:rFonts w:ascii="Times New Roman" w:hAnsi="Times New Roman"/>
                      <w:bCs/>
                      <w:sz w:val="24"/>
                      <w:szCs w:val="24"/>
                      <w:u w:val="single"/>
                    </w:rPr>
                    <w:t>Atkārtoti vēršam uzmanību, ka administratīvās izmaksas rada ne tikai informācijas sniegšana, bet arī pienākumi, kas izriet no informācijas apstrādes un uzglabāšanas.</w:t>
                  </w:r>
                </w:p>
              </w:tc>
              <w:tc>
                <w:tcPr>
                  <w:tcW w:w="2475" w:type="dxa"/>
                </w:tcPr>
                <w:p w14:paraId="53D1174B" w14:textId="04910605" w:rsidR="00D67E09" w:rsidRDefault="00D67E09" w:rsidP="0000024A">
                  <w:pPr>
                    <w:spacing w:after="0"/>
                    <w:jc w:val="both"/>
                    <w:rPr>
                      <w:rFonts w:ascii="Times New Roman" w:hAnsi="Times New Roman"/>
                      <w:b/>
                      <w:sz w:val="24"/>
                      <w:szCs w:val="24"/>
                    </w:rPr>
                  </w:pPr>
                  <w:r>
                    <w:rPr>
                      <w:rFonts w:ascii="Times New Roman" w:hAnsi="Times New Roman"/>
                      <w:b/>
                      <w:sz w:val="24"/>
                      <w:szCs w:val="24"/>
                    </w:rPr>
                    <w:lastRenderedPageBreak/>
                    <w:t>Iebildums ņemts vērā</w:t>
                  </w:r>
                </w:p>
              </w:tc>
              <w:tc>
                <w:tcPr>
                  <w:tcW w:w="3862" w:type="dxa"/>
                </w:tcPr>
                <w:p w14:paraId="177784E5" w14:textId="00B508EC" w:rsidR="00D67E09" w:rsidRDefault="00286A2E" w:rsidP="0000024A">
                  <w:pPr>
                    <w:pStyle w:val="NormalWeb"/>
                    <w:spacing w:before="0" w:after="0"/>
                    <w:ind w:right="527"/>
                    <w:jc w:val="both"/>
                  </w:pPr>
                  <w:r>
                    <w:t>MK noteikumu projekta anotācijas II sadaļas 3. punkts precizēts.</w:t>
                  </w:r>
                </w:p>
              </w:tc>
            </w:tr>
            <w:tr w:rsidR="00D67E09" w:rsidRPr="00475310" w14:paraId="13B8FC1C" w14:textId="77777777" w:rsidTr="006D1253">
              <w:trPr>
                <w:trHeight w:val="447"/>
              </w:trPr>
              <w:tc>
                <w:tcPr>
                  <w:tcW w:w="576" w:type="dxa"/>
                </w:tcPr>
                <w:p w14:paraId="037B8CAE" w14:textId="0517D8E7" w:rsidR="00D67E09" w:rsidRDefault="00D67E09"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5.</w:t>
                  </w:r>
                </w:p>
              </w:tc>
              <w:tc>
                <w:tcPr>
                  <w:tcW w:w="3799" w:type="dxa"/>
                </w:tcPr>
                <w:p w14:paraId="35D099B2" w14:textId="01291DFE" w:rsidR="00D67E09" w:rsidRDefault="00D67E09" w:rsidP="0000024A">
                  <w:pPr>
                    <w:spacing w:before="100" w:beforeAutospacing="1" w:after="100" w:afterAutospacing="1"/>
                    <w:jc w:val="both"/>
                    <w:rPr>
                      <w:rFonts w:ascii="Times New Roman" w:hAnsi="Times New Roman"/>
                      <w:sz w:val="24"/>
                      <w:szCs w:val="24"/>
                    </w:rPr>
                  </w:pPr>
                  <w:r>
                    <w:rPr>
                      <w:rFonts w:ascii="Times New Roman" w:hAnsi="Times New Roman"/>
                      <w:sz w:val="24"/>
                      <w:szCs w:val="24"/>
                    </w:rPr>
                    <w:t>MK noteikumu projekta VI sadaļas 2. punkts</w:t>
                  </w:r>
                  <w:r w:rsidR="00960EFB">
                    <w:rPr>
                      <w:rFonts w:ascii="Times New Roman" w:hAnsi="Times New Roman"/>
                      <w:sz w:val="24"/>
                      <w:szCs w:val="24"/>
                    </w:rPr>
                    <w:t>.</w:t>
                  </w:r>
                </w:p>
              </w:tc>
              <w:tc>
                <w:tcPr>
                  <w:tcW w:w="3889" w:type="dxa"/>
                </w:tcPr>
                <w:p w14:paraId="770DC5E5" w14:textId="77777777" w:rsidR="00D67E09" w:rsidRDefault="00D67E09" w:rsidP="00263736">
                  <w:pPr>
                    <w:spacing w:after="0"/>
                    <w:jc w:val="both"/>
                    <w:rPr>
                      <w:rFonts w:ascii="Times New Roman" w:hAnsi="Times New Roman"/>
                      <w:b/>
                      <w:sz w:val="24"/>
                      <w:szCs w:val="24"/>
                    </w:rPr>
                  </w:pPr>
                  <w:r>
                    <w:rPr>
                      <w:rFonts w:ascii="Times New Roman" w:hAnsi="Times New Roman"/>
                      <w:b/>
                      <w:sz w:val="24"/>
                      <w:szCs w:val="24"/>
                    </w:rPr>
                    <w:t>Tieslietu ministrija</w:t>
                  </w:r>
                </w:p>
                <w:p w14:paraId="1EA51B21" w14:textId="4C55DC07" w:rsidR="00D67E09" w:rsidRPr="00D67E09" w:rsidRDefault="00960EFB" w:rsidP="00263736">
                  <w:pPr>
                    <w:spacing w:after="0"/>
                    <w:jc w:val="both"/>
                    <w:rPr>
                      <w:rFonts w:ascii="Times New Roman" w:hAnsi="Times New Roman"/>
                      <w:bCs/>
                      <w:sz w:val="24"/>
                      <w:szCs w:val="24"/>
                    </w:rPr>
                  </w:pPr>
                  <w:r w:rsidRPr="00960EFB">
                    <w:rPr>
                      <w:rFonts w:ascii="Times New Roman" w:hAnsi="Times New Roman"/>
                      <w:bCs/>
                      <w:sz w:val="24"/>
                      <w:szCs w:val="24"/>
                    </w:rPr>
                    <w:t>Atkārtoti lūdzam, anotācijas VI sadaļas 2. punktā norādīt saites uz paziņojuma par sabiedrības līdzdalību publikāciju Ekonomikas ministrijas un Pārvaldes tīmekļa vietnē.</w:t>
                  </w:r>
                </w:p>
              </w:tc>
              <w:tc>
                <w:tcPr>
                  <w:tcW w:w="2475" w:type="dxa"/>
                </w:tcPr>
                <w:p w14:paraId="3F0E962F" w14:textId="1F789553" w:rsidR="00D67E09" w:rsidRDefault="00D67E09" w:rsidP="0000024A">
                  <w:pPr>
                    <w:spacing w:after="0"/>
                    <w:jc w:val="both"/>
                    <w:rPr>
                      <w:rFonts w:ascii="Times New Roman" w:hAnsi="Times New Roman"/>
                      <w:b/>
                      <w:sz w:val="24"/>
                      <w:szCs w:val="24"/>
                    </w:rPr>
                  </w:pPr>
                  <w:r>
                    <w:rPr>
                      <w:rFonts w:ascii="Times New Roman" w:hAnsi="Times New Roman"/>
                      <w:b/>
                      <w:sz w:val="24"/>
                      <w:szCs w:val="24"/>
                    </w:rPr>
                    <w:t>Iebildums ņemts vērā</w:t>
                  </w:r>
                </w:p>
              </w:tc>
              <w:tc>
                <w:tcPr>
                  <w:tcW w:w="3862" w:type="dxa"/>
                </w:tcPr>
                <w:p w14:paraId="2DA450B5" w14:textId="21703F44" w:rsidR="00D67E09" w:rsidRDefault="00D67E09" w:rsidP="0000024A">
                  <w:pPr>
                    <w:pStyle w:val="NormalWeb"/>
                    <w:spacing w:before="0" w:after="0"/>
                    <w:ind w:right="527"/>
                    <w:jc w:val="both"/>
                  </w:pPr>
                  <w:r>
                    <w:t>MK noteikumu projekta VI sadaļas 2. punkts precizēts</w:t>
                  </w:r>
                  <w:r w:rsidR="00960EFB">
                    <w:t>.</w:t>
                  </w:r>
                </w:p>
              </w:tc>
            </w:tr>
            <w:tr w:rsidR="0078489A" w:rsidRPr="00475310" w14:paraId="7B563D36" w14:textId="77777777" w:rsidTr="006D1253">
              <w:trPr>
                <w:trHeight w:val="447"/>
              </w:trPr>
              <w:tc>
                <w:tcPr>
                  <w:tcW w:w="576" w:type="dxa"/>
                </w:tcPr>
                <w:p w14:paraId="7EB1C01B" w14:textId="74355C88" w:rsidR="0078489A" w:rsidRDefault="0078489A"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6. </w:t>
                  </w:r>
                </w:p>
              </w:tc>
              <w:tc>
                <w:tcPr>
                  <w:tcW w:w="3799" w:type="dxa"/>
                </w:tcPr>
                <w:p w14:paraId="0423C13A" w14:textId="6C7C431F" w:rsidR="0078489A" w:rsidRDefault="0078489A" w:rsidP="0000024A">
                  <w:pPr>
                    <w:spacing w:before="100" w:beforeAutospacing="1" w:after="100" w:afterAutospacing="1"/>
                    <w:jc w:val="both"/>
                    <w:rPr>
                      <w:rFonts w:ascii="Times New Roman" w:hAnsi="Times New Roman"/>
                      <w:sz w:val="24"/>
                      <w:szCs w:val="24"/>
                    </w:rPr>
                  </w:pPr>
                  <w:r w:rsidRPr="004D3274">
                    <w:rPr>
                      <w:rFonts w:ascii="Times New Roman" w:hAnsi="Times New Roman"/>
                      <w:color w:val="000000" w:themeColor="text1"/>
                      <w:sz w:val="24"/>
                      <w:szCs w:val="24"/>
                    </w:rPr>
                    <w:t>MK noteikumu projekta  anotācijas II sadaļas 3. punkts</w:t>
                  </w:r>
                </w:p>
              </w:tc>
              <w:tc>
                <w:tcPr>
                  <w:tcW w:w="3889" w:type="dxa"/>
                </w:tcPr>
                <w:p w14:paraId="2B26A12E" w14:textId="77777777" w:rsidR="0078489A" w:rsidRPr="0078489A" w:rsidRDefault="0078489A" w:rsidP="0078489A">
                  <w:pPr>
                    <w:spacing w:after="0"/>
                    <w:jc w:val="both"/>
                    <w:rPr>
                      <w:rFonts w:ascii="Times New Roman" w:hAnsi="Times New Roman"/>
                      <w:b/>
                      <w:sz w:val="24"/>
                      <w:szCs w:val="24"/>
                    </w:rPr>
                  </w:pPr>
                  <w:r w:rsidRPr="0078489A">
                    <w:rPr>
                      <w:rFonts w:ascii="Times New Roman" w:hAnsi="Times New Roman"/>
                      <w:b/>
                      <w:sz w:val="24"/>
                      <w:szCs w:val="24"/>
                    </w:rPr>
                    <w:t>Tieslietu ministrija</w:t>
                  </w:r>
                </w:p>
                <w:p w14:paraId="04023DCD" w14:textId="77777777" w:rsidR="0078489A" w:rsidRPr="0078489A" w:rsidRDefault="0078489A" w:rsidP="0078489A">
                  <w:pPr>
                    <w:spacing w:after="0"/>
                    <w:jc w:val="both"/>
                    <w:rPr>
                      <w:rFonts w:ascii="Times New Roman" w:hAnsi="Times New Roman"/>
                      <w:bCs/>
                      <w:sz w:val="24"/>
                      <w:szCs w:val="24"/>
                    </w:rPr>
                  </w:pPr>
                  <w:r w:rsidRPr="0078489A">
                    <w:rPr>
                      <w:rFonts w:ascii="Times New Roman" w:hAnsi="Times New Roman"/>
                      <w:bCs/>
                      <w:sz w:val="24"/>
                      <w:szCs w:val="24"/>
                    </w:rPr>
                    <w:t xml:space="preserve">Anotācijas II sadaļas 3. punktā norādīts, ka laika patēriņš, kas nepieciešams, lai sagatavotu informāciju, kuras sniegšanu paredz projekts, ir 0,08 (patērētais h skaits). Tiesiskās skaidrības nodrošināšanai lūdzam norādīt laiku arī minūtēs. Vienlaikus aicinām arī izvērtēt, vai norādītais laiks ir pietiekams, lai ne tikai aizpildītu informāciju par intervēto personu un uzdotu deviņus jautājumus un sagaidītu atbildes, bet arī, lai personai sniegtu informāciju par intervijas veicēju un mērķi, kam intervija paredzēta. Papildus norādām, ka administratīvo izmaksu monetārais </w:t>
                  </w:r>
                  <w:r w:rsidRPr="0078489A">
                    <w:rPr>
                      <w:rFonts w:ascii="Times New Roman" w:hAnsi="Times New Roman"/>
                      <w:bCs/>
                      <w:sz w:val="24"/>
                      <w:szCs w:val="24"/>
                    </w:rPr>
                    <w:lastRenderedPageBreak/>
                    <w:t>novērtējums aizpildāms, vērtējot ne tikai Pārvaldes darbinieka patērēto laiku, bet arī intervētās personas patērēto laiku, sniedzot atbildes uz jautājumiem.  Līdz ar to faktiskās administratīvās izmaksas pārsniegs anotācijas II sadaļā minēto, iespējams, divas reizes.</w:t>
                  </w:r>
                </w:p>
                <w:p w14:paraId="6AB87375" w14:textId="65099E03" w:rsidR="0078489A" w:rsidRPr="0078489A" w:rsidRDefault="0078489A" w:rsidP="0078489A">
                  <w:pPr>
                    <w:spacing w:after="0"/>
                    <w:jc w:val="both"/>
                    <w:rPr>
                      <w:rFonts w:ascii="Times New Roman" w:hAnsi="Times New Roman"/>
                      <w:bCs/>
                      <w:sz w:val="24"/>
                      <w:szCs w:val="24"/>
                    </w:rPr>
                  </w:pPr>
                  <w:r w:rsidRPr="0078489A">
                    <w:rPr>
                      <w:rFonts w:ascii="Times New Roman" w:hAnsi="Times New Roman"/>
                      <w:bCs/>
                      <w:sz w:val="24"/>
                      <w:szCs w:val="24"/>
                    </w:rPr>
                    <w:t>Atgādinām, ka administratīvās izmaksas rada ne tikai informācijas sniegšana, bet arī pienākumi, kas izriet no informācijas uzglabāšanas.</w:t>
                  </w:r>
                </w:p>
              </w:tc>
              <w:tc>
                <w:tcPr>
                  <w:tcW w:w="2475" w:type="dxa"/>
                </w:tcPr>
                <w:p w14:paraId="413241D8" w14:textId="5DFCC949" w:rsidR="0078489A" w:rsidRDefault="0078489A" w:rsidP="0000024A">
                  <w:pPr>
                    <w:spacing w:after="0"/>
                    <w:jc w:val="both"/>
                    <w:rPr>
                      <w:rFonts w:ascii="Times New Roman" w:hAnsi="Times New Roman"/>
                      <w:b/>
                      <w:sz w:val="24"/>
                      <w:szCs w:val="24"/>
                    </w:rPr>
                  </w:pPr>
                  <w:r>
                    <w:rPr>
                      <w:rFonts w:ascii="Times New Roman" w:hAnsi="Times New Roman"/>
                      <w:b/>
                      <w:sz w:val="24"/>
                      <w:szCs w:val="24"/>
                    </w:rPr>
                    <w:lastRenderedPageBreak/>
                    <w:t>Panākta vienošanās elektroniskās saskaņošanas laikā</w:t>
                  </w:r>
                </w:p>
              </w:tc>
              <w:tc>
                <w:tcPr>
                  <w:tcW w:w="3862" w:type="dxa"/>
                </w:tcPr>
                <w:p w14:paraId="4014DC5A" w14:textId="5D54D132" w:rsidR="0078489A" w:rsidRDefault="0078489A" w:rsidP="0000024A">
                  <w:pPr>
                    <w:pStyle w:val="NormalWeb"/>
                    <w:spacing w:before="0" w:after="0"/>
                    <w:ind w:right="527"/>
                    <w:jc w:val="both"/>
                  </w:pPr>
                  <w:r>
                    <w:t xml:space="preserve">MK noteikumu </w:t>
                  </w:r>
                  <w:r w:rsidRPr="00B90689">
                    <w:t xml:space="preserve">projekta </w:t>
                  </w:r>
                  <w:r>
                    <w:t>anotācijas II sadaļas 3. punkts precizēts, norādot aizpildīšanai nepieciešamo laiku minūtēs. Attiecībā uz nepieciešamo laiku aptaujas veikšanai, redakcijas nemainās.</w:t>
                  </w:r>
                </w:p>
              </w:tc>
            </w:tr>
            <w:tr w:rsidR="0078489A" w:rsidRPr="00475310" w14:paraId="0FC59B76" w14:textId="77777777" w:rsidTr="006D1253">
              <w:trPr>
                <w:trHeight w:val="447"/>
              </w:trPr>
              <w:tc>
                <w:tcPr>
                  <w:tcW w:w="576" w:type="dxa"/>
                </w:tcPr>
                <w:p w14:paraId="6E5E43E5" w14:textId="452E0486" w:rsidR="0078489A" w:rsidRDefault="0078489A"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7. </w:t>
                  </w:r>
                </w:p>
              </w:tc>
              <w:tc>
                <w:tcPr>
                  <w:tcW w:w="3799" w:type="dxa"/>
                </w:tcPr>
                <w:p w14:paraId="315FA0E7" w14:textId="76B5092F" w:rsidR="0078489A" w:rsidRDefault="0078489A" w:rsidP="0000024A">
                  <w:pPr>
                    <w:spacing w:before="100" w:beforeAutospacing="1" w:after="100" w:afterAutospacing="1"/>
                    <w:jc w:val="both"/>
                    <w:rPr>
                      <w:rFonts w:ascii="Times New Roman" w:hAnsi="Times New Roman"/>
                      <w:sz w:val="24"/>
                      <w:szCs w:val="24"/>
                    </w:rPr>
                  </w:pPr>
                  <w:r w:rsidRPr="00475310">
                    <w:rPr>
                      <w:rFonts w:ascii="Times New Roman" w:hAnsi="Times New Roman"/>
                      <w:sz w:val="24"/>
                      <w:szCs w:val="24"/>
                    </w:rPr>
                    <w:t xml:space="preserve">MK noteikumu projekta </w:t>
                  </w:r>
                  <w:r>
                    <w:rPr>
                      <w:rFonts w:ascii="Times New Roman" w:hAnsi="Times New Roman"/>
                      <w:sz w:val="24"/>
                      <w:szCs w:val="24"/>
                    </w:rPr>
                    <w:t>155. pielikums.</w:t>
                  </w:r>
                </w:p>
              </w:tc>
              <w:tc>
                <w:tcPr>
                  <w:tcW w:w="3889" w:type="dxa"/>
                </w:tcPr>
                <w:p w14:paraId="1BDD1C1F" w14:textId="77777777" w:rsidR="0078489A" w:rsidRPr="00475310" w:rsidRDefault="0078489A" w:rsidP="0078489A">
                  <w:pPr>
                    <w:spacing w:after="0"/>
                    <w:rPr>
                      <w:rFonts w:ascii="Times New Roman" w:hAnsi="Times New Roman"/>
                      <w:b/>
                      <w:color w:val="000000"/>
                      <w:sz w:val="24"/>
                      <w:szCs w:val="24"/>
                      <w:lang w:eastAsia="lv-LV" w:bidi="lo-LA"/>
                    </w:rPr>
                  </w:pPr>
                  <w:r>
                    <w:rPr>
                      <w:rFonts w:ascii="Times New Roman" w:hAnsi="Times New Roman"/>
                      <w:b/>
                      <w:color w:val="000000"/>
                      <w:sz w:val="24"/>
                      <w:szCs w:val="24"/>
                      <w:lang w:eastAsia="lv-LV" w:bidi="lo-LA"/>
                    </w:rPr>
                    <w:t>Labklājības ministrija</w:t>
                  </w:r>
                </w:p>
                <w:p w14:paraId="3CAC895F" w14:textId="0C8CA256" w:rsidR="0078489A" w:rsidRDefault="0078489A" w:rsidP="0078489A">
                  <w:pPr>
                    <w:spacing w:after="0"/>
                    <w:jc w:val="both"/>
                    <w:rPr>
                      <w:rFonts w:ascii="Times New Roman" w:hAnsi="Times New Roman"/>
                      <w:b/>
                      <w:sz w:val="24"/>
                      <w:szCs w:val="24"/>
                    </w:rPr>
                  </w:pPr>
                  <w:r w:rsidRPr="006D1253">
                    <w:rPr>
                      <w:rFonts w:ascii="Times New Roman" w:eastAsia="Times New Roman" w:hAnsi="Times New Roman"/>
                      <w:bCs/>
                      <w:sz w:val="24"/>
                      <w:szCs w:val="24"/>
                    </w:rPr>
                    <w:t>Lūdzam 155. pielikumā “V</w:t>
                  </w:r>
                  <w:r w:rsidRPr="006D1253">
                    <w:rPr>
                      <w:rFonts w:ascii="Times New Roman" w:eastAsia="Times New Roman" w:hAnsi="Times New Roman"/>
                      <w:sz w:val="24"/>
                      <w:szCs w:val="24"/>
                    </w:rPr>
                    <w:t xml:space="preserve">eidlapa </w:t>
                  </w:r>
                  <w:r w:rsidRPr="006D1253">
                    <w:rPr>
                      <w:rFonts w:ascii="Times New Roman" w:eastAsia="Times New Roman" w:hAnsi="Times New Roman"/>
                      <w:sz w:val="24"/>
                      <w:szCs w:val="24"/>
                      <w:lang w:val="pl-PL"/>
                    </w:rPr>
                    <w:t xml:space="preserve">Nr. 5-EU-SILC (2021) </w:t>
                  </w:r>
                  <w:r w:rsidRPr="006D1253">
                    <w:rPr>
                      <w:rFonts w:ascii="Times New Roman" w:eastAsia="Times New Roman" w:hAnsi="Times New Roman"/>
                      <w:sz w:val="24"/>
                      <w:szCs w:val="24"/>
                      <w:lang w:val="en-US"/>
                    </w:rPr>
                    <w:t>“</w:t>
                  </w:r>
                  <w:r w:rsidRPr="006D1253">
                    <w:rPr>
                      <w:rFonts w:ascii="Times New Roman" w:eastAsia="Times New Roman" w:hAnsi="Times New Roman"/>
                      <w:bCs/>
                      <w:sz w:val="24"/>
                      <w:szCs w:val="24"/>
                      <w:lang w:val="en-US"/>
                    </w:rPr>
                    <w:t xml:space="preserve">COVID-19 </w:t>
                  </w:r>
                  <w:proofErr w:type="spellStart"/>
                  <w:r w:rsidRPr="006D1253">
                    <w:rPr>
                      <w:rFonts w:ascii="Times New Roman" w:eastAsia="Times New Roman" w:hAnsi="Times New Roman"/>
                      <w:bCs/>
                      <w:sz w:val="24"/>
                      <w:szCs w:val="24"/>
                      <w:lang w:val="en-US"/>
                    </w:rPr>
                    <w:t>krīzes</w:t>
                  </w:r>
                  <w:proofErr w:type="spellEnd"/>
                  <w:r w:rsidRPr="006D1253">
                    <w:rPr>
                      <w:rFonts w:ascii="Times New Roman" w:eastAsia="Times New Roman" w:hAnsi="Times New Roman"/>
                      <w:bCs/>
                      <w:sz w:val="24"/>
                      <w:szCs w:val="24"/>
                      <w:lang w:val="en-US"/>
                    </w:rPr>
                    <w:t xml:space="preserve"> </w:t>
                  </w:r>
                  <w:proofErr w:type="spellStart"/>
                  <w:r w:rsidRPr="006D1253">
                    <w:rPr>
                      <w:rFonts w:ascii="Times New Roman" w:eastAsia="Times New Roman" w:hAnsi="Times New Roman"/>
                      <w:bCs/>
                      <w:sz w:val="24"/>
                      <w:szCs w:val="24"/>
                      <w:lang w:val="en-US"/>
                    </w:rPr>
                    <w:t>ietekme</w:t>
                  </w:r>
                  <w:proofErr w:type="spellEnd"/>
                  <w:r w:rsidRPr="006D1253">
                    <w:rPr>
                      <w:rFonts w:ascii="Times New Roman" w:eastAsia="Times New Roman" w:hAnsi="Times New Roman"/>
                      <w:sz w:val="24"/>
                      <w:szCs w:val="24"/>
                      <w:lang w:val="en-US"/>
                    </w:rPr>
                    <w:t>” (</w:t>
                  </w:r>
                  <w:proofErr w:type="spellStart"/>
                  <w:r w:rsidRPr="006D1253">
                    <w:rPr>
                      <w:rFonts w:ascii="Times New Roman" w:eastAsia="Times New Roman" w:hAnsi="Times New Roman"/>
                      <w:sz w:val="24"/>
                      <w:szCs w:val="24"/>
                      <w:lang w:val="en-US"/>
                    </w:rPr>
                    <w:t>turpmāk</w:t>
                  </w:r>
                  <w:proofErr w:type="spellEnd"/>
                  <w:r w:rsidRPr="006D1253">
                    <w:rPr>
                      <w:rFonts w:ascii="Times New Roman" w:eastAsia="Times New Roman" w:hAnsi="Times New Roman"/>
                      <w:sz w:val="24"/>
                      <w:szCs w:val="24"/>
                      <w:lang w:val="en-US"/>
                    </w:rPr>
                    <w:t xml:space="preserve"> - </w:t>
                  </w:r>
                  <w:proofErr w:type="spellStart"/>
                  <w:r w:rsidRPr="006D1253">
                    <w:rPr>
                      <w:rFonts w:ascii="Times New Roman" w:eastAsia="Times New Roman" w:hAnsi="Times New Roman"/>
                      <w:sz w:val="24"/>
                      <w:szCs w:val="24"/>
                      <w:lang w:val="en-US"/>
                    </w:rPr>
                    <w:t>veidlapa</w:t>
                  </w:r>
                  <w:proofErr w:type="spellEnd"/>
                  <w:r w:rsidRPr="006D1253">
                    <w:rPr>
                      <w:rFonts w:ascii="Times New Roman" w:eastAsia="Times New Roman" w:hAnsi="Times New Roman"/>
                      <w:sz w:val="24"/>
                      <w:szCs w:val="24"/>
                      <w:lang w:val="en-US"/>
                    </w:rPr>
                    <w:t xml:space="preserve">) </w:t>
                  </w:r>
                  <w:r w:rsidRPr="006D1253">
                    <w:rPr>
                      <w:rFonts w:ascii="Times New Roman" w:eastAsia="Times New Roman" w:hAnsi="Times New Roman"/>
                      <w:sz w:val="24"/>
                      <w:szCs w:val="24"/>
                    </w:rPr>
                    <w:t>aizstāt vārdu “invalīds” ar vārdiem “persona ar invaliditāti” atbilstoši normatīvajos aktos lietotajai terminoloģijai.</w:t>
                  </w:r>
                </w:p>
              </w:tc>
              <w:tc>
                <w:tcPr>
                  <w:tcW w:w="2475" w:type="dxa"/>
                </w:tcPr>
                <w:p w14:paraId="182CE006" w14:textId="77777777" w:rsidR="0078489A" w:rsidRDefault="0078489A" w:rsidP="0078489A">
                  <w:pPr>
                    <w:spacing w:after="0"/>
                    <w:jc w:val="both"/>
                    <w:rPr>
                      <w:rFonts w:ascii="Times New Roman" w:hAnsi="Times New Roman"/>
                      <w:b/>
                      <w:sz w:val="24"/>
                      <w:szCs w:val="24"/>
                    </w:rPr>
                  </w:pPr>
                  <w:r>
                    <w:rPr>
                      <w:rFonts w:ascii="Times New Roman" w:hAnsi="Times New Roman"/>
                      <w:b/>
                      <w:sz w:val="24"/>
                      <w:szCs w:val="24"/>
                    </w:rPr>
                    <w:t>Iebildums</w:t>
                  </w:r>
                  <w:r w:rsidRPr="00354DE1">
                    <w:rPr>
                      <w:rFonts w:ascii="Times New Roman" w:hAnsi="Times New Roman"/>
                      <w:b/>
                      <w:sz w:val="24"/>
                      <w:szCs w:val="24"/>
                    </w:rPr>
                    <w:t xml:space="preserve"> ņemts vērā</w:t>
                  </w:r>
                </w:p>
                <w:p w14:paraId="421ED7FB" w14:textId="77777777" w:rsidR="0078489A" w:rsidRDefault="0078489A" w:rsidP="0000024A">
                  <w:pPr>
                    <w:spacing w:after="0"/>
                    <w:jc w:val="both"/>
                    <w:rPr>
                      <w:rFonts w:ascii="Times New Roman" w:hAnsi="Times New Roman"/>
                      <w:b/>
                      <w:sz w:val="24"/>
                      <w:szCs w:val="24"/>
                    </w:rPr>
                  </w:pPr>
                </w:p>
              </w:tc>
              <w:tc>
                <w:tcPr>
                  <w:tcW w:w="3862" w:type="dxa"/>
                </w:tcPr>
                <w:p w14:paraId="34508330" w14:textId="688EDCBF" w:rsidR="0078489A" w:rsidRDefault="0078489A" w:rsidP="0000024A">
                  <w:pPr>
                    <w:pStyle w:val="NormalWeb"/>
                    <w:spacing w:before="0" w:after="0"/>
                    <w:ind w:right="527"/>
                    <w:jc w:val="both"/>
                  </w:pPr>
                  <w:r>
                    <w:t>MK noteikumu projekta 155. pielikumu redakcija precizēta.</w:t>
                  </w:r>
                </w:p>
              </w:tc>
            </w:tr>
            <w:tr w:rsidR="0078489A" w:rsidRPr="00475310" w14:paraId="460ABF7B" w14:textId="77777777" w:rsidTr="006D1253">
              <w:trPr>
                <w:trHeight w:val="447"/>
              </w:trPr>
              <w:tc>
                <w:tcPr>
                  <w:tcW w:w="576" w:type="dxa"/>
                </w:tcPr>
                <w:p w14:paraId="30161D97" w14:textId="4566FAD0" w:rsidR="0078489A" w:rsidRDefault="0078489A"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8. </w:t>
                  </w:r>
                </w:p>
              </w:tc>
              <w:tc>
                <w:tcPr>
                  <w:tcW w:w="3799" w:type="dxa"/>
                </w:tcPr>
                <w:p w14:paraId="5B79E665" w14:textId="385641C7" w:rsidR="0078489A" w:rsidRPr="00475310" w:rsidRDefault="0078489A" w:rsidP="0000024A">
                  <w:pPr>
                    <w:spacing w:before="100" w:beforeAutospacing="1" w:after="100" w:afterAutospacing="1"/>
                    <w:jc w:val="both"/>
                    <w:rPr>
                      <w:rFonts w:ascii="Times New Roman" w:hAnsi="Times New Roman"/>
                      <w:sz w:val="24"/>
                      <w:szCs w:val="24"/>
                    </w:rPr>
                  </w:pPr>
                  <w:r w:rsidRPr="004C56C2">
                    <w:rPr>
                      <w:rFonts w:ascii="Times New Roman" w:hAnsi="Times New Roman"/>
                      <w:sz w:val="24"/>
                      <w:szCs w:val="24"/>
                    </w:rPr>
                    <w:t xml:space="preserve">MK noteikumu </w:t>
                  </w:r>
                  <w:r>
                    <w:rPr>
                      <w:rFonts w:ascii="Times New Roman" w:hAnsi="Times New Roman"/>
                      <w:sz w:val="24"/>
                      <w:szCs w:val="24"/>
                    </w:rPr>
                    <w:t>projekta 155. pielikums.</w:t>
                  </w:r>
                </w:p>
              </w:tc>
              <w:tc>
                <w:tcPr>
                  <w:tcW w:w="3889" w:type="dxa"/>
                </w:tcPr>
                <w:p w14:paraId="2DF8CD2F" w14:textId="77777777" w:rsidR="0078489A" w:rsidRDefault="0078489A" w:rsidP="0078489A">
                  <w:pPr>
                    <w:spacing w:after="0"/>
                    <w:jc w:val="both"/>
                    <w:rPr>
                      <w:rFonts w:ascii="Times New Roman" w:hAnsi="Times New Roman"/>
                      <w:b/>
                      <w:sz w:val="24"/>
                      <w:szCs w:val="24"/>
                    </w:rPr>
                  </w:pPr>
                  <w:r>
                    <w:rPr>
                      <w:rFonts w:ascii="Times New Roman" w:hAnsi="Times New Roman"/>
                      <w:b/>
                      <w:sz w:val="24"/>
                      <w:szCs w:val="24"/>
                    </w:rPr>
                    <w:t>Labklājības ministrija</w:t>
                  </w:r>
                </w:p>
                <w:p w14:paraId="3CE45EF6" w14:textId="77777777" w:rsidR="0078489A" w:rsidRPr="006D1253" w:rsidRDefault="0078489A" w:rsidP="0078489A">
                  <w:pPr>
                    <w:spacing w:after="0"/>
                    <w:jc w:val="both"/>
                    <w:rPr>
                      <w:rFonts w:ascii="Times New Roman" w:hAnsi="Times New Roman"/>
                      <w:bCs/>
                      <w:iCs/>
                      <w:color w:val="000000"/>
                      <w:sz w:val="24"/>
                      <w:szCs w:val="24"/>
                      <w:lang w:eastAsia="lv-LV" w:bidi="lo-LA"/>
                    </w:rPr>
                  </w:pPr>
                  <w:r w:rsidRPr="006D1253">
                    <w:rPr>
                      <w:rFonts w:ascii="Times New Roman" w:hAnsi="Times New Roman"/>
                      <w:bCs/>
                      <w:iCs/>
                      <w:color w:val="000000"/>
                      <w:sz w:val="24"/>
                      <w:szCs w:val="24"/>
                      <w:lang w:eastAsia="lv-LV" w:bidi="lo-LA"/>
                    </w:rPr>
                    <w:t xml:space="preserve">155. pielikuma veidlapā 3.jautājuma atbilžu varianti ir definēti atbilstoši </w:t>
                  </w:r>
                  <w:proofErr w:type="spellStart"/>
                  <w:r w:rsidRPr="006D1253">
                    <w:rPr>
                      <w:rFonts w:ascii="Times New Roman" w:hAnsi="Times New Roman"/>
                      <w:bCs/>
                      <w:iCs/>
                      <w:color w:val="000000"/>
                      <w:sz w:val="24"/>
                      <w:szCs w:val="24"/>
                      <w:lang w:eastAsia="lv-LV" w:bidi="lo-LA"/>
                    </w:rPr>
                    <w:t>Eurostat</w:t>
                  </w:r>
                  <w:proofErr w:type="spellEnd"/>
                  <w:r w:rsidRPr="006D1253">
                    <w:rPr>
                      <w:rFonts w:ascii="Times New Roman" w:hAnsi="Times New Roman"/>
                      <w:bCs/>
                      <w:iCs/>
                      <w:color w:val="000000"/>
                      <w:sz w:val="24"/>
                      <w:szCs w:val="24"/>
                      <w:lang w:eastAsia="lv-LV" w:bidi="lo-LA"/>
                    </w:rPr>
                    <w:t xml:space="preserve"> noteiktajam un ir ļoti vispārīgi. Līdz ar to respondentiem un arī intervētājiem ne visos gadījumos būs viegli identificēt, kuram atbilžu variantam atbilst konkrētais saņemtais valsts vai pašvaldības pabalsts. Piemēram, varētu rasties neskaidrība par ārkārtējās situācijas periodā izmaksāto “Vienreizējo piemaksu pie ģimenes valsts pabalsta par bērnu ar invaliditāti “ vai par “Slimības </w:t>
                  </w:r>
                  <w:r w:rsidRPr="006D1253">
                    <w:rPr>
                      <w:rFonts w:ascii="Times New Roman" w:hAnsi="Times New Roman"/>
                      <w:bCs/>
                      <w:iCs/>
                      <w:color w:val="000000"/>
                      <w:sz w:val="24"/>
                      <w:szCs w:val="24"/>
                      <w:lang w:eastAsia="lv-LV" w:bidi="lo-LA"/>
                    </w:rPr>
                    <w:lastRenderedPageBreak/>
                    <w:t>palīdzības pabalstu”, kurš</w:t>
                  </w:r>
                  <w:r w:rsidRPr="006D1253">
                    <w:rPr>
                      <w:rFonts w:ascii="Times New Roman" w:hAnsi="Times New Roman"/>
                      <w:b/>
                      <w:bCs/>
                      <w:iCs/>
                      <w:color w:val="000000"/>
                      <w:sz w:val="24"/>
                      <w:szCs w:val="24"/>
                      <w:lang w:eastAsia="lv-LV" w:bidi="lo-LA"/>
                    </w:rPr>
                    <w:t xml:space="preserve"> </w:t>
                  </w:r>
                  <w:r w:rsidRPr="006D1253">
                    <w:rPr>
                      <w:rFonts w:ascii="Times New Roman" w:hAnsi="Times New Roman"/>
                      <w:bCs/>
                      <w:iCs/>
                      <w:color w:val="000000"/>
                      <w:sz w:val="24"/>
                      <w:szCs w:val="24"/>
                      <w:lang w:eastAsia="lv-LV" w:bidi="lo-LA"/>
                    </w:rPr>
                    <w:t>ir pieejams vecākiem</w:t>
                  </w:r>
                  <w:r w:rsidRPr="006D1253">
                    <w:rPr>
                      <w:rFonts w:ascii="Times New Roman" w:hAnsi="Times New Roman"/>
                      <w:b/>
                      <w:bCs/>
                      <w:iCs/>
                      <w:color w:val="000000"/>
                      <w:sz w:val="24"/>
                      <w:szCs w:val="24"/>
                      <w:lang w:eastAsia="lv-LV" w:bidi="lo-LA"/>
                    </w:rPr>
                    <w:t> </w:t>
                  </w:r>
                  <w:r w:rsidRPr="006D1253">
                    <w:rPr>
                      <w:rFonts w:ascii="Times New Roman" w:hAnsi="Times New Roman"/>
                      <w:bCs/>
                      <w:iCs/>
                      <w:color w:val="000000"/>
                      <w:sz w:val="24"/>
                      <w:szCs w:val="24"/>
                      <w:lang w:eastAsia="lv-LV" w:bidi="lo-LA"/>
                    </w:rPr>
                    <w:t>gadījumos,</w:t>
                  </w:r>
                  <w:r>
                    <w:rPr>
                      <w:rFonts w:ascii="Times New Roman" w:hAnsi="Times New Roman"/>
                      <w:bCs/>
                      <w:iCs/>
                      <w:color w:val="000000"/>
                      <w:sz w:val="24"/>
                      <w:szCs w:val="24"/>
                      <w:lang w:eastAsia="lv-LV" w:bidi="lo-LA"/>
                    </w:rPr>
                    <w:t xml:space="preserve"> </w:t>
                  </w:r>
                  <w:r w:rsidRPr="006D1253">
                    <w:rPr>
                      <w:rFonts w:ascii="Times New Roman" w:hAnsi="Times New Roman"/>
                      <w:bCs/>
                      <w:iCs/>
                      <w:color w:val="000000"/>
                      <w:sz w:val="24"/>
                      <w:szCs w:val="24"/>
                      <w:lang w:eastAsia="lv-LV" w:bidi="lo-LA"/>
                    </w:rPr>
                    <w:t>kad nevar strādāt attālināti un bērns līdz 10 gadu vecumam mācās attālināti vai bērnudārza grupiņa ir slēgta</w:t>
                  </w:r>
                  <w:r w:rsidRPr="006D1253">
                    <w:rPr>
                      <w:rFonts w:ascii="Times New Roman" w:hAnsi="Times New Roman"/>
                      <w:b/>
                      <w:bCs/>
                      <w:iCs/>
                      <w:color w:val="000000"/>
                      <w:sz w:val="24"/>
                      <w:szCs w:val="24"/>
                      <w:lang w:eastAsia="lv-LV" w:bidi="lo-LA"/>
                    </w:rPr>
                    <w:t>.</w:t>
                  </w:r>
                  <w:r w:rsidRPr="006D1253">
                    <w:rPr>
                      <w:rFonts w:ascii="Times New Roman" w:hAnsi="Times New Roman"/>
                      <w:bCs/>
                      <w:iCs/>
                      <w:color w:val="000000"/>
                      <w:sz w:val="24"/>
                      <w:szCs w:val="24"/>
                      <w:lang w:eastAsia="lv-LV" w:bidi="lo-LA"/>
                    </w:rPr>
                    <w:t xml:space="preserve"> Slimības palīdzības pabalsts pieejams arī vecākiem, kuru aprūpē ir bērni ar invaliditāti līdz 18 gadu vecumam, ka arī tas ir pieejams personām, kuras aprūpē pilngadīgu personu ar invaliditāti</w:t>
                  </w:r>
                  <w:r w:rsidRPr="006D1253">
                    <w:rPr>
                      <w:rFonts w:ascii="Times New Roman" w:hAnsi="Times New Roman"/>
                      <w:b/>
                      <w:bCs/>
                      <w:iCs/>
                      <w:color w:val="000000"/>
                      <w:sz w:val="24"/>
                      <w:szCs w:val="24"/>
                      <w:lang w:eastAsia="lv-LV" w:bidi="lo-LA"/>
                    </w:rPr>
                    <w:t>,</w:t>
                  </w:r>
                  <w:r w:rsidRPr="006D1253">
                    <w:rPr>
                      <w:rFonts w:ascii="Times New Roman" w:hAnsi="Times New Roman"/>
                      <w:bCs/>
                      <w:iCs/>
                      <w:color w:val="000000"/>
                      <w:sz w:val="24"/>
                      <w:szCs w:val="24"/>
                      <w:lang w:eastAsia="lv-LV" w:bidi="lo-LA"/>
                    </w:rPr>
                    <w:t xml:space="preserve"> ja piešķirts dienas centra pakalpojums, k</w:t>
                  </w:r>
                  <w:r w:rsidRPr="006D1253">
                    <w:rPr>
                      <w:rFonts w:ascii="Times New Roman" w:hAnsi="Times New Roman"/>
                      <w:bCs/>
                      <w:iCs/>
                      <w:color w:val="000000"/>
                      <w:sz w:val="24"/>
                      <w:szCs w:val="24"/>
                      <w:lang w:val="en-US" w:eastAsia="lv-LV" w:bidi="lo-LA"/>
                    </w:rPr>
                    <w:t xml:space="preserve">as Covid-19 </w:t>
                  </w:r>
                  <w:proofErr w:type="spellStart"/>
                  <w:r w:rsidRPr="006D1253">
                    <w:rPr>
                      <w:rFonts w:ascii="Times New Roman" w:hAnsi="Times New Roman"/>
                      <w:bCs/>
                      <w:iCs/>
                      <w:color w:val="000000"/>
                      <w:sz w:val="24"/>
                      <w:szCs w:val="24"/>
                      <w:lang w:val="en-US" w:eastAsia="lv-LV" w:bidi="lo-LA"/>
                    </w:rPr>
                    <w:t>dēļ</w:t>
                  </w:r>
                  <w:proofErr w:type="spellEnd"/>
                  <w:r w:rsidRPr="006D1253">
                    <w:rPr>
                      <w:rFonts w:ascii="Times New Roman" w:hAnsi="Times New Roman"/>
                      <w:bCs/>
                      <w:iCs/>
                      <w:color w:val="000000"/>
                      <w:sz w:val="24"/>
                      <w:szCs w:val="24"/>
                      <w:lang w:val="en-US" w:eastAsia="lv-LV" w:bidi="lo-LA"/>
                    </w:rPr>
                    <w:t xml:space="preserve"> nav </w:t>
                  </w:r>
                  <w:proofErr w:type="spellStart"/>
                  <w:r w:rsidRPr="006D1253">
                    <w:rPr>
                      <w:rFonts w:ascii="Times New Roman" w:hAnsi="Times New Roman"/>
                      <w:bCs/>
                      <w:iCs/>
                      <w:color w:val="000000"/>
                      <w:sz w:val="24"/>
                      <w:szCs w:val="24"/>
                      <w:lang w:val="en-US" w:eastAsia="lv-LV" w:bidi="lo-LA"/>
                    </w:rPr>
                    <w:t>pieejams</w:t>
                  </w:r>
                  <w:proofErr w:type="spellEnd"/>
                  <w:r w:rsidRPr="006D1253">
                    <w:rPr>
                      <w:rFonts w:ascii="Times New Roman" w:hAnsi="Times New Roman"/>
                      <w:bCs/>
                      <w:iCs/>
                      <w:color w:val="000000"/>
                      <w:sz w:val="24"/>
                      <w:szCs w:val="24"/>
                      <w:lang w:val="en-US" w:eastAsia="lv-LV" w:bidi="lo-LA"/>
                    </w:rPr>
                    <w:t>.</w:t>
                  </w:r>
                  <w:r w:rsidRPr="006D1253">
                    <w:rPr>
                      <w:rFonts w:ascii="Times New Roman" w:hAnsi="Times New Roman"/>
                      <w:bCs/>
                      <w:iCs/>
                      <w:color w:val="000000"/>
                      <w:sz w:val="24"/>
                      <w:szCs w:val="24"/>
                      <w:lang w:eastAsia="lv-LV" w:bidi="lo-LA"/>
                    </w:rPr>
                    <w:t xml:space="preserve"> Ņemot to vērā, lūdzam rokasgrāmatā intervētājiem iekļaut skaidrojumu par to, kuri no Latvijā saistībā ar Covid-19 pandēmijas radīto ārkārtējo situāciju  izmaksātajiem pabalstiem būtu attiecināmi katram atbildes variantam, vienlaikus ievērojot </w:t>
                  </w:r>
                  <w:proofErr w:type="spellStart"/>
                  <w:r w:rsidRPr="006D1253">
                    <w:rPr>
                      <w:rFonts w:ascii="Times New Roman" w:hAnsi="Times New Roman"/>
                      <w:bCs/>
                      <w:iCs/>
                      <w:color w:val="000000"/>
                      <w:sz w:val="24"/>
                      <w:szCs w:val="24"/>
                      <w:lang w:eastAsia="lv-LV" w:bidi="lo-LA"/>
                    </w:rPr>
                    <w:t>Eurostat</w:t>
                  </w:r>
                  <w:proofErr w:type="spellEnd"/>
                  <w:r w:rsidRPr="006D1253">
                    <w:rPr>
                      <w:rFonts w:ascii="Times New Roman" w:hAnsi="Times New Roman"/>
                      <w:bCs/>
                      <w:iCs/>
                      <w:color w:val="000000"/>
                      <w:sz w:val="24"/>
                      <w:szCs w:val="24"/>
                      <w:lang w:eastAsia="lv-LV" w:bidi="lo-LA"/>
                    </w:rPr>
                    <w:t xml:space="preserve"> metodoloģijā noteikto. </w:t>
                  </w:r>
                </w:p>
                <w:p w14:paraId="6E88A7E6" w14:textId="49C8F66A" w:rsidR="0078489A" w:rsidRDefault="0078489A" w:rsidP="0078489A">
                  <w:pPr>
                    <w:spacing w:after="0"/>
                    <w:rPr>
                      <w:rFonts w:ascii="Times New Roman" w:hAnsi="Times New Roman"/>
                      <w:b/>
                      <w:color w:val="000000"/>
                      <w:sz w:val="24"/>
                      <w:szCs w:val="24"/>
                      <w:lang w:eastAsia="lv-LV" w:bidi="lo-LA"/>
                    </w:rPr>
                  </w:pPr>
                  <w:r w:rsidRPr="006D1253">
                    <w:rPr>
                      <w:rFonts w:ascii="Times New Roman" w:hAnsi="Times New Roman"/>
                      <w:bCs/>
                      <w:iCs/>
                      <w:color w:val="000000"/>
                      <w:sz w:val="24"/>
                      <w:szCs w:val="24"/>
                      <w:lang w:eastAsia="lv-LV" w:bidi="lo-LA"/>
                    </w:rPr>
                    <w:t xml:space="preserve">Informācija par valsts un pašvaldību nodrošināto sociālo atbalstu ārkārtējās situācijas laikā pieejama vietnēs:  </w:t>
                  </w:r>
                  <w:hyperlink r:id="rId8" w:history="1">
                    <w:r w:rsidRPr="006D1253">
                      <w:rPr>
                        <w:rStyle w:val="Hyperlink"/>
                        <w:rFonts w:ascii="Times New Roman" w:hAnsi="Times New Roman"/>
                        <w:bCs/>
                        <w:iCs/>
                        <w:sz w:val="24"/>
                        <w:szCs w:val="24"/>
                        <w:lang w:val="en-US" w:eastAsia="lv-LV" w:bidi="lo-LA"/>
                      </w:rPr>
                      <w:t>https://www.lm.gov.lv/lv/informacija-par-covid-19</w:t>
                    </w:r>
                  </w:hyperlink>
                  <w:r w:rsidRPr="006D1253">
                    <w:rPr>
                      <w:rFonts w:ascii="Times New Roman" w:hAnsi="Times New Roman"/>
                      <w:bCs/>
                      <w:iCs/>
                      <w:color w:val="000000"/>
                      <w:sz w:val="24"/>
                      <w:szCs w:val="24"/>
                      <w:lang w:val="en-US" w:eastAsia="lv-LV" w:bidi="lo-LA"/>
                    </w:rPr>
                    <w:t xml:space="preserve"> un</w:t>
                  </w:r>
                  <w:r w:rsidRPr="006D1253">
                    <w:rPr>
                      <w:rFonts w:ascii="Times New Roman" w:hAnsi="Times New Roman"/>
                      <w:bCs/>
                      <w:iCs/>
                      <w:color w:val="000000"/>
                      <w:sz w:val="24"/>
                      <w:szCs w:val="24"/>
                      <w:u w:val="single"/>
                      <w:lang w:val="en-US" w:eastAsia="lv-LV" w:bidi="lo-LA"/>
                    </w:rPr>
                    <w:t xml:space="preserve">  </w:t>
                  </w:r>
                  <w:hyperlink r:id="rId9" w:history="1">
                    <w:r w:rsidRPr="006D1253">
                      <w:rPr>
                        <w:rStyle w:val="Hyperlink"/>
                        <w:rFonts w:ascii="Times New Roman" w:hAnsi="Times New Roman"/>
                        <w:bCs/>
                        <w:iCs/>
                        <w:sz w:val="24"/>
                        <w:szCs w:val="24"/>
                        <w:lang w:val="en-US" w:eastAsia="lv-LV" w:bidi="lo-LA"/>
                      </w:rPr>
                      <w:t>https://covid19.gov.lv/atbalsts-sabiedribai/ekonomika/socialais-atbalsts-arkartejas-situacijas-laika</w:t>
                    </w:r>
                  </w:hyperlink>
                  <w:r w:rsidRPr="006D1253">
                    <w:rPr>
                      <w:rFonts w:ascii="Times New Roman" w:hAnsi="Times New Roman"/>
                      <w:bCs/>
                      <w:iCs/>
                      <w:color w:val="000000"/>
                      <w:sz w:val="24"/>
                      <w:szCs w:val="24"/>
                      <w:lang w:val="en-US" w:eastAsia="lv-LV" w:bidi="lo-LA"/>
                    </w:rPr>
                    <w:t xml:space="preserve">, </w:t>
                  </w:r>
                  <w:proofErr w:type="spellStart"/>
                  <w:r w:rsidRPr="006D1253">
                    <w:rPr>
                      <w:rFonts w:ascii="Times New Roman" w:hAnsi="Times New Roman"/>
                      <w:bCs/>
                      <w:iCs/>
                      <w:color w:val="000000"/>
                      <w:sz w:val="24"/>
                      <w:szCs w:val="24"/>
                      <w:lang w:val="en-US" w:eastAsia="lv-LV" w:bidi="lo-LA"/>
                    </w:rPr>
                    <w:t>kā</w:t>
                  </w:r>
                  <w:proofErr w:type="spellEnd"/>
                  <w:r w:rsidRPr="006D1253">
                    <w:rPr>
                      <w:rFonts w:ascii="Times New Roman" w:hAnsi="Times New Roman"/>
                      <w:bCs/>
                      <w:iCs/>
                      <w:color w:val="000000"/>
                      <w:sz w:val="24"/>
                      <w:szCs w:val="24"/>
                      <w:lang w:val="en-US" w:eastAsia="lv-LV" w:bidi="lo-LA"/>
                    </w:rPr>
                    <w:t xml:space="preserve"> </w:t>
                  </w:r>
                  <w:proofErr w:type="spellStart"/>
                  <w:r w:rsidRPr="006D1253">
                    <w:rPr>
                      <w:rFonts w:ascii="Times New Roman" w:hAnsi="Times New Roman"/>
                      <w:bCs/>
                      <w:iCs/>
                      <w:color w:val="000000"/>
                      <w:sz w:val="24"/>
                      <w:szCs w:val="24"/>
                      <w:lang w:val="en-US" w:eastAsia="lv-LV" w:bidi="lo-LA"/>
                    </w:rPr>
                    <w:t>arī</w:t>
                  </w:r>
                  <w:proofErr w:type="spellEnd"/>
                  <w:r w:rsidRPr="006D1253">
                    <w:rPr>
                      <w:rFonts w:ascii="Times New Roman" w:hAnsi="Times New Roman"/>
                      <w:bCs/>
                      <w:iCs/>
                      <w:color w:val="000000"/>
                      <w:sz w:val="24"/>
                      <w:szCs w:val="24"/>
                      <w:lang w:val="en-US" w:eastAsia="lv-LV" w:bidi="lo-LA"/>
                    </w:rPr>
                    <w:t xml:space="preserve"> </w:t>
                  </w:r>
                  <w:proofErr w:type="spellStart"/>
                  <w:r w:rsidRPr="006D1253">
                    <w:rPr>
                      <w:rFonts w:ascii="Times New Roman" w:hAnsi="Times New Roman"/>
                      <w:bCs/>
                      <w:iCs/>
                      <w:color w:val="000000"/>
                      <w:sz w:val="24"/>
                      <w:szCs w:val="24"/>
                      <w:lang w:val="en-US" w:eastAsia="lv-LV" w:bidi="lo-LA"/>
                    </w:rPr>
                    <w:t>konsultējoties</w:t>
                  </w:r>
                  <w:proofErr w:type="spellEnd"/>
                  <w:r w:rsidRPr="006D1253">
                    <w:rPr>
                      <w:rFonts w:ascii="Times New Roman" w:hAnsi="Times New Roman"/>
                      <w:bCs/>
                      <w:iCs/>
                      <w:color w:val="000000"/>
                      <w:sz w:val="24"/>
                      <w:szCs w:val="24"/>
                      <w:lang w:val="en-US" w:eastAsia="lv-LV" w:bidi="lo-LA"/>
                    </w:rPr>
                    <w:t xml:space="preserve"> </w:t>
                  </w:r>
                  <w:proofErr w:type="spellStart"/>
                  <w:r w:rsidRPr="006D1253">
                    <w:rPr>
                      <w:rFonts w:ascii="Times New Roman" w:hAnsi="Times New Roman"/>
                      <w:bCs/>
                      <w:iCs/>
                      <w:color w:val="000000"/>
                      <w:sz w:val="24"/>
                      <w:szCs w:val="24"/>
                      <w:lang w:val="en-US" w:eastAsia="lv-LV" w:bidi="lo-LA"/>
                    </w:rPr>
                    <w:t>Labklājības</w:t>
                  </w:r>
                  <w:proofErr w:type="spellEnd"/>
                  <w:r w:rsidRPr="006D1253">
                    <w:rPr>
                      <w:rFonts w:ascii="Times New Roman" w:hAnsi="Times New Roman"/>
                      <w:bCs/>
                      <w:iCs/>
                      <w:color w:val="000000"/>
                      <w:sz w:val="24"/>
                      <w:szCs w:val="24"/>
                      <w:lang w:val="en-US" w:eastAsia="lv-LV" w:bidi="lo-LA"/>
                    </w:rPr>
                    <w:t xml:space="preserve"> </w:t>
                  </w:r>
                  <w:proofErr w:type="spellStart"/>
                  <w:r w:rsidRPr="006D1253">
                    <w:rPr>
                      <w:rFonts w:ascii="Times New Roman" w:hAnsi="Times New Roman"/>
                      <w:bCs/>
                      <w:iCs/>
                      <w:color w:val="000000"/>
                      <w:sz w:val="24"/>
                      <w:szCs w:val="24"/>
                      <w:lang w:val="en-US" w:eastAsia="lv-LV" w:bidi="lo-LA"/>
                    </w:rPr>
                    <w:t>ministrijā</w:t>
                  </w:r>
                  <w:proofErr w:type="spellEnd"/>
                  <w:r w:rsidRPr="006D1253">
                    <w:rPr>
                      <w:rFonts w:ascii="Times New Roman" w:hAnsi="Times New Roman"/>
                      <w:bCs/>
                      <w:iCs/>
                      <w:color w:val="000000"/>
                      <w:sz w:val="24"/>
                      <w:szCs w:val="24"/>
                      <w:lang w:val="en-US" w:eastAsia="lv-LV" w:bidi="lo-LA"/>
                    </w:rPr>
                    <w:t>.</w:t>
                  </w:r>
                </w:p>
              </w:tc>
              <w:tc>
                <w:tcPr>
                  <w:tcW w:w="2475" w:type="dxa"/>
                </w:tcPr>
                <w:p w14:paraId="0B9E2263" w14:textId="7D48068D" w:rsidR="0078489A" w:rsidRDefault="0078489A" w:rsidP="0078489A">
                  <w:pPr>
                    <w:spacing w:after="0"/>
                    <w:jc w:val="both"/>
                    <w:rPr>
                      <w:rFonts w:ascii="Times New Roman" w:hAnsi="Times New Roman"/>
                      <w:b/>
                      <w:sz w:val="24"/>
                      <w:szCs w:val="24"/>
                    </w:rPr>
                  </w:pPr>
                  <w:r w:rsidRPr="00354DE1">
                    <w:rPr>
                      <w:rFonts w:ascii="Times New Roman" w:hAnsi="Times New Roman"/>
                      <w:b/>
                      <w:sz w:val="24"/>
                      <w:szCs w:val="24"/>
                    </w:rPr>
                    <w:lastRenderedPageBreak/>
                    <w:t>Iebildums ņemts vērā</w:t>
                  </w:r>
                </w:p>
              </w:tc>
              <w:tc>
                <w:tcPr>
                  <w:tcW w:w="3862" w:type="dxa"/>
                </w:tcPr>
                <w:p w14:paraId="4C99DEF2" w14:textId="74DE2805" w:rsidR="0078489A" w:rsidRDefault="0078489A" w:rsidP="0000024A">
                  <w:pPr>
                    <w:pStyle w:val="NormalWeb"/>
                    <w:spacing w:before="0" w:after="0"/>
                    <w:ind w:right="527"/>
                    <w:jc w:val="both"/>
                  </w:pPr>
                  <w:r>
                    <w:t>S</w:t>
                  </w:r>
                  <w:r w:rsidRPr="006D1253">
                    <w:t>agatavota papildu informācija intervētājiem.</w:t>
                  </w:r>
                </w:p>
              </w:tc>
            </w:tr>
            <w:tr w:rsidR="0078489A" w:rsidRPr="00475310" w14:paraId="1A27E56C" w14:textId="77777777" w:rsidTr="006D1253">
              <w:trPr>
                <w:trHeight w:val="447"/>
              </w:trPr>
              <w:tc>
                <w:tcPr>
                  <w:tcW w:w="576" w:type="dxa"/>
                </w:tcPr>
                <w:p w14:paraId="5C9D4720" w14:textId="069BD233" w:rsidR="0078489A" w:rsidRDefault="0078489A"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9.</w:t>
                  </w:r>
                </w:p>
              </w:tc>
              <w:tc>
                <w:tcPr>
                  <w:tcW w:w="3799" w:type="dxa"/>
                </w:tcPr>
                <w:p w14:paraId="18BE83E0" w14:textId="1AF40450" w:rsidR="0078489A" w:rsidRPr="004C56C2" w:rsidRDefault="0078489A" w:rsidP="0000024A">
                  <w:pPr>
                    <w:spacing w:before="100" w:beforeAutospacing="1" w:after="100" w:afterAutospacing="1"/>
                    <w:jc w:val="both"/>
                    <w:rPr>
                      <w:rFonts w:ascii="Times New Roman" w:hAnsi="Times New Roman"/>
                      <w:sz w:val="24"/>
                      <w:szCs w:val="24"/>
                    </w:rPr>
                  </w:pPr>
                  <w:r>
                    <w:rPr>
                      <w:rFonts w:ascii="Times New Roman" w:hAnsi="Times New Roman"/>
                      <w:sz w:val="24"/>
                      <w:szCs w:val="24"/>
                    </w:rPr>
                    <w:t>MK noteikumu projekts</w:t>
                  </w:r>
                </w:p>
              </w:tc>
              <w:tc>
                <w:tcPr>
                  <w:tcW w:w="3889" w:type="dxa"/>
                </w:tcPr>
                <w:p w14:paraId="66A487DF" w14:textId="77777777" w:rsidR="0078489A" w:rsidRPr="0078489A" w:rsidRDefault="0078489A" w:rsidP="0078489A">
                  <w:pPr>
                    <w:spacing w:after="0"/>
                    <w:jc w:val="both"/>
                    <w:rPr>
                      <w:rFonts w:ascii="Times New Roman" w:hAnsi="Times New Roman"/>
                      <w:b/>
                      <w:sz w:val="24"/>
                      <w:szCs w:val="24"/>
                    </w:rPr>
                  </w:pPr>
                  <w:r w:rsidRPr="0078489A">
                    <w:rPr>
                      <w:rFonts w:ascii="Times New Roman" w:hAnsi="Times New Roman"/>
                      <w:b/>
                      <w:sz w:val="24"/>
                      <w:szCs w:val="24"/>
                    </w:rPr>
                    <w:t>Tieslietu ministrija</w:t>
                  </w:r>
                </w:p>
                <w:p w14:paraId="50FD5745" w14:textId="77777777" w:rsidR="0078489A" w:rsidRPr="0078489A" w:rsidRDefault="0078489A" w:rsidP="0078489A">
                  <w:pPr>
                    <w:spacing w:after="0"/>
                    <w:jc w:val="both"/>
                    <w:rPr>
                      <w:rFonts w:ascii="Times New Roman" w:hAnsi="Times New Roman"/>
                      <w:bCs/>
                      <w:sz w:val="24"/>
                      <w:szCs w:val="24"/>
                    </w:rPr>
                  </w:pPr>
                  <w:r w:rsidRPr="0078489A">
                    <w:rPr>
                      <w:rFonts w:ascii="Times New Roman" w:hAnsi="Times New Roman"/>
                      <w:bCs/>
                      <w:sz w:val="24"/>
                      <w:szCs w:val="24"/>
                    </w:rPr>
                    <w:lastRenderedPageBreak/>
                    <w:t xml:space="preserve">Ministru kabineta 2009. gada 15. decembra instrukcijas Nr. 19 "Tiesību akta projekta sākotnējās ietekmes izvērtēšanas kārtība" (turpmāk – MK instrukcija Nr. 19) 13. punktā norādīts, ka anotācijas I sadaļas 1. punktā norāda tiesību aktus, no kuriem izriet nepieciešamība izstrādāt projektu vai kuru īstenošanu veicinās projekts. Savukārt MK instrukcijas Nr. 19 14. punktā noteikts, ka anotācijas I sadaļas 2. punktā raksturo pašreizējo situāciju jomā, uz ko attiecināms projekts (t.sk. 14.3. apakšpunkts paredz, ka anotācijā norāda informāciju par projekta izdošanas mērķi (sasaistot to ar informāciju par esošo situāciju) un aprakstošu informāciju par projekta būtību). Anotācijā norādīts, ka "projekts ir sagatavots, jo </w:t>
                  </w:r>
                  <w:proofErr w:type="spellStart"/>
                  <w:r w:rsidRPr="0078489A">
                    <w:rPr>
                      <w:rFonts w:ascii="Times New Roman" w:hAnsi="Times New Roman"/>
                      <w:bCs/>
                      <w:sz w:val="24"/>
                      <w:szCs w:val="24"/>
                    </w:rPr>
                    <w:t>Eurostat</w:t>
                  </w:r>
                  <w:proofErr w:type="spellEnd"/>
                  <w:r w:rsidRPr="0078489A">
                    <w:rPr>
                      <w:rFonts w:ascii="Times New Roman" w:hAnsi="Times New Roman"/>
                      <w:bCs/>
                      <w:sz w:val="24"/>
                      <w:szCs w:val="24"/>
                    </w:rPr>
                    <w:t xml:space="preserve"> uzdeva apkopot papildu informāciju COVID-19 ietekmes izvērtēšanai". Taču anotācijā nav atrodama atsauce uz tiesību normu, ar kuru attiecīgais uzdevums deleģēts izpildei, nedz arī raksturota pašreizējā situācija un projekta izdošanas mērķis. </w:t>
                  </w:r>
                </w:p>
                <w:p w14:paraId="2209C311" w14:textId="77777777" w:rsidR="0078489A" w:rsidRPr="0078489A" w:rsidRDefault="0078489A" w:rsidP="0078489A">
                  <w:pPr>
                    <w:spacing w:after="0"/>
                    <w:jc w:val="both"/>
                    <w:rPr>
                      <w:rFonts w:ascii="Times New Roman" w:hAnsi="Times New Roman"/>
                      <w:bCs/>
                      <w:sz w:val="24"/>
                      <w:szCs w:val="24"/>
                    </w:rPr>
                  </w:pPr>
                  <w:r w:rsidRPr="0078489A">
                    <w:rPr>
                      <w:rFonts w:ascii="Times New Roman" w:hAnsi="Times New Roman"/>
                      <w:bCs/>
                      <w:sz w:val="24"/>
                      <w:szCs w:val="24"/>
                    </w:rPr>
                    <w:t xml:space="preserve">Kas attiecas uz personas datu apstādi, tās tiesisko regulējumu noteic Eiropas Parlamenta un Padomes 2016. gada 27. aprīļa Regula par fizisku personu aizsardzību attiecībā uz personas datu apstrādi un šādu datu brīvu apriti un ar </w:t>
                  </w:r>
                  <w:r w:rsidRPr="0078489A">
                    <w:rPr>
                      <w:rFonts w:ascii="Times New Roman" w:hAnsi="Times New Roman"/>
                      <w:bCs/>
                      <w:sz w:val="24"/>
                      <w:szCs w:val="24"/>
                    </w:rPr>
                    <w:lastRenderedPageBreak/>
                    <w:t>ko atceļ Direktīvu 95/46/EK (Vispārīgā datu aizsardzības regula) (turpmāk – Regula), Fizisko personu datu apstrādes likums un citi normatīvie akti. Saskaņā ar Regulas 6. panta 1. punktu personas datu apstrāde ir likumīga, ja ir piemērojams vismaz viens no minētajā punktā ietvertajiem tiesiskajiem pamatiem. Regulas 6. panta 3. punkts paredz, ka šā panta 1. punkta "c" un "e" apakšpunktā minēto apstrādes tiesisko pamatu nosaka ar Savienības tiesību aktiem vai dalībvalsts tiesību aktiem.</w:t>
                  </w:r>
                </w:p>
                <w:p w14:paraId="6B8D2436" w14:textId="77777777" w:rsidR="0078489A" w:rsidRPr="0078489A" w:rsidRDefault="0078489A" w:rsidP="0078489A">
                  <w:pPr>
                    <w:spacing w:after="0"/>
                    <w:jc w:val="both"/>
                    <w:rPr>
                      <w:rFonts w:ascii="Times New Roman" w:hAnsi="Times New Roman"/>
                      <w:bCs/>
                      <w:sz w:val="24"/>
                      <w:szCs w:val="24"/>
                    </w:rPr>
                  </w:pPr>
                  <w:r w:rsidRPr="0078489A">
                    <w:rPr>
                      <w:rFonts w:ascii="Times New Roman" w:hAnsi="Times New Roman"/>
                      <w:bCs/>
                      <w:sz w:val="24"/>
                      <w:szCs w:val="24"/>
                    </w:rPr>
                    <w:t>Atbilstoši Statistikas likuma 6. panta otrajai daļai oficiālās statistikas programma ir plānošanas periodā nodrošināmās oficiālās statistikas saraksts. Oficiālās statistikas programmu apstiprina Ministru kabinets, izdodot noteikumus. Attiecīgajos noteikumos cita starpā nosaka no privātpersonas un administratīvajiem datu avotiem iegūstamo fiziskās personas datu veidu, apjomu un izmantošanas mērķi1.</w:t>
                  </w:r>
                </w:p>
                <w:p w14:paraId="20B31EEF" w14:textId="77777777" w:rsidR="0078489A" w:rsidRPr="0078489A" w:rsidRDefault="0078489A" w:rsidP="0078489A">
                  <w:pPr>
                    <w:spacing w:after="0"/>
                    <w:jc w:val="both"/>
                    <w:rPr>
                      <w:rFonts w:ascii="Times New Roman" w:hAnsi="Times New Roman"/>
                      <w:bCs/>
                      <w:sz w:val="24"/>
                      <w:szCs w:val="24"/>
                    </w:rPr>
                  </w:pPr>
                  <w:r w:rsidRPr="0078489A">
                    <w:rPr>
                      <w:rFonts w:ascii="Times New Roman" w:hAnsi="Times New Roman"/>
                      <w:bCs/>
                      <w:sz w:val="24"/>
                      <w:szCs w:val="24"/>
                    </w:rPr>
                    <w:t xml:space="preserve">Izvērtējot Ministra kabineta 2020. gada 24. novembra noteikumus Nr. 691 "Noteikumi par oficiālās statistikas programmu 2021.-2023. gadam" (turpmāk – Statistikas programma), konstatējams, ka tajos </w:t>
                  </w:r>
                  <w:r w:rsidRPr="0078489A">
                    <w:rPr>
                      <w:rFonts w:ascii="Times New Roman" w:hAnsi="Times New Roman"/>
                      <w:bCs/>
                      <w:sz w:val="24"/>
                      <w:szCs w:val="24"/>
                    </w:rPr>
                    <w:lastRenderedPageBreak/>
                    <w:t>nav ietverts mērķis nodrošināt statistiku par Covid-19 krīzes ietekmi, attiecīgi nav arī noteikti mērķa sasniegšanai iegūstamie fizisko personu datu veidi un apjoms, kādu apstrādi paredz projekts.</w:t>
                  </w:r>
                </w:p>
                <w:p w14:paraId="12B67F48" w14:textId="77777777" w:rsidR="0078489A" w:rsidRPr="0078489A" w:rsidRDefault="0078489A" w:rsidP="0078489A">
                  <w:pPr>
                    <w:spacing w:after="0"/>
                    <w:jc w:val="both"/>
                    <w:rPr>
                      <w:rFonts w:ascii="Times New Roman" w:hAnsi="Times New Roman"/>
                      <w:bCs/>
                      <w:sz w:val="24"/>
                      <w:szCs w:val="24"/>
                    </w:rPr>
                  </w:pPr>
                  <w:r w:rsidRPr="0078489A">
                    <w:rPr>
                      <w:rFonts w:ascii="Times New Roman" w:hAnsi="Times New Roman"/>
                      <w:bCs/>
                      <w:sz w:val="24"/>
                      <w:szCs w:val="24"/>
                    </w:rPr>
                    <w:t>Ievērojot minēto par Statistikas programmas saturu un anotācijā esošajiem trūkumiem, Tieslietu ministrija nesaskata tiesisko pamatu personas datu apstrādei, jo projektā paredzētajai datu apstrādei nav iespējams piemērot Regulas 6. panta "c" vai "e" apakšpunktu. Līdz ar to projekta tālāka virzība nav atbalstāma.</w:t>
                  </w:r>
                </w:p>
                <w:p w14:paraId="5FD5D568" w14:textId="7E3DB96E" w:rsidR="0078489A" w:rsidRPr="0078489A" w:rsidRDefault="0078489A" w:rsidP="0078489A">
                  <w:pPr>
                    <w:spacing w:after="0"/>
                    <w:jc w:val="both"/>
                    <w:rPr>
                      <w:rFonts w:ascii="Times New Roman" w:hAnsi="Times New Roman"/>
                      <w:bCs/>
                      <w:sz w:val="24"/>
                      <w:szCs w:val="24"/>
                    </w:rPr>
                  </w:pPr>
                  <w:r w:rsidRPr="0078489A">
                    <w:rPr>
                      <w:rFonts w:ascii="Times New Roman" w:hAnsi="Times New Roman"/>
                      <w:bCs/>
                      <w:sz w:val="24"/>
                      <w:szCs w:val="24"/>
                    </w:rPr>
                    <w:t>Lai nodrošinātu tiesisko pamatu personas datu apstrādei, Statistikas programmā izdarāmi grozījumi, kuri virzāmi vienlaikus ar projektu. Tādā gadījumā attiecīgi būtu aizpildāma anotācijas IV sadaļa. Savukārt gadījumā, ja datu vākšana pamatota ar Eiropas Savienības tiesību aktiem, anotācijā tie ir jānorāda un jāaizpilda anotācijas V sadaļa atbilstoši MK instrukcijas Nr. 19 VI nodaļas prasībām.</w:t>
                  </w:r>
                </w:p>
              </w:tc>
              <w:tc>
                <w:tcPr>
                  <w:tcW w:w="2475" w:type="dxa"/>
                </w:tcPr>
                <w:p w14:paraId="2968D6FE" w14:textId="72AFDA37" w:rsidR="0078489A" w:rsidRPr="00354DE1" w:rsidRDefault="0078489A" w:rsidP="0078489A">
                  <w:pPr>
                    <w:spacing w:after="0"/>
                    <w:jc w:val="both"/>
                    <w:rPr>
                      <w:rFonts w:ascii="Times New Roman" w:hAnsi="Times New Roman"/>
                      <w:b/>
                      <w:sz w:val="24"/>
                      <w:szCs w:val="24"/>
                    </w:rPr>
                  </w:pPr>
                  <w:r>
                    <w:rPr>
                      <w:rFonts w:ascii="Times New Roman" w:hAnsi="Times New Roman"/>
                      <w:b/>
                      <w:sz w:val="24"/>
                      <w:szCs w:val="24"/>
                    </w:rPr>
                    <w:lastRenderedPageBreak/>
                    <w:t>Iebildums ņemts vērā</w:t>
                  </w:r>
                </w:p>
              </w:tc>
              <w:tc>
                <w:tcPr>
                  <w:tcW w:w="3862" w:type="dxa"/>
                </w:tcPr>
                <w:p w14:paraId="360C8A71" w14:textId="3A81E7E0" w:rsidR="0078489A" w:rsidRDefault="0078489A" w:rsidP="0000024A">
                  <w:pPr>
                    <w:pStyle w:val="NormalWeb"/>
                    <w:spacing w:before="0" w:after="0"/>
                    <w:ind w:right="527"/>
                    <w:jc w:val="both"/>
                  </w:pPr>
                  <w:r>
                    <w:t xml:space="preserve">Izdarīti grozījumi </w:t>
                  </w:r>
                  <w:r w:rsidRPr="003A6E00">
                    <w:rPr>
                      <w:bCs/>
                    </w:rPr>
                    <w:t>Ministr</w:t>
                  </w:r>
                  <w:r>
                    <w:rPr>
                      <w:bCs/>
                    </w:rPr>
                    <w:t>u</w:t>
                  </w:r>
                  <w:r w:rsidRPr="003A6E00">
                    <w:rPr>
                      <w:bCs/>
                    </w:rPr>
                    <w:t xml:space="preserve"> kabineta 2020. gada </w:t>
                  </w:r>
                  <w:r w:rsidRPr="003A6E00">
                    <w:rPr>
                      <w:bCs/>
                    </w:rPr>
                    <w:lastRenderedPageBreak/>
                    <w:t>24. novembra noteikum</w:t>
                  </w:r>
                  <w:r>
                    <w:rPr>
                      <w:bCs/>
                    </w:rPr>
                    <w:t>os</w:t>
                  </w:r>
                  <w:r w:rsidRPr="003A6E00">
                    <w:rPr>
                      <w:bCs/>
                    </w:rPr>
                    <w:t xml:space="preserve"> Nr. 691 "Noteikumi par oficiālās statistikas programmu 2021.-2023. gadam"</w:t>
                  </w:r>
                  <w:r>
                    <w:rPr>
                      <w:bCs/>
                    </w:rPr>
                    <w:t>, kuri tiek virzīti kā saistītais tiesību akts kopā ar MK noteikumu projektu.</w:t>
                  </w:r>
                </w:p>
              </w:tc>
            </w:tr>
            <w:tr w:rsidR="0078489A" w:rsidRPr="00475310" w14:paraId="6E5A0224" w14:textId="77777777" w:rsidTr="006D1253">
              <w:trPr>
                <w:trHeight w:val="447"/>
              </w:trPr>
              <w:tc>
                <w:tcPr>
                  <w:tcW w:w="576" w:type="dxa"/>
                </w:tcPr>
                <w:p w14:paraId="481B6D3C" w14:textId="4BF0B91B" w:rsidR="0078489A" w:rsidRDefault="0078489A" w:rsidP="0000024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lastRenderedPageBreak/>
                    <w:t>10.</w:t>
                  </w:r>
                </w:p>
              </w:tc>
              <w:tc>
                <w:tcPr>
                  <w:tcW w:w="3799" w:type="dxa"/>
                </w:tcPr>
                <w:p w14:paraId="5F3A7EB9" w14:textId="0BB82FF5" w:rsidR="0078489A" w:rsidRPr="004C56C2" w:rsidRDefault="0078489A" w:rsidP="0000024A">
                  <w:pPr>
                    <w:spacing w:before="100" w:beforeAutospacing="1" w:after="100" w:afterAutospacing="1"/>
                    <w:jc w:val="both"/>
                    <w:rPr>
                      <w:rFonts w:ascii="Times New Roman" w:hAnsi="Times New Roman"/>
                      <w:sz w:val="24"/>
                      <w:szCs w:val="24"/>
                    </w:rPr>
                  </w:pPr>
                  <w:r>
                    <w:rPr>
                      <w:rFonts w:ascii="Times New Roman" w:hAnsi="Times New Roman"/>
                      <w:sz w:val="24"/>
                      <w:szCs w:val="24"/>
                    </w:rPr>
                    <w:t>MK noteikumu projekta anotācijas II sadaļas 2. punkts</w:t>
                  </w:r>
                </w:p>
              </w:tc>
              <w:tc>
                <w:tcPr>
                  <w:tcW w:w="3889" w:type="dxa"/>
                </w:tcPr>
                <w:p w14:paraId="2464C9B6" w14:textId="77777777" w:rsidR="0078489A" w:rsidRDefault="0078489A" w:rsidP="0078489A">
                  <w:pPr>
                    <w:spacing w:after="0"/>
                    <w:jc w:val="both"/>
                    <w:rPr>
                      <w:rFonts w:ascii="Times New Roman" w:hAnsi="Times New Roman"/>
                      <w:b/>
                      <w:sz w:val="24"/>
                      <w:szCs w:val="24"/>
                    </w:rPr>
                  </w:pPr>
                  <w:r>
                    <w:rPr>
                      <w:rFonts w:ascii="Times New Roman" w:hAnsi="Times New Roman"/>
                      <w:b/>
                      <w:sz w:val="24"/>
                      <w:szCs w:val="24"/>
                    </w:rPr>
                    <w:t>Tieslietu ministrija</w:t>
                  </w:r>
                </w:p>
                <w:p w14:paraId="499B1479" w14:textId="77777777" w:rsidR="0078489A" w:rsidRPr="00D67E09" w:rsidRDefault="0078489A" w:rsidP="0078489A">
                  <w:pPr>
                    <w:spacing w:after="0"/>
                    <w:jc w:val="both"/>
                    <w:rPr>
                      <w:rFonts w:ascii="Times New Roman" w:hAnsi="Times New Roman"/>
                      <w:bCs/>
                      <w:sz w:val="24"/>
                      <w:szCs w:val="24"/>
                    </w:rPr>
                  </w:pPr>
                  <w:r w:rsidRPr="00D67E09">
                    <w:rPr>
                      <w:rFonts w:ascii="Times New Roman" w:hAnsi="Times New Roman"/>
                      <w:bCs/>
                      <w:sz w:val="24"/>
                      <w:szCs w:val="24"/>
                    </w:rPr>
                    <w:t xml:space="preserve">Anotācijas II sadaļas 2. punktā norādīts, ka </w:t>
                  </w:r>
                  <w:r w:rsidRPr="00D67E09">
                    <w:rPr>
                      <w:rFonts w:ascii="Times New Roman" w:hAnsi="Times New Roman"/>
                      <w:bCs/>
                      <w:i/>
                      <w:iCs/>
                      <w:sz w:val="24"/>
                      <w:szCs w:val="24"/>
                    </w:rPr>
                    <w:t xml:space="preserve">"Pārvaldes administratīvais slogs, kas rodas, apkopojot MK noteikumu projektā noteiktās veidlapas, tiks aprēķināts </w:t>
                  </w:r>
                  <w:r w:rsidRPr="00D67E09">
                    <w:rPr>
                      <w:rFonts w:ascii="Times New Roman" w:hAnsi="Times New Roman"/>
                      <w:bCs/>
                      <w:i/>
                      <w:iCs/>
                      <w:sz w:val="24"/>
                      <w:szCs w:val="24"/>
                    </w:rPr>
                    <w:lastRenderedPageBreak/>
                    <w:t>Ministru kabineta noteikumu "Noteikumi par Oficiālās statistikas programmu 2020.-2022. gadam" ietvaros".</w:t>
                  </w:r>
                  <w:r w:rsidRPr="00D67E09">
                    <w:rPr>
                      <w:rFonts w:ascii="Times New Roman" w:hAnsi="Times New Roman"/>
                      <w:bCs/>
                      <w:iCs/>
                      <w:sz w:val="24"/>
                      <w:szCs w:val="24"/>
                    </w:rPr>
                    <w:t xml:space="preserve"> </w:t>
                  </w:r>
                  <w:r w:rsidRPr="00D67E09">
                    <w:rPr>
                      <w:rFonts w:ascii="Times New Roman" w:hAnsi="Times New Roman"/>
                      <w:bCs/>
                      <w:sz w:val="24"/>
                      <w:szCs w:val="24"/>
                    </w:rPr>
                    <w:t>Tieslietu ministrija norāda, ka Ministru kabineta 2019. gada 17. decembra noteikumi Nr. 644 "Noteikumi par Oficiālās statistikas programmu 2020.-2022. gadam" ir spēku zaudējuši, līdz ar to nav saprotams, kā minētie noteikumi ir attiecināmi uz projektu.</w:t>
                  </w:r>
                </w:p>
                <w:p w14:paraId="621C5692" w14:textId="5D6D3920" w:rsidR="0078489A" w:rsidRDefault="0078489A" w:rsidP="0078489A">
                  <w:pPr>
                    <w:spacing w:after="0"/>
                    <w:jc w:val="both"/>
                    <w:rPr>
                      <w:rFonts w:ascii="Times New Roman" w:hAnsi="Times New Roman"/>
                      <w:b/>
                      <w:sz w:val="24"/>
                      <w:szCs w:val="24"/>
                    </w:rPr>
                  </w:pPr>
                  <w:r w:rsidRPr="00D67E09">
                    <w:rPr>
                      <w:rFonts w:ascii="Times New Roman" w:hAnsi="Times New Roman"/>
                      <w:bCs/>
                      <w:sz w:val="24"/>
                      <w:szCs w:val="24"/>
                    </w:rPr>
                    <w:t>Ja Centrālajai statistikas pārvaldei (turpmāk – Pārvalde) no projekta izriet jauns administratīvais slogs, tad tas ir aprēķināms un norādāms anotācijas II sadaļas 2. punktā. Anotācijas II sadaļas 2. punktu aizpilda, ievērojot MK instrukcijas Nr. 19 22. punktā noteikto.</w:t>
                  </w:r>
                </w:p>
              </w:tc>
              <w:tc>
                <w:tcPr>
                  <w:tcW w:w="2475" w:type="dxa"/>
                </w:tcPr>
                <w:p w14:paraId="7432174C" w14:textId="523B3139" w:rsidR="0078489A" w:rsidRPr="00354DE1" w:rsidRDefault="0078489A" w:rsidP="0078489A">
                  <w:pPr>
                    <w:spacing w:after="0"/>
                    <w:jc w:val="both"/>
                    <w:rPr>
                      <w:rFonts w:ascii="Times New Roman" w:hAnsi="Times New Roman"/>
                      <w:b/>
                      <w:sz w:val="24"/>
                      <w:szCs w:val="24"/>
                    </w:rPr>
                  </w:pPr>
                  <w:r>
                    <w:rPr>
                      <w:rFonts w:ascii="Times New Roman" w:hAnsi="Times New Roman"/>
                      <w:b/>
                      <w:sz w:val="24"/>
                      <w:szCs w:val="24"/>
                    </w:rPr>
                    <w:lastRenderedPageBreak/>
                    <w:t>Iebildums ņemts vērā</w:t>
                  </w:r>
                </w:p>
              </w:tc>
              <w:tc>
                <w:tcPr>
                  <w:tcW w:w="3862" w:type="dxa"/>
                </w:tcPr>
                <w:p w14:paraId="40B4ACE7" w14:textId="6E862B7A" w:rsidR="0078489A" w:rsidRDefault="0078489A" w:rsidP="0000024A">
                  <w:pPr>
                    <w:pStyle w:val="NormalWeb"/>
                    <w:spacing w:before="0" w:after="0"/>
                    <w:ind w:right="527"/>
                    <w:jc w:val="both"/>
                  </w:pPr>
                  <w:r>
                    <w:t>MK noteikumu projekta anotācijas II sadaļas 2. punkts precizēts</w:t>
                  </w:r>
                </w:p>
              </w:tc>
            </w:tr>
            <w:tr w:rsidR="0078489A" w:rsidRPr="00475310" w14:paraId="25655426" w14:textId="77777777" w:rsidTr="006D1253">
              <w:trPr>
                <w:trHeight w:val="447"/>
              </w:trPr>
              <w:tc>
                <w:tcPr>
                  <w:tcW w:w="576" w:type="dxa"/>
                </w:tcPr>
                <w:p w14:paraId="21454296" w14:textId="1001886F" w:rsidR="0078489A" w:rsidRDefault="0078489A" w:rsidP="0078489A">
                  <w:pPr>
                    <w:spacing w:before="100" w:beforeAutospacing="1" w:after="100" w:afterAutospacing="1"/>
                    <w:jc w:val="center"/>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11.</w:t>
                  </w:r>
                </w:p>
              </w:tc>
              <w:tc>
                <w:tcPr>
                  <w:tcW w:w="3799" w:type="dxa"/>
                </w:tcPr>
                <w:p w14:paraId="00840EBB" w14:textId="75E00D24" w:rsidR="000B3354" w:rsidRPr="000B3354" w:rsidRDefault="0078489A" w:rsidP="000B3354">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MK noteikumu projekta </w:t>
                  </w:r>
                  <w:r w:rsidR="000B3354" w:rsidRPr="000B3354">
                    <w:rPr>
                      <w:rFonts w:ascii="Times New Roman" w:hAnsi="Times New Roman"/>
                      <w:sz w:val="24"/>
                      <w:szCs w:val="24"/>
                    </w:rPr>
                    <w:t>anotācijas I sadaļas 2. punkt</w:t>
                  </w:r>
                  <w:r w:rsidR="000B3354">
                    <w:rPr>
                      <w:rFonts w:ascii="Times New Roman" w:hAnsi="Times New Roman"/>
                      <w:sz w:val="24"/>
                      <w:szCs w:val="24"/>
                    </w:rPr>
                    <w:t xml:space="preserve">s un </w:t>
                  </w:r>
                  <w:r w:rsidR="000B3354" w:rsidRPr="000B3354">
                    <w:rPr>
                      <w:rFonts w:ascii="Times New Roman" w:hAnsi="Times New Roman"/>
                      <w:sz w:val="24"/>
                      <w:szCs w:val="24"/>
                    </w:rPr>
                    <w:t>V sadaļas 1. punkt</w:t>
                  </w:r>
                  <w:r w:rsidR="000B3354">
                    <w:rPr>
                      <w:rFonts w:ascii="Times New Roman" w:hAnsi="Times New Roman"/>
                      <w:sz w:val="24"/>
                      <w:szCs w:val="24"/>
                    </w:rPr>
                    <w:t>s.</w:t>
                  </w:r>
                </w:p>
                <w:p w14:paraId="7918415E" w14:textId="6535D268" w:rsidR="0078489A" w:rsidRPr="004C56C2" w:rsidRDefault="0078489A" w:rsidP="0078489A">
                  <w:pPr>
                    <w:spacing w:before="100" w:beforeAutospacing="1" w:after="100" w:afterAutospacing="1"/>
                    <w:jc w:val="both"/>
                    <w:rPr>
                      <w:rFonts w:ascii="Times New Roman" w:hAnsi="Times New Roman"/>
                      <w:sz w:val="24"/>
                      <w:szCs w:val="24"/>
                    </w:rPr>
                  </w:pPr>
                </w:p>
              </w:tc>
              <w:tc>
                <w:tcPr>
                  <w:tcW w:w="3889" w:type="dxa"/>
                </w:tcPr>
                <w:p w14:paraId="7230F1BC" w14:textId="77777777" w:rsidR="0078489A" w:rsidRDefault="0078489A" w:rsidP="0078489A">
                  <w:pPr>
                    <w:spacing w:after="0"/>
                    <w:jc w:val="both"/>
                    <w:rPr>
                      <w:rFonts w:ascii="Times New Roman" w:hAnsi="Times New Roman"/>
                      <w:b/>
                      <w:sz w:val="24"/>
                      <w:szCs w:val="24"/>
                    </w:rPr>
                  </w:pPr>
                  <w:r>
                    <w:rPr>
                      <w:rFonts w:ascii="Times New Roman" w:hAnsi="Times New Roman"/>
                      <w:b/>
                      <w:sz w:val="24"/>
                      <w:szCs w:val="24"/>
                    </w:rPr>
                    <w:t>Tieslietu ministrija</w:t>
                  </w:r>
                </w:p>
                <w:p w14:paraId="32909AED" w14:textId="6629E8AC" w:rsidR="0078489A" w:rsidRDefault="000B3354" w:rsidP="0078489A">
                  <w:pPr>
                    <w:spacing w:after="0"/>
                    <w:jc w:val="both"/>
                    <w:rPr>
                      <w:rFonts w:ascii="Times New Roman" w:hAnsi="Times New Roman"/>
                      <w:b/>
                      <w:sz w:val="24"/>
                      <w:szCs w:val="24"/>
                    </w:rPr>
                  </w:pPr>
                  <w:r w:rsidRPr="000B3354">
                    <w:rPr>
                      <w:rFonts w:ascii="Times New Roman" w:hAnsi="Times New Roman"/>
                      <w:bCs/>
                      <w:sz w:val="24"/>
                      <w:szCs w:val="24"/>
                    </w:rPr>
                    <w:t xml:space="preserve">No anotācijas I sadaļas 2. punkta izriet, ka Džentlmeņu vienošanās ir ar Eiropas Savienības statistikas biroju (turpmāk - </w:t>
                  </w:r>
                  <w:proofErr w:type="spellStart"/>
                  <w:r w:rsidRPr="000B3354">
                    <w:rPr>
                      <w:rFonts w:ascii="Times New Roman" w:hAnsi="Times New Roman"/>
                      <w:bCs/>
                      <w:sz w:val="24"/>
                      <w:szCs w:val="24"/>
                    </w:rPr>
                    <w:t>Eurostat</w:t>
                  </w:r>
                  <w:proofErr w:type="spellEnd"/>
                  <w:r w:rsidRPr="000B3354">
                    <w:rPr>
                      <w:rFonts w:ascii="Times New Roman" w:hAnsi="Times New Roman"/>
                      <w:bCs/>
                      <w:sz w:val="24"/>
                      <w:szCs w:val="24"/>
                    </w:rPr>
                    <w:t xml:space="preserve">). Tiesiskās skaidrības nodrošināšanai lūgums norādīt ar ko </w:t>
                  </w:r>
                  <w:proofErr w:type="spellStart"/>
                  <w:r w:rsidRPr="000B3354">
                    <w:rPr>
                      <w:rFonts w:ascii="Times New Roman" w:hAnsi="Times New Roman"/>
                      <w:bCs/>
                      <w:sz w:val="24"/>
                      <w:szCs w:val="24"/>
                    </w:rPr>
                    <w:t>Eurostat</w:t>
                  </w:r>
                  <w:proofErr w:type="spellEnd"/>
                  <w:r w:rsidRPr="000B3354">
                    <w:rPr>
                      <w:rFonts w:ascii="Times New Roman" w:hAnsi="Times New Roman"/>
                      <w:bCs/>
                      <w:sz w:val="24"/>
                      <w:szCs w:val="24"/>
                    </w:rPr>
                    <w:t xml:space="preserve"> ir vienojies, proti, vienošanās ir tikai ar Latviju vai ar vēl kādu valsti. Attiecīgi minētā vienošanās norādāma anotācijas V sadaļas 1. punktā.</w:t>
                  </w:r>
                </w:p>
              </w:tc>
              <w:tc>
                <w:tcPr>
                  <w:tcW w:w="2475" w:type="dxa"/>
                </w:tcPr>
                <w:p w14:paraId="70943F9A" w14:textId="428DDD21" w:rsidR="0078489A" w:rsidRPr="00354DE1" w:rsidRDefault="000B3354" w:rsidP="0078489A">
                  <w:pPr>
                    <w:spacing w:after="0"/>
                    <w:jc w:val="both"/>
                    <w:rPr>
                      <w:rFonts w:ascii="Times New Roman" w:hAnsi="Times New Roman"/>
                      <w:b/>
                      <w:sz w:val="24"/>
                      <w:szCs w:val="24"/>
                    </w:rPr>
                  </w:pPr>
                  <w:r>
                    <w:rPr>
                      <w:rFonts w:ascii="Times New Roman" w:hAnsi="Times New Roman"/>
                      <w:b/>
                      <w:sz w:val="24"/>
                      <w:szCs w:val="24"/>
                    </w:rPr>
                    <w:t>Priekšlikums</w:t>
                  </w:r>
                  <w:r w:rsidR="0078489A">
                    <w:rPr>
                      <w:rFonts w:ascii="Times New Roman" w:hAnsi="Times New Roman"/>
                      <w:b/>
                      <w:sz w:val="24"/>
                      <w:szCs w:val="24"/>
                    </w:rPr>
                    <w:t xml:space="preserve"> ņemts vērā</w:t>
                  </w:r>
                </w:p>
              </w:tc>
              <w:tc>
                <w:tcPr>
                  <w:tcW w:w="3862" w:type="dxa"/>
                </w:tcPr>
                <w:p w14:paraId="0258D80E" w14:textId="471FE1B6" w:rsidR="0078489A" w:rsidRDefault="000B3354" w:rsidP="0078489A">
                  <w:pPr>
                    <w:pStyle w:val="NormalWeb"/>
                    <w:spacing w:before="0" w:after="0"/>
                    <w:ind w:right="527"/>
                    <w:jc w:val="both"/>
                  </w:pPr>
                  <w:r>
                    <w:t xml:space="preserve">MK noteikumu projekta </w:t>
                  </w:r>
                  <w:r w:rsidRPr="000B3354">
                    <w:t>anotācijas I sadaļas 2. punkt</w:t>
                  </w:r>
                  <w:r>
                    <w:t xml:space="preserve">s un </w:t>
                  </w:r>
                  <w:r w:rsidRPr="000B3354">
                    <w:t>V sadaļas 1. punkt</w:t>
                  </w:r>
                  <w:r>
                    <w:t>s precizēts.</w:t>
                  </w:r>
                </w:p>
              </w:tc>
            </w:tr>
          </w:tbl>
          <w:p w14:paraId="10C3E420" w14:textId="77777777" w:rsidR="000C6764" w:rsidRPr="00475310" w:rsidRDefault="000C6764" w:rsidP="00475310">
            <w:pPr>
              <w:spacing w:before="100" w:beforeAutospacing="1" w:after="100" w:afterAutospacing="1"/>
              <w:rPr>
                <w:rFonts w:ascii="Times New Roman" w:eastAsia="Times New Roman" w:hAnsi="Times New Roman"/>
                <w:color w:val="000000"/>
                <w:sz w:val="24"/>
                <w:szCs w:val="24"/>
                <w:lang w:eastAsia="lv-LV"/>
              </w:rPr>
            </w:pPr>
          </w:p>
        </w:tc>
      </w:tr>
    </w:tbl>
    <w:tbl>
      <w:tblPr>
        <w:tblW w:w="14508" w:type="dxa"/>
        <w:tblLayout w:type="fixed"/>
        <w:tblLook w:val="00A0" w:firstRow="1" w:lastRow="0" w:firstColumn="1" w:lastColumn="0" w:noHBand="0" w:noVBand="0"/>
      </w:tblPr>
      <w:tblGrid>
        <w:gridCol w:w="5017"/>
        <w:gridCol w:w="9491"/>
      </w:tblGrid>
      <w:tr w:rsidR="00475310" w:rsidRPr="00841A86" w14:paraId="467DB92A" w14:textId="77777777" w:rsidTr="0074439F">
        <w:tc>
          <w:tcPr>
            <w:tcW w:w="5017" w:type="dxa"/>
          </w:tcPr>
          <w:p w14:paraId="16EA6EA5" w14:textId="77777777" w:rsidR="00475310" w:rsidRPr="006229B7" w:rsidRDefault="00475310" w:rsidP="0074439F">
            <w:pPr>
              <w:pStyle w:val="naiskr"/>
              <w:spacing w:before="0" w:beforeAutospacing="0" w:after="0" w:afterAutospacing="0"/>
            </w:pPr>
          </w:p>
          <w:p w14:paraId="3AA35C60" w14:textId="77777777" w:rsidR="00475310" w:rsidRPr="00841A86" w:rsidRDefault="00475310" w:rsidP="0074439F">
            <w:pPr>
              <w:pStyle w:val="naiskr"/>
              <w:spacing w:before="0" w:beforeAutospacing="0" w:after="0" w:afterAutospacing="0"/>
              <w:jc w:val="center"/>
            </w:pPr>
            <w:r w:rsidRPr="006229B7">
              <w:t>Atbildīgā amatpersona</w:t>
            </w:r>
          </w:p>
        </w:tc>
        <w:tc>
          <w:tcPr>
            <w:tcW w:w="9491" w:type="dxa"/>
          </w:tcPr>
          <w:p w14:paraId="281B9DB4" w14:textId="77777777" w:rsidR="00475310" w:rsidRPr="00841A86" w:rsidRDefault="00475310" w:rsidP="0074439F">
            <w:pPr>
              <w:pStyle w:val="naiskr"/>
              <w:spacing w:before="0" w:beforeAutospacing="0" w:after="0" w:afterAutospacing="0"/>
              <w:ind w:firstLine="720"/>
              <w:jc w:val="center"/>
            </w:pPr>
          </w:p>
        </w:tc>
      </w:tr>
      <w:tr w:rsidR="00475310" w:rsidRPr="00841A86" w14:paraId="4BCF01DB" w14:textId="77777777" w:rsidTr="0074439F">
        <w:tc>
          <w:tcPr>
            <w:tcW w:w="5017" w:type="dxa"/>
          </w:tcPr>
          <w:p w14:paraId="603551A1" w14:textId="77777777" w:rsidR="00475310" w:rsidRPr="00841A86" w:rsidRDefault="00475310" w:rsidP="0074439F">
            <w:pPr>
              <w:pStyle w:val="naiskr"/>
              <w:spacing w:before="0" w:after="0"/>
              <w:ind w:firstLine="720"/>
              <w:jc w:val="center"/>
            </w:pPr>
          </w:p>
        </w:tc>
        <w:tc>
          <w:tcPr>
            <w:tcW w:w="9491" w:type="dxa"/>
            <w:tcBorders>
              <w:top w:val="single" w:sz="6" w:space="0" w:color="000000"/>
            </w:tcBorders>
          </w:tcPr>
          <w:p w14:paraId="7889715D" w14:textId="77777777" w:rsidR="00475310" w:rsidRPr="00841A86" w:rsidRDefault="00475310" w:rsidP="0074439F">
            <w:pPr>
              <w:pStyle w:val="naisc"/>
              <w:spacing w:before="0" w:after="0"/>
              <w:ind w:firstLine="720"/>
            </w:pPr>
            <w:r w:rsidRPr="00841A86">
              <w:t>(paraksts)*</w:t>
            </w:r>
          </w:p>
        </w:tc>
      </w:tr>
    </w:tbl>
    <w:p w14:paraId="5F871F2D" w14:textId="77777777" w:rsidR="00475310" w:rsidRDefault="00475310" w:rsidP="00475310">
      <w:pPr>
        <w:pStyle w:val="naisf"/>
        <w:spacing w:before="0" w:after="0"/>
        <w:ind w:firstLine="720"/>
      </w:pPr>
      <w:r w:rsidRPr="00841A86">
        <w:lastRenderedPageBreak/>
        <w:t>Piezīme. * Dokumenta rekvizītu "paraksts" neaizpilda, ja elektroniskais dokuments ir sagatavots atbilstoši normatīvajiem aktiem par elektronisko dokumentu noformēšanu.</w:t>
      </w:r>
    </w:p>
    <w:p w14:paraId="5DC3DB69" w14:textId="77777777" w:rsidR="00475310" w:rsidRDefault="00475310" w:rsidP="00475310">
      <w:pPr>
        <w:pStyle w:val="naisf"/>
        <w:spacing w:before="0" w:after="0"/>
        <w:ind w:firstLine="720"/>
      </w:pPr>
    </w:p>
    <w:p w14:paraId="3DC531B9" w14:textId="77777777" w:rsidR="00475310" w:rsidRPr="00841A86" w:rsidRDefault="00475310" w:rsidP="00475310">
      <w:pPr>
        <w:pStyle w:val="naisf"/>
        <w:spacing w:before="0" w:after="0"/>
        <w:ind w:firstLine="720"/>
        <w:rPr>
          <w:sz w:val="8"/>
          <w:szCs w:val="8"/>
        </w:rPr>
      </w:pPr>
    </w:p>
    <w:tbl>
      <w:tblPr>
        <w:tblW w:w="0" w:type="auto"/>
        <w:tblLook w:val="00A0" w:firstRow="1" w:lastRow="0" w:firstColumn="1" w:lastColumn="0" w:noHBand="0" w:noVBand="0"/>
      </w:tblPr>
      <w:tblGrid>
        <w:gridCol w:w="8268"/>
      </w:tblGrid>
      <w:tr w:rsidR="00475310" w:rsidRPr="001844B8" w14:paraId="20B2F426" w14:textId="77777777" w:rsidTr="0074439F">
        <w:tc>
          <w:tcPr>
            <w:tcW w:w="8268" w:type="dxa"/>
            <w:vAlign w:val="center"/>
          </w:tcPr>
          <w:p w14:paraId="5111533C" w14:textId="77777777" w:rsidR="00475310" w:rsidRPr="00291AC7" w:rsidRDefault="00475310" w:rsidP="0074439F">
            <w:pPr>
              <w:spacing w:before="120" w:after="0"/>
              <w:jc w:val="center"/>
              <w:rPr>
                <w:rFonts w:ascii="Times New Roman" w:hAnsi="Times New Roman"/>
                <w:szCs w:val="20"/>
              </w:rPr>
            </w:pPr>
            <w:r>
              <w:rPr>
                <w:rFonts w:ascii="Times New Roman" w:hAnsi="Times New Roman"/>
                <w:szCs w:val="20"/>
              </w:rPr>
              <w:t>Aija Žīgure</w:t>
            </w:r>
          </w:p>
        </w:tc>
      </w:tr>
      <w:tr w:rsidR="00475310" w:rsidRPr="001844B8" w14:paraId="0477E92A" w14:textId="77777777" w:rsidTr="0074439F">
        <w:tc>
          <w:tcPr>
            <w:tcW w:w="8268" w:type="dxa"/>
            <w:tcBorders>
              <w:top w:val="single" w:sz="4" w:space="0" w:color="000000"/>
            </w:tcBorders>
          </w:tcPr>
          <w:p w14:paraId="0C4D16FF"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 xml:space="preserve"> (par projektu atbildīgās amatpersonas vārds un uzvārds)</w:t>
            </w:r>
          </w:p>
        </w:tc>
      </w:tr>
      <w:tr w:rsidR="00475310" w:rsidRPr="001844B8" w14:paraId="24D3FF1D" w14:textId="77777777" w:rsidTr="0074439F">
        <w:tc>
          <w:tcPr>
            <w:tcW w:w="8268" w:type="dxa"/>
            <w:tcBorders>
              <w:bottom w:val="single" w:sz="4" w:space="0" w:color="000000"/>
            </w:tcBorders>
          </w:tcPr>
          <w:p w14:paraId="0738B066" w14:textId="77777777" w:rsidR="00475310" w:rsidRPr="001844B8" w:rsidRDefault="00475310" w:rsidP="0074439F">
            <w:pPr>
              <w:spacing w:after="120"/>
              <w:jc w:val="center"/>
              <w:rPr>
                <w:rFonts w:ascii="Times New Roman" w:hAnsi="Times New Roman"/>
              </w:rPr>
            </w:pPr>
            <w:r>
              <w:rPr>
                <w:rFonts w:ascii="Times New Roman" w:hAnsi="Times New Roman"/>
              </w:rPr>
              <w:t>Centrālās statistikas pārvaldes priekšniece</w:t>
            </w:r>
          </w:p>
        </w:tc>
      </w:tr>
      <w:tr w:rsidR="00475310" w:rsidRPr="001844B8" w14:paraId="2B88408B" w14:textId="77777777" w:rsidTr="0074439F">
        <w:tc>
          <w:tcPr>
            <w:tcW w:w="8268" w:type="dxa"/>
            <w:tcBorders>
              <w:top w:val="single" w:sz="4" w:space="0" w:color="000000"/>
            </w:tcBorders>
          </w:tcPr>
          <w:p w14:paraId="73EECF01"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(amats)</w:t>
            </w:r>
          </w:p>
        </w:tc>
      </w:tr>
      <w:tr w:rsidR="00475310" w:rsidRPr="001844B8" w14:paraId="7656A51C" w14:textId="77777777" w:rsidTr="0074439F">
        <w:tc>
          <w:tcPr>
            <w:tcW w:w="8268" w:type="dxa"/>
            <w:tcBorders>
              <w:bottom w:val="single" w:sz="4" w:space="0" w:color="000000"/>
            </w:tcBorders>
          </w:tcPr>
          <w:p w14:paraId="2520CC9F" w14:textId="57845E72" w:rsidR="00475310" w:rsidRPr="001844B8" w:rsidRDefault="00475310" w:rsidP="0074439F">
            <w:pPr>
              <w:spacing w:before="120" w:after="0"/>
              <w:rPr>
                <w:rFonts w:ascii="Times New Roman" w:hAnsi="Times New Roman"/>
              </w:rPr>
            </w:pPr>
            <w:r w:rsidRPr="001844B8">
              <w:rPr>
                <w:rFonts w:ascii="Times New Roman" w:hAnsi="Times New Roman"/>
              </w:rPr>
              <w:t xml:space="preserve">                                       Tel.: </w:t>
            </w:r>
            <w:r>
              <w:rPr>
                <w:rFonts w:ascii="Times New Roman" w:hAnsi="Times New Roman"/>
              </w:rPr>
              <w:t>67366850</w:t>
            </w:r>
          </w:p>
        </w:tc>
      </w:tr>
      <w:tr w:rsidR="00475310" w:rsidRPr="001844B8" w14:paraId="76C2181B" w14:textId="77777777" w:rsidTr="0074439F">
        <w:tc>
          <w:tcPr>
            <w:tcW w:w="8268" w:type="dxa"/>
            <w:tcBorders>
              <w:top w:val="single" w:sz="4" w:space="0" w:color="000000"/>
            </w:tcBorders>
          </w:tcPr>
          <w:p w14:paraId="75090999" w14:textId="7386EDE9"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(tālruņa numurs)</w:t>
            </w:r>
          </w:p>
        </w:tc>
      </w:tr>
      <w:tr w:rsidR="00475310" w:rsidRPr="001844B8" w14:paraId="6ADB708F" w14:textId="77777777" w:rsidTr="0074439F">
        <w:tc>
          <w:tcPr>
            <w:tcW w:w="8268" w:type="dxa"/>
            <w:tcBorders>
              <w:bottom w:val="single" w:sz="4" w:space="0" w:color="000000"/>
            </w:tcBorders>
          </w:tcPr>
          <w:p w14:paraId="0F23C8CF" w14:textId="77777777" w:rsidR="00475310" w:rsidRPr="001844B8" w:rsidRDefault="00475310" w:rsidP="0074439F">
            <w:pPr>
              <w:spacing w:before="120" w:after="0"/>
              <w:jc w:val="center"/>
              <w:rPr>
                <w:rFonts w:ascii="Times New Roman" w:hAnsi="Times New Roman"/>
              </w:rPr>
            </w:pPr>
            <w:r>
              <w:rPr>
                <w:rFonts w:ascii="Times New Roman" w:hAnsi="Times New Roman"/>
              </w:rPr>
              <w:t>Aija.Zigure@csb.gov.lv</w:t>
            </w:r>
          </w:p>
        </w:tc>
      </w:tr>
      <w:tr w:rsidR="00475310" w:rsidRPr="001844B8" w14:paraId="06D5DEAE" w14:textId="77777777" w:rsidTr="0074439F">
        <w:tc>
          <w:tcPr>
            <w:tcW w:w="8268" w:type="dxa"/>
            <w:tcBorders>
              <w:top w:val="single" w:sz="4" w:space="0" w:color="000000"/>
            </w:tcBorders>
          </w:tcPr>
          <w:p w14:paraId="7F7A0319" w14:textId="77777777" w:rsidR="00475310" w:rsidRPr="001844B8" w:rsidRDefault="00475310" w:rsidP="0074439F">
            <w:pPr>
              <w:jc w:val="center"/>
              <w:rPr>
                <w:rFonts w:ascii="Times New Roman" w:hAnsi="Times New Roman"/>
                <w:sz w:val="20"/>
                <w:szCs w:val="20"/>
              </w:rPr>
            </w:pPr>
            <w:r w:rsidRPr="001844B8">
              <w:rPr>
                <w:rFonts w:ascii="Times New Roman" w:hAnsi="Times New Roman"/>
                <w:sz w:val="20"/>
                <w:szCs w:val="20"/>
              </w:rPr>
              <w:t>(e-pasta adrese)</w:t>
            </w:r>
          </w:p>
        </w:tc>
      </w:tr>
    </w:tbl>
    <w:p w14:paraId="55CC71C8" w14:textId="6735E161" w:rsidR="00475310" w:rsidRDefault="00667CB0" w:rsidP="00475310">
      <w:pPr>
        <w:pStyle w:val="BodyTextIndent"/>
        <w:tabs>
          <w:tab w:val="num" w:pos="426"/>
        </w:tabs>
        <w:spacing w:before="0" w:after="0"/>
        <w:ind w:left="0" w:firstLine="0"/>
        <w:rPr>
          <w:rFonts w:eastAsia="Calibri"/>
          <w:sz w:val="20"/>
          <w:szCs w:val="22"/>
          <w:lang w:val="lv-LV"/>
        </w:rPr>
      </w:pPr>
      <w:r>
        <w:rPr>
          <w:rFonts w:eastAsia="Calibri"/>
          <w:sz w:val="20"/>
          <w:szCs w:val="22"/>
          <w:lang w:val="lv-LV"/>
        </w:rPr>
        <w:t>0</w:t>
      </w:r>
      <w:r w:rsidR="005E3FE6">
        <w:rPr>
          <w:rFonts w:eastAsia="Calibri"/>
          <w:sz w:val="20"/>
          <w:szCs w:val="22"/>
          <w:lang w:val="lv-LV"/>
        </w:rPr>
        <w:t>5</w:t>
      </w:r>
      <w:r>
        <w:rPr>
          <w:rFonts w:eastAsia="Calibri"/>
          <w:sz w:val="20"/>
          <w:szCs w:val="22"/>
          <w:lang w:val="lv-LV"/>
        </w:rPr>
        <w:t>.03</w:t>
      </w:r>
      <w:r w:rsidR="006D1253">
        <w:rPr>
          <w:rFonts w:eastAsia="Calibri"/>
          <w:sz w:val="20"/>
          <w:szCs w:val="22"/>
          <w:lang w:val="lv-LV"/>
        </w:rPr>
        <w:t>.2021</w:t>
      </w:r>
      <w:r w:rsidR="00475310">
        <w:rPr>
          <w:rFonts w:eastAsia="Calibri"/>
          <w:sz w:val="20"/>
          <w:szCs w:val="22"/>
          <w:lang w:val="lv-LV"/>
        </w:rPr>
        <w:t>.</w:t>
      </w:r>
    </w:p>
    <w:p w14:paraId="1F35E4D1" w14:textId="2B133066" w:rsidR="00475310" w:rsidRPr="002F5E4A" w:rsidRDefault="00475310" w:rsidP="00475310">
      <w:pPr>
        <w:pStyle w:val="BodyTextIndent"/>
        <w:tabs>
          <w:tab w:val="num" w:pos="426"/>
        </w:tabs>
        <w:spacing w:before="0" w:after="0"/>
        <w:ind w:left="0" w:firstLine="0"/>
        <w:rPr>
          <w:sz w:val="20"/>
          <w:lang w:val="lv-LV"/>
        </w:rPr>
      </w:pPr>
      <w:r>
        <w:rPr>
          <w:sz w:val="20"/>
        </w:rPr>
        <w:fldChar w:fldCharType="begin"/>
      </w:r>
      <w:r>
        <w:rPr>
          <w:sz w:val="20"/>
        </w:rPr>
        <w:instrText xml:space="preserve"> NUMWORDS   \* MERGEFORMAT </w:instrText>
      </w:r>
      <w:r>
        <w:rPr>
          <w:sz w:val="20"/>
        </w:rPr>
        <w:fldChar w:fldCharType="separate"/>
      </w:r>
      <w:r w:rsidR="00D64713">
        <w:rPr>
          <w:noProof/>
          <w:sz w:val="20"/>
        </w:rPr>
        <w:t>1813</w:t>
      </w:r>
      <w:r>
        <w:rPr>
          <w:sz w:val="20"/>
        </w:rPr>
        <w:fldChar w:fldCharType="end"/>
      </w:r>
    </w:p>
    <w:p w14:paraId="7197F3A0" w14:textId="77777777" w:rsidR="00475310" w:rsidRDefault="00475310" w:rsidP="00475310">
      <w:pPr>
        <w:spacing w:after="0"/>
        <w:rPr>
          <w:rFonts w:ascii="Times New Roman" w:hAnsi="Times New Roman"/>
          <w:sz w:val="20"/>
        </w:rPr>
      </w:pPr>
      <w:r>
        <w:rPr>
          <w:rFonts w:ascii="Times New Roman" w:hAnsi="Times New Roman"/>
          <w:sz w:val="20"/>
        </w:rPr>
        <w:t xml:space="preserve">Centrālās statistikas pārvaldes </w:t>
      </w:r>
    </w:p>
    <w:p w14:paraId="6D6A28D3" w14:textId="77777777" w:rsidR="00475310" w:rsidRDefault="00475310" w:rsidP="00475310">
      <w:pPr>
        <w:spacing w:after="0"/>
        <w:rPr>
          <w:rFonts w:ascii="Times New Roman" w:hAnsi="Times New Roman"/>
          <w:sz w:val="20"/>
        </w:rPr>
      </w:pPr>
      <w:r>
        <w:rPr>
          <w:rFonts w:ascii="Times New Roman" w:hAnsi="Times New Roman"/>
          <w:sz w:val="20"/>
        </w:rPr>
        <w:t>Juridiskā un pārvaldes organizācijas departamenta</w:t>
      </w:r>
    </w:p>
    <w:p w14:paraId="1CAD0F7B" w14:textId="77777777" w:rsidR="00475310" w:rsidRDefault="004F5900" w:rsidP="00475310">
      <w:pPr>
        <w:spacing w:after="0"/>
        <w:rPr>
          <w:rFonts w:ascii="Times New Roman" w:hAnsi="Times New Roman"/>
          <w:sz w:val="20"/>
        </w:rPr>
      </w:pPr>
      <w:r>
        <w:rPr>
          <w:rFonts w:ascii="Times New Roman" w:hAnsi="Times New Roman"/>
          <w:sz w:val="20"/>
        </w:rPr>
        <w:t>Juridiskās daļas Juriskonsulte</w:t>
      </w:r>
      <w:r w:rsidR="00475310">
        <w:rPr>
          <w:rFonts w:ascii="Times New Roman" w:hAnsi="Times New Roman"/>
          <w:sz w:val="20"/>
        </w:rPr>
        <w:t xml:space="preserve"> </w:t>
      </w:r>
      <w:r>
        <w:rPr>
          <w:rFonts w:ascii="Times New Roman" w:hAnsi="Times New Roman"/>
          <w:sz w:val="20"/>
        </w:rPr>
        <w:t xml:space="preserve">Guna </w:t>
      </w:r>
      <w:proofErr w:type="spellStart"/>
      <w:r>
        <w:rPr>
          <w:rFonts w:ascii="Times New Roman" w:hAnsi="Times New Roman"/>
          <w:sz w:val="20"/>
        </w:rPr>
        <w:t>Piliņa</w:t>
      </w:r>
      <w:proofErr w:type="spellEnd"/>
    </w:p>
    <w:p w14:paraId="363799A8" w14:textId="77777777" w:rsidR="000644F2" w:rsidRPr="00475310" w:rsidRDefault="00475310" w:rsidP="004F7594">
      <w:pPr>
        <w:spacing w:after="0"/>
        <w:rPr>
          <w:rFonts w:ascii="Times New Roman" w:eastAsia="Times New Roman" w:hAnsi="Times New Roman"/>
          <w:sz w:val="24"/>
          <w:szCs w:val="24"/>
          <w:lang w:eastAsia="lv-LV"/>
        </w:rPr>
      </w:pPr>
      <w:r w:rsidRPr="001844B8">
        <w:rPr>
          <w:rFonts w:ascii="Times New Roman" w:hAnsi="Times New Roman"/>
          <w:sz w:val="20"/>
        </w:rPr>
        <w:t>67</w:t>
      </w:r>
      <w:r>
        <w:rPr>
          <w:rFonts w:ascii="Times New Roman" w:hAnsi="Times New Roman"/>
          <w:sz w:val="20"/>
        </w:rPr>
        <w:t>366</w:t>
      </w:r>
      <w:r w:rsidR="004F5900">
        <w:rPr>
          <w:rFonts w:ascii="Times New Roman" w:hAnsi="Times New Roman"/>
          <w:sz w:val="20"/>
        </w:rPr>
        <w:t>773</w:t>
      </w:r>
      <w:r w:rsidRPr="001844B8">
        <w:rPr>
          <w:rFonts w:ascii="Times New Roman" w:hAnsi="Times New Roman"/>
          <w:sz w:val="20"/>
        </w:rPr>
        <w:t xml:space="preserve">; </w:t>
      </w:r>
      <w:r w:rsidR="004F5900">
        <w:rPr>
          <w:rFonts w:ascii="Times New Roman" w:hAnsi="Times New Roman"/>
          <w:sz w:val="20"/>
        </w:rPr>
        <w:t>Guna.Pilina</w:t>
      </w:r>
      <w:r>
        <w:rPr>
          <w:rFonts w:ascii="Times New Roman" w:hAnsi="Times New Roman"/>
          <w:sz w:val="20"/>
        </w:rPr>
        <w:t>@csb</w:t>
      </w:r>
      <w:r w:rsidRPr="001844B8">
        <w:rPr>
          <w:rFonts w:ascii="Times New Roman" w:hAnsi="Times New Roman"/>
          <w:sz w:val="20"/>
        </w:rPr>
        <w:t>.gov.lv</w:t>
      </w:r>
    </w:p>
    <w:sectPr w:rsidR="000644F2" w:rsidRPr="00475310" w:rsidSect="0084021D">
      <w:headerReference w:type="default" r:id="rId10"/>
      <w:footerReference w:type="default" r:id="rId11"/>
      <w:footerReference w:type="first" r:id="rId12"/>
      <w:pgSz w:w="16838" w:h="11906" w:orient="landscape"/>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0D66D" w14:textId="77777777" w:rsidR="008420A5" w:rsidRDefault="008420A5" w:rsidP="000644F2">
      <w:pPr>
        <w:spacing w:after="0" w:line="240" w:lineRule="auto"/>
      </w:pPr>
      <w:r>
        <w:separator/>
      </w:r>
    </w:p>
  </w:endnote>
  <w:endnote w:type="continuationSeparator" w:id="0">
    <w:p w14:paraId="1EFA020C" w14:textId="77777777" w:rsidR="008420A5" w:rsidRDefault="008420A5" w:rsidP="0006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8A30" w14:textId="08FFF043" w:rsidR="008420A5" w:rsidRPr="00A66AB0" w:rsidRDefault="00D21B6B" w:rsidP="00A66AB0">
    <w:pPr>
      <w:pStyle w:val="NoSpacing"/>
      <w:jc w:val="both"/>
      <w:rPr>
        <w:sz w:val="18"/>
        <w:szCs w:val="18"/>
      </w:rPr>
    </w:pPr>
    <w:r w:rsidRPr="00396DEB">
      <w:rPr>
        <w:sz w:val="18"/>
        <w:szCs w:val="18"/>
      </w:rPr>
      <w:fldChar w:fldCharType="begin"/>
    </w:r>
    <w:r w:rsidRPr="00396DEB">
      <w:rPr>
        <w:sz w:val="18"/>
        <w:szCs w:val="18"/>
      </w:rPr>
      <w:instrText xml:space="preserve"> FILENAME   \* MERGEFORMAT </w:instrText>
    </w:r>
    <w:r w:rsidRPr="00396DEB">
      <w:rPr>
        <w:sz w:val="18"/>
        <w:szCs w:val="18"/>
      </w:rPr>
      <w:fldChar w:fldCharType="separate"/>
    </w:r>
    <w:r>
      <w:rPr>
        <w:noProof/>
        <w:sz w:val="18"/>
        <w:szCs w:val="18"/>
      </w:rPr>
      <w:t>EMIzz_</w:t>
    </w:r>
    <w:r w:rsidR="00667CB0">
      <w:rPr>
        <w:noProof/>
        <w:sz w:val="18"/>
        <w:szCs w:val="18"/>
      </w:rPr>
      <w:t>0</w:t>
    </w:r>
    <w:r w:rsidR="005E3FE6">
      <w:rPr>
        <w:noProof/>
        <w:sz w:val="18"/>
        <w:szCs w:val="18"/>
      </w:rPr>
      <w:t>5</w:t>
    </w:r>
    <w:r w:rsidR="00667CB0">
      <w:rPr>
        <w:noProof/>
        <w:sz w:val="18"/>
        <w:szCs w:val="18"/>
      </w:rPr>
      <w:t>03</w:t>
    </w:r>
    <w:r w:rsidR="006D1253">
      <w:rPr>
        <w:noProof/>
        <w:sz w:val="18"/>
        <w:szCs w:val="18"/>
      </w:rPr>
      <w:t>21</w:t>
    </w:r>
    <w:r>
      <w:rPr>
        <w:noProof/>
        <w:sz w:val="18"/>
        <w:szCs w:val="18"/>
      </w:rPr>
      <w:t>_veidlapas</w:t>
    </w:r>
    <w:r w:rsidRPr="00396DEB">
      <w:rPr>
        <w:noProof/>
        <w:sz w:val="18"/>
        <w:szCs w:val="18"/>
      </w:rPr>
      <w:fldChar w:fldCharType="end"/>
    </w:r>
    <w:r w:rsidRPr="00396DEB">
      <w:rPr>
        <w:sz w:val="18"/>
        <w:szCs w:val="18"/>
      </w:rPr>
      <w:t xml:space="preserve">; </w:t>
    </w:r>
    <w:r w:rsidRPr="00A66AB0">
      <w:rPr>
        <w:sz w:val="18"/>
        <w:szCs w:val="18"/>
      </w:rPr>
      <w:t xml:space="preserve">Izziņa par atzinumos sniegtajiem iebildumiem  Ministru kabineta noteikumu projektā „ Grozījumi Ministru kabineta 2016. gada 20. decembra noteikumos Nr. 812 “Oficiālās statistikas veidlapu paraugu apstiprināšanas un veidlapu aizpildīšanas un iesniegšanas noteikumi”” </w:t>
    </w:r>
    <w:r w:rsidRPr="00146591">
      <w:rPr>
        <w:sz w:val="18"/>
        <w:szCs w:val="18"/>
      </w:rPr>
      <w:t xml:space="preserve">(VSS – </w:t>
    </w:r>
    <w:r w:rsidR="006D1253">
      <w:rPr>
        <w:sz w:val="18"/>
        <w:szCs w:val="18"/>
      </w:rPr>
      <w:t>36</w:t>
    </w:r>
    <w:r w:rsidRPr="00146591">
      <w:rPr>
        <w:sz w:val="18"/>
        <w:szCs w:val="18"/>
      </w:rPr>
      <w:t>)</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494896103"/>
  <w:p w14:paraId="3831B26B" w14:textId="6CA3A3F3" w:rsidR="008420A5" w:rsidRPr="00146591" w:rsidRDefault="008420A5" w:rsidP="00146591">
    <w:pPr>
      <w:pStyle w:val="NoSpacing"/>
      <w:jc w:val="both"/>
      <w:rPr>
        <w:sz w:val="18"/>
        <w:szCs w:val="18"/>
      </w:rPr>
    </w:pPr>
    <w:r w:rsidRPr="00396DEB">
      <w:rPr>
        <w:sz w:val="18"/>
        <w:szCs w:val="18"/>
      </w:rPr>
      <w:fldChar w:fldCharType="begin"/>
    </w:r>
    <w:r w:rsidRPr="00396DEB">
      <w:rPr>
        <w:sz w:val="18"/>
        <w:szCs w:val="18"/>
      </w:rPr>
      <w:instrText xml:space="preserve"> FILENAME   \* MERGEFORMAT </w:instrText>
    </w:r>
    <w:r w:rsidRPr="00396DEB">
      <w:rPr>
        <w:sz w:val="18"/>
        <w:szCs w:val="18"/>
      </w:rPr>
      <w:fldChar w:fldCharType="separate"/>
    </w:r>
    <w:r>
      <w:rPr>
        <w:noProof/>
        <w:sz w:val="18"/>
        <w:szCs w:val="18"/>
      </w:rPr>
      <w:t>EMIzz_</w:t>
    </w:r>
    <w:r w:rsidR="00667CB0">
      <w:rPr>
        <w:noProof/>
        <w:sz w:val="18"/>
        <w:szCs w:val="18"/>
      </w:rPr>
      <w:t>0</w:t>
    </w:r>
    <w:r w:rsidR="005E3FE6">
      <w:rPr>
        <w:noProof/>
        <w:sz w:val="18"/>
        <w:szCs w:val="18"/>
      </w:rPr>
      <w:t>5</w:t>
    </w:r>
    <w:r w:rsidR="00667CB0">
      <w:rPr>
        <w:noProof/>
        <w:sz w:val="18"/>
        <w:szCs w:val="18"/>
      </w:rPr>
      <w:t>03</w:t>
    </w:r>
    <w:r w:rsidR="006D1253">
      <w:rPr>
        <w:noProof/>
        <w:sz w:val="18"/>
        <w:szCs w:val="18"/>
      </w:rPr>
      <w:t>21</w:t>
    </w:r>
    <w:r>
      <w:rPr>
        <w:noProof/>
        <w:sz w:val="18"/>
        <w:szCs w:val="18"/>
      </w:rPr>
      <w:t>_veidlapas</w:t>
    </w:r>
    <w:r w:rsidRPr="00396DEB">
      <w:rPr>
        <w:noProof/>
        <w:sz w:val="18"/>
        <w:szCs w:val="18"/>
      </w:rPr>
      <w:fldChar w:fldCharType="end"/>
    </w:r>
    <w:r w:rsidRPr="00396DEB">
      <w:rPr>
        <w:sz w:val="18"/>
        <w:szCs w:val="18"/>
      </w:rPr>
      <w:t xml:space="preserve">; </w:t>
    </w:r>
    <w:r w:rsidR="00A66AB0" w:rsidRPr="00A66AB0">
      <w:rPr>
        <w:sz w:val="18"/>
        <w:szCs w:val="18"/>
      </w:rPr>
      <w:t xml:space="preserve">Izziņa par atzinumos sniegtajiem iebildumiem  Ministru kabineta noteikumu projektā „ Grozījumi Ministru kabineta 2016. gada 20. decembra noteikumos Nr. 812 “Oficiālās statistikas veidlapu paraugu apstiprināšanas un veidlapu aizpildīšanas un iesniegšanas noteikumi”” </w:t>
    </w:r>
    <w:r w:rsidRPr="00146591">
      <w:rPr>
        <w:sz w:val="18"/>
        <w:szCs w:val="18"/>
      </w:rPr>
      <w:t xml:space="preserve">(VSS – </w:t>
    </w:r>
    <w:r w:rsidR="006D1253">
      <w:rPr>
        <w:sz w:val="18"/>
        <w:szCs w:val="18"/>
      </w:rPr>
      <w:t>36</w:t>
    </w:r>
    <w:r w:rsidRPr="00146591">
      <w:rPr>
        <w:sz w:val="18"/>
        <w:szCs w:val="18"/>
      </w:rPr>
      <w:t>)</w:t>
    </w:r>
    <w:r>
      <w:rPr>
        <w:sz w:val="18"/>
        <w:szCs w:val="18"/>
      </w:rPr>
      <w:t>.</w:t>
    </w:r>
  </w:p>
  <w:bookmarkEnd w:id="1"/>
  <w:p w14:paraId="65968703" w14:textId="77777777" w:rsidR="008420A5" w:rsidRPr="00B53CCF" w:rsidRDefault="008420A5" w:rsidP="00936F23">
    <w:pPr>
      <w:spacing w:line="240" w:lineRule="auto"/>
      <w:rPr>
        <w:rFonts w:ascii="Times New Roman" w:eastAsia="Times New Roman" w:hAnsi="Times New Roman"/>
        <w:b/>
        <w:bCs/>
        <w:sz w:val="28"/>
        <w:szCs w:val="28"/>
        <w:lang w:eastAsia="lv-LV"/>
      </w:rPr>
    </w:pPr>
  </w:p>
  <w:p w14:paraId="5AC67D9E" w14:textId="77777777" w:rsidR="008420A5" w:rsidRDefault="0084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E8FCF" w14:textId="77777777" w:rsidR="008420A5" w:rsidRDefault="008420A5" w:rsidP="000644F2">
      <w:pPr>
        <w:spacing w:after="0" w:line="240" w:lineRule="auto"/>
      </w:pPr>
      <w:r>
        <w:separator/>
      </w:r>
    </w:p>
  </w:footnote>
  <w:footnote w:type="continuationSeparator" w:id="0">
    <w:p w14:paraId="7478F990" w14:textId="77777777" w:rsidR="008420A5" w:rsidRDefault="008420A5" w:rsidP="00064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5639"/>
      <w:docPartObj>
        <w:docPartGallery w:val="Page Numbers (Top of Page)"/>
        <w:docPartUnique/>
      </w:docPartObj>
    </w:sdtPr>
    <w:sdtEndPr>
      <w:rPr>
        <w:rFonts w:ascii="Times New Roman" w:hAnsi="Times New Roman" w:cs="Times New Roman"/>
        <w:sz w:val="24"/>
      </w:rPr>
    </w:sdtEndPr>
    <w:sdtContent>
      <w:p w14:paraId="7E7A4596" w14:textId="77777777" w:rsidR="008420A5" w:rsidRDefault="008420A5">
        <w:pPr>
          <w:pStyle w:val="Header"/>
          <w:jc w:val="center"/>
        </w:pPr>
        <w:r w:rsidRPr="0084021D">
          <w:rPr>
            <w:rFonts w:ascii="Times New Roman" w:hAnsi="Times New Roman" w:cs="Times New Roman"/>
            <w:sz w:val="24"/>
          </w:rPr>
          <w:fldChar w:fldCharType="begin"/>
        </w:r>
        <w:r w:rsidRPr="0084021D">
          <w:rPr>
            <w:rFonts w:ascii="Times New Roman" w:hAnsi="Times New Roman" w:cs="Times New Roman"/>
            <w:sz w:val="24"/>
          </w:rPr>
          <w:instrText xml:space="preserve"> PAGE   \* MERGEFORMAT </w:instrText>
        </w:r>
        <w:r w:rsidRPr="0084021D">
          <w:rPr>
            <w:rFonts w:ascii="Times New Roman" w:hAnsi="Times New Roman" w:cs="Times New Roman"/>
            <w:sz w:val="24"/>
          </w:rPr>
          <w:fldChar w:fldCharType="separate"/>
        </w:r>
        <w:r w:rsidR="004F7594">
          <w:rPr>
            <w:rFonts w:ascii="Times New Roman" w:hAnsi="Times New Roman" w:cs="Times New Roman"/>
            <w:noProof/>
            <w:sz w:val="24"/>
          </w:rPr>
          <w:t>12</w:t>
        </w:r>
        <w:r w:rsidRPr="0084021D">
          <w:rPr>
            <w:rFonts w:ascii="Times New Roman" w:hAnsi="Times New Roman" w:cs="Times New Roman"/>
            <w:sz w:val="24"/>
          </w:rPr>
          <w:fldChar w:fldCharType="end"/>
        </w:r>
      </w:p>
    </w:sdtContent>
  </w:sdt>
  <w:p w14:paraId="33CC8301" w14:textId="77777777" w:rsidR="008420A5" w:rsidRDefault="0084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05B59"/>
    <w:multiLevelType w:val="hybridMultilevel"/>
    <w:tmpl w:val="85A81556"/>
    <w:lvl w:ilvl="0" w:tplc="DC343FC2">
      <w:start w:val="1"/>
      <w:numFmt w:val="decimal"/>
      <w:suff w:val="space"/>
      <w:lvlText w:val="%1."/>
      <w:lvlJc w:val="left"/>
      <w:pPr>
        <w:ind w:left="0" w:firstLine="851"/>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4A81D0F"/>
    <w:multiLevelType w:val="hybridMultilevel"/>
    <w:tmpl w:val="EF005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87071C"/>
    <w:multiLevelType w:val="multilevel"/>
    <w:tmpl w:val="95BE25A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32" w:hanging="432"/>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BDE2DC3"/>
    <w:multiLevelType w:val="hybridMultilevel"/>
    <w:tmpl w:val="A1BE9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CD72A0"/>
    <w:multiLevelType w:val="hybridMultilevel"/>
    <w:tmpl w:val="BFAC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362435"/>
    <w:multiLevelType w:val="hybridMultilevel"/>
    <w:tmpl w:val="ABF087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319C6B0D"/>
    <w:multiLevelType w:val="multilevel"/>
    <w:tmpl w:val="9E1E802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7" w15:restartNumberingAfterBreak="0">
    <w:nsid w:val="35B05C4B"/>
    <w:multiLevelType w:val="hybridMultilevel"/>
    <w:tmpl w:val="E1341350"/>
    <w:lvl w:ilvl="0" w:tplc="114851E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8" w15:restartNumberingAfterBreak="0">
    <w:nsid w:val="36953E46"/>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9" w15:restartNumberingAfterBreak="0">
    <w:nsid w:val="3CFD021F"/>
    <w:multiLevelType w:val="hybridMultilevel"/>
    <w:tmpl w:val="1AEAF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B50D3C"/>
    <w:multiLevelType w:val="hybridMultilevel"/>
    <w:tmpl w:val="01E4D7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A94993"/>
    <w:multiLevelType w:val="hybridMultilevel"/>
    <w:tmpl w:val="AAB44A80"/>
    <w:lvl w:ilvl="0" w:tplc="AAB68D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C2C741D"/>
    <w:multiLevelType w:val="hybridMultilevel"/>
    <w:tmpl w:val="85E405BA"/>
    <w:lvl w:ilvl="0" w:tplc="11961E1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C7144CD"/>
    <w:multiLevelType w:val="hybridMultilevel"/>
    <w:tmpl w:val="47725CE4"/>
    <w:lvl w:ilvl="0" w:tplc="05CA70C2">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4" w15:restartNumberingAfterBreak="0">
    <w:nsid w:val="504A68BD"/>
    <w:multiLevelType w:val="hybridMultilevel"/>
    <w:tmpl w:val="DD0A6A60"/>
    <w:lvl w:ilvl="0" w:tplc="6BCE2850">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15" w15:restartNumberingAfterBreak="0">
    <w:nsid w:val="55C833F7"/>
    <w:multiLevelType w:val="hybridMultilevel"/>
    <w:tmpl w:val="71B6D2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70A684A"/>
    <w:multiLevelType w:val="hybridMultilevel"/>
    <w:tmpl w:val="DBB8B048"/>
    <w:lvl w:ilvl="0" w:tplc="617A062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D6D6EEC"/>
    <w:multiLevelType w:val="hybridMultilevel"/>
    <w:tmpl w:val="6B506C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2B20873"/>
    <w:multiLevelType w:val="hybridMultilevel"/>
    <w:tmpl w:val="C03E99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B1A0235"/>
    <w:multiLevelType w:val="hybridMultilevel"/>
    <w:tmpl w:val="DC8C811C"/>
    <w:lvl w:ilvl="0" w:tplc="0826108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6DA77C4A"/>
    <w:multiLevelType w:val="hybridMultilevel"/>
    <w:tmpl w:val="1B667DAE"/>
    <w:lvl w:ilvl="0" w:tplc="A09C01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738D43AA"/>
    <w:multiLevelType w:val="hybridMultilevel"/>
    <w:tmpl w:val="BFAC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6346C33"/>
    <w:multiLevelType w:val="hybridMultilevel"/>
    <w:tmpl w:val="C76ADF94"/>
    <w:lvl w:ilvl="0" w:tplc="7AB4B6B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D5B6D4A"/>
    <w:multiLevelType w:val="hybridMultilevel"/>
    <w:tmpl w:val="FAF2A7CC"/>
    <w:lvl w:ilvl="0" w:tplc="FA5E7B76">
      <w:start w:val="1"/>
      <w:numFmt w:val="decimal"/>
      <w:suff w:val="space"/>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7E70569D"/>
    <w:multiLevelType w:val="hybridMultilevel"/>
    <w:tmpl w:val="259E8FDC"/>
    <w:lvl w:ilvl="0" w:tplc="CD9C5F3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2"/>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8"/>
  </w:num>
  <w:num w:numId="7">
    <w:abstractNumId w:val="9"/>
  </w:num>
  <w:num w:numId="8">
    <w:abstractNumId w:val="2"/>
  </w:num>
  <w:num w:numId="9">
    <w:abstractNumId w:val="10"/>
  </w:num>
  <w:num w:numId="10">
    <w:abstractNumId w:val="1"/>
  </w:num>
  <w:num w:numId="11">
    <w:abstractNumId w:val="4"/>
  </w:num>
  <w:num w:numId="12">
    <w:abstractNumId w:val="21"/>
  </w:num>
  <w:num w:numId="13">
    <w:abstractNumId w:val="5"/>
  </w:num>
  <w:num w:numId="14">
    <w:abstractNumId w:val="15"/>
  </w:num>
  <w:num w:numId="15">
    <w:abstractNumId w:val="18"/>
  </w:num>
  <w:num w:numId="16">
    <w:abstractNumId w:val="3"/>
  </w:num>
  <w:num w:numId="17">
    <w:abstractNumId w:val="7"/>
  </w:num>
  <w:num w:numId="18">
    <w:abstractNumId w:val="11"/>
  </w:num>
  <w:num w:numId="19">
    <w:abstractNumId w:val="12"/>
  </w:num>
  <w:num w:numId="20">
    <w:abstractNumId w:val="16"/>
  </w:num>
  <w:num w:numId="21">
    <w:abstractNumId w:val="14"/>
  </w:num>
  <w:num w:numId="22">
    <w:abstractNumId w:val="6"/>
  </w:num>
  <w:num w:numId="23">
    <w:abstractNumId w:val="20"/>
  </w:num>
  <w:num w:numId="24">
    <w:abstractNumId w:val="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4F2"/>
    <w:rsid w:val="0000024A"/>
    <w:rsid w:val="00001348"/>
    <w:rsid w:val="00005F31"/>
    <w:rsid w:val="00007AFC"/>
    <w:rsid w:val="0001033E"/>
    <w:rsid w:val="0001159B"/>
    <w:rsid w:val="00011979"/>
    <w:rsid w:val="000123F1"/>
    <w:rsid w:val="00025BB9"/>
    <w:rsid w:val="00032A50"/>
    <w:rsid w:val="000374AD"/>
    <w:rsid w:val="0004207B"/>
    <w:rsid w:val="00052768"/>
    <w:rsid w:val="00053876"/>
    <w:rsid w:val="00057B08"/>
    <w:rsid w:val="00060D30"/>
    <w:rsid w:val="00063EAD"/>
    <w:rsid w:val="000644F2"/>
    <w:rsid w:val="00072F59"/>
    <w:rsid w:val="00073A8B"/>
    <w:rsid w:val="0008062C"/>
    <w:rsid w:val="000838D4"/>
    <w:rsid w:val="00090D95"/>
    <w:rsid w:val="000A7606"/>
    <w:rsid w:val="000B3354"/>
    <w:rsid w:val="000C6764"/>
    <w:rsid w:val="000C7771"/>
    <w:rsid w:val="000D2AA6"/>
    <w:rsid w:val="000E519F"/>
    <w:rsid w:val="00110981"/>
    <w:rsid w:val="0011129A"/>
    <w:rsid w:val="00112812"/>
    <w:rsid w:val="00115B44"/>
    <w:rsid w:val="001306B3"/>
    <w:rsid w:val="0013115C"/>
    <w:rsid w:val="00131245"/>
    <w:rsid w:val="00146591"/>
    <w:rsid w:val="001659F7"/>
    <w:rsid w:val="00170FA4"/>
    <w:rsid w:val="001740C8"/>
    <w:rsid w:val="001844B8"/>
    <w:rsid w:val="001848CD"/>
    <w:rsid w:val="00194A1A"/>
    <w:rsid w:val="001A045C"/>
    <w:rsid w:val="001A48DF"/>
    <w:rsid w:val="001A5966"/>
    <w:rsid w:val="001B3380"/>
    <w:rsid w:val="001C3E35"/>
    <w:rsid w:val="001C4048"/>
    <w:rsid w:val="001C5393"/>
    <w:rsid w:val="001D753D"/>
    <w:rsid w:val="001E2B9C"/>
    <w:rsid w:val="001E58B4"/>
    <w:rsid w:val="002148C0"/>
    <w:rsid w:val="00215CC5"/>
    <w:rsid w:val="00216216"/>
    <w:rsid w:val="00224801"/>
    <w:rsid w:val="002318B6"/>
    <w:rsid w:val="0023195D"/>
    <w:rsid w:val="0023516F"/>
    <w:rsid w:val="002452EC"/>
    <w:rsid w:val="00252A81"/>
    <w:rsid w:val="00263736"/>
    <w:rsid w:val="00277475"/>
    <w:rsid w:val="00282FF8"/>
    <w:rsid w:val="00286A2E"/>
    <w:rsid w:val="00287FF5"/>
    <w:rsid w:val="00291AC7"/>
    <w:rsid w:val="00293A74"/>
    <w:rsid w:val="0029450F"/>
    <w:rsid w:val="002D32EF"/>
    <w:rsid w:val="002E0DD9"/>
    <w:rsid w:val="002F5E4A"/>
    <w:rsid w:val="00301D06"/>
    <w:rsid w:val="00304B44"/>
    <w:rsid w:val="00320667"/>
    <w:rsid w:val="00323468"/>
    <w:rsid w:val="00336FCD"/>
    <w:rsid w:val="003415C4"/>
    <w:rsid w:val="00341C6D"/>
    <w:rsid w:val="0034766D"/>
    <w:rsid w:val="00354DE1"/>
    <w:rsid w:val="0036099A"/>
    <w:rsid w:val="003623F8"/>
    <w:rsid w:val="00364DF0"/>
    <w:rsid w:val="0036593F"/>
    <w:rsid w:val="00373EBF"/>
    <w:rsid w:val="003831B2"/>
    <w:rsid w:val="00383581"/>
    <w:rsid w:val="0039588D"/>
    <w:rsid w:val="00395C09"/>
    <w:rsid w:val="00396DEB"/>
    <w:rsid w:val="003A6ADC"/>
    <w:rsid w:val="003A6E00"/>
    <w:rsid w:val="003B024E"/>
    <w:rsid w:val="003B026D"/>
    <w:rsid w:val="003C0E81"/>
    <w:rsid w:val="003C1143"/>
    <w:rsid w:val="003D15AD"/>
    <w:rsid w:val="003D4A51"/>
    <w:rsid w:val="003E0336"/>
    <w:rsid w:val="003E3E46"/>
    <w:rsid w:val="003E5DB5"/>
    <w:rsid w:val="003F04C1"/>
    <w:rsid w:val="003F642E"/>
    <w:rsid w:val="004072B8"/>
    <w:rsid w:val="004118BF"/>
    <w:rsid w:val="00412DC6"/>
    <w:rsid w:val="00430A35"/>
    <w:rsid w:val="00443B59"/>
    <w:rsid w:val="00456864"/>
    <w:rsid w:val="00456FD3"/>
    <w:rsid w:val="004733FB"/>
    <w:rsid w:val="00475310"/>
    <w:rsid w:val="00486A00"/>
    <w:rsid w:val="00496500"/>
    <w:rsid w:val="004B3956"/>
    <w:rsid w:val="004C1AA6"/>
    <w:rsid w:val="004C56C2"/>
    <w:rsid w:val="004D1344"/>
    <w:rsid w:val="004D3274"/>
    <w:rsid w:val="004E3C45"/>
    <w:rsid w:val="004E4AD8"/>
    <w:rsid w:val="004F5900"/>
    <w:rsid w:val="004F7594"/>
    <w:rsid w:val="00503CD6"/>
    <w:rsid w:val="00510B2A"/>
    <w:rsid w:val="00511D92"/>
    <w:rsid w:val="00514A20"/>
    <w:rsid w:val="005356AC"/>
    <w:rsid w:val="0054045E"/>
    <w:rsid w:val="00540B92"/>
    <w:rsid w:val="00560A89"/>
    <w:rsid w:val="00562299"/>
    <w:rsid w:val="005655EF"/>
    <w:rsid w:val="00571632"/>
    <w:rsid w:val="00572582"/>
    <w:rsid w:val="00574999"/>
    <w:rsid w:val="00577E11"/>
    <w:rsid w:val="00583983"/>
    <w:rsid w:val="00590750"/>
    <w:rsid w:val="0059130C"/>
    <w:rsid w:val="005951C9"/>
    <w:rsid w:val="005971CA"/>
    <w:rsid w:val="005A4770"/>
    <w:rsid w:val="005C2C3C"/>
    <w:rsid w:val="005D23FC"/>
    <w:rsid w:val="005D7AA6"/>
    <w:rsid w:val="005E3FE6"/>
    <w:rsid w:val="006217E9"/>
    <w:rsid w:val="006229B7"/>
    <w:rsid w:val="0062690A"/>
    <w:rsid w:val="00627800"/>
    <w:rsid w:val="00640214"/>
    <w:rsid w:val="00650BBC"/>
    <w:rsid w:val="00656EFF"/>
    <w:rsid w:val="0066237D"/>
    <w:rsid w:val="00666C59"/>
    <w:rsid w:val="00667CB0"/>
    <w:rsid w:val="0067702C"/>
    <w:rsid w:val="00677B03"/>
    <w:rsid w:val="00680B22"/>
    <w:rsid w:val="0068126B"/>
    <w:rsid w:val="00693251"/>
    <w:rsid w:val="006A35F7"/>
    <w:rsid w:val="006A7D23"/>
    <w:rsid w:val="006B0673"/>
    <w:rsid w:val="006C239C"/>
    <w:rsid w:val="006D1253"/>
    <w:rsid w:val="006E60F6"/>
    <w:rsid w:val="00707C8C"/>
    <w:rsid w:val="00726F3C"/>
    <w:rsid w:val="007405E6"/>
    <w:rsid w:val="00741049"/>
    <w:rsid w:val="00742170"/>
    <w:rsid w:val="007430AC"/>
    <w:rsid w:val="0074439F"/>
    <w:rsid w:val="00770024"/>
    <w:rsid w:val="00780A7B"/>
    <w:rsid w:val="00781DBF"/>
    <w:rsid w:val="0078489A"/>
    <w:rsid w:val="00790CAA"/>
    <w:rsid w:val="00793425"/>
    <w:rsid w:val="00795509"/>
    <w:rsid w:val="007B2E00"/>
    <w:rsid w:val="007B401F"/>
    <w:rsid w:val="007C51AB"/>
    <w:rsid w:val="007E3D83"/>
    <w:rsid w:val="007E712E"/>
    <w:rsid w:val="00804446"/>
    <w:rsid w:val="00810AD4"/>
    <w:rsid w:val="00820D9E"/>
    <w:rsid w:val="008220CC"/>
    <w:rsid w:val="00835B22"/>
    <w:rsid w:val="0084021D"/>
    <w:rsid w:val="008420A5"/>
    <w:rsid w:val="008435E0"/>
    <w:rsid w:val="00844063"/>
    <w:rsid w:val="008517B4"/>
    <w:rsid w:val="00862059"/>
    <w:rsid w:val="008672E4"/>
    <w:rsid w:val="0087264C"/>
    <w:rsid w:val="008767FC"/>
    <w:rsid w:val="008855DC"/>
    <w:rsid w:val="00885E89"/>
    <w:rsid w:val="00886E65"/>
    <w:rsid w:val="00890C86"/>
    <w:rsid w:val="00892931"/>
    <w:rsid w:val="00893B18"/>
    <w:rsid w:val="00894FB3"/>
    <w:rsid w:val="00896633"/>
    <w:rsid w:val="008E26AE"/>
    <w:rsid w:val="008E4BE2"/>
    <w:rsid w:val="008E63C2"/>
    <w:rsid w:val="008F0C68"/>
    <w:rsid w:val="008F5C36"/>
    <w:rsid w:val="008F5FA4"/>
    <w:rsid w:val="00912824"/>
    <w:rsid w:val="00917BD4"/>
    <w:rsid w:val="00921A50"/>
    <w:rsid w:val="009227A9"/>
    <w:rsid w:val="009348AD"/>
    <w:rsid w:val="00936F23"/>
    <w:rsid w:val="009415D0"/>
    <w:rsid w:val="00960EFB"/>
    <w:rsid w:val="009665A9"/>
    <w:rsid w:val="00972603"/>
    <w:rsid w:val="009910B6"/>
    <w:rsid w:val="009A7DB4"/>
    <w:rsid w:val="009B1904"/>
    <w:rsid w:val="009B2369"/>
    <w:rsid w:val="009B4C82"/>
    <w:rsid w:val="009B69C7"/>
    <w:rsid w:val="009B71C7"/>
    <w:rsid w:val="009C098E"/>
    <w:rsid w:val="009E014D"/>
    <w:rsid w:val="009F5DFA"/>
    <w:rsid w:val="009F6ED4"/>
    <w:rsid w:val="00A012F5"/>
    <w:rsid w:val="00A05A55"/>
    <w:rsid w:val="00A334BA"/>
    <w:rsid w:val="00A340D8"/>
    <w:rsid w:val="00A440D3"/>
    <w:rsid w:val="00A52F4C"/>
    <w:rsid w:val="00A60CF4"/>
    <w:rsid w:val="00A66AB0"/>
    <w:rsid w:val="00A7126A"/>
    <w:rsid w:val="00A721BB"/>
    <w:rsid w:val="00A833C1"/>
    <w:rsid w:val="00A847A3"/>
    <w:rsid w:val="00A87617"/>
    <w:rsid w:val="00AA077A"/>
    <w:rsid w:val="00AA580C"/>
    <w:rsid w:val="00AB18B8"/>
    <w:rsid w:val="00AD1301"/>
    <w:rsid w:val="00AE0F25"/>
    <w:rsid w:val="00AF45F5"/>
    <w:rsid w:val="00AF64E2"/>
    <w:rsid w:val="00AF69EF"/>
    <w:rsid w:val="00B018D0"/>
    <w:rsid w:val="00B05042"/>
    <w:rsid w:val="00B17DED"/>
    <w:rsid w:val="00B26A50"/>
    <w:rsid w:val="00B3312B"/>
    <w:rsid w:val="00B33F80"/>
    <w:rsid w:val="00B36C39"/>
    <w:rsid w:val="00B40263"/>
    <w:rsid w:val="00B502E7"/>
    <w:rsid w:val="00B50E3B"/>
    <w:rsid w:val="00B53A4F"/>
    <w:rsid w:val="00B53CCF"/>
    <w:rsid w:val="00B54574"/>
    <w:rsid w:val="00B63EE1"/>
    <w:rsid w:val="00B67608"/>
    <w:rsid w:val="00B730E9"/>
    <w:rsid w:val="00B84C69"/>
    <w:rsid w:val="00B90689"/>
    <w:rsid w:val="00B920BB"/>
    <w:rsid w:val="00B9643C"/>
    <w:rsid w:val="00BA3DFE"/>
    <w:rsid w:val="00BA5FA5"/>
    <w:rsid w:val="00BB0A4D"/>
    <w:rsid w:val="00BC3811"/>
    <w:rsid w:val="00BD746B"/>
    <w:rsid w:val="00BF4FC7"/>
    <w:rsid w:val="00BF792D"/>
    <w:rsid w:val="00C05044"/>
    <w:rsid w:val="00C11702"/>
    <w:rsid w:val="00C262C4"/>
    <w:rsid w:val="00C26844"/>
    <w:rsid w:val="00C4246E"/>
    <w:rsid w:val="00C45BB5"/>
    <w:rsid w:val="00C53CA6"/>
    <w:rsid w:val="00C5465A"/>
    <w:rsid w:val="00C6351A"/>
    <w:rsid w:val="00C64553"/>
    <w:rsid w:val="00C64C6E"/>
    <w:rsid w:val="00C6631B"/>
    <w:rsid w:val="00C729DE"/>
    <w:rsid w:val="00C74716"/>
    <w:rsid w:val="00C74DDA"/>
    <w:rsid w:val="00C904F8"/>
    <w:rsid w:val="00C964A9"/>
    <w:rsid w:val="00C973AB"/>
    <w:rsid w:val="00CA7FF0"/>
    <w:rsid w:val="00CC45DD"/>
    <w:rsid w:val="00CE4593"/>
    <w:rsid w:val="00CE73FF"/>
    <w:rsid w:val="00CE7A88"/>
    <w:rsid w:val="00D06031"/>
    <w:rsid w:val="00D06AA6"/>
    <w:rsid w:val="00D12CAF"/>
    <w:rsid w:val="00D13164"/>
    <w:rsid w:val="00D147FD"/>
    <w:rsid w:val="00D21B6B"/>
    <w:rsid w:val="00D224A2"/>
    <w:rsid w:val="00D26C1E"/>
    <w:rsid w:val="00D64713"/>
    <w:rsid w:val="00D67420"/>
    <w:rsid w:val="00D67E09"/>
    <w:rsid w:val="00D7008B"/>
    <w:rsid w:val="00D70531"/>
    <w:rsid w:val="00D72C99"/>
    <w:rsid w:val="00D74060"/>
    <w:rsid w:val="00D7434C"/>
    <w:rsid w:val="00D75982"/>
    <w:rsid w:val="00D8079E"/>
    <w:rsid w:val="00D962F6"/>
    <w:rsid w:val="00DA1B30"/>
    <w:rsid w:val="00DA52CB"/>
    <w:rsid w:val="00DA624D"/>
    <w:rsid w:val="00DB1249"/>
    <w:rsid w:val="00DB648A"/>
    <w:rsid w:val="00DC1043"/>
    <w:rsid w:val="00DC112F"/>
    <w:rsid w:val="00DD3187"/>
    <w:rsid w:val="00DD3C1F"/>
    <w:rsid w:val="00DD5EDD"/>
    <w:rsid w:val="00DE0BA7"/>
    <w:rsid w:val="00DE5A7E"/>
    <w:rsid w:val="00E159C9"/>
    <w:rsid w:val="00E1632A"/>
    <w:rsid w:val="00E20B2F"/>
    <w:rsid w:val="00E23E81"/>
    <w:rsid w:val="00E415FE"/>
    <w:rsid w:val="00E421F8"/>
    <w:rsid w:val="00E43176"/>
    <w:rsid w:val="00E535D1"/>
    <w:rsid w:val="00E56115"/>
    <w:rsid w:val="00E618CF"/>
    <w:rsid w:val="00E62148"/>
    <w:rsid w:val="00E63E6E"/>
    <w:rsid w:val="00E71031"/>
    <w:rsid w:val="00E8432E"/>
    <w:rsid w:val="00E87FE8"/>
    <w:rsid w:val="00E90FDB"/>
    <w:rsid w:val="00E930B6"/>
    <w:rsid w:val="00EA3739"/>
    <w:rsid w:val="00EB01EB"/>
    <w:rsid w:val="00EB6959"/>
    <w:rsid w:val="00EC7CEF"/>
    <w:rsid w:val="00ED7602"/>
    <w:rsid w:val="00EE7ADB"/>
    <w:rsid w:val="00EF066E"/>
    <w:rsid w:val="00EF06B5"/>
    <w:rsid w:val="00F176CE"/>
    <w:rsid w:val="00F23F7C"/>
    <w:rsid w:val="00F25DCC"/>
    <w:rsid w:val="00F266DA"/>
    <w:rsid w:val="00F301E8"/>
    <w:rsid w:val="00F3147E"/>
    <w:rsid w:val="00F32240"/>
    <w:rsid w:val="00F34702"/>
    <w:rsid w:val="00F3517A"/>
    <w:rsid w:val="00F35F75"/>
    <w:rsid w:val="00F37FCC"/>
    <w:rsid w:val="00F47D65"/>
    <w:rsid w:val="00F5047C"/>
    <w:rsid w:val="00F600F8"/>
    <w:rsid w:val="00F60BDF"/>
    <w:rsid w:val="00F636D9"/>
    <w:rsid w:val="00F76F23"/>
    <w:rsid w:val="00F77C81"/>
    <w:rsid w:val="00F80306"/>
    <w:rsid w:val="00F81F9E"/>
    <w:rsid w:val="00F86EA6"/>
    <w:rsid w:val="00F93802"/>
    <w:rsid w:val="00FA3B56"/>
    <w:rsid w:val="00FA3CD5"/>
    <w:rsid w:val="00FA430E"/>
    <w:rsid w:val="00FB01B2"/>
    <w:rsid w:val="00FC6632"/>
    <w:rsid w:val="00FD0B44"/>
    <w:rsid w:val="00FD2294"/>
    <w:rsid w:val="00FE14AA"/>
    <w:rsid w:val="00FF2A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04AE"/>
  <w15:docId w15:val="{BB608AFB-4807-4FFB-B7E1-1BB940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4F2"/>
    <w:pPr>
      <w:spacing w:after="200"/>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4F2"/>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644F2"/>
  </w:style>
  <w:style w:type="paragraph" w:styleId="Footer">
    <w:name w:val="footer"/>
    <w:basedOn w:val="Normal"/>
    <w:link w:val="FooterChar"/>
    <w:uiPriority w:val="99"/>
    <w:unhideWhenUsed/>
    <w:rsid w:val="000644F2"/>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644F2"/>
  </w:style>
  <w:style w:type="table" w:styleId="TableGrid">
    <w:name w:val="Table Grid"/>
    <w:basedOn w:val="TableNormal"/>
    <w:uiPriority w:val="59"/>
    <w:rsid w:val="000644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Normal"/>
    <w:rsid w:val="000644F2"/>
    <w:pPr>
      <w:spacing w:after="0" w:line="240" w:lineRule="auto"/>
      <w:jc w:val="both"/>
      <w:outlineLvl w:val="0"/>
    </w:pPr>
    <w:rPr>
      <w:rFonts w:ascii="Times New Roman" w:eastAsia="Times New Roman" w:hAnsi="Times New Roman"/>
      <w:sz w:val="24"/>
      <w:szCs w:val="24"/>
      <w:lang w:val="en-GB"/>
    </w:rPr>
  </w:style>
  <w:style w:type="character" w:styleId="Strong">
    <w:name w:val="Strong"/>
    <w:basedOn w:val="DefaultParagraphFont"/>
    <w:uiPriority w:val="22"/>
    <w:qFormat/>
    <w:rsid w:val="00C11702"/>
    <w:rPr>
      <w:b/>
      <w:bCs/>
    </w:rPr>
  </w:style>
  <w:style w:type="paragraph" w:styleId="NormalWeb">
    <w:name w:val="Normal (Web)"/>
    <w:basedOn w:val="Normal"/>
    <w:uiPriority w:val="99"/>
    <w:unhideWhenUsed/>
    <w:rsid w:val="00B63E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f">
    <w:name w:val="naisf"/>
    <w:basedOn w:val="Normal"/>
    <w:uiPriority w:val="99"/>
    <w:rsid w:val="001844B8"/>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kr">
    <w:name w:val="naiskr"/>
    <w:basedOn w:val="Normal"/>
    <w:rsid w:val="001844B8"/>
    <w:pPr>
      <w:spacing w:before="100" w:beforeAutospacing="1" w:after="100" w:afterAutospacing="1" w:line="240" w:lineRule="auto"/>
    </w:pPr>
    <w:rPr>
      <w:rFonts w:ascii="Times New Roman" w:eastAsia="Times New Roman" w:hAnsi="Times New Roman"/>
      <w:sz w:val="24"/>
      <w:szCs w:val="24"/>
      <w:lang w:eastAsia="lv-LV"/>
    </w:rPr>
  </w:style>
  <w:style w:type="paragraph" w:styleId="BodyTextIndent">
    <w:name w:val="Body Text Indent"/>
    <w:basedOn w:val="Normal"/>
    <w:link w:val="BodyTextIndentChar"/>
    <w:rsid w:val="001844B8"/>
    <w:pPr>
      <w:widowControl w:val="0"/>
      <w:spacing w:before="60" w:after="120" w:line="360" w:lineRule="auto"/>
      <w:ind w:left="283" w:firstLine="720"/>
      <w:jc w:val="both"/>
    </w:pPr>
    <w:rPr>
      <w:rFonts w:ascii="Times New Roman" w:eastAsia="Times New Roman" w:hAnsi="Times New Roman"/>
      <w:sz w:val="26"/>
      <w:szCs w:val="20"/>
      <w:lang w:val="en-AU"/>
    </w:rPr>
  </w:style>
  <w:style w:type="character" w:customStyle="1" w:styleId="BodyTextIndentChar">
    <w:name w:val="Body Text Indent Char"/>
    <w:basedOn w:val="DefaultParagraphFont"/>
    <w:link w:val="BodyTextIndent"/>
    <w:rsid w:val="001844B8"/>
    <w:rPr>
      <w:rFonts w:ascii="Times New Roman" w:eastAsia="Times New Roman" w:hAnsi="Times New Roman" w:cs="Times New Roman"/>
      <w:sz w:val="26"/>
      <w:szCs w:val="20"/>
      <w:lang w:val="en-AU"/>
    </w:rPr>
  </w:style>
  <w:style w:type="paragraph" w:customStyle="1" w:styleId="naisc">
    <w:name w:val="naisc"/>
    <w:basedOn w:val="Normal"/>
    <w:rsid w:val="001844B8"/>
    <w:pPr>
      <w:spacing w:before="75" w:after="75" w:line="240" w:lineRule="auto"/>
      <w:jc w:val="center"/>
    </w:pPr>
    <w:rPr>
      <w:rFonts w:ascii="Times New Roman" w:eastAsia="Times New Roman" w:hAnsi="Times New Roman"/>
      <w:sz w:val="24"/>
      <w:szCs w:val="24"/>
      <w:lang w:eastAsia="lv-LV"/>
    </w:rPr>
  </w:style>
  <w:style w:type="paragraph" w:styleId="ListParagraph">
    <w:name w:val="List Paragraph"/>
    <w:basedOn w:val="Normal"/>
    <w:uiPriority w:val="34"/>
    <w:qFormat/>
    <w:rsid w:val="008672E4"/>
    <w:pPr>
      <w:widowControl w:val="0"/>
      <w:ind w:left="720"/>
      <w:contextualSpacing/>
    </w:pPr>
    <w:rPr>
      <w:lang w:val="en-US"/>
    </w:rPr>
  </w:style>
  <w:style w:type="paragraph" w:styleId="NoSpacing">
    <w:name w:val="No Spacing"/>
    <w:uiPriority w:val="1"/>
    <w:qFormat/>
    <w:rsid w:val="00F37FCC"/>
    <w:pPr>
      <w:spacing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A847A3"/>
    <w:rPr>
      <w:color w:val="0000FF"/>
      <w:u w:val="single"/>
    </w:rPr>
  </w:style>
  <w:style w:type="paragraph" w:styleId="BalloonText">
    <w:name w:val="Balloon Text"/>
    <w:basedOn w:val="Normal"/>
    <w:link w:val="BalloonTextChar"/>
    <w:uiPriority w:val="99"/>
    <w:semiHidden/>
    <w:unhideWhenUsed/>
    <w:rsid w:val="00336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CD"/>
    <w:rPr>
      <w:rFonts w:ascii="Segoe UI" w:eastAsia="Calibri" w:hAnsi="Segoe UI" w:cs="Segoe UI"/>
      <w:sz w:val="18"/>
      <w:szCs w:val="18"/>
    </w:rPr>
  </w:style>
  <w:style w:type="character" w:customStyle="1" w:styleId="spelle">
    <w:name w:val="spelle"/>
    <w:basedOn w:val="DefaultParagraphFont"/>
    <w:rsid w:val="00430A35"/>
  </w:style>
  <w:style w:type="paragraph" w:styleId="BodyText">
    <w:name w:val="Body Text"/>
    <w:basedOn w:val="Normal"/>
    <w:link w:val="BodyTextChar"/>
    <w:uiPriority w:val="99"/>
    <w:unhideWhenUsed/>
    <w:rsid w:val="00B9643C"/>
    <w:pPr>
      <w:widowControl w:val="0"/>
      <w:spacing w:after="120"/>
    </w:pPr>
  </w:style>
  <w:style w:type="character" w:customStyle="1" w:styleId="BodyTextChar">
    <w:name w:val="Body Text Char"/>
    <w:basedOn w:val="DefaultParagraphFont"/>
    <w:link w:val="BodyText"/>
    <w:uiPriority w:val="99"/>
    <w:rsid w:val="00B9643C"/>
    <w:rPr>
      <w:rFonts w:ascii="Calibri" w:eastAsia="Calibri" w:hAnsi="Calibri" w:cs="Times New Roman"/>
    </w:rPr>
  </w:style>
  <w:style w:type="character" w:styleId="UnresolvedMention">
    <w:name w:val="Unresolved Mention"/>
    <w:basedOn w:val="DefaultParagraphFont"/>
    <w:uiPriority w:val="99"/>
    <w:semiHidden/>
    <w:unhideWhenUsed/>
    <w:rsid w:val="006D1253"/>
    <w:rPr>
      <w:color w:val="605E5C"/>
      <w:shd w:val="clear" w:color="auto" w:fill="E1DFDD"/>
    </w:rPr>
  </w:style>
  <w:style w:type="paragraph" w:styleId="FootnoteText">
    <w:name w:val="footnote text"/>
    <w:basedOn w:val="Normal"/>
    <w:link w:val="FootnoteTextChar"/>
    <w:uiPriority w:val="99"/>
    <w:semiHidden/>
    <w:unhideWhenUsed/>
    <w:rsid w:val="003A6E00"/>
    <w:pPr>
      <w:widowControl w:val="0"/>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A6E00"/>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3A6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510663">
      <w:bodyDiv w:val="1"/>
      <w:marLeft w:val="0"/>
      <w:marRight w:val="0"/>
      <w:marTop w:val="0"/>
      <w:marBottom w:val="0"/>
      <w:divBdr>
        <w:top w:val="none" w:sz="0" w:space="0" w:color="auto"/>
        <w:left w:val="none" w:sz="0" w:space="0" w:color="auto"/>
        <w:bottom w:val="none" w:sz="0" w:space="0" w:color="auto"/>
        <w:right w:val="none" w:sz="0" w:space="0" w:color="auto"/>
      </w:divBdr>
      <w:divsChild>
        <w:div w:id="1723364256">
          <w:marLeft w:val="0"/>
          <w:marRight w:val="0"/>
          <w:marTop w:val="0"/>
          <w:marBottom w:val="0"/>
          <w:divBdr>
            <w:top w:val="none" w:sz="0" w:space="0" w:color="auto"/>
            <w:left w:val="none" w:sz="0" w:space="0" w:color="auto"/>
            <w:bottom w:val="none" w:sz="0" w:space="0" w:color="auto"/>
            <w:right w:val="none" w:sz="0" w:space="0" w:color="auto"/>
          </w:divBdr>
          <w:divsChild>
            <w:div w:id="1485471235">
              <w:marLeft w:val="0"/>
              <w:marRight w:val="0"/>
              <w:marTop w:val="0"/>
              <w:marBottom w:val="0"/>
              <w:divBdr>
                <w:top w:val="none" w:sz="0" w:space="0" w:color="auto"/>
                <w:left w:val="none" w:sz="0" w:space="0" w:color="auto"/>
                <w:bottom w:val="none" w:sz="0" w:space="0" w:color="auto"/>
                <w:right w:val="none" w:sz="0" w:space="0" w:color="auto"/>
              </w:divBdr>
              <w:divsChild>
                <w:div w:id="1964921207">
                  <w:marLeft w:val="0"/>
                  <w:marRight w:val="0"/>
                  <w:marTop w:val="0"/>
                  <w:marBottom w:val="0"/>
                  <w:divBdr>
                    <w:top w:val="none" w:sz="0" w:space="0" w:color="auto"/>
                    <w:left w:val="none" w:sz="0" w:space="0" w:color="auto"/>
                    <w:bottom w:val="none" w:sz="0" w:space="0" w:color="auto"/>
                    <w:right w:val="none" w:sz="0" w:space="0" w:color="auto"/>
                  </w:divBdr>
                  <w:divsChild>
                    <w:div w:id="2006545876">
                      <w:marLeft w:val="0"/>
                      <w:marRight w:val="0"/>
                      <w:marTop w:val="0"/>
                      <w:marBottom w:val="0"/>
                      <w:divBdr>
                        <w:top w:val="none" w:sz="0" w:space="0" w:color="auto"/>
                        <w:left w:val="none" w:sz="0" w:space="0" w:color="auto"/>
                        <w:bottom w:val="none" w:sz="0" w:space="0" w:color="auto"/>
                        <w:right w:val="none" w:sz="0" w:space="0" w:color="auto"/>
                      </w:divBdr>
                      <w:divsChild>
                        <w:div w:id="1006521693">
                          <w:marLeft w:val="0"/>
                          <w:marRight w:val="0"/>
                          <w:marTop w:val="0"/>
                          <w:marBottom w:val="0"/>
                          <w:divBdr>
                            <w:top w:val="none" w:sz="0" w:space="0" w:color="auto"/>
                            <w:left w:val="none" w:sz="0" w:space="0" w:color="auto"/>
                            <w:bottom w:val="none" w:sz="0" w:space="0" w:color="auto"/>
                            <w:right w:val="none" w:sz="0" w:space="0" w:color="auto"/>
                          </w:divBdr>
                          <w:divsChild>
                            <w:div w:id="914977198">
                              <w:marLeft w:val="0"/>
                              <w:marRight w:val="0"/>
                              <w:marTop w:val="0"/>
                              <w:marBottom w:val="0"/>
                              <w:divBdr>
                                <w:top w:val="none" w:sz="0" w:space="0" w:color="auto"/>
                                <w:left w:val="none" w:sz="0" w:space="0" w:color="auto"/>
                                <w:bottom w:val="none" w:sz="0" w:space="0" w:color="auto"/>
                                <w:right w:val="none" w:sz="0" w:space="0" w:color="auto"/>
                              </w:divBdr>
                              <w:divsChild>
                                <w:div w:id="335696503">
                                  <w:marLeft w:val="0"/>
                                  <w:marRight w:val="0"/>
                                  <w:marTop w:val="0"/>
                                  <w:marBottom w:val="0"/>
                                  <w:divBdr>
                                    <w:top w:val="none" w:sz="0" w:space="0" w:color="auto"/>
                                    <w:left w:val="none" w:sz="0" w:space="0" w:color="auto"/>
                                    <w:bottom w:val="none" w:sz="0" w:space="0" w:color="auto"/>
                                    <w:right w:val="none" w:sz="0" w:space="0" w:color="auto"/>
                                  </w:divBdr>
                                  <w:divsChild>
                                    <w:div w:id="85468817">
                                      <w:marLeft w:val="0"/>
                                      <w:marRight w:val="0"/>
                                      <w:marTop w:val="0"/>
                                      <w:marBottom w:val="0"/>
                                      <w:divBdr>
                                        <w:top w:val="none" w:sz="0" w:space="0" w:color="auto"/>
                                        <w:left w:val="none" w:sz="0" w:space="0" w:color="auto"/>
                                        <w:bottom w:val="none" w:sz="0" w:space="0" w:color="auto"/>
                                        <w:right w:val="none" w:sz="0" w:space="0" w:color="auto"/>
                                      </w:divBdr>
                                      <w:divsChild>
                                        <w:div w:id="1387297344">
                                          <w:marLeft w:val="0"/>
                                          <w:marRight w:val="0"/>
                                          <w:marTop w:val="0"/>
                                          <w:marBottom w:val="0"/>
                                          <w:divBdr>
                                            <w:top w:val="none" w:sz="0" w:space="0" w:color="auto"/>
                                            <w:left w:val="none" w:sz="0" w:space="0" w:color="auto"/>
                                            <w:bottom w:val="none" w:sz="0" w:space="0" w:color="auto"/>
                                            <w:right w:val="none" w:sz="0" w:space="0" w:color="auto"/>
                                          </w:divBdr>
                                          <w:divsChild>
                                            <w:div w:id="669064326">
                                              <w:marLeft w:val="0"/>
                                              <w:marRight w:val="0"/>
                                              <w:marTop w:val="0"/>
                                              <w:marBottom w:val="0"/>
                                              <w:divBdr>
                                                <w:top w:val="none" w:sz="0" w:space="0" w:color="auto"/>
                                                <w:left w:val="none" w:sz="0" w:space="0" w:color="auto"/>
                                                <w:bottom w:val="none" w:sz="0" w:space="0" w:color="auto"/>
                                                <w:right w:val="none" w:sz="0" w:space="0" w:color="auto"/>
                                              </w:divBdr>
                                              <w:divsChild>
                                                <w:div w:id="579560096">
                                                  <w:marLeft w:val="0"/>
                                                  <w:marRight w:val="0"/>
                                                  <w:marTop w:val="0"/>
                                                  <w:marBottom w:val="0"/>
                                                  <w:divBdr>
                                                    <w:top w:val="none" w:sz="0" w:space="0" w:color="auto"/>
                                                    <w:left w:val="none" w:sz="0" w:space="0" w:color="auto"/>
                                                    <w:bottom w:val="none" w:sz="0" w:space="0" w:color="auto"/>
                                                    <w:right w:val="none" w:sz="0" w:space="0" w:color="auto"/>
                                                  </w:divBdr>
                                                  <w:divsChild>
                                                    <w:div w:id="85077503">
                                                      <w:marLeft w:val="0"/>
                                                      <w:marRight w:val="0"/>
                                                      <w:marTop w:val="0"/>
                                                      <w:marBottom w:val="0"/>
                                                      <w:divBdr>
                                                        <w:top w:val="none" w:sz="0" w:space="0" w:color="auto"/>
                                                        <w:left w:val="none" w:sz="0" w:space="0" w:color="auto"/>
                                                        <w:bottom w:val="none" w:sz="0" w:space="0" w:color="auto"/>
                                                        <w:right w:val="none" w:sz="0" w:space="0" w:color="auto"/>
                                                      </w:divBdr>
                                                      <w:divsChild>
                                                        <w:div w:id="287585153">
                                                          <w:marLeft w:val="0"/>
                                                          <w:marRight w:val="0"/>
                                                          <w:marTop w:val="0"/>
                                                          <w:marBottom w:val="0"/>
                                                          <w:divBdr>
                                                            <w:top w:val="none" w:sz="0" w:space="0" w:color="auto"/>
                                                            <w:left w:val="none" w:sz="0" w:space="0" w:color="auto"/>
                                                            <w:bottom w:val="none" w:sz="0" w:space="0" w:color="auto"/>
                                                            <w:right w:val="none" w:sz="0" w:space="0" w:color="auto"/>
                                                          </w:divBdr>
                                                          <w:divsChild>
                                                            <w:div w:id="776295137">
                                                              <w:marLeft w:val="0"/>
                                                              <w:marRight w:val="0"/>
                                                              <w:marTop w:val="0"/>
                                                              <w:marBottom w:val="0"/>
                                                              <w:divBdr>
                                                                <w:top w:val="none" w:sz="0" w:space="0" w:color="auto"/>
                                                                <w:left w:val="none" w:sz="0" w:space="0" w:color="auto"/>
                                                                <w:bottom w:val="none" w:sz="0" w:space="0" w:color="auto"/>
                                                                <w:right w:val="none" w:sz="0" w:space="0" w:color="auto"/>
                                                              </w:divBdr>
                                                              <w:divsChild>
                                                                <w:div w:id="983967264">
                                                                  <w:marLeft w:val="0"/>
                                                                  <w:marRight w:val="0"/>
                                                                  <w:marTop w:val="0"/>
                                                                  <w:marBottom w:val="0"/>
                                                                  <w:divBdr>
                                                                    <w:top w:val="none" w:sz="0" w:space="0" w:color="auto"/>
                                                                    <w:left w:val="none" w:sz="0" w:space="0" w:color="auto"/>
                                                                    <w:bottom w:val="none" w:sz="0" w:space="0" w:color="auto"/>
                                                                    <w:right w:val="none" w:sz="0" w:space="0" w:color="auto"/>
                                                                  </w:divBdr>
                                                                  <w:divsChild>
                                                                    <w:div w:id="709576590">
                                                                      <w:marLeft w:val="0"/>
                                                                      <w:marRight w:val="0"/>
                                                                      <w:marTop w:val="0"/>
                                                                      <w:marBottom w:val="0"/>
                                                                      <w:divBdr>
                                                                        <w:top w:val="none" w:sz="0" w:space="0" w:color="auto"/>
                                                                        <w:left w:val="none" w:sz="0" w:space="0" w:color="auto"/>
                                                                        <w:bottom w:val="none" w:sz="0" w:space="0" w:color="auto"/>
                                                                        <w:right w:val="none" w:sz="0" w:space="0" w:color="auto"/>
                                                                      </w:divBdr>
                                                                      <w:divsChild>
                                                                        <w:div w:id="10647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13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m.gov.lv/lv/informacija-par-covid-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vid19.gov.lv/atbalsts-sabiedribai/ekonomika/socialais-atbalsts-arkartejas-situacijas-laik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05960-4721-4E15-B9A9-748CCD97C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12</Pages>
  <Words>1858</Words>
  <Characters>12679</Characters>
  <Application>Microsoft Office Word</Application>
  <DocSecurity>0</DocSecurity>
  <Lines>507</Lines>
  <Paragraphs>138</Paragraphs>
  <ScaleCrop>false</ScaleCrop>
  <HeadingPairs>
    <vt:vector size="2" baseType="variant">
      <vt:variant>
        <vt:lpstr>Title</vt:lpstr>
      </vt:variant>
      <vt:variant>
        <vt:i4>1</vt:i4>
      </vt:variant>
    </vt:vector>
  </HeadingPairs>
  <TitlesOfParts>
    <vt:vector size="1" baseType="lpstr">
      <vt:lpstr>Izziņa par atzinumos sniegtajiem iebildumiem par  Grozījumiem Ministru kabineta 2016. gada 20. decembra noteikumos Nr. 812 "Oficiālās stattistikas veidlapu paraugu apstiprināšanas un veidlapu aizpildīšanas un iesniegšanas noteikumi" (VSS-728)</vt:lpstr>
    </vt:vector>
  </TitlesOfParts>
  <Manager>EM</Manager>
  <Company>Centrālā statistikas pārvalde</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Grozījumiem Ministru kabineta 2016. gada 20. decembra noteikumos Nr. 812 "Oficiālās stattistikas veidlapu paraugu apstiprināšanas un veidlapu aizpildīšanas un iesniegšanas noteikumi" (VSS-728)</dc:title>
  <dc:subject>Izziņa</dc:subject>
  <dc:creator>Guna Pilņa</dc:creator>
  <dc:description>67366773 Guna.Pilina@csb.gov.lv</dc:description>
  <cp:lastModifiedBy>Guna Pilina</cp:lastModifiedBy>
  <cp:revision>14</cp:revision>
  <dcterms:created xsi:type="dcterms:W3CDTF">2021-02-15T07:46:00Z</dcterms:created>
  <dcterms:modified xsi:type="dcterms:W3CDTF">2021-03-05T07:17:00Z</dcterms:modified>
</cp:coreProperties>
</file>