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AC23A3" w:rsidRPr="0085135D" w:rsidTr="002B4EFF">
        <w:trPr>
          <w:trHeight w:val="345"/>
          <w:jc w:val="center"/>
        </w:trPr>
        <w:tc>
          <w:tcPr>
            <w:tcW w:w="12985" w:type="dxa"/>
            <w:tcBorders>
              <w:bottom w:val="single" w:sz="6" w:space="0" w:color="000000"/>
            </w:tcBorders>
          </w:tcPr>
          <w:p w:rsidR="00AC23A3" w:rsidRPr="0085135D" w:rsidRDefault="00AC23A3" w:rsidP="002B4EFF">
            <w:pPr>
              <w:pStyle w:val="naisnod"/>
              <w:spacing w:before="0" w:after="0"/>
              <w:ind w:left="57" w:right="57"/>
            </w:pPr>
            <w:bookmarkStart w:id="0" w:name="OLE_LINK1"/>
            <w:bookmarkStart w:id="1" w:name="OLE_LINK2"/>
            <w:r w:rsidRPr="0085135D">
              <w:t>Izziņa par atzinumos sniegtajiem iebildumiem</w:t>
            </w:r>
            <w:bookmarkEnd w:id="0"/>
            <w:bookmarkEnd w:id="1"/>
          </w:p>
          <w:p w:rsidR="00AC23A3" w:rsidRPr="0085135D" w:rsidRDefault="00AC23A3" w:rsidP="002B4EFF">
            <w:pPr>
              <w:pStyle w:val="naisnod"/>
              <w:spacing w:before="0" w:after="0"/>
              <w:ind w:left="57" w:right="57"/>
            </w:pPr>
            <w:r w:rsidRPr="0085135D">
              <w:t xml:space="preserve">noteikumu projekts </w:t>
            </w:r>
            <w:r>
              <w:t>“</w:t>
            </w:r>
            <w:r w:rsidRPr="00520992">
              <w:t xml:space="preserve">Grozījums Ministru kabineta 2005.gada 28.jūnija noteikumos Nr.480 </w:t>
            </w:r>
            <w:r>
              <w:t>“</w:t>
            </w:r>
            <w:r w:rsidRPr="00520992">
              <w:t>Noteikumi par kārtību, kādā pašvaldības var uzlikt pašvaldības nodevas</w:t>
            </w:r>
            <w:r>
              <w:t>””</w:t>
            </w:r>
          </w:p>
        </w:tc>
      </w:tr>
    </w:tbl>
    <w:p w:rsidR="00AC23A3" w:rsidRDefault="00AC23A3" w:rsidP="00AC23A3">
      <w:pPr>
        <w:pStyle w:val="naisc"/>
        <w:spacing w:before="0" w:after="0"/>
        <w:ind w:left="57" w:right="57"/>
      </w:pPr>
      <w:r w:rsidRPr="0085135D">
        <w:t>(dokumenta veids un nosaukums)</w:t>
      </w:r>
    </w:p>
    <w:p w:rsidR="00AC23A3" w:rsidRDefault="00AC23A3" w:rsidP="00AC23A3">
      <w:pPr>
        <w:pStyle w:val="naisc"/>
        <w:spacing w:before="0" w:after="0"/>
        <w:ind w:left="57" w:right="57"/>
      </w:pPr>
    </w:p>
    <w:p w:rsidR="00AC23A3" w:rsidRPr="000D1975" w:rsidRDefault="00AC23A3" w:rsidP="00AC23A3">
      <w:pPr>
        <w:pStyle w:val="naisf"/>
        <w:numPr>
          <w:ilvl w:val="0"/>
          <w:numId w:val="1"/>
        </w:numPr>
        <w:spacing w:before="60" w:after="60"/>
        <w:ind w:left="57" w:right="57" w:firstLine="0"/>
        <w:jc w:val="center"/>
        <w:rPr>
          <w:b/>
        </w:rPr>
      </w:pPr>
      <w:r w:rsidRPr="000D1975">
        <w:rPr>
          <w:b/>
        </w:rPr>
        <w:t>Jautājumi, par kuriem saskaņošanā vienošanās nav panākta</w:t>
      </w:r>
    </w:p>
    <w:tbl>
      <w:tblPr>
        <w:tblpPr w:leftFromText="180" w:rightFromText="180" w:vertAnchor="text" w:tblpX="-459"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853"/>
        <w:gridCol w:w="3402"/>
        <w:gridCol w:w="2436"/>
        <w:gridCol w:w="2100"/>
      </w:tblGrid>
      <w:tr w:rsidR="00AC23A3" w:rsidRPr="0085135D" w:rsidTr="002B4EFF">
        <w:tc>
          <w:tcPr>
            <w:tcW w:w="675" w:type="dxa"/>
            <w:tcBorders>
              <w:top w:val="single" w:sz="6" w:space="0" w:color="000000"/>
              <w:left w:val="single" w:sz="6" w:space="0" w:color="000000"/>
              <w:bottom w:val="single" w:sz="6" w:space="0" w:color="000000"/>
              <w:right w:val="single" w:sz="6" w:space="0" w:color="000000"/>
            </w:tcBorders>
            <w:vAlign w:val="center"/>
          </w:tcPr>
          <w:p w:rsidR="00AC23A3" w:rsidRPr="00C6676A" w:rsidRDefault="00AC23A3" w:rsidP="002B4EFF">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AC23A3" w:rsidRPr="00C6676A" w:rsidRDefault="00AC23A3" w:rsidP="002B4EFF">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853" w:type="dxa"/>
            <w:tcBorders>
              <w:top w:val="single" w:sz="6" w:space="0" w:color="000000"/>
              <w:left w:val="single" w:sz="6" w:space="0" w:color="000000"/>
              <w:bottom w:val="single" w:sz="6" w:space="0" w:color="000000"/>
              <w:right w:val="single" w:sz="6" w:space="0" w:color="000000"/>
            </w:tcBorders>
            <w:vAlign w:val="center"/>
          </w:tcPr>
          <w:p w:rsidR="00AC23A3" w:rsidRPr="00C6676A" w:rsidRDefault="00AC23A3" w:rsidP="002B4EFF">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AC23A3" w:rsidRPr="00C6676A" w:rsidRDefault="00AC23A3" w:rsidP="002B4EFF">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AC23A3" w:rsidRPr="00C6676A" w:rsidRDefault="00AC23A3" w:rsidP="002B4EFF">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AC23A3" w:rsidRPr="00C6676A" w:rsidRDefault="00AC23A3" w:rsidP="002B4EFF">
            <w:pPr>
              <w:ind w:left="57" w:right="57"/>
              <w:contextualSpacing/>
              <w:jc w:val="center"/>
              <w:rPr>
                <w:sz w:val="22"/>
                <w:szCs w:val="22"/>
              </w:rPr>
            </w:pPr>
            <w:r w:rsidRPr="00C6676A">
              <w:rPr>
                <w:sz w:val="22"/>
                <w:szCs w:val="22"/>
              </w:rPr>
              <w:t>Projekta attiecīgā punkta (panta) galīgā redakcija</w:t>
            </w:r>
          </w:p>
        </w:tc>
      </w:tr>
      <w:tr w:rsidR="00AC23A3" w:rsidRPr="0085135D" w:rsidTr="002B4EFF">
        <w:tc>
          <w:tcPr>
            <w:tcW w:w="675" w:type="dxa"/>
            <w:tcBorders>
              <w:top w:val="single" w:sz="6" w:space="0" w:color="000000"/>
              <w:left w:val="single" w:sz="6" w:space="0" w:color="000000"/>
              <w:bottom w:val="single" w:sz="6" w:space="0" w:color="000000"/>
              <w:right w:val="single" w:sz="6" w:space="0" w:color="000000"/>
            </w:tcBorders>
          </w:tcPr>
          <w:p w:rsidR="00AC23A3" w:rsidRPr="0085135D" w:rsidRDefault="00AC23A3" w:rsidP="002B4EFF">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rsidR="00AC23A3" w:rsidRPr="0085135D" w:rsidRDefault="00AC23A3" w:rsidP="002B4EFF">
            <w:pPr>
              <w:pStyle w:val="naisc"/>
              <w:spacing w:before="0" w:after="0"/>
              <w:ind w:left="57" w:right="57"/>
              <w:contextualSpacing/>
            </w:pPr>
            <w:r w:rsidRPr="0085135D">
              <w:t>2</w:t>
            </w:r>
          </w:p>
        </w:tc>
        <w:tc>
          <w:tcPr>
            <w:tcW w:w="3853" w:type="dxa"/>
            <w:tcBorders>
              <w:top w:val="single" w:sz="6" w:space="0" w:color="000000"/>
              <w:left w:val="single" w:sz="6" w:space="0" w:color="000000"/>
              <w:bottom w:val="single" w:sz="6" w:space="0" w:color="000000"/>
              <w:right w:val="single" w:sz="6" w:space="0" w:color="000000"/>
            </w:tcBorders>
          </w:tcPr>
          <w:p w:rsidR="00AC23A3" w:rsidRPr="0085135D" w:rsidRDefault="00AC23A3" w:rsidP="002B4EFF">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rsidR="00AC23A3" w:rsidRPr="0085135D" w:rsidRDefault="00AC23A3" w:rsidP="002B4EFF">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rsidR="00AC23A3" w:rsidRPr="0085135D" w:rsidRDefault="00AC23A3" w:rsidP="002B4EFF">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rsidR="00AC23A3" w:rsidRPr="0085135D" w:rsidRDefault="00AC23A3" w:rsidP="002B4EFF">
            <w:pPr>
              <w:pStyle w:val="naisc"/>
              <w:spacing w:before="0" w:after="0"/>
              <w:ind w:left="57" w:right="57"/>
              <w:contextualSpacing/>
            </w:pPr>
            <w:r w:rsidRPr="0085135D">
              <w:t>6</w:t>
            </w:r>
          </w:p>
        </w:tc>
      </w:tr>
      <w:tr w:rsidR="00AC23A3" w:rsidRPr="003D3BC6" w:rsidTr="002B4EFF">
        <w:tc>
          <w:tcPr>
            <w:tcW w:w="675" w:type="dxa"/>
            <w:tcBorders>
              <w:top w:val="single" w:sz="6" w:space="0" w:color="000000"/>
              <w:left w:val="single" w:sz="6" w:space="0" w:color="000000"/>
              <w:bottom w:val="single" w:sz="6" w:space="0" w:color="000000"/>
              <w:right w:val="single" w:sz="6" w:space="0" w:color="000000"/>
            </w:tcBorders>
          </w:tcPr>
          <w:p w:rsidR="00AC23A3" w:rsidRPr="003D3BC6" w:rsidRDefault="00AC23A3" w:rsidP="002B4EFF">
            <w:pPr>
              <w:pStyle w:val="naisc"/>
              <w:spacing w:before="0" w:after="0"/>
              <w:ind w:left="57" w:right="57"/>
              <w:contextualSpacing/>
              <w:jc w:val="both"/>
            </w:pPr>
          </w:p>
        </w:tc>
        <w:tc>
          <w:tcPr>
            <w:tcW w:w="2835" w:type="dxa"/>
            <w:tcBorders>
              <w:top w:val="single" w:sz="6" w:space="0" w:color="000000"/>
              <w:left w:val="single" w:sz="6" w:space="0" w:color="000000"/>
              <w:bottom w:val="single" w:sz="6" w:space="0" w:color="000000"/>
              <w:right w:val="single" w:sz="6" w:space="0" w:color="000000"/>
            </w:tcBorders>
          </w:tcPr>
          <w:p w:rsidR="00AC23A3" w:rsidRPr="003D3BC6" w:rsidRDefault="00AC23A3" w:rsidP="002B4EFF">
            <w:pPr>
              <w:pStyle w:val="naisc"/>
              <w:spacing w:before="0" w:after="0"/>
              <w:ind w:left="57" w:right="57"/>
              <w:contextualSpacing/>
              <w:jc w:val="both"/>
            </w:pPr>
          </w:p>
        </w:tc>
        <w:tc>
          <w:tcPr>
            <w:tcW w:w="3853" w:type="dxa"/>
            <w:tcBorders>
              <w:top w:val="single" w:sz="6" w:space="0" w:color="000000"/>
              <w:left w:val="single" w:sz="6" w:space="0" w:color="000000"/>
              <w:bottom w:val="single" w:sz="6" w:space="0" w:color="000000"/>
              <w:right w:val="single" w:sz="6" w:space="0" w:color="000000"/>
            </w:tcBorders>
          </w:tcPr>
          <w:p w:rsidR="00AC23A3" w:rsidRPr="003D3BC6" w:rsidRDefault="00AC23A3" w:rsidP="002B4EFF">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AC23A3" w:rsidRPr="003D3BC6" w:rsidRDefault="00AC23A3" w:rsidP="002B4EFF">
            <w:pPr>
              <w:contextualSpacing/>
              <w:jc w:val="both"/>
            </w:pPr>
          </w:p>
        </w:tc>
        <w:tc>
          <w:tcPr>
            <w:tcW w:w="2436" w:type="dxa"/>
            <w:tcBorders>
              <w:top w:val="single" w:sz="4" w:space="0" w:color="auto"/>
              <w:left w:val="single" w:sz="4" w:space="0" w:color="auto"/>
              <w:bottom w:val="single" w:sz="4" w:space="0" w:color="auto"/>
              <w:right w:val="single" w:sz="4" w:space="0" w:color="auto"/>
            </w:tcBorders>
          </w:tcPr>
          <w:p w:rsidR="00AC23A3" w:rsidRPr="003D3BC6" w:rsidRDefault="00AC23A3" w:rsidP="002B4EFF">
            <w:pPr>
              <w:ind w:left="57" w:right="57"/>
              <w:contextualSpacing/>
              <w:jc w:val="both"/>
            </w:pPr>
          </w:p>
        </w:tc>
        <w:tc>
          <w:tcPr>
            <w:tcW w:w="2100" w:type="dxa"/>
            <w:tcBorders>
              <w:top w:val="single" w:sz="4" w:space="0" w:color="auto"/>
              <w:left w:val="single" w:sz="4" w:space="0" w:color="auto"/>
              <w:bottom w:val="single" w:sz="4" w:space="0" w:color="auto"/>
            </w:tcBorders>
          </w:tcPr>
          <w:p w:rsidR="00AC23A3" w:rsidRPr="003D3BC6" w:rsidRDefault="00AC23A3" w:rsidP="002B4EFF">
            <w:pPr>
              <w:pStyle w:val="naisc"/>
              <w:spacing w:before="0" w:after="0"/>
              <w:ind w:left="57" w:right="57"/>
              <w:contextualSpacing/>
              <w:jc w:val="both"/>
            </w:pPr>
          </w:p>
        </w:tc>
      </w:tr>
    </w:tbl>
    <w:p w:rsidR="00AC23A3" w:rsidRDefault="00AC23A3" w:rsidP="00AC23A3">
      <w:pPr>
        <w:pStyle w:val="naisc"/>
        <w:spacing w:before="0" w:after="0"/>
        <w:ind w:left="57" w:right="57"/>
      </w:pPr>
    </w:p>
    <w:p w:rsidR="00AC23A3" w:rsidRPr="003D3BC6" w:rsidRDefault="00AC23A3" w:rsidP="00AC23A3">
      <w:pPr>
        <w:jc w:val="both"/>
        <w:outlineLvl w:val="0"/>
      </w:pPr>
      <w:r w:rsidRPr="003D3BC6">
        <w:t xml:space="preserve">Informācija par  </w:t>
      </w:r>
      <w:proofErr w:type="spellStart"/>
      <w:r w:rsidRPr="003D3BC6">
        <w:t>starpministriju</w:t>
      </w:r>
      <w:proofErr w:type="spellEnd"/>
      <w:r w:rsidRPr="003D3BC6">
        <w:t xml:space="preserve"> (starpinstitūciju) sanāksmi:</w:t>
      </w:r>
    </w:p>
    <w:tbl>
      <w:tblPr>
        <w:tblW w:w="14459" w:type="dxa"/>
        <w:tblLook w:val="00A0" w:firstRow="1" w:lastRow="0" w:firstColumn="1" w:lastColumn="0" w:noHBand="0" w:noVBand="0"/>
      </w:tblPr>
      <w:tblGrid>
        <w:gridCol w:w="3936"/>
        <w:gridCol w:w="2772"/>
        <w:gridCol w:w="7751"/>
      </w:tblGrid>
      <w:tr w:rsidR="00AC23A3" w:rsidRPr="003D3BC6" w:rsidTr="002B4EFF">
        <w:tc>
          <w:tcPr>
            <w:tcW w:w="3936" w:type="dxa"/>
          </w:tcPr>
          <w:p w:rsidR="00AC23A3" w:rsidRPr="003D3BC6" w:rsidRDefault="00AC23A3" w:rsidP="002B4EFF">
            <w:pPr>
              <w:pStyle w:val="naisf"/>
              <w:spacing w:before="0" w:after="0"/>
              <w:ind w:firstLine="0"/>
            </w:pPr>
            <w:r w:rsidRPr="003D3BC6">
              <w:t xml:space="preserve">Datums  </w:t>
            </w:r>
          </w:p>
        </w:tc>
        <w:tc>
          <w:tcPr>
            <w:tcW w:w="10523" w:type="dxa"/>
            <w:gridSpan w:val="2"/>
          </w:tcPr>
          <w:p w:rsidR="00AC23A3" w:rsidRPr="003D3BC6" w:rsidRDefault="00AC23A3" w:rsidP="002B4EFF">
            <w:pPr>
              <w:pStyle w:val="NormalWeb"/>
              <w:spacing w:before="0" w:beforeAutospacing="0" w:after="0" w:afterAutospacing="0"/>
              <w:ind w:left="33"/>
              <w:jc w:val="both"/>
            </w:pPr>
            <w:r>
              <w:t>26.01.</w:t>
            </w:r>
            <w:r w:rsidRPr="003D3BC6">
              <w:t>20</w:t>
            </w:r>
            <w:r>
              <w:t>21</w:t>
            </w:r>
            <w:r w:rsidRPr="003D3BC6">
              <w:t>.</w:t>
            </w:r>
          </w:p>
        </w:tc>
      </w:tr>
      <w:tr w:rsidR="00AC23A3" w:rsidRPr="003D3BC6" w:rsidTr="002B4EFF">
        <w:trPr>
          <w:trHeight w:val="135"/>
        </w:trPr>
        <w:tc>
          <w:tcPr>
            <w:tcW w:w="3936" w:type="dxa"/>
          </w:tcPr>
          <w:p w:rsidR="00AC23A3" w:rsidRPr="003D3BC6" w:rsidRDefault="00AC23A3" w:rsidP="002B4EFF">
            <w:pPr>
              <w:pStyle w:val="naisf"/>
              <w:spacing w:before="0" w:after="0"/>
              <w:ind w:firstLine="0"/>
            </w:pPr>
          </w:p>
        </w:tc>
        <w:tc>
          <w:tcPr>
            <w:tcW w:w="10523" w:type="dxa"/>
            <w:gridSpan w:val="2"/>
          </w:tcPr>
          <w:p w:rsidR="00AC23A3" w:rsidRPr="003D3BC6" w:rsidRDefault="00AC23A3" w:rsidP="002B4EFF">
            <w:pPr>
              <w:pStyle w:val="NormalWeb"/>
              <w:spacing w:before="0" w:beforeAutospacing="0" w:after="0" w:afterAutospacing="0"/>
              <w:jc w:val="both"/>
            </w:pPr>
          </w:p>
        </w:tc>
      </w:tr>
      <w:tr w:rsidR="00AC23A3" w:rsidRPr="003D3BC6" w:rsidTr="002B4EFF">
        <w:tc>
          <w:tcPr>
            <w:tcW w:w="3936" w:type="dxa"/>
          </w:tcPr>
          <w:p w:rsidR="00AC23A3" w:rsidRPr="003D3BC6" w:rsidRDefault="00AC23A3" w:rsidP="002B4EFF">
            <w:pPr>
              <w:pStyle w:val="naiskr"/>
              <w:spacing w:before="0" w:after="0"/>
              <w:ind w:right="-108"/>
              <w:jc w:val="both"/>
            </w:pPr>
            <w:r w:rsidRPr="003D3BC6">
              <w:t xml:space="preserve">Saskaņošanas dalībnieki   </w:t>
            </w:r>
          </w:p>
        </w:tc>
        <w:tc>
          <w:tcPr>
            <w:tcW w:w="10523" w:type="dxa"/>
            <w:gridSpan w:val="2"/>
          </w:tcPr>
          <w:p w:rsidR="00AC23A3" w:rsidRPr="003D3BC6" w:rsidRDefault="00AC23A3" w:rsidP="002B4EFF">
            <w:pPr>
              <w:pStyle w:val="naiskr"/>
              <w:spacing w:before="0" w:after="0"/>
              <w:jc w:val="both"/>
              <w:rPr>
                <w:b/>
              </w:rPr>
            </w:pPr>
            <w:r w:rsidRPr="003D3BC6">
              <w:t>Tieslietu ministrija, Finanšu ministrija, Vides aizsardzības un reģionālās attīstības ministrija, Latvijas Pašvaldību savienība</w:t>
            </w:r>
          </w:p>
        </w:tc>
      </w:tr>
      <w:tr w:rsidR="00AC23A3" w:rsidRPr="003D3BC6" w:rsidTr="002B4EFF">
        <w:trPr>
          <w:trHeight w:val="285"/>
        </w:trPr>
        <w:tc>
          <w:tcPr>
            <w:tcW w:w="3936" w:type="dxa"/>
          </w:tcPr>
          <w:p w:rsidR="00AC23A3" w:rsidRPr="003D3BC6" w:rsidRDefault="00AC23A3" w:rsidP="002B4EFF">
            <w:pPr>
              <w:pStyle w:val="naiskr"/>
              <w:spacing w:before="0" w:after="0"/>
              <w:ind w:right="-108"/>
              <w:jc w:val="both"/>
            </w:pPr>
          </w:p>
        </w:tc>
        <w:tc>
          <w:tcPr>
            <w:tcW w:w="10523" w:type="dxa"/>
            <w:gridSpan w:val="2"/>
          </w:tcPr>
          <w:p w:rsidR="00AC23A3" w:rsidRPr="003D3BC6" w:rsidRDefault="00AC23A3" w:rsidP="002B4EFF">
            <w:pPr>
              <w:pStyle w:val="naiskr"/>
              <w:spacing w:before="0" w:after="0"/>
              <w:ind w:left="33" w:right="-108"/>
              <w:jc w:val="both"/>
            </w:pPr>
          </w:p>
        </w:tc>
      </w:tr>
      <w:tr w:rsidR="00AC23A3" w:rsidRPr="003D3BC6" w:rsidTr="002B4EFF">
        <w:trPr>
          <w:trHeight w:val="285"/>
        </w:trPr>
        <w:tc>
          <w:tcPr>
            <w:tcW w:w="6708" w:type="dxa"/>
            <w:gridSpan w:val="2"/>
          </w:tcPr>
          <w:p w:rsidR="00AC23A3" w:rsidRPr="003D3BC6" w:rsidRDefault="00AC23A3" w:rsidP="002B4EFF">
            <w:pPr>
              <w:pStyle w:val="naiskr"/>
              <w:spacing w:before="0" w:after="0"/>
              <w:jc w:val="both"/>
            </w:pPr>
            <w:r w:rsidRPr="003D3BC6">
              <w:t>Saskaņošanas dalībnieki izskatīja šādu ministriju (citu institūciju) iebildumus</w:t>
            </w:r>
          </w:p>
        </w:tc>
        <w:tc>
          <w:tcPr>
            <w:tcW w:w="7751" w:type="dxa"/>
          </w:tcPr>
          <w:p w:rsidR="00AC23A3" w:rsidRPr="003D3BC6" w:rsidRDefault="00AC23A3" w:rsidP="002B4EFF">
            <w:pPr>
              <w:pStyle w:val="naiskr"/>
              <w:spacing w:before="0" w:after="0"/>
              <w:jc w:val="both"/>
              <w:rPr>
                <w:b/>
              </w:rPr>
            </w:pPr>
            <w:r w:rsidRPr="003D3BC6">
              <w:t>Tieslietu ministrijas</w:t>
            </w:r>
            <w:r>
              <w:t xml:space="preserve">, </w:t>
            </w:r>
            <w:r w:rsidRPr="003D3BC6">
              <w:t>Finanšu ministrija</w:t>
            </w:r>
            <w:r>
              <w:t>s,</w:t>
            </w:r>
            <w:r w:rsidRPr="00851E32">
              <w:t xml:space="preserve"> Vides aizsardzības un reģionālās attīstības ministrija</w:t>
            </w:r>
            <w:r>
              <w:t>s</w:t>
            </w:r>
            <w:r w:rsidRPr="006B0290">
              <w:t xml:space="preserve"> </w:t>
            </w:r>
          </w:p>
        </w:tc>
      </w:tr>
      <w:tr w:rsidR="00AC23A3" w:rsidRPr="003D3BC6" w:rsidTr="002B4EFF">
        <w:trPr>
          <w:trHeight w:val="95"/>
        </w:trPr>
        <w:tc>
          <w:tcPr>
            <w:tcW w:w="6708" w:type="dxa"/>
            <w:gridSpan w:val="2"/>
          </w:tcPr>
          <w:p w:rsidR="00AC23A3" w:rsidRPr="003D3BC6" w:rsidRDefault="00AC23A3" w:rsidP="002B4EFF">
            <w:pPr>
              <w:pStyle w:val="naiskr"/>
              <w:spacing w:before="0" w:after="0"/>
              <w:jc w:val="both"/>
            </w:pPr>
            <w:r w:rsidRPr="003D3BC6">
              <w:t>Ministrijas (citas institūcijas), kuras nav ieradušās uz sanāksmi vai kuras nav atbildējušas uz uzaicinājumu piedalīties elektroniskajā saskaņošanā</w:t>
            </w:r>
          </w:p>
        </w:tc>
        <w:tc>
          <w:tcPr>
            <w:tcW w:w="7751" w:type="dxa"/>
          </w:tcPr>
          <w:p w:rsidR="00AC23A3" w:rsidRPr="003D3BC6" w:rsidRDefault="00AC23A3" w:rsidP="002B4EFF">
            <w:pPr>
              <w:ind w:right="-108"/>
              <w:jc w:val="both"/>
            </w:pPr>
          </w:p>
          <w:p w:rsidR="00AC23A3" w:rsidRPr="003D3BC6" w:rsidRDefault="00AC23A3" w:rsidP="002B4EFF">
            <w:pPr>
              <w:ind w:right="-108"/>
              <w:jc w:val="both"/>
            </w:pPr>
          </w:p>
        </w:tc>
      </w:tr>
    </w:tbl>
    <w:p w:rsidR="00AC23A3" w:rsidRPr="0085135D" w:rsidRDefault="00AC23A3" w:rsidP="00AC23A3">
      <w:pPr>
        <w:pStyle w:val="naisc"/>
        <w:spacing w:before="0" w:after="0"/>
        <w:ind w:left="57" w:right="57"/>
      </w:pPr>
    </w:p>
    <w:p w:rsidR="00AC23A3" w:rsidRPr="003D3BC6" w:rsidRDefault="00AC23A3" w:rsidP="00AC23A3">
      <w:pPr>
        <w:jc w:val="both"/>
        <w:outlineLvl w:val="0"/>
      </w:pPr>
    </w:p>
    <w:p w:rsidR="00AC23A3" w:rsidRPr="003D3BC6" w:rsidRDefault="00AC23A3" w:rsidP="00AC23A3">
      <w:pPr>
        <w:pStyle w:val="naisf"/>
        <w:numPr>
          <w:ilvl w:val="0"/>
          <w:numId w:val="1"/>
        </w:numPr>
        <w:spacing w:before="60" w:after="60"/>
        <w:ind w:right="57" w:firstLine="0"/>
        <w:jc w:val="center"/>
        <w:rPr>
          <w:b/>
        </w:rPr>
      </w:pPr>
      <w:r w:rsidRPr="003D3BC6">
        <w:rPr>
          <w:b/>
        </w:rPr>
        <w:t>Jautājumi, par kuriem saskaņošanā vienošanās ir panākta</w:t>
      </w:r>
    </w:p>
    <w:tbl>
      <w:tblPr>
        <w:tblW w:w="1547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78"/>
        <w:gridCol w:w="4820"/>
        <w:gridCol w:w="2693"/>
        <w:gridCol w:w="4678"/>
      </w:tblGrid>
      <w:tr w:rsidR="00AC23A3" w:rsidRPr="003D3BC6" w:rsidTr="002B4EFF">
        <w:tc>
          <w:tcPr>
            <w:tcW w:w="709" w:type="dxa"/>
            <w:tcBorders>
              <w:top w:val="single" w:sz="6" w:space="0" w:color="000000"/>
              <w:left w:val="single" w:sz="6" w:space="0" w:color="000000"/>
              <w:bottom w:val="single" w:sz="6" w:space="0" w:color="000000"/>
              <w:right w:val="single" w:sz="6" w:space="0" w:color="000000"/>
            </w:tcBorders>
            <w:vAlign w:val="center"/>
          </w:tcPr>
          <w:p w:rsidR="00AC23A3" w:rsidRPr="003D3BC6" w:rsidRDefault="00AC23A3" w:rsidP="002B4EFF">
            <w:pPr>
              <w:pStyle w:val="naisc"/>
              <w:spacing w:before="0" w:after="0"/>
              <w:ind w:left="57" w:right="57"/>
              <w:contextualSpacing/>
              <w:jc w:val="both"/>
            </w:pPr>
            <w:proofErr w:type="spellStart"/>
            <w:r w:rsidRPr="003D3BC6">
              <w:t>Nrp.k</w:t>
            </w:r>
            <w:proofErr w:type="spellEnd"/>
            <w:r w:rsidRPr="003D3BC6">
              <w:t>.</w:t>
            </w:r>
          </w:p>
        </w:tc>
        <w:tc>
          <w:tcPr>
            <w:tcW w:w="2578" w:type="dxa"/>
            <w:tcBorders>
              <w:top w:val="single" w:sz="6" w:space="0" w:color="000000"/>
              <w:left w:val="single" w:sz="6" w:space="0" w:color="000000"/>
              <w:bottom w:val="single" w:sz="6" w:space="0" w:color="000000"/>
              <w:right w:val="single" w:sz="6" w:space="0" w:color="000000"/>
            </w:tcBorders>
            <w:vAlign w:val="center"/>
          </w:tcPr>
          <w:p w:rsidR="00AC23A3" w:rsidRPr="00E93646" w:rsidRDefault="00AC23A3" w:rsidP="002B4EFF">
            <w:pPr>
              <w:pStyle w:val="naisc"/>
              <w:spacing w:before="0" w:after="0"/>
              <w:ind w:left="57" w:right="57"/>
              <w:contextualSpacing/>
              <w:jc w:val="both"/>
            </w:pPr>
            <w:r w:rsidRPr="003D3BC6">
              <w:t>Saskaņošanai nosūtītā projekta redakcija (konkrēta punkta (panta) redakcija)</w:t>
            </w:r>
          </w:p>
          <w:p w:rsidR="00AC23A3" w:rsidRPr="00E93646" w:rsidRDefault="00AC23A3" w:rsidP="002B4EFF"/>
        </w:tc>
        <w:tc>
          <w:tcPr>
            <w:tcW w:w="4820" w:type="dxa"/>
            <w:tcBorders>
              <w:top w:val="single" w:sz="6" w:space="0" w:color="000000"/>
              <w:left w:val="single" w:sz="6" w:space="0" w:color="000000"/>
              <w:bottom w:val="single" w:sz="6" w:space="0" w:color="000000"/>
              <w:right w:val="single" w:sz="6" w:space="0" w:color="000000"/>
            </w:tcBorders>
            <w:vAlign w:val="center"/>
          </w:tcPr>
          <w:p w:rsidR="00AC23A3" w:rsidRPr="003D3BC6" w:rsidRDefault="00AC23A3" w:rsidP="002B4EFF">
            <w:pPr>
              <w:pStyle w:val="naisc"/>
              <w:spacing w:before="0" w:after="0"/>
              <w:ind w:left="57" w:right="57"/>
              <w:contextualSpacing/>
              <w:jc w:val="both"/>
            </w:pPr>
            <w:r w:rsidRPr="003D3BC6">
              <w:lastRenderedPageBreak/>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rsidR="00AC23A3" w:rsidRPr="003D3BC6" w:rsidRDefault="00AC23A3" w:rsidP="002B4EFF">
            <w:pPr>
              <w:pStyle w:val="naisc"/>
              <w:spacing w:before="0" w:after="0"/>
              <w:ind w:left="57" w:right="57"/>
              <w:contextualSpacing/>
              <w:jc w:val="both"/>
            </w:pPr>
            <w:r w:rsidRPr="003D3BC6">
              <w:t xml:space="preserve">Atbildīgās ministrijas norāde par to, ka iebildums ir ņemts vērā, vai informācija par </w:t>
            </w:r>
            <w:r w:rsidRPr="003D3BC6">
              <w:lastRenderedPageBreak/>
              <w:t>saskaņošanā panākto alternatīvo risinājumu</w:t>
            </w:r>
          </w:p>
        </w:tc>
        <w:tc>
          <w:tcPr>
            <w:tcW w:w="4678" w:type="dxa"/>
            <w:tcBorders>
              <w:top w:val="single" w:sz="4" w:space="0" w:color="auto"/>
              <w:left w:val="single" w:sz="4" w:space="0" w:color="auto"/>
              <w:bottom w:val="single" w:sz="4" w:space="0" w:color="auto"/>
            </w:tcBorders>
            <w:vAlign w:val="center"/>
          </w:tcPr>
          <w:p w:rsidR="00AC23A3" w:rsidRPr="003D3BC6" w:rsidRDefault="00AC23A3" w:rsidP="002B4EFF">
            <w:pPr>
              <w:ind w:left="57" w:right="57"/>
              <w:contextualSpacing/>
              <w:jc w:val="both"/>
            </w:pPr>
            <w:r w:rsidRPr="003D3BC6">
              <w:lastRenderedPageBreak/>
              <w:t>Projekta attiecīgā punkta (panta) galīgā redakcija</w:t>
            </w:r>
            <w:bookmarkStart w:id="2" w:name="_GoBack"/>
            <w:bookmarkEnd w:id="2"/>
          </w:p>
        </w:tc>
      </w:tr>
      <w:tr w:rsidR="00AC23A3" w:rsidRPr="003D3BC6" w:rsidTr="002B4EFF">
        <w:trPr>
          <w:trHeight w:val="318"/>
        </w:trPr>
        <w:tc>
          <w:tcPr>
            <w:tcW w:w="709"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r w:rsidRPr="003D3BC6">
              <w:t>1</w:t>
            </w:r>
          </w:p>
        </w:tc>
        <w:tc>
          <w:tcPr>
            <w:tcW w:w="2578"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r w:rsidRPr="003D3BC6">
              <w:t>2</w:t>
            </w:r>
          </w:p>
        </w:tc>
        <w:tc>
          <w:tcPr>
            <w:tcW w:w="4820"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r w:rsidRPr="003D3BC6">
              <w:t>3</w:t>
            </w:r>
          </w:p>
        </w:tc>
        <w:tc>
          <w:tcPr>
            <w:tcW w:w="2693"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r w:rsidRPr="003D3BC6">
              <w:t>4</w:t>
            </w:r>
          </w:p>
        </w:tc>
        <w:tc>
          <w:tcPr>
            <w:tcW w:w="4678" w:type="dxa"/>
            <w:tcBorders>
              <w:top w:val="single" w:sz="4" w:space="0" w:color="auto"/>
              <w:left w:val="single" w:sz="4" w:space="0" w:color="auto"/>
              <w:bottom w:val="single" w:sz="4" w:space="0" w:color="auto"/>
            </w:tcBorders>
          </w:tcPr>
          <w:p w:rsidR="00AC23A3" w:rsidRPr="003D3BC6" w:rsidRDefault="00AC23A3" w:rsidP="002B4EFF">
            <w:pPr>
              <w:ind w:left="57" w:right="57"/>
              <w:contextualSpacing/>
              <w:jc w:val="both"/>
            </w:pPr>
            <w:r w:rsidRPr="003D3BC6">
              <w:t>5</w:t>
            </w:r>
          </w:p>
        </w:tc>
      </w:tr>
      <w:tr w:rsidR="00AC23A3" w:rsidRPr="003D3BC6" w:rsidTr="002B4EFF">
        <w:trPr>
          <w:trHeight w:val="318"/>
        </w:trPr>
        <w:tc>
          <w:tcPr>
            <w:tcW w:w="709"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r>
              <w:t>1.</w:t>
            </w:r>
          </w:p>
        </w:tc>
        <w:tc>
          <w:tcPr>
            <w:tcW w:w="2578" w:type="dxa"/>
            <w:tcBorders>
              <w:top w:val="single" w:sz="6" w:space="0" w:color="000000"/>
              <w:left w:val="single" w:sz="6" w:space="0" w:color="000000"/>
              <w:bottom w:val="single" w:sz="4" w:space="0" w:color="auto"/>
              <w:right w:val="single" w:sz="6" w:space="0" w:color="000000"/>
            </w:tcBorders>
          </w:tcPr>
          <w:p w:rsidR="00AC23A3" w:rsidRPr="003D3BC6" w:rsidRDefault="00AC23A3" w:rsidP="002B4EFF">
            <w:pPr>
              <w:pStyle w:val="naisc"/>
              <w:spacing w:before="0" w:after="0"/>
              <w:ind w:left="57" w:right="57"/>
              <w:contextualSpacing/>
              <w:jc w:val="both"/>
            </w:pPr>
          </w:p>
        </w:tc>
        <w:tc>
          <w:tcPr>
            <w:tcW w:w="4820" w:type="dxa"/>
            <w:tcBorders>
              <w:top w:val="single" w:sz="6" w:space="0" w:color="000000"/>
              <w:left w:val="single" w:sz="6" w:space="0" w:color="000000"/>
              <w:bottom w:val="single" w:sz="4" w:space="0" w:color="auto"/>
              <w:right w:val="single" w:sz="6" w:space="0" w:color="000000"/>
            </w:tcBorders>
          </w:tcPr>
          <w:p w:rsidR="00AC23A3" w:rsidRPr="00992E81" w:rsidRDefault="00AC23A3" w:rsidP="002B4EFF">
            <w:pPr>
              <w:pStyle w:val="naisc"/>
              <w:spacing w:before="0" w:after="0"/>
              <w:ind w:left="57" w:right="57"/>
              <w:contextualSpacing/>
              <w:jc w:val="both"/>
              <w:rPr>
                <w:b/>
                <w:bCs/>
                <w:u w:val="single"/>
              </w:rPr>
            </w:pPr>
            <w:r w:rsidRPr="00992E81">
              <w:rPr>
                <w:b/>
                <w:bCs/>
                <w:u w:val="single"/>
              </w:rPr>
              <w:t>Tieslietu ministrija</w:t>
            </w:r>
          </w:p>
          <w:p w:rsidR="00AC23A3" w:rsidRDefault="00AC23A3" w:rsidP="002B4EFF">
            <w:pPr>
              <w:jc w:val="both"/>
            </w:pPr>
            <w:r>
              <w:t xml:space="preserve">1.Projekta 1.punkts paredz papildināt </w:t>
            </w:r>
            <w:r w:rsidRPr="002C1317">
              <w:t>Ministru kabineta 2005.gada 28.jūnija noteikum</w:t>
            </w:r>
            <w:r>
              <w:t>u</w:t>
            </w:r>
            <w:r w:rsidRPr="002C1317">
              <w:t xml:space="preserve"> Nr.480 "Noteikumi par kārtību, kādā pašvaldības var uzlikt pašvaldības nodevas</w:t>
            </w:r>
            <w:r>
              <w:t xml:space="preserve">” 16.punktu ar 16.7. apakšpunktu, nosakot, ka no nodevas samaksas atbrīvo šādas personas - </w:t>
            </w:r>
            <w:r w:rsidRPr="002C1317">
              <w:t>no nodevas par būvatļaujas izdošanu vai būvniecības ieceres akceptu – licencēti vai atbilstoši noteikumiem par regulējamiem sabiedrisko pakalpojumu veidiem reģistrēti elektroenerģijas energoapgādes komersanti, ja plānotā būve (būvniecības ieceres objekts) būs energoapgādes komersantam piederoša vai tā lietošanā esoša manta, kuru tieši izmanto elektroenerģijas ražošanai vai pārvadei</w:t>
            </w:r>
            <w:r>
              <w:t>. Vēršam uzmanību, ka projekta anotācijas I sadaļas 2.punktā nav raksturota pašreizējā situācija un problēmas, kuru risināšanai projekts izstrādāts, tāpat nav norādīts regulējums mērķis un būtība. Ņemot vērā minēto lūdzam papildināt projekta anotāciju, lai būtu skaidra regulējuma nepieciešamība.</w:t>
            </w:r>
          </w:p>
          <w:p w:rsidR="00AC23A3" w:rsidRDefault="00AC23A3" w:rsidP="002B4EFF">
            <w:pPr>
              <w:jc w:val="both"/>
            </w:pPr>
          </w:p>
          <w:p w:rsidR="00AC23A3" w:rsidRDefault="00AC23A3" w:rsidP="002B4EFF">
            <w:pPr>
              <w:jc w:val="both"/>
            </w:pPr>
          </w:p>
          <w:p w:rsidR="00AC23A3" w:rsidRPr="00992E81" w:rsidRDefault="00AC23A3" w:rsidP="002B4EFF">
            <w:pPr>
              <w:pStyle w:val="naisc"/>
              <w:spacing w:before="0" w:after="0"/>
              <w:ind w:left="57" w:right="57"/>
              <w:contextualSpacing/>
              <w:jc w:val="both"/>
              <w:rPr>
                <w:b/>
                <w:u w:val="single"/>
              </w:rPr>
            </w:pPr>
            <w:r w:rsidRPr="00992E81">
              <w:rPr>
                <w:b/>
                <w:u w:val="single"/>
              </w:rPr>
              <w:t>Vides aizsardzības un reģionālās attīstības ministrija</w:t>
            </w:r>
          </w:p>
          <w:p w:rsidR="00AC23A3" w:rsidRDefault="00AC23A3" w:rsidP="002B4EFF">
            <w:pPr>
              <w:jc w:val="both"/>
            </w:pPr>
            <w:r>
              <w:lastRenderedPageBreak/>
              <w:t>Noteikumu projekta 1.punkts noteic</w:t>
            </w:r>
            <w:r w:rsidRPr="000368D3">
              <w:t xml:space="preserve"> </w:t>
            </w:r>
            <w:r>
              <w:t>p</w:t>
            </w:r>
            <w:r w:rsidRPr="000368D3">
              <w:t>apildināt noteikumus ar 16</w:t>
            </w:r>
            <w:r>
              <w:t>.7.apakšpunktu šādā redakcijā:</w:t>
            </w:r>
            <w:r w:rsidRPr="000368D3">
              <w:t xml:space="preserve"> “16.7. no nodevas par būvatļaujas izdošanu vai būvniecības ieceres akceptu – licencēti vai atbilstoši noteikumiem par regulējamiem sabiedrisko pakalpojumu veidiem reģistrēti elektroenerģijas energoapgādes komersanti, ja plānotā būve (būvniecības ieceres objekts) būs energoapgādes komersantam piederoša vai tā lietošanā esoša manta, kuru tieši izmanto elektroenerģijas ražošanai vai pārvadei.”</w:t>
            </w:r>
            <w:r>
              <w:t xml:space="preserve"> </w:t>
            </w:r>
          </w:p>
          <w:p w:rsidR="00AC23A3" w:rsidRDefault="00AC23A3" w:rsidP="002B4EFF">
            <w:pPr>
              <w:jc w:val="both"/>
            </w:pPr>
            <w:r>
              <w:t>Tajā pašā laikā Noteikumu projekta anotācijā attiecībā uz šo grozījumu ir norādīts tikai tas, ka Noteikumu projektā</w:t>
            </w:r>
            <w:r w:rsidRPr="00E001DE">
              <w:t xml:space="preserve"> ir paredzēts, ka no nodevas par būvatļaujas izdošanu vai būvniecības ieceres akceptu ir atbrīvoti energoapgādes komersanti, ja plānotā būve (būvniecības ieceres objekts) būs energoapgādes komersantam piederoša</w:t>
            </w:r>
          </w:p>
          <w:p w:rsidR="00AC23A3" w:rsidRDefault="00AC23A3" w:rsidP="002B4EFF">
            <w:pPr>
              <w:jc w:val="both"/>
            </w:pPr>
            <w:r w:rsidRPr="00E001DE">
              <w:t xml:space="preserve">vai tā lietošanā esoša manta, kuru tieši izmanto energoapgādei. </w:t>
            </w:r>
          </w:p>
          <w:p w:rsidR="00AC23A3" w:rsidRDefault="00AC23A3" w:rsidP="002B4EFF">
            <w:pPr>
              <w:jc w:val="both"/>
            </w:pPr>
            <w:r>
              <w:t xml:space="preserve">Ievērojot minēto, secināms, ka Noteikumu projekta anotācijā nav pamatots Noteikumu projekta 1.punktā paredzētais grozījums, tostarp Noteikumu projekta anotācijā nav norādīti </w:t>
            </w:r>
            <w:r w:rsidRPr="00B319AA">
              <w:t xml:space="preserve">energoapgādes </w:t>
            </w:r>
            <w:r w:rsidRPr="001D3DDB">
              <w:t>komersantu īpašie apstākļi</w:t>
            </w:r>
            <w:r>
              <w:t xml:space="preserve"> salīdzinājumā ar citām personām</w:t>
            </w:r>
            <w:r w:rsidRPr="001D3DDB">
              <w:t xml:space="preserve">, kas pamato šo </w:t>
            </w:r>
            <w:r>
              <w:t>komersant</w:t>
            </w:r>
            <w:r w:rsidRPr="001D3DDB">
              <w:t>u nepieciešamību pēc šāda atvieglojuma, kā arī nav norādīta</w:t>
            </w:r>
          </w:p>
          <w:p w:rsidR="00AC23A3" w:rsidRPr="001D3DDB" w:rsidRDefault="00AC23A3" w:rsidP="002B4EFF">
            <w:pPr>
              <w:jc w:val="both"/>
            </w:pPr>
            <w:r w:rsidRPr="001D3DDB">
              <w:t>finansiālā ietekme uz pašvaldīb</w:t>
            </w:r>
            <w:r>
              <w:t>u budžetiem</w:t>
            </w:r>
            <w:r w:rsidRPr="001D3DDB">
              <w:t>.</w:t>
            </w:r>
          </w:p>
          <w:p w:rsidR="00AC23A3" w:rsidRDefault="00AC23A3" w:rsidP="002B4EFF">
            <w:pPr>
              <w:jc w:val="both"/>
            </w:pPr>
            <w:r w:rsidRPr="001D3DDB">
              <w:t xml:space="preserve">Ņemot vērā iepriekš minēto, </w:t>
            </w:r>
            <w:r>
              <w:t>Ministrija nesaskaņo Noteikumu projekta tālāku virzību.</w:t>
            </w:r>
          </w:p>
          <w:p w:rsidR="00AC23A3" w:rsidRDefault="00AC23A3" w:rsidP="002B4EFF">
            <w:pPr>
              <w:jc w:val="both"/>
            </w:pPr>
          </w:p>
          <w:p w:rsidR="00AC23A3" w:rsidRPr="00992E81" w:rsidRDefault="00AC23A3" w:rsidP="002B4EFF">
            <w:pPr>
              <w:pStyle w:val="naisc"/>
              <w:spacing w:before="0" w:after="0"/>
              <w:ind w:left="57" w:right="57"/>
              <w:contextualSpacing/>
              <w:jc w:val="both"/>
              <w:rPr>
                <w:b/>
                <w:u w:val="single"/>
              </w:rPr>
            </w:pPr>
            <w:r w:rsidRPr="00992E81">
              <w:rPr>
                <w:b/>
                <w:u w:val="single"/>
              </w:rPr>
              <w:t>Finanšu ministrija</w:t>
            </w:r>
          </w:p>
          <w:p w:rsidR="00AC23A3" w:rsidRPr="00CA5AC2" w:rsidRDefault="00AC23A3" w:rsidP="002B4EFF">
            <w:pPr>
              <w:shd w:val="clear" w:color="auto" w:fill="FFFFFF"/>
              <w:jc w:val="both"/>
              <w:rPr>
                <w:szCs w:val="28"/>
              </w:rPr>
            </w:pPr>
            <w:r w:rsidRPr="00CA5AC2">
              <w:rPr>
                <w:szCs w:val="28"/>
              </w:rPr>
              <w:t>Atbilstoši Ministru kabineta 2009.gada 15.decembra instrukcijas Nr.19 “</w:t>
            </w:r>
            <w:r w:rsidRPr="00CA5AC2">
              <w:rPr>
                <w:bCs/>
                <w:szCs w:val="28"/>
              </w:rPr>
              <w:t>Tiesību akta projekta sākotnējās ietekmes izvērtēšanas kārtība” 11.</w:t>
            </w:r>
            <w:r w:rsidRPr="00CA5AC2">
              <w:rPr>
                <w:bCs/>
                <w:szCs w:val="28"/>
                <w:vertAlign w:val="superscript"/>
              </w:rPr>
              <w:t>1</w:t>
            </w:r>
            <w:r w:rsidRPr="00CA5AC2">
              <w:rPr>
                <w:bCs/>
                <w:szCs w:val="28"/>
              </w:rPr>
              <w:t xml:space="preserve"> punktam,  j</w:t>
            </w:r>
            <w:r w:rsidRPr="00CA5AC2">
              <w:rPr>
                <w:szCs w:val="28"/>
              </w:rPr>
              <w:t xml:space="preserve">a saistībā ar projektu nepieciešams izdarīt grozījumus arī citos hierarhiski tāda paša līmeņa tiesību aktos, ministrija var sagatavot apvienoto anotāciju vairākiem tiesību aktiem (izņemot likumprojektus), ja tiem ir vienāds pamatojums. </w:t>
            </w:r>
          </w:p>
          <w:p w:rsidR="00AC23A3" w:rsidRDefault="00AC23A3" w:rsidP="002B4EFF">
            <w:pPr>
              <w:jc w:val="both"/>
            </w:pPr>
            <w:r w:rsidRPr="00CA5AC2">
              <w:rPr>
                <w:szCs w:val="28"/>
              </w:rPr>
              <w:t xml:space="preserve">Vēršam uzmanību, ka Noteikumu projekta anotācijā gandrīz visa norādītā informācija ir tikai par </w:t>
            </w:r>
            <w:r w:rsidRPr="00CA5AC2">
              <w:rPr>
                <w:bCs/>
                <w:szCs w:val="28"/>
              </w:rPr>
              <w:t>Ministru kabineta noteikumu projektu “</w:t>
            </w:r>
            <w:r w:rsidRPr="00CA5AC2">
              <w:rPr>
                <w:szCs w:val="28"/>
              </w:rPr>
              <w:t>Grozījumi Ministru kabineta 2017.gada 9.maija noteikumos Nr.253 “Atsevišķu inženierbūvju būvnoteikumi””, un tā neatspoguļo Noteikumu projektā iekļautā regulējuma nepieciešamību. Līdz</w:t>
            </w:r>
          </w:p>
          <w:p w:rsidR="00AC23A3" w:rsidRPr="00CA5AC2" w:rsidRDefault="00AC23A3" w:rsidP="002B4EFF">
            <w:pPr>
              <w:shd w:val="clear" w:color="auto" w:fill="FFFFFF"/>
              <w:jc w:val="both"/>
              <w:rPr>
                <w:szCs w:val="28"/>
              </w:rPr>
            </w:pPr>
            <w:r w:rsidRPr="00CA5AC2">
              <w:rPr>
                <w:szCs w:val="28"/>
              </w:rPr>
              <w:t xml:space="preserve">ar to nav skaidra Noteikumu projektā iekļautā regulējuma būtība, jo </w:t>
            </w:r>
            <w:r>
              <w:rPr>
                <w:szCs w:val="28"/>
              </w:rPr>
              <w:t>a</w:t>
            </w:r>
            <w:r w:rsidRPr="00CA5AC2">
              <w:rPr>
                <w:szCs w:val="28"/>
              </w:rPr>
              <w:t>biem vienlaikus virzītajiem Ministru kabineta noteikumu projektiem nav vienāds pamatojums.</w:t>
            </w:r>
          </w:p>
          <w:p w:rsidR="00AC23A3" w:rsidRPr="00CA5AC2" w:rsidRDefault="00AC23A3" w:rsidP="002B4EFF">
            <w:pPr>
              <w:pStyle w:val="tv213"/>
              <w:shd w:val="clear" w:color="auto" w:fill="FFFFFF"/>
              <w:spacing w:before="0" w:beforeAutospacing="0" w:after="0" w:afterAutospacing="0"/>
              <w:jc w:val="both"/>
              <w:rPr>
                <w:szCs w:val="28"/>
              </w:rPr>
            </w:pPr>
            <w:r w:rsidRPr="00CA5AC2">
              <w:rPr>
                <w:szCs w:val="28"/>
              </w:rPr>
              <w:t>Norādām, ka, izvērtējot noteikumu projekta sākotnējo ietekmi, anotācijā raksturo problēmu, kuras risināšanai ir nepieciešama projekta izstrāde, norāda pastāvošo tiesisko regulējumu un skaidro tā būtību, kā arī raksturo pastāvošā tiesiskā regulējuma</w:t>
            </w:r>
            <w:r>
              <w:rPr>
                <w:szCs w:val="28"/>
              </w:rPr>
              <w:t xml:space="preserve"> </w:t>
            </w:r>
            <w:r w:rsidRPr="00CA5AC2">
              <w:rPr>
                <w:szCs w:val="28"/>
              </w:rPr>
              <w:t xml:space="preserve">nepilnības, norāda informāciju par projekta izdošanas mērķi (sasaistot to ar informāciju par esošo situāciju) </w:t>
            </w:r>
            <w:r w:rsidRPr="00CA5AC2">
              <w:rPr>
                <w:szCs w:val="28"/>
              </w:rPr>
              <w:lastRenderedPageBreak/>
              <w:t>un aprakstošu informāciju par projekta būtību (necitējot projektā ietvertās normas), raksturo pastāvošā tiesiskā regulējuma nepilnības un skaidro, kā tiesiskā regulējuma izmaiņas risinās norādīto problēmu. Tāpat vērtē prasību un izmaksu samērīgumu pret ieguvumiem, ko sniedz mērķa sasniegšana, kā arī fiskālo ietekmi uz pašvaldību budžetiem</w:t>
            </w:r>
            <w:bookmarkStart w:id="3" w:name="p5.1"/>
            <w:bookmarkStart w:id="4" w:name="p-626505"/>
            <w:bookmarkEnd w:id="3"/>
            <w:bookmarkEnd w:id="4"/>
            <w:r w:rsidRPr="00CA5AC2">
              <w:rPr>
                <w:szCs w:val="28"/>
              </w:rPr>
              <w:t>.</w:t>
            </w:r>
          </w:p>
          <w:p w:rsidR="00AC23A3" w:rsidRPr="00CA5AC2" w:rsidRDefault="00AC23A3" w:rsidP="002B4EFF">
            <w:pPr>
              <w:jc w:val="both"/>
              <w:rPr>
                <w:color w:val="000000"/>
                <w:szCs w:val="28"/>
              </w:rPr>
            </w:pPr>
            <w:r w:rsidRPr="00CA5AC2">
              <w:rPr>
                <w:szCs w:val="28"/>
              </w:rPr>
              <w:t>Līdz ar to, ievērojot iepriekš minēto, lai varētu izvērtēt izstrādāto Noteikumu projektu, būtu nepieciešams sagatavot par to atsevišķu anotāciju saskaņā ar Ministru kabineta 2009.gada 15.decembra instrukcijā Nr.19 “</w:t>
            </w:r>
            <w:r w:rsidRPr="00CA5AC2">
              <w:rPr>
                <w:bCs/>
                <w:szCs w:val="28"/>
              </w:rPr>
              <w:t xml:space="preserve">Tiesību akta projekta sākotnējās ietekmes izvērtēšanas kārtība” noteikto kārtību, īpaši sniedzot </w:t>
            </w:r>
            <w:r w:rsidRPr="00CA5AC2">
              <w:rPr>
                <w:color w:val="000000"/>
                <w:szCs w:val="28"/>
              </w:rPr>
              <w:t>skaidrojumu, kas pamatotu nepieciešamību energoapgādes komersantus atbrīvot no</w:t>
            </w:r>
            <w:r>
              <w:rPr>
                <w:color w:val="000000"/>
                <w:szCs w:val="28"/>
              </w:rPr>
              <w:t xml:space="preserve"> pašvaldības </w:t>
            </w:r>
            <w:r w:rsidRPr="00CA5AC2">
              <w:rPr>
                <w:color w:val="000000"/>
                <w:szCs w:val="28"/>
              </w:rPr>
              <w:t>nodevas par būvatļaujas izdošanu vai būvniecības ieceres akceptu.</w:t>
            </w:r>
          </w:p>
          <w:p w:rsidR="00AC23A3" w:rsidRPr="003D3BC6" w:rsidRDefault="00AC23A3" w:rsidP="002B4EFF">
            <w:pPr>
              <w:jc w:val="both"/>
            </w:pPr>
          </w:p>
        </w:tc>
        <w:tc>
          <w:tcPr>
            <w:tcW w:w="2693" w:type="dxa"/>
            <w:tcBorders>
              <w:top w:val="single" w:sz="6" w:space="0" w:color="000000"/>
              <w:left w:val="single" w:sz="6" w:space="0" w:color="000000"/>
              <w:bottom w:val="single" w:sz="4" w:space="0" w:color="auto"/>
              <w:right w:val="single" w:sz="6" w:space="0" w:color="000000"/>
            </w:tcBorders>
          </w:tcPr>
          <w:p w:rsidR="00AC23A3" w:rsidRDefault="00AC23A3" w:rsidP="002B4EFF">
            <w:pPr>
              <w:pStyle w:val="naisc"/>
              <w:spacing w:before="0" w:after="0"/>
              <w:ind w:left="57" w:right="57"/>
              <w:rPr>
                <w:b/>
                <w:bCs/>
              </w:rPr>
            </w:pPr>
            <w:r w:rsidRPr="00F57BD5">
              <w:rPr>
                <w:b/>
                <w:bCs/>
              </w:rPr>
              <w:lastRenderedPageBreak/>
              <w:t>Ņemts vērā</w:t>
            </w: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r>
              <w:rPr>
                <w:b/>
                <w:bCs/>
              </w:rPr>
              <w:t>Ņemts vērā</w:t>
            </w: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p>
          <w:p w:rsidR="00AC23A3" w:rsidRDefault="00AC23A3" w:rsidP="002B4EFF">
            <w:pPr>
              <w:pStyle w:val="naisc"/>
              <w:spacing w:before="0" w:after="0"/>
              <w:ind w:left="57" w:right="57"/>
              <w:rPr>
                <w:b/>
                <w:bCs/>
              </w:rPr>
            </w:pPr>
            <w:r>
              <w:rPr>
                <w:b/>
                <w:bCs/>
              </w:rPr>
              <w:t>Panākta vienošanās starpinstitūciju sanāksmē</w:t>
            </w:r>
          </w:p>
          <w:p w:rsidR="00AC23A3" w:rsidRPr="00F57BD5" w:rsidRDefault="00AC23A3" w:rsidP="002B4EFF">
            <w:pPr>
              <w:pStyle w:val="naisc"/>
              <w:spacing w:before="0" w:after="0"/>
              <w:ind w:left="57" w:right="57"/>
              <w:rPr>
                <w:b/>
                <w:bCs/>
              </w:rPr>
            </w:pPr>
          </w:p>
        </w:tc>
        <w:tc>
          <w:tcPr>
            <w:tcW w:w="4678" w:type="dxa"/>
            <w:tcBorders>
              <w:top w:val="single" w:sz="4" w:space="0" w:color="auto"/>
              <w:left w:val="single" w:sz="4" w:space="0" w:color="auto"/>
              <w:bottom w:val="single" w:sz="4" w:space="0" w:color="auto"/>
            </w:tcBorders>
          </w:tcPr>
          <w:p w:rsidR="00AC23A3" w:rsidRPr="00F17C13" w:rsidRDefault="00AC23A3" w:rsidP="002B4EFF">
            <w:pPr>
              <w:ind w:left="57" w:right="57"/>
              <w:contextualSpacing/>
              <w:jc w:val="both"/>
            </w:pPr>
            <w:r w:rsidRPr="00F17C13">
              <w:lastRenderedPageBreak/>
              <w:t>Papildināta anotācija:</w:t>
            </w:r>
          </w:p>
          <w:p w:rsidR="00AC23A3" w:rsidRPr="00F17C13" w:rsidRDefault="00AC23A3" w:rsidP="002B4EFF">
            <w:pPr>
              <w:contextualSpacing/>
              <w:jc w:val="both"/>
              <w:rPr>
                <w:lang w:eastAsia="en-US"/>
              </w:rPr>
            </w:pPr>
            <w:bookmarkStart w:id="5" w:name="_Hlk11660242"/>
            <w:r w:rsidRPr="00F17C13">
              <w:rPr>
                <w:iCs/>
              </w:rPr>
              <w:t xml:space="preserve">[12] Ar </w:t>
            </w:r>
            <w:r w:rsidRPr="00F17C13">
              <w:t>noteikumu projekta</w:t>
            </w:r>
            <w:r w:rsidRPr="00F17C13">
              <w:rPr>
                <w:lang w:eastAsia="en-US"/>
              </w:rPr>
              <w:t xml:space="preserve"> (Ministru kabineta noteikumu projekta “</w:t>
            </w:r>
            <w:r w:rsidRPr="00F17C13">
              <w:t>“Grozījumi Ministru kabineta 2017. gada 9. maija noteikumos Nr. 253 “Atsevišķu inženierbūvju būvnoteikumi””)</w:t>
            </w:r>
            <w:r w:rsidRPr="00F17C13">
              <w:rPr>
                <w:lang w:eastAsia="en-US"/>
              </w:rPr>
              <w:t xml:space="preserve"> spēkā stāšanos spēku zaudēs Noteikumi Nr.573 (Ministru kabineta 2014.gada 30.septembra noteikumi Nr.573 “Elektroenerģijas ražošanas, pārvades un sadales būvju būvnoteikumi”).  </w:t>
            </w:r>
          </w:p>
          <w:p w:rsidR="00AC23A3" w:rsidRPr="00F17C13" w:rsidRDefault="00AC23A3" w:rsidP="002B4EFF">
            <w:pPr>
              <w:contextualSpacing/>
              <w:jc w:val="both"/>
              <w:rPr>
                <w:lang w:eastAsia="en-US"/>
              </w:rPr>
            </w:pPr>
            <w:r w:rsidRPr="00F17C13">
              <w:rPr>
                <w:lang w:eastAsia="en-US"/>
              </w:rPr>
              <w:t>Noteikumi Nr.573 nosaka:</w:t>
            </w:r>
          </w:p>
          <w:p w:rsidR="00AC23A3" w:rsidRPr="00F17C13" w:rsidRDefault="00AC23A3" w:rsidP="002B4EFF">
            <w:pPr>
              <w:jc w:val="both"/>
              <w:rPr>
                <w:i/>
                <w:iCs/>
              </w:rPr>
            </w:pPr>
            <w:r w:rsidRPr="00F17C13">
              <w:rPr>
                <w:i/>
                <w:iCs/>
              </w:rPr>
              <w:t>22. Šo noteikumu 5.punktā minētajiem energoapgādes komersantiem būvatļauja tiek izsniegta bez maksas.</w:t>
            </w:r>
          </w:p>
          <w:p w:rsidR="00AC23A3" w:rsidRPr="00F17C13" w:rsidRDefault="00AC23A3" w:rsidP="002B4EFF">
            <w:pPr>
              <w:jc w:val="both"/>
              <w:rPr>
                <w:i/>
                <w:iCs/>
              </w:rPr>
            </w:pPr>
            <w:r w:rsidRPr="00F17C13">
              <w:rPr>
                <w:i/>
                <w:iCs/>
              </w:rPr>
              <w:t xml:space="preserve">5. Šo noteikumu 3.4., 3.5., 3.6., 3.7. un 3.8.apakšpunkts un 4.punkts piemērojams licencētiem vai atbilstoši noteikumiem par regulējamiem sabiedrisko pakalpojumu veidiem reģistrētiem energoapgādes komersantiem, kuri elektroietaišu ekspluatācijai pastāvīgi nodarbina vismaz piecus kvalificētus elektroinženierus atbilstoši noteikumiem par obligāti piemērojamo </w:t>
            </w:r>
            <w:proofErr w:type="spellStart"/>
            <w:r w:rsidRPr="00F17C13">
              <w:rPr>
                <w:i/>
                <w:iCs/>
              </w:rPr>
              <w:t>energostandartu</w:t>
            </w:r>
            <w:proofErr w:type="spellEnd"/>
            <w:r w:rsidRPr="00F17C13">
              <w:rPr>
                <w:i/>
                <w:iCs/>
              </w:rPr>
              <w:t>, kas nosaka elektroapgādes objektu ekspluatācijas organizatoriskās un tehniskās drošības prasības.</w:t>
            </w:r>
          </w:p>
          <w:p w:rsidR="00AC23A3" w:rsidRPr="00F17C13" w:rsidRDefault="00AC23A3" w:rsidP="002B4EFF">
            <w:pPr>
              <w:contextualSpacing/>
              <w:jc w:val="both"/>
              <w:rPr>
                <w:lang w:eastAsia="en-US"/>
              </w:rPr>
            </w:pPr>
            <w:r w:rsidRPr="00F17C13">
              <w:rPr>
                <w:lang w:eastAsia="en-US"/>
              </w:rPr>
              <w:t xml:space="preserve">Tā kā Noteikumu Nr.573 22.punkts neatbilst Būvniecības likuma 5.panta pirmās daļas </w:t>
            </w:r>
            <w:r w:rsidRPr="00F17C13">
              <w:rPr>
                <w:lang w:eastAsia="en-US"/>
              </w:rPr>
              <w:lastRenderedPageBreak/>
              <w:t xml:space="preserve">2.punktā dotajam deleģējumam, līdz ar to tas ir iekļaujams noteikumos, kas nosaka pašvaldības nodevas. Regulējums par energoapgādes komersantu atbrīvojumu no pašvaldības nodevas par būvatļaujas izdošanu un būvniecības ieceres akceptu ir noteikts </w:t>
            </w:r>
            <w:r w:rsidRPr="00F17C13">
              <w:rPr>
                <w:bCs/>
                <w:lang w:eastAsia="en-US"/>
              </w:rPr>
              <w:t>noteikumu projektā</w:t>
            </w:r>
            <w:r w:rsidRPr="00F17C13">
              <w:rPr>
                <w:lang w:eastAsia="en-US"/>
              </w:rPr>
              <w:t xml:space="preserve"> “Grozījums Ministru kabineta 2005. gada 28. jūnija noteikumos Nr. 480 “Noteikumi par kārtību, kādā pašvaldības var uzlikt pašvaldības nodevas””.</w:t>
            </w:r>
          </w:p>
          <w:p w:rsidR="00AC23A3" w:rsidRPr="00F17C13" w:rsidRDefault="00AC23A3" w:rsidP="002B4EFF">
            <w:pPr>
              <w:jc w:val="both"/>
              <w:rPr>
                <w:noProof/>
              </w:rPr>
            </w:pPr>
            <w:r w:rsidRPr="00F17C13">
              <w:t xml:space="preserve">Bieži elektroapgādes līnijas skar vairākas pašvaldības administratīvās teritorijas. Tā kā </w:t>
            </w:r>
            <w:r w:rsidRPr="00F17C13">
              <w:rPr>
                <w:noProof/>
              </w:rPr>
              <w:t xml:space="preserve"> atbilstoši likuma „Par pašvaldībām” 7.panta otrajā daļā un 15.panta pirmās daļas 14.punktā noteiktajam, būvniecības procesa tiesiskuma nodrošināšana pašvaldības administratīvajā teritorijā ir pašvaldības autonomā funkcija, tā šajā jomā darbojas patstāvīgi un pati par to ir atbildīga. Līdz ar to lineāras inženierbūves būvniecības gadījumā būvniecības ieceres iesniegums ir iesniedzams katrā būvvaldē, kuru šķērsos linārā inženierbūve. Šādos gadījumos pašvaldības nodeva būtu maksājama katrā pašvaldībā.</w:t>
            </w:r>
          </w:p>
          <w:p w:rsidR="00AC23A3" w:rsidRPr="00F17C13" w:rsidRDefault="00AC23A3" w:rsidP="002B4EFF">
            <w:pPr>
              <w:jc w:val="both"/>
            </w:pPr>
            <w:r w:rsidRPr="00F17C13">
              <w:t xml:space="preserve">Elektroapgādes komersanti, izvēloties investēt attiecīgās pašvaldības teritorijā izvietoto elektroapgādes tīklu attīstībā, ar savām investīcijām uzlabo elektroapgādes pakalpojuma kvalitāti un drošumu pašvaldības teritorijā, veicina uzņēmējdarbības attīstībai nepieciešamās vides attīstību un pašvaldības </w:t>
            </w:r>
            <w:r w:rsidRPr="00F17C13">
              <w:lastRenderedPageBreak/>
              <w:t xml:space="preserve">konkurētspēju. Tajā pašā laikā, pašvaldības ar savām nodevām elektroapgādes komersantu infrastruktūras objektu izbūvei un pārbūvei šos būvniecības projektus sadārdzina un nosacīti kavē savas pašvaldības attīstību. T.sk. tiek sadārdzināts katra jaunā elektroenerģijas sistēmas </w:t>
            </w:r>
            <w:proofErr w:type="spellStart"/>
            <w:r w:rsidRPr="00F17C13">
              <w:t>pieslēguma</w:t>
            </w:r>
            <w:proofErr w:type="spellEnd"/>
            <w:r w:rsidRPr="00F17C13">
              <w:t xml:space="preserve"> izbūves projekts, kura īstenošana ir būtiski svarīga gan jaunu mājsaimniecību, gan uzņēmēju ienākšanai attiecīgās pašvaldības teritorijā.</w:t>
            </w:r>
          </w:p>
          <w:p w:rsidR="00AC23A3" w:rsidRPr="00F17C13" w:rsidRDefault="00AC23A3" w:rsidP="002B4EFF">
            <w:pPr>
              <w:contextualSpacing/>
              <w:jc w:val="both"/>
            </w:pPr>
            <w:r w:rsidRPr="00F17C13">
              <w:t xml:space="preserve">Atbilstoši AS "Sadales tīkls" apkopotajai informācijai, 2020.gadā būvvaldēs (par kurām AS "Sadales tīkls" ir zināms (no BIS), ka tās iekasē </w:t>
            </w:r>
            <w:proofErr w:type="spellStart"/>
            <w:r w:rsidRPr="00F17C13">
              <w:t>būvnodevas</w:t>
            </w:r>
            <w:proofErr w:type="spellEnd"/>
            <w:r w:rsidRPr="00F17C13">
              <w:t xml:space="preserve">) tika saskaņoti </w:t>
            </w:r>
            <w:r w:rsidRPr="00F17C13">
              <w:rPr>
                <w:b/>
                <w:bCs/>
              </w:rPr>
              <w:t>2160 AS "Sadales tīkls" objekti</w:t>
            </w:r>
            <w:r w:rsidRPr="00F17C13">
              <w:t xml:space="preserve">. Šo projektu kopējās AS "Sadales tīkls" objektu izmaksas par pašvaldību noteiktajām būvniecības nodevām būtu aplēšamas </w:t>
            </w:r>
            <w:r w:rsidRPr="00F17C13">
              <w:rPr>
                <w:b/>
                <w:bCs/>
              </w:rPr>
              <w:t xml:space="preserve">~180 </w:t>
            </w:r>
            <w:proofErr w:type="spellStart"/>
            <w:r w:rsidRPr="00F17C13">
              <w:rPr>
                <w:b/>
                <w:bCs/>
              </w:rPr>
              <w:t>tūkst.EUR</w:t>
            </w:r>
            <w:proofErr w:type="spellEnd"/>
            <w:r w:rsidRPr="00F17C13">
              <w:rPr>
                <w:b/>
                <w:bCs/>
              </w:rPr>
              <w:t xml:space="preserve"> apmērā</w:t>
            </w:r>
            <w:r w:rsidRPr="00F17C13">
              <w:t xml:space="preserve">. Šajā sarakstā nav būvvaldes, par kurām AS "Sadales tīkls" nav informācijas vai un cik lielas </w:t>
            </w:r>
            <w:proofErr w:type="spellStart"/>
            <w:r w:rsidRPr="00F17C13">
              <w:t>būvnodevas</w:t>
            </w:r>
            <w:proofErr w:type="spellEnd"/>
            <w:r w:rsidRPr="00F17C13">
              <w:t xml:space="preserve"> tās iekasē.</w:t>
            </w:r>
          </w:p>
          <w:tbl>
            <w:tblPr>
              <w:tblW w:w="4295" w:type="dxa"/>
              <w:tblLayout w:type="fixed"/>
              <w:tblLook w:val="04A0" w:firstRow="1" w:lastRow="0" w:firstColumn="1" w:lastColumn="0" w:noHBand="0" w:noVBand="1"/>
            </w:tblPr>
            <w:tblGrid>
              <w:gridCol w:w="1305"/>
              <w:gridCol w:w="859"/>
              <w:gridCol w:w="854"/>
              <w:gridCol w:w="1277"/>
            </w:tblGrid>
            <w:tr w:rsidR="00AC23A3" w:rsidRPr="00F17C13" w:rsidTr="002B4EFF">
              <w:trPr>
                <w:trHeight w:val="638"/>
              </w:trPr>
              <w:tc>
                <w:tcPr>
                  <w:tcW w:w="1305" w:type="dxa"/>
                  <w:tcBorders>
                    <w:top w:val="single" w:sz="4" w:space="0" w:color="auto"/>
                    <w:left w:val="single" w:sz="4" w:space="0" w:color="auto"/>
                    <w:bottom w:val="single" w:sz="4" w:space="0" w:color="auto"/>
                    <w:right w:val="single" w:sz="4" w:space="0" w:color="auto"/>
                  </w:tcBorders>
                  <w:shd w:val="clear" w:color="000000" w:fill="FFFFEF"/>
                  <w:vAlign w:val="center"/>
                  <w:hideMark/>
                </w:tcPr>
                <w:p w:rsidR="00AC23A3" w:rsidRPr="00F17C13" w:rsidRDefault="00AC23A3" w:rsidP="002B4EFF">
                  <w:pPr>
                    <w:jc w:val="center"/>
                    <w:rPr>
                      <w:sz w:val="20"/>
                      <w:szCs w:val="20"/>
                    </w:rPr>
                  </w:pPr>
                  <w:r w:rsidRPr="00F17C13">
                    <w:rPr>
                      <w:sz w:val="20"/>
                      <w:szCs w:val="20"/>
                    </w:rPr>
                    <w:t>Būvvalde</w:t>
                  </w:r>
                </w:p>
              </w:tc>
              <w:tc>
                <w:tcPr>
                  <w:tcW w:w="859" w:type="dxa"/>
                  <w:tcBorders>
                    <w:top w:val="single" w:sz="4" w:space="0" w:color="auto"/>
                    <w:left w:val="nil"/>
                    <w:bottom w:val="single" w:sz="4" w:space="0" w:color="auto"/>
                    <w:right w:val="single" w:sz="4" w:space="0" w:color="auto"/>
                  </w:tcBorders>
                  <w:shd w:val="clear" w:color="000000" w:fill="FFFFEF"/>
                  <w:vAlign w:val="center"/>
                  <w:hideMark/>
                </w:tcPr>
                <w:p w:rsidR="00AC23A3" w:rsidRPr="00F17C13" w:rsidRDefault="00AC23A3" w:rsidP="002B4EFF">
                  <w:pPr>
                    <w:jc w:val="center"/>
                    <w:rPr>
                      <w:sz w:val="20"/>
                      <w:szCs w:val="20"/>
                    </w:rPr>
                  </w:pPr>
                  <w:r w:rsidRPr="00F17C13">
                    <w:rPr>
                      <w:sz w:val="20"/>
                      <w:szCs w:val="20"/>
                    </w:rPr>
                    <w:t>Elektrisko projektu skaits</w:t>
                  </w:r>
                </w:p>
              </w:tc>
              <w:tc>
                <w:tcPr>
                  <w:tcW w:w="854" w:type="dxa"/>
                  <w:tcBorders>
                    <w:top w:val="single" w:sz="4" w:space="0" w:color="auto"/>
                    <w:left w:val="nil"/>
                    <w:bottom w:val="single" w:sz="4" w:space="0" w:color="auto"/>
                    <w:right w:val="single" w:sz="4" w:space="0" w:color="auto"/>
                  </w:tcBorders>
                  <w:shd w:val="clear" w:color="000000" w:fill="FFFFEF"/>
                  <w:vAlign w:val="center"/>
                  <w:hideMark/>
                </w:tcPr>
                <w:p w:rsidR="00AC23A3" w:rsidRPr="00F17C13" w:rsidRDefault="00AC23A3" w:rsidP="002B4EFF">
                  <w:pPr>
                    <w:jc w:val="center"/>
                    <w:rPr>
                      <w:sz w:val="20"/>
                      <w:szCs w:val="20"/>
                    </w:rPr>
                  </w:pPr>
                  <w:proofErr w:type="spellStart"/>
                  <w:r w:rsidRPr="00F17C13">
                    <w:rPr>
                      <w:sz w:val="20"/>
                      <w:szCs w:val="20"/>
                    </w:rPr>
                    <w:t>Būvnodeva</w:t>
                  </w:r>
                  <w:proofErr w:type="spellEnd"/>
                </w:p>
              </w:tc>
              <w:tc>
                <w:tcPr>
                  <w:tcW w:w="1277" w:type="dxa"/>
                  <w:tcBorders>
                    <w:top w:val="single" w:sz="4" w:space="0" w:color="auto"/>
                    <w:left w:val="nil"/>
                    <w:bottom w:val="single" w:sz="4" w:space="0" w:color="auto"/>
                    <w:right w:val="single" w:sz="4" w:space="0" w:color="auto"/>
                  </w:tcBorders>
                  <w:shd w:val="clear" w:color="000000" w:fill="FFFFEF"/>
                  <w:vAlign w:val="center"/>
                  <w:hideMark/>
                </w:tcPr>
                <w:p w:rsidR="00AC23A3" w:rsidRPr="00F17C13" w:rsidRDefault="00AC23A3" w:rsidP="002B4EFF">
                  <w:pPr>
                    <w:jc w:val="center"/>
                    <w:rPr>
                      <w:sz w:val="20"/>
                      <w:szCs w:val="20"/>
                    </w:rPr>
                  </w:pPr>
                  <w:r w:rsidRPr="00F17C13">
                    <w:rPr>
                      <w:sz w:val="20"/>
                      <w:szCs w:val="20"/>
                    </w:rPr>
                    <w:t xml:space="preserve">Kopējā summa par </w:t>
                  </w:r>
                  <w:proofErr w:type="spellStart"/>
                  <w:r w:rsidRPr="00F17C13">
                    <w:rPr>
                      <w:sz w:val="20"/>
                      <w:szCs w:val="20"/>
                    </w:rPr>
                    <w:t>būvnodevas</w:t>
                  </w:r>
                  <w:proofErr w:type="spellEnd"/>
                  <w:r w:rsidRPr="00F17C13">
                    <w:rPr>
                      <w:sz w:val="20"/>
                      <w:szCs w:val="20"/>
                    </w:rPr>
                    <w:t xml:space="preserve"> samaksu</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Daugavpils pilsētas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115</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15</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1725</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Jelgavas pilsētas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154</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20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3080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lastRenderedPageBreak/>
                    <w:t>Liepājas pilsētas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82</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2460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Rīgas pilsētas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738</w:t>
                  </w:r>
                </w:p>
              </w:tc>
              <w:tc>
                <w:tcPr>
                  <w:tcW w:w="854" w:type="dxa"/>
                  <w:tcBorders>
                    <w:top w:val="nil"/>
                    <w:left w:val="nil"/>
                    <w:bottom w:val="single" w:sz="4" w:space="0" w:color="auto"/>
                    <w:right w:val="single" w:sz="4" w:space="0" w:color="auto"/>
                  </w:tcBorders>
                  <w:shd w:val="clear" w:color="000000" w:fill="FFFFFF"/>
                  <w:noWrap/>
                  <w:vAlign w:val="bottom"/>
                  <w:hideMark/>
                </w:tcPr>
                <w:p w:rsidR="00AC23A3" w:rsidRPr="00F17C13" w:rsidRDefault="00AC23A3" w:rsidP="002B4EFF">
                  <w:pPr>
                    <w:jc w:val="center"/>
                    <w:rPr>
                      <w:sz w:val="20"/>
                      <w:szCs w:val="20"/>
                    </w:rPr>
                  </w:pPr>
                  <w:r w:rsidRPr="00F17C13">
                    <w:rPr>
                      <w:sz w:val="20"/>
                      <w:szCs w:val="20"/>
                    </w:rPr>
                    <w:t>200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147600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Carnikavas novada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133</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35.57</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4730.81</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Garkalnes novada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121</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3630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Lielvārdes novada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79</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15</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1185</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Dobeles novada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73</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2190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Ķekavas novada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310</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15</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4650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Jūrmalas būvvalde</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227</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40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9080</w:t>
                  </w:r>
                </w:p>
              </w:tc>
            </w:tr>
            <w:tr w:rsidR="00AC23A3" w:rsidRPr="00F17C13" w:rsidTr="002B4EFF">
              <w:trPr>
                <w:trHeight w:val="290"/>
              </w:trPr>
              <w:tc>
                <w:tcPr>
                  <w:tcW w:w="1305" w:type="dxa"/>
                  <w:tcBorders>
                    <w:top w:val="nil"/>
                    <w:left w:val="single" w:sz="4" w:space="0" w:color="auto"/>
                    <w:bottom w:val="single" w:sz="4" w:space="0" w:color="auto"/>
                    <w:right w:val="single" w:sz="4" w:space="0" w:color="auto"/>
                  </w:tcBorders>
                  <w:shd w:val="clear" w:color="000000" w:fill="FFFFFF"/>
                  <w:hideMark/>
                </w:tcPr>
                <w:p w:rsidR="00AC23A3" w:rsidRPr="00F17C13" w:rsidRDefault="00AC23A3" w:rsidP="002B4EFF">
                  <w:pPr>
                    <w:rPr>
                      <w:sz w:val="20"/>
                      <w:szCs w:val="20"/>
                    </w:rPr>
                  </w:pPr>
                  <w:r w:rsidRPr="00F17C13">
                    <w:rPr>
                      <w:sz w:val="20"/>
                      <w:szCs w:val="20"/>
                    </w:rPr>
                    <w:t>Stopiņu un Salaspils novadu būvvaldes</w:t>
                  </w:r>
                </w:p>
              </w:tc>
              <w:tc>
                <w:tcPr>
                  <w:tcW w:w="859" w:type="dxa"/>
                  <w:tcBorders>
                    <w:top w:val="nil"/>
                    <w:left w:val="nil"/>
                    <w:bottom w:val="single" w:sz="4" w:space="0" w:color="auto"/>
                    <w:right w:val="single" w:sz="4" w:space="0" w:color="auto"/>
                  </w:tcBorders>
                  <w:shd w:val="clear" w:color="000000" w:fill="FFFFFF"/>
                  <w:hideMark/>
                </w:tcPr>
                <w:p w:rsidR="00AC23A3" w:rsidRPr="00F17C13" w:rsidRDefault="00AC23A3" w:rsidP="002B4EFF">
                  <w:pPr>
                    <w:jc w:val="center"/>
                    <w:rPr>
                      <w:sz w:val="20"/>
                      <w:szCs w:val="20"/>
                    </w:rPr>
                  </w:pPr>
                  <w:r w:rsidRPr="00F17C13">
                    <w:rPr>
                      <w:sz w:val="20"/>
                      <w:szCs w:val="20"/>
                    </w:rPr>
                    <w:t>128</w:t>
                  </w:r>
                </w:p>
              </w:tc>
              <w:tc>
                <w:tcPr>
                  <w:tcW w:w="854"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30</w:t>
                  </w:r>
                </w:p>
              </w:tc>
              <w:tc>
                <w:tcPr>
                  <w:tcW w:w="1277" w:type="dxa"/>
                  <w:tcBorders>
                    <w:top w:val="nil"/>
                    <w:left w:val="nil"/>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3840</w:t>
                  </w:r>
                </w:p>
              </w:tc>
            </w:tr>
            <w:tr w:rsidR="00AC23A3" w:rsidRPr="00F17C13" w:rsidTr="002B4EFF">
              <w:trPr>
                <w:trHeight w:val="290"/>
              </w:trPr>
              <w:tc>
                <w:tcPr>
                  <w:tcW w:w="1305" w:type="dxa"/>
                  <w:tcBorders>
                    <w:top w:val="nil"/>
                    <w:left w:val="single" w:sz="4" w:space="0" w:color="auto"/>
                    <w:bottom w:val="nil"/>
                    <w:right w:val="single" w:sz="4" w:space="0" w:color="auto"/>
                  </w:tcBorders>
                  <w:shd w:val="clear" w:color="000000" w:fill="FFFFFF"/>
                  <w:hideMark/>
                </w:tcPr>
                <w:p w:rsidR="00AC23A3" w:rsidRPr="00F17C13" w:rsidRDefault="00AC23A3" w:rsidP="002B4EFF">
                  <w:pPr>
                    <w:jc w:val="right"/>
                    <w:rPr>
                      <w:sz w:val="20"/>
                      <w:szCs w:val="20"/>
                    </w:rPr>
                  </w:pPr>
                  <w:r w:rsidRPr="00F17C13">
                    <w:rPr>
                      <w:sz w:val="20"/>
                      <w:szCs w:val="20"/>
                    </w:rPr>
                    <w:t>Kopā:</w:t>
                  </w:r>
                </w:p>
              </w:tc>
              <w:tc>
                <w:tcPr>
                  <w:tcW w:w="859" w:type="dxa"/>
                  <w:tcBorders>
                    <w:top w:val="nil"/>
                    <w:left w:val="nil"/>
                    <w:bottom w:val="single" w:sz="4" w:space="0" w:color="auto"/>
                    <w:right w:val="single" w:sz="4" w:space="0" w:color="auto"/>
                  </w:tcBorders>
                  <w:shd w:val="clear" w:color="auto" w:fill="auto"/>
                  <w:noWrap/>
                  <w:vAlign w:val="center"/>
                  <w:hideMark/>
                </w:tcPr>
                <w:p w:rsidR="00AC23A3" w:rsidRPr="00F17C13" w:rsidRDefault="00AC23A3" w:rsidP="002B4EFF">
                  <w:pPr>
                    <w:jc w:val="center"/>
                    <w:rPr>
                      <w:sz w:val="20"/>
                      <w:szCs w:val="20"/>
                    </w:rPr>
                  </w:pPr>
                  <w:r w:rsidRPr="00F17C13">
                    <w:rPr>
                      <w:sz w:val="20"/>
                      <w:szCs w:val="20"/>
                    </w:rPr>
                    <w:t>2160</w:t>
                  </w:r>
                </w:p>
              </w:tc>
              <w:tc>
                <w:tcPr>
                  <w:tcW w:w="854" w:type="dxa"/>
                  <w:tcBorders>
                    <w:top w:val="nil"/>
                    <w:left w:val="nil"/>
                    <w:bottom w:val="nil"/>
                    <w:right w:val="nil"/>
                  </w:tcBorders>
                  <w:shd w:val="clear" w:color="auto" w:fill="auto"/>
                  <w:noWrap/>
                  <w:vAlign w:val="bottom"/>
                  <w:hideMark/>
                </w:tcPr>
                <w:p w:rsidR="00AC23A3" w:rsidRPr="00F17C13" w:rsidRDefault="00AC23A3" w:rsidP="002B4EFF">
                  <w:pPr>
                    <w:jc w:val="right"/>
                    <w:rPr>
                      <w:sz w:val="20"/>
                      <w:szCs w:val="20"/>
                    </w:rPr>
                  </w:pPr>
                  <w:r w:rsidRPr="00F17C13">
                    <w:rPr>
                      <w:sz w:val="20"/>
                      <w:szCs w:val="20"/>
                    </w:rPr>
                    <w:t>Kopā:</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AC23A3" w:rsidRPr="00F17C13" w:rsidRDefault="00AC23A3" w:rsidP="002B4EFF">
                  <w:pPr>
                    <w:jc w:val="center"/>
                    <w:rPr>
                      <w:sz w:val="20"/>
                      <w:szCs w:val="20"/>
                    </w:rPr>
                  </w:pPr>
                  <w:r w:rsidRPr="00F17C13">
                    <w:rPr>
                      <w:sz w:val="20"/>
                      <w:szCs w:val="20"/>
                    </w:rPr>
                    <w:t>184170.81</w:t>
                  </w:r>
                </w:p>
              </w:tc>
            </w:tr>
          </w:tbl>
          <w:p w:rsidR="00AC23A3" w:rsidRPr="00F17C13" w:rsidRDefault="00AC23A3" w:rsidP="002B4EFF">
            <w:pPr>
              <w:jc w:val="both"/>
            </w:pPr>
            <w:r w:rsidRPr="00F17C13">
              <w:t xml:space="preserve">AS "Sadales tīkls" savu elektroapgādes objektu izbūves un pārbūves projektus īsteno piesaistot ārējus būvkomersantus gan </w:t>
            </w:r>
            <w:proofErr w:type="spellStart"/>
            <w:r w:rsidRPr="00F17C13">
              <w:t>būvprojektēšanas</w:t>
            </w:r>
            <w:proofErr w:type="spellEnd"/>
            <w:r w:rsidRPr="00F17C13">
              <w:t xml:space="preserve">, gan būvniecības darbu veikšanai. Pašvaldību noteiktās būvniecības nodevas tiešā veidā segtu šie konkursa kārtībā izvēlētie būvkomersanti, ietverot šīs izmaksas savā pakalpojuma tāmē. Līdz ar to visi AS </w:t>
            </w:r>
            <w:r w:rsidRPr="00F17C13">
              <w:lastRenderedPageBreak/>
              <w:t xml:space="preserve">"Sadales tīkls" sistēmas lietotāji caur elektroenerģijas sadales sistēmas pakalpojumu tarifiem segtu šīs izmaksas. </w:t>
            </w:r>
          </w:p>
          <w:p w:rsidR="00AC23A3" w:rsidRPr="00F17C13" w:rsidRDefault="00AC23A3" w:rsidP="002B4EFF">
            <w:pPr>
              <w:contextualSpacing/>
              <w:jc w:val="both"/>
              <w:rPr>
                <w:lang w:eastAsia="en-US"/>
              </w:rPr>
            </w:pPr>
          </w:p>
          <w:p w:rsidR="00AC23A3" w:rsidRPr="00F17C13" w:rsidRDefault="00AC23A3" w:rsidP="002B4EFF">
            <w:pPr>
              <w:contextualSpacing/>
              <w:jc w:val="both"/>
              <w:rPr>
                <w:lang w:eastAsia="en-US"/>
              </w:rPr>
            </w:pPr>
          </w:p>
          <w:bookmarkEnd w:id="5"/>
          <w:p w:rsidR="00AC23A3" w:rsidRPr="00F17C13" w:rsidRDefault="00AC23A3" w:rsidP="002B4EFF">
            <w:pPr>
              <w:ind w:left="57" w:right="57"/>
              <w:contextualSpacing/>
              <w:jc w:val="both"/>
            </w:pPr>
          </w:p>
        </w:tc>
      </w:tr>
      <w:tr w:rsidR="00AC23A3" w:rsidRPr="004D2573" w:rsidTr="002B4EFF">
        <w:trPr>
          <w:trHeight w:val="318"/>
        </w:trPr>
        <w:tc>
          <w:tcPr>
            <w:tcW w:w="709" w:type="dxa"/>
            <w:tcBorders>
              <w:top w:val="single" w:sz="6" w:space="0" w:color="000000"/>
              <w:left w:val="single" w:sz="6" w:space="0" w:color="000000"/>
              <w:bottom w:val="single" w:sz="6" w:space="0" w:color="000000"/>
              <w:right w:val="single" w:sz="6" w:space="0" w:color="000000"/>
            </w:tcBorders>
          </w:tcPr>
          <w:p w:rsidR="00AC23A3" w:rsidRPr="004D2573" w:rsidRDefault="00AC23A3" w:rsidP="002B4EFF">
            <w:pPr>
              <w:pStyle w:val="naisc"/>
              <w:spacing w:before="0" w:after="0"/>
              <w:ind w:left="57" w:right="57"/>
              <w:contextualSpacing/>
              <w:jc w:val="both"/>
            </w:pPr>
            <w:r w:rsidRPr="004D2573">
              <w:lastRenderedPageBreak/>
              <w:t>2.</w:t>
            </w:r>
          </w:p>
        </w:tc>
        <w:tc>
          <w:tcPr>
            <w:tcW w:w="2578" w:type="dxa"/>
            <w:tcBorders>
              <w:top w:val="single" w:sz="6" w:space="0" w:color="000000"/>
              <w:left w:val="single" w:sz="6" w:space="0" w:color="000000"/>
              <w:bottom w:val="single" w:sz="6" w:space="0" w:color="000000"/>
              <w:right w:val="single" w:sz="6" w:space="0" w:color="000000"/>
            </w:tcBorders>
          </w:tcPr>
          <w:p w:rsidR="00AC23A3" w:rsidRPr="004D2573" w:rsidRDefault="00AC23A3" w:rsidP="002B4EFF">
            <w:pPr>
              <w:jc w:val="both"/>
              <w:rPr>
                <w:shd w:val="clear" w:color="auto" w:fill="FFFFFF"/>
              </w:rPr>
            </w:pPr>
            <w:r w:rsidRPr="004D2573">
              <w:rPr>
                <w:shd w:val="clear" w:color="auto" w:fill="FFFFFF"/>
              </w:rPr>
              <w:t>Noteikumi stājas spēkā 2021. gada 1. jūlijā.</w:t>
            </w:r>
          </w:p>
          <w:p w:rsidR="00AC23A3" w:rsidRPr="004D2573" w:rsidRDefault="00AC23A3" w:rsidP="002B4EFF">
            <w:pPr>
              <w:pStyle w:val="naisc"/>
              <w:spacing w:before="0" w:after="0"/>
              <w:ind w:left="57" w:right="57"/>
              <w:contextualSpacing/>
              <w:jc w:val="both"/>
            </w:pPr>
          </w:p>
        </w:tc>
        <w:tc>
          <w:tcPr>
            <w:tcW w:w="4820" w:type="dxa"/>
            <w:tcBorders>
              <w:top w:val="single" w:sz="6" w:space="0" w:color="000000"/>
              <w:left w:val="single" w:sz="6" w:space="0" w:color="000000"/>
              <w:bottom w:val="single" w:sz="6" w:space="0" w:color="000000"/>
              <w:right w:val="single" w:sz="6" w:space="0" w:color="000000"/>
            </w:tcBorders>
          </w:tcPr>
          <w:p w:rsidR="00AC23A3" w:rsidRPr="004D2573" w:rsidRDefault="00AC23A3" w:rsidP="002B4EFF">
            <w:pPr>
              <w:pStyle w:val="naisc"/>
              <w:spacing w:before="0" w:after="0"/>
              <w:ind w:left="57" w:right="57"/>
              <w:contextualSpacing/>
              <w:jc w:val="both"/>
              <w:rPr>
                <w:b/>
                <w:u w:val="single"/>
              </w:rPr>
            </w:pPr>
            <w:r w:rsidRPr="004D2573">
              <w:rPr>
                <w:b/>
                <w:u w:val="single"/>
              </w:rPr>
              <w:t>Tieslietu ministrija</w:t>
            </w:r>
          </w:p>
          <w:p w:rsidR="00AC23A3" w:rsidRPr="004D2573" w:rsidRDefault="00AC23A3" w:rsidP="002B4EFF">
            <w:pPr>
              <w:jc w:val="both"/>
            </w:pPr>
            <w:r w:rsidRPr="004D2573">
              <w:t>2. Projekta 2. punkts paredz, ka projekts stāsies spēkā 2021. gada 1. jūlijā. Lūdzam projekta anotācijā skaidrot, kādēļ projektam noteikta spēkā stāšanās 2021. gada 1. jūlijā.</w:t>
            </w:r>
          </w:p>
          <w:p w:rsidR="00AC23A3" w:rsidRPr="004D2573" w:rsidRDefault="00AC23A3" w:rsidP="002B4EFF">
            <w:pPr>
              <w:pStyle w:val="naisc"/>
              <w:spacing w:before="0" w:after="0"/>
              <w:ind w:left="57" w:right="57"/>
              <w:contextualSpacing/>
              <w:jc w:val="both"/>
              <w:rPr>
                <w:b/>
              </w:rPr>
            </w:pPr>
          </w:p>
        </w:tc>
        <w:tc>
          <w:tcPr>
            <w:tcW w:w="2693" w:type="dxa"/>
            <w:tcBorders>
              <w:top w:val="single" w:sz="6" w:space="0" w:color="000000"/>
              <w:left w:val="single" w:sz="6" w:space="0" w:color="000000"/>
              <w:bottom w:val="single" w:sz="6" w:space="0" w:color="000000"/>
              <w:right w:val="single" w:sz="6" w:space="0" w:color="000000"/>
            </w:tcBorders>
          </w:tcPr>
          <w:p w:rsidR="00AC23A3" w:rsidRPr="004D2573" w:rsidRDefault="00AC23A3" w:rsidP="002B4EFF">
            <w:pPr>
              <w:ind w:left="57" w:right="57"/>
              <w:contextualSpacing/>
              <w:jc w:val="both"/>
              <w:rPr>
                <w:b/>
              </w:rPr>
            </w:pPr>
            <w:r w:rsidRPr="004D2573">
              <w:rPr>
                <w:b/>
              </w:rPr>
              <w:t>Ņemts vērā</w:t>
            </w:r>
          </w:p>
          <w:p w:rsidR="00AC23A3" w:rsidRPr="004D2573" w:rsidRDefault="00AC23A3" w:rsidP="002B4EFF">
            <w:pPr>
              <w:ind w:left="57" w:right="57"/>
              <w:contextualSpacing/>
              <w:jc w:val="both"/>
              <w:rPr>
                <w:iCs/>
                <w:u w:val="single"/>
              </w:rPr>
            </w:pPr>
            <w:r w:rsidRPr="004D2573">
              <w:rPr>
                <w:iCs/>
                <w:u w:val="single"/>
              </w:rPr>
              <w:t>Papildināta anotācija:</w:t>
            </w:r>
          </w:p>
          <w:p w:rsidR="00AC23A3" w:rsidRDefault="00AC23A3" w:rsidP="002B4EFF">
            <w:pPr>
              <w:pStyle w:val="naisc"/>
              <w:spacing w:before="0" w:after="0"/>
              <w:ind w:left="57" w:right="57"/>
              <w:jc w:val="both"/>
              <w:rPr>
                <w:iCs/>
              </w:rPr>
            </w:pPr>
            <w:r w:rsidRPr="004D2573">
              <w:rPr>
                <w:iCs/>
              </w:rPr>
              <w:t xml:space="preserve">[12] Lai nodrošinātu </w:t>
            </w:r>
            <w:r w:rsidRPr="004D2573">
              <w:rPr>
                <w:lang w:eastAsia="en-US"/>
              </w:rPr>
              <w:t xml:space="preserve">Ministru kabineta noteikumu projekta </w:t>
            </w:r>
            <w:r w:rsidRPr="004D2573">
              <w:t>“Grozījumi Ministru kabineta 2017. gada 9. maija noteikumos Nr. 253 “Atsevišķu inženierbūvju būvnoteikumi””</w:t>
            </w:r>
            <w:r w:rsidRPr="004D2573">
              <w:rPr>
                <w:lang w:eastAsia="en-US"/>
              </w:rPr>
              <w:t xml:space="preserve"> </w:t>
            </w:r>
            <w:r w:rsidRPr="004D2573">
              <w:rPr>
                <w:iCs/>
              </w:rPr>
              <w:t>īstenošanai nepieciešamos pielāgošanas darbus būvniecības informācijas sistēmā, noteikumu projektam ir noteikts spēkā stāšanās laiks – 2021. gada 1. novembris.</w:t>
            </w:r>
          </w:p>
          <w:p w:rsidR="00F17C13" w:rsidRPr="004D2573" w:rsidRDefault="00F17C13" w:rsidP="002B4EFF">
            <w:pPr>
              <w:pStyle w:val="naisc"/>
              <w:spacing w:before="0" w:after="0"/>
              <w:ind w:left="57" w:right="57"/>
              <w:jc w:val="both"/>
              <w:rPr>
                <w:b/>
              </w:rPr>
            </w:pPr>
          </w:p>
        </w:tc>
        <w:tc>
          <w:tcPr>
            <w:tcW w:w="4678" w:type="dxa"/>
            <w:tcBorders>
              <w:top w:val="single" w:sz="4" w:space="0" w:color="auto"/>
              <w:left w:val="single" w:sz="4" w:space="0" w:color="auto"/>
              <w:bottom w:val="single" w:sz="4" w:space="0" w:color="auto"/>
            </w:tcBorders>
          </w:tcPr>
          <w:p w:rsidR="00AC23A3" w:rsidRPr="001D78FD" w:rsidRDefault="00AC23A3" w:rsidP="002B4EFF">
            <w:pPr>
              <w:jc w:val="both"/>
              <w:rPr>
                <w:shd w:val="clear" w:color="auto" w:fill="FFFFFF"/>
              </w:rPr>
            </w:pPr>
            <w:r w:rsidRPr="001D78FD">
              <w:rPr>
                <w:shd w:val="clear" w:color="auto" w:fill="FFFFFF"/>
              </w:rPr>
              <w:t>2. Noteikumi stājas spēkā 2021. gada 1. novembrī.</w:t>
            </w:r>
          </w:p>
          <w:p w:rsidR="00AC23A3" w:rsidRPr="001D78FD" w:rsidRDefault="00AC23A3" w:rsidP="002B4EFF">
            <w:pPr>
              <w:ind w:left="57" w:right="57"/>
              <w:contextualSpacing/>
              <w:jc w:val="both"/>
            </w:pPr>
          </w:p>
        </w:tc>
      </w:tr>
      <w:tr w:rsidR="00AC23A3" w:rsidRPr="00A9540E" w:rsidTr="002B4EFF">
        <w:trPr>
          <w:trHeight w:val="318"/>
        </w:trPr>
        <w:tc>
          <w:tcPr>
            <w:tcW w:w="709" w:type="dxa"/>
            <w:tcBorders>
              <w:top w:val="single" w:sz="6" w:space="0" w:color="000000"/>
              <w:left w:val="single" w:sz="6" w:space="0" w:color="000000"/>
              <w:bottom w:val="single" w:sz="6" w:space="0" w:color="000000"/>
              <w:right w:val="single" w:sz="6" w:space="0" w:color="000000"/>
            </w:tcBorders>
          </w:tcPr>
          <w:p w:rsidR="00AC23A3" w:rsidRPr="00F17C13" w:rsidRDefault="00E3132C" w:rsidP="002B4EFF">
            <w:pPr>
              <w:pStyle w:val="naisc"/>
              <w:spacing w:before="0" w:after="0"/>
              <w:ind w:left="57" w:right="57"/>
              <w:contextualSpacing/>
              <w:jc w:val="both"/>
            </w:pPr>
            <w:r w:rsidRPr="00F17C13">
              <w:t>3.</w:t>
            </w:r>
          </w:p>
        </w:tc>
        <w:tc>
          <w:tcPr>
            <w:tcW w:w="2578" w:type="dxa"/>
            <w:tcBorders>
              <w:top w:val="single" w:sz="6" w:space="0" w:color="000000"/>
              <w:left w:val="single" w:sz="6" w:space="0" w:color="000000"/>
              <w:bottom w:val="single" w:sz="6" w:space="0" w:color="000000"/>
              <w:right w:val="single" w:sz="6" w:space="0" w:color="000000"/>
            </w:tcBorders>
          </w:tcPr>
          <w:p w:rsidR="00E3132C" w:rsidRPr="00F17C13" w:rsidRDefault="00E3132C" w:rsidP="002B4EFF">
            <w:pPr>
              <w:jc w:val="both"/>
              <w:rPr>
                <w:shd w:val="clear" w:color="auto" w:fill="FFFFFF"/>
              </w:rPr>
            </w:pPr>
          </w:p>
        </w:tc>
        <w:tc>
          <w:tcPr>
            <w:tcW w:w="4820" w:type="dxa"/>
            <w:tcBorders>
              <w:top w:val="single" w:sz="6" w:space="0" w:color="000000"/>
              <w:left w:val="single" w:sz="6" w:space="0" w:color="000000"/>
              <w:bottom w:val="single" w:sz="6" w:space="0" w:color="000000"/>
              <w:right w:val="single" w:sz="6" w:space="0" w:color="000000"/>
            </w:tcBorders>
          </w:tcPr>
          <w:p w:rsidR="00AC23A3" w:rsidRPr="00F17C13" w:rsidRDefault="00E3132C" w:rsidP="002B4EFF">
            <w:pPr>
              <w:pStyle w:val="naisc"/>
              <w:spacing w:before="0" w:after="0"/>
              <w:ind w:left="57" w:right="57"/>
              <w:contextualSpacing/>
              <w:jc w:val="both"/>
              <w:rPr>
                <w:b/>
                <w:u w:val="single"/>
              </w:rPr>
            </w:pPr>
            <w:r w:rsidRPr="00F17C13">
              <w:rPr>
                <w:b/>
                <w:u w:val="single"/>
              </w:rPr>
              <w:t>Finanšu ministrija (17.02.2021.):</w:t>
            </w:r>
          </w:p>
          <w:p w:rsidR="00E3132C" w:rsidRPr="00F17C13" w:rsidRDefault="00E3132C" w:rsidP="00E3132C">
            <w:pPr>
              <w:ind w:firstLine="720"/>
              <w:jc w:val="both"/>
              <w:rPr>
                <w:i/>
                <w:iCs/>
              </w:rPr>
            </w:pPr>
            <w:r w:rsidRPr="00F17C13">
              <w:t xml:space="preserve">Ņemot vērā, ka Ekonomikas ministrija ir valsts pārvaldes iestāde un, neskatoties uz to, ka katrai pašvaldībai ir tiesības noteikt savā </w:t>
            </w:r>
            <w:r w:rsidRPr="00F17C13">
              <w:lastRenderedPageBreak/>
              <w:t xml:space="preserve">pašvaldībā kādu (vai visas)  no pašvaldības nodevām, pašvaldību nodevu objekti tomēr tiek noteikti likumā nevis ir pašvaldības izdomāts/izveidots maksājums, ierosināt noteikumu projekta anotācijā izvairīties no tāda vārdu salikuma kā “pašvaldības ar savām nodevām” lietošanas (noteikumu projekta anotācijas I sadaļas 2.punktā (11.lpp.) ir iekļauts teikums: </w:t>
            </w:r>
            <w:r w:rsidRPr="00F17C13">
              <w:rPr>
                <w:i/>
                <w:iCs/>
              </w:rPr>
              <w:t xml:space="preserve">“Tajā pašā laikā, </w:t>
            </w:r>
            <w:r w:rsidRPr="00F17C13">
              <w:rPr>
                <w:b/>
                <w:bCs/>
                <w:i/>
                <w:iCs/>
              </w:rPr>
              <w:t>pašvaldības ar savām nodevām</w:t>
            </w:r>
            <w:r w:rsidRPr="00F17C13">
              <w:rPr>
                <w:i/>
                <w:iCs/>
              </w:rPr>
              <w:t xml:space="preserve"> elektroapgādes komersantu infrastruktūras objektu izbūvei un pārbūvei šos būvniecības projektus sadārdzina un nosacīti kavē savas pašvaldības attīstību.”)</w:t>
            </w:r>
          </w:p>
          <w:p w:rsidR="00E3132C" w:rsidRPr="00F17C13" w:rsidRDefault="00E3132C" w:rsidP="00E3132C">
            <w:pPr>
              <w:ind w:firstLine="720"/>
              <w:jc w:val="both"/>
            </w:pPr>
            <w:r w:rsidRPr="00F17C13">
              <w:t xml:space="preserve">Vēlamies vērst uzmanību, ka pašvaldības nodeva atbilstoši likuma “Par nodokļiem un nodevām” 1.panta 3.punktā noteiktajai definīcijai ir </w:t>
            </w:r>
            <w:r w:rsidRPr="00F17C13">
              <w:rPr>
                <w:shd w:val="clear" w:color="auto" w:fill="FFFFFF"/>
              </w:rPr>
              <w:t xml:space="preserve">pašvaldības domes noteikts obligāts maksājums pašvaldības pamatbudžetā vai speciālajā budžetā šajā likumā paredzētajos gadījumos. </w:t>
            </w:r>
            <w:r w:rsidRPr="00F17C13">
              <w:t xml:space="preserve">Pašvaldības nodevas tāpat kā valsts nodevas ir </w:t>
            </w:r>
            <w:r w:rsidRPr="00F17C13">
              <w:rPr>
                <w:u w:val="single"/>
              </w:rPr>
              <w:t>obligāts maksājums ar mērķi kontrolēt, veicināt vai ierobežot kādu darbību vai sniegt nodrošinājumu</w:t>
            </w:r>
            <w:r w:rsidRPr="00F17C13">
              <w:t xml:space="preserve">. </w:t>
            </w:r>
          </w:p>
          <w:p w:rsidR="00E3132C" w:rsidRPr="00F17C13" w:rsidRDefault="00E3132C" w:rsidP="00E3132C">
            <w:pPr>
              <w:ind w:firstLine="720"/>
              <w:jc w:val="both"/>
            </w:pPr>
            <w:r w:rsidRPr="00F17C13">
              <w:t xml:space="preserve">Ņemot vērā minēto, pirms tiek apgalvots “ka pašvaldība ar savām nodevām kavē un sadārdzina”, būtu jāsaprot sasniedzamais mērķis, ko pašvaldība, savā teritorijā ieviešot šādu pašvaldību nodevu, ir izvirzījusi. </w:t>
            </w:r>
          </w:p>
          <w:p w:rsidR="00E3132C" w:rsidRPr="00F17C13" w:rsidRDefault="00E3132C" w:rsidP="00E3132C">
            <w:pPr>
              <w:pStyle w:val="tv213"/>
              <w:spacing w:before="0" w:beforeAutospacing="0" w:after="0" w:afterAutospacing="0" w:line="293" w:lineRule="atLeast"/>
              <w:ind w:firstLine="709"/>
              <w:jc w:val="both"/>
            </w:pPr>
            <w:r w:rsidRPr="00F17C13">
              <w:t>Tādējādi lūdzam precizēt noteikumu projekta anotācijā norādīto.</w:t>
            </w:r>
          </w:p>
          <w:p w:rsidR="00E3132C" w:rsidRPr="00F17C13" w:rsidRDefault="00E3132C" w:rsidP="002B4EFF">
            <w:pPr>
              <w:pStyle w:val="naisc"/>
              <w:spacing w:before="0" w:after="0"/>
              <w:ind w:left="57" w:right="57"/>
              <w:contextualSpacing/>
              <w:jc w:val="both"/>
              <w:rPr>
                <w:bCs/>
              </w:rPr>
            </w:pPr>
          </w:p>
        </w:tc>
        <w:tc>
          <w:tcPr>
            <w:tcW w:w="2693" w:type="dxa"/>
            <w:tcBorders>
              <w:top w:val="single" w:sz="6" w:space="0" w:color="000000"/>
              <w:left w:val="single" w:sz="6" w:space="0" w:color="000000"/>
              <w:bottom w:val="single" w:sz="6" w:space="0" w:color="000000"/>
              <w:right w:val="single" w:sz="6" w:space="0" w:color="000000"/>
            </w:tcBorders>
          </w:tcPr>
          <w:p w:rsidR="00AC23A3" w:rsidRPr="00F17C13" w:rsidRDefault="00E3132C" w:rsidP="002B4EFF">
            <w:pPr>
              <w:ind w:left="57" w:right="57"/>
              <w:contextualSpacing/>
              <w:jc w:val="both"/>
              <w:rPr>
                <w:b/>
              </w:rPr>
            </w:pPr>
            <w:r w:rsidRPr="00F17C13">
              <w:rPr>
                <w:b/>
              </w:rPr>
              <w:lastRenderedPageBreak/>
              <w:t>Ņemts vērā</w:t>
            </w:r>
          </w:p>
        </w:tc>
        <w:tc>
          <w:tcPr>
            <w:tcW w:w="4678" w:type="dxa"/>
            <w:tcBorders>
              <w:top w:val="single" w:sz="4" w:space="0" w:color="auto"/>
              <w:left w:val="single" w:sz="4" w:space="0" w:color="auto"/>
              <w:bottom w:val="single" w:sz="4" w:space="0" w:color="auto"/>
            </w:tcBorders>
          </w:tcPr>
          <w:p w:rsidR="00AC23A3" w:rsidRPr="00F17C13" w:rsidRDefault="00E3132C" w:rsidP="002B4EFF">
            <w:pPr>
              <w:jc w:val="both"/>
              <w:rPr>
                <w:shd w:val="clear" w:color="auto" w:fill="FFFFFF"/>
              </w:rPr>
            </w:pPr>
            <w:r w:rsidRPr="00F17C13">
              <w:rPr>
                <w:shd w:val="clear" w:color="auto" w:fill="FFFFFF"/>
              </w:rPr>
              <w:t>Precizēta anotācija</w:t>
            </w:r>
          </w:p>
        </w:tc>
      </w:tr>
    </w:tbl>
    <w:p w:rsidR="00AC23A3" w:rsidRDefault="00AC23A3" w:rsidP="00AC23A3"/>
    <w:p w:rsidR="00AC23A3" w:rsidRPr="00992E81" w:rsidRDefault="00AC23A3" w:rsidP="00AC23A3">
      <w:pPr>
        <w:pStyle w:val="naisf"/>
        <w:spacing w:before="0" w:after="0"/>
        <w:ind w:firstLine="0"/>
      </w:pPr>
      <w:r w:rsidRPr="00992E81">
        <w:t>Par projektu atbildīgā amatpersona:</w:t>
      </w:r>
    </w:p>
    <w:p w:rsidR="00AC23A3" w:rsidRPr="00992E81" w:rsidRDefault="00AC23A3" w:rsidP="00AC23A3">
      <w:pPr>
        <w:pStyle w:val="naisf"/>
        <w:spacing w:before="0" w:after="0"/>
        <w:ind w:firstLine="0"/>
      </w:pPr>
      <w:r w:rsidRPr="00992E81">
        <w:t>Andris Lazarevs</w:t>
      </w:r>
    </w:p>
    <w:p w:rsidR="00AC23A3" w:rsidRPr="00992E81" w:rsidRDefault="00AC23A3" w:rsidP="00AC23A3">
      <w:pPr>
        <w:pStyle w:val="naisf"/>
        <w:spacing w:before="0" w:after="0"/>
        <w:ind w:firstLine="0"/>
      </w:pPr>
      <w:r w:rsidRPr="00992E81">
        <w:t>Ekonomikas ministrijas</w:t>
      </w:r>
    </w:p>
    <w:p w:rsidR="00AC23A3" w:rsidRPr="00992E81" w:rsidRDefault="00AC23A3" w:rsidP="00AC23A3">
      <w:pPr>
        <w:pStyle w:val="naisf"/>
        <w:spacing w:before="0" w:after="0"/>
        <w:ind w:firstLine="0"/>
      </w:pPr>
      <w:r w:rsidRPr="00992E81">
        <w:t>Būvniecības politikas departamenta direktores vietnieks</w:t>
      </w:r>
    </w:p>
    <w:p w:rsidR="00AC23A3" w:rsidRPr="00992E81" w:rsidRDefault="00AC23A3" w:rsidP="00AC23A3">
      <w:pPr>
        <w:pStyle w:val="naisf"/>
        <w:spacing w:before="0" w:after="0"/>
        <w:ind w:firstLine="0"/>
      </w:pPr>
      <w:r w:rsidRPr="00992E81">
        <w:t>Tālr. 67013035,</w:t>
      </w:r>
    </w:p>
    <w:p w:rsidR="00AC23A3" w:rsidRPr="00992E81" w:rsidRDefault="00AC23A3" w:rsidP="00AC23A3">
      <w:pPr>
        <w:pStyle w:val="naisf"/>
        <w:spacing w:before="0" w:after="0"/>
        <w:ind w:firstLine="0"/>
        <w:rPr>
          <w:rStyle w:val="Hyperlink"/>
        </w:rPr>
      </w:pPr>
      <w:r w:rsidRPr="00992E81">
        <w:t xml:space="preserve">e-pasts: </w:t>
      </w:r>
      <w:hyperlink r:id="rId7" w:history="1">
        <w:r w:rsidRPr="00D652DE">
          <w:rPr>
            <w:rStyle w:val="Hyperlink"/>
          </w:rPr>
          <w:t>Andris.Lazarevs@em.gov.lv</w:t>
        </w:r>
      </w:hyperlink>
    </w:p>
    <w:p w:rsidR="00AC23A3" w:rsidRPr="00992E81" w:rsidRDefault="00AC23A3" w:rsidP="00AC23A3">
      <w:pPr>
        <w:pStyle w:val="naisf"/>
        <w:tabs>
          <w:tab w:val="left" w:pos="0"/>
        </w:tabs>
        <w:spacing w:before="0" w:after="0"/>
        <w:ind w:right="57" w:firstLine="0"/>
      </w:pPr>
    </w:p>
    <w:p w:rsidR="00AC23A3" w:rsidRPr="00992E81" w:rsidRDefault="00AC23A3" w:rsidP="00AC23A3">
      <w:pPr>
        <w:rPr>
          <w:sz w:val="20"/>
          <w:szCs w:val="20"/>
        </w:rPr>
      </w:pPr>
      <w:r>
        <w:rPr>
          <w:sz w:val="20"/>
          <w:szCs w:val="20"/>
        </w:rPr>
        <w:t>1</w:t>
      </w:r>
      <w:r w:rsidR="00F17C13">
        <w:rPr>
          <w:sz w:val="20"/>
          <w:szCs w:val="20"/>
        </w:rPr>
        <w:t>9</w:t>
      </w:r>
      <w:r>
        <w:rPr>
          <w:sz w:val="20"/>
          <w:szCs w:val="20"/>
        </w:rPr>
        <w:t>.0</w:t>
      </w:r>
      <w:r w:rsidR="00F17C13">
        <w:rPr>
          <w:sz w:val="20"/>
          <w:szCs w:val="20"/>
        </w:rPr>
        <w:t>2</w:t>
      </w:r>
      <w:r>
        <w:rPr>
          <w:sz w:val="20"/>
          <w:szCs w:val="20"/>
        </w:rPr>
        <w:t>.2021.</w:t>
      </w:r>
    </w:p>
    <w:bookmarkStart w:id="6" w:name="OLE_LINK3"/>
    <w:bookmarkStart w:id="7" w:name="OLE_LINK4"/>
    <w:p w:rsidR="00AC23A3" w:rsidRPr="00992E81" w:rsidRDefault="00AC23A3" w:rsidP="00AC23A3">
      <w:pPr>
        <w:tabs>
          <w:tab w:val="left" w:pos="4994"/>
        </w:tabs>
        <w:rPr>
          <w:sz w:val="20"/>
          <w:szCs w:val="20"/>
        </w:rPr>
      </w:pPr>
      <w:r w:rsidRPr="00992E81">
        <w:rPr>
          <w:sz w:val="20"/>
          <w:szCs w:val="20"/>
        </w:rPr>
        <w:fldChar w:fldCharType="begin"/>
      </w:r>
      <w:r w:rsidRPr="00992E81">
        <w:rPr>
          <w:sz w:val="20"/>
          <w:szCs w:val="20"/>
        </w:rPr>
        <w:instrText xml:space="preserve"> NUMWORDS   \* MERGEFORMAT </w:instrText>
      </w:r>
      <w:r w:rsidRPr="00992E81">
        <w:rPr>
          <w:sz w:val="20"/>
          <w:szCs w:val="20"/>
        </w:rPr>
        <w:fldChar w:fldCharType="separate"/>
      </w:r>
      <w:r w:rsidR="00F17C13">
        <w:rPr>
          <w:noProof/>
          <w:sz w:val="20"/>
          <w:szCs w:val="20"/>
        </w:rPr>
        <w:t>1557</w:t>
      </w:r>
      <w:r w:rsidRPr="00992E81">
        <w:rPr>
          <w:sz w:val="20"/>
          <w:szCs w:val="20"/>
        </w:rPr>
        <w:fldChar w:fldCharType="end"/>
      </w:r>
      <w:r>
        <w:rPr>
          <w:sz w:val="20"/>
          <w:szCs w:val="20"/>
        </w:rPr>
        <w:tab/>
      </w:r>
    </w:p>
    <w:p w:rsidR="00AC23A3" w:rsidRPr="00992E81" w:rsidRDefault="00AC23A3" w:rsidP="00AC23A3">
      <w:pPr>
        <w:rPr>
          <w:sz w:val="20"/>
          <w:szCs w:val="20"/>
        </w:rPr>
      </w:pPr>
      <w:r w:rsidRPr="00992E81">
        <w:rPr>
          <w:sz w:val="20"/>
          <w:szCs w:val="20"/>
        </w:rPr>
        <w:t>Bučinska, 67013032</w:t>
      </w:r>
    </w:p>
    <w:bookmarkEnd w:id="6"/>
    <w:bookmarkEnd w:id="7"/>
    <w:p w:rsidR="00AC23A3" w:rsidRDefault="00AC23A3" w:rsidP="00AC23A3">
      <w:r w:rsidRPr="00992E81">
        <w:rPr>
          <w:sz w:val="20"/>
          <w:szCs w:val="20"/>
        </w:rPr>
        <w:fldChar w:fldCharType="begin"/>
      </w:r>
      <w:r w:rsidRPr="00992E81">
        <w:rPr>
          <w:sz w:val="20"/>
          <w:szCs w:val="20"/>
        </w:rPr>
        <w:instrText xml:space="preserve"> HYPERLINK "mailto:Elga.Bucinska@em.gov.lv" </w:instrText>
      </w:r>
      <w:r w:rsidRPr="00992E81">
        <w:rPr>
          <w:sz w:val="20"/>
          <w:szCs w:val="20"/>
        </w:rPr>
        <w:fldChar w:fldCharType="separate"/>
      </w:r>
      <w:r w:rsidRPr="00992E81">
        <w:rPr>
          <w:rStyle w:val="Hyperlink"/>
          <w:sz w:val="20"/>
          <w:szCs w:val="20"/>
        </w:rPr>
        <w:t>Elga.Bucinska@em.gov.lv</w:t>
      </w:r>
      <w:r w:rsidRPr="00992E81">
        <w:rPr>
          <w:sz w:val="20"/>
          <w:szCs w:val="20"/>
        </w:rPr>
        <w:fldChar w:fldCharType="end"/>
      </w:r>
      <w:r w:rsidRPr="00992E81">
        <w:rPr>
          <w:sz w:val="20"/>
          <w:szCs w:val="20"/>
        </w:rPr>
        <w:t xml:space="preserve"> </w:t>
      </w:r>
    </w:p>
    <w:p w:rsidR="00957B6F" w:rsidRDefault="00957B6F"/>
    <w:sectPr w:rsidR="00957B6F" w:rsidSect="00916694">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EE" w:rsidRDefault="00AA1CEE" w:rsidP="0023691D">
      <w:r>
        <w:separator/>
      </w:r>
    </w:p>
  </w:endnote>
  <w:endnote w:type="continuationSeparator" w:id="0">
    <w:p w:rsidR="00AA1CEE" w:rsidRDefault="00AA1CEE" w:rsidP="0023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1D" w:rsidRDefault="00236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BD" w:rsidRPr="006B55BD" w:rsidRDefault="004973D3" w:rsidP="006B55BD">
    <w:pPr>
      <w:jc w:val="both"/>
      <w:rPr>
        <w:sz w:val="20"/>
        <w:szCs w:val="20"/>
      </w:rPr>
    </w:pPr>
    <w:r w:rsidRPr="006B55BD">
      <w:rPr>
        <w:noProof/>
        <w:sz w:val="20"/>
        <w:szCs w:val="20"/>
      </w:rPr>
      <w:fldChar w:fldCharType="begin"/>
    </w:r>
    <w:r w:rsidRPr="006B55BD">
      <w:rPr>
        <w:noProof/>
        <w:sz w:val="20"/>
        <w:szCs w:val="20"/>
      </w:rPr>
      <w:instrText xml:space="preserve"> FILENAME   \* MERGEFORMAT </w:instrText>
    </w:r>
    <w:r w:rsidRPr="006B55BD">
      <w:rPr>
        <w:noProof/>
        <w:sz w:val="20"/>
        <w:szCs w:val="20"/>
      </w:rPr>
      <w:fldChar w:fldCharType="separate"/>
    </w:r>
    <w:r w:rsidR="0023691D">
      <w:rPr>
        <w:noProof/>
        <w:sz w:val="20"/>
        <w:szCs w:val="20"/>
      </w:rPr>
      <w:t>EMizz_190221_groz480_Nodevas.docx</w:t>
    </w:r>
    <w:r w:rsidRPr="006B55BD">
      <w:rPr>
        <w:noProof/>
        <w:sz w:val="20"/>
        <w:szCs w:val="20"/>
      </w:rPr>
      <w:fldChar w:fldCharType="end"/>
    </w:r>
    <w:r w:rsidRPr="006B55BD">
      <w:rPr>
        <w:noProof/>
        <w:sz w:val="20"/>
        <w:szCs w:val="20"/>
      </w:rPr>
      <w:t xml:space="preserve">; </w:t>
    </w:r>
    <w:r w:rsidRPr="006B55BD">
      <w:rPr>
        <w:sz w:val="20"/>
        <w:szCs w:val="20"/>
      </w:rPr>
      <w:t>Izziņa par atzinumos sniegtajiem iebildumiem noteikumu projektam “Grozījums Ministru kabineta 2005.gada 28.jūnija noteikumos Nr.480 “Noteikumi par kārtību, kādā pašvaldības var uzlikt pašvaldības nodevas”” (VSS-970)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94" w:rsidRPr="006B55BD" w:rsidRDefault="004973D3" w:rsidP="00916694">
    <w:pPr>
      <w:jc w:val="both"/>
      <w:rPr>
        <w:sz w:val="20"/>
        <w:szCs w:val="20"/>
      </w:rPr>
    </w:pPr>
    <w:r w:rsidRPr="006B55BD">
      <w:rPr>
        <w:noProof/>
        <w:sz w:val="20"/>
        <w:szCs w:val="20"/>
      </w:rPr>
      <w:fldChar w:fldCharType="begin"/>
    </w:r>
    <w:r w:rsidRPr="006B55BD">
      <w:rPr>
        <w:noProof/>
        <w:sz w:val="20"/>
        <w:szCs w:val="20"/>
      </w:rPr>
      <w:instrText xml:space="preserve"> FILENAME   \* MERGEFORMAT </w:instrText>
    </w:r>
    <w:r w:rsidRPr="006B55BD">
      <w:rPr>
        <w:noProof/>
        <w:sz w:val="20"/>
        <w:szCs w:val="20"/>
      </w:rPr>
      <w:fldChar w:fldCharType="separate"/>
    </w:r>
    <w:r w:rsidR="0023691D">
      <w:rPr>
        <w:noProof/>
        <w:sz w:val="20"/>
        <w:szCs w:val="20"/>
      </w:rPr>
      <w:t>EMizz_190221_groz480_Nodevas.docx</w:t>
    </w:r>
    <w:r w:rsidRPr="006B55BD">
      <w:rPr>
        <w:noProof/>
        <w:sz w:val="20"/>
        <w:szCs w:val="20"/>
      </w:rPr>
      <w:fldChar w:fldCharType="end"/>
    </w:r>
    <w:r w:rsidRPr="006B55BD">
      <w:rPr>
        <w:noProof/>
        <w:sz w:val="20"/>
        <w:szCs w:val="20"/>
      </w:rPr>
      <w:t xml:space="preserve">; </w:t>
    </w:r>
    <w:r w:rsidRPr="006B55BD">
      <w:rPr>
        <w:sz w:val="20"/>
        <w:szCs w:val="20"/>
      </w:rPr>
      <w:t xml:space="preserve">Izziņa par atzinumos sniegtajiem iebildumiem </w:t>
    </w:r>
    <w:bookmarkStart w:id="8" w:name="_Hlk15917822"/>
    <w:r w:rsidRPr="006B55BD">
      <w:rPr>
        <w:sz w:val="20"/>
        <w:szCs w:val="20"/>
      </w:rPr>
      <w:t xml:space="preserve">noteikumu projektam “Grozījums Ministru kabineta 2005.gada 28.jūnija noteikumos Nr.480 “Noteikumi par kārtību, kādā pašvaldības var uzlikt pašvaldības nodevas”” </w:t>
    </w:r>
    <w:bookmarkEnd w:id="8"/>
    <w:r w:rsidRPr="006B55BD">
      <w:rPr>
        <w:sz w:val="20"/>
        <w:szCs w:val="20"/>
      </w:rPr>
      <w:t>(VSS-970)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EE" w:rsidRDefault="00AA1CEE" w:rsidP="0023691D">
      <w:r>
        <w:separator/>
      </w:r>
    </w:p>
  </w:footnote>
  <w:footnote w:type="continuationSeparator" w:id="0">
    <w:p w:rsidR="00AA1CEE" w:rsidRDefault="00AA1CEE" w:rsidP="0023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1D" w:rsidRDefault="0023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86495"/>
      <w:docPartObj>
        <w:docPartGallery w:val="Page Numbers (Top of Page)"/>
        <w:docPartUnique/>
      </w:docPartObj>
    </w:sdtPr>
    <w:sdtEndPr>
      <w:rPr>
        <w:noProof/>
      </w:rPr>
    </w:sdtEndPr>
    <w:sdtContent>
      <w:p w:rsidR="00916694" w:rsidRDefault="004973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16694" w:rsidRDefault="00AA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1D" w:rsidRDefault="0023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A3"/>
    <w:rsid w:val="0023691D"/>
    <w:rsid w:val="004973D3"/>
    <w:rsid w:val="00957B6F"/>
    <w:rsid w:val="00AA1CEE"/>
    <w:rsid w:val="00AC23A3"/>
    <w:rsid w:val="00E3132C"/>
    <w:rsid w:val="00F17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6E47"/>
  <w15:chartTrackingRefBased/>
  <w15:docId w15:val="{BB527DBF-30DD-486A-BF3C-974AC09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A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23A3"/>
    <w:pPr>
      <w:spacing w:before="100" w:beforeAutospacing="1" w:after="100" w:afterAutospacing="1"/>
    </w:pPr>
  </w:style>
  <w:style w:type="paragraph" w:customStyle="1" w:styleId="naisf">
    <w:name w:val="naisf"/>
    <w:basedOn w:val="Normal"/>
    <w:rsid w:val="00AC23A3"/>
    <w:pPr>
      <w:spacing w:before="75" w:after="75"/>
      <w:ind w:firstLine="375"/>
      <w:jc w:val="both"/>
    </w:pPr>
  </w:style>
  <w:style w:type="paragraph" w:customStyle="1" w:styleId="naisnod">
    <w:name w:val="naisnod"/>
    <w:basedOn w:val="Normal"/>
    <w:uiPriority w:val="99"/>
    <w:rsid w:val="00AC23A3"/>
    <w:pPr>
      <w:spacing w:before="150" w:after="150"/>
      <w:jc w:val="center"/>
    </w:pPr>
    <w:rPr>
      <w:b/>
      <w:bCs/>
    </w:rPr>
  </w:style>
  <w:style w:type="paragraph" w:customStyle="1" w:styleId="naiskr">
    <w:name w:val="naiskr"/>
    <w:basedOn w:val="Normal"/>
    <w:rsid w:val="00AC23A3"/>
    <w:pPr>
      <w:spacing w:before="75" w:after="75"/>
    </w:pPr>
  </w:style>
  <w:style w:type="paragraph" w:customStyle="1" w:styleId="naisc">
    <w:name w:val="naisc"/>
    <w:basedOn w:val="Normal"/>
    <w:rsid w:val="00AC23A3"/>
    <w:pPr>
      <w:spacing w:before="75" w:after="75"/>
      <w:jc w:val="center"/>
    </w:pPr>
  </w:style>
  <w:style w:type="paragraph" w:styleId="Header">
    <w:name w:val="header"/>
    <w:basedOn w:val="Normal"/>
    <w:link w:val="HeaderChar"/>
    <w:uiPriority w:val="99"/>
    <w:unhideWhenUsed/>
    <w:rsid w:val="00AC23A3"/>
    <w:pPr>
      <w:tabs>
        <w:tab w:val="center" w:pos="4153"/>
        <w:tab w:val="right" w:pos="8306"/>
      </w:tabs>
    </w:pPr>
  </w:style>
  <w:style w:type="character" w:customStyle="1" w:styleId="HeaderChar">
    <w:name w:val="Header Char"/>
    <w:basedOn w:val="DefaultParagraphFont"/>
    <w:link w:val="Header"/>
    <w:uiPriority w:val="99"/>
    <w:rsid w:val="00AC23A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C23A3"/>
    <w:rPr>
      <w:color w:val="0563C1" w:themeColor="hyperlink"/>
      <w:u w:val="single"/>
    </w:rPr>
  </w:style>
  <w:style w:type="paragraph" w:customStyle="1" w:styleId="tv213">
    <w:name w:val="tv213"/>
    <w:basedOn w:val="Normal"/>
    <w:uiPriority w:val="99"/>
    <w:rsid w:val="00AC23A3"/>
    <w:pPr>
      <w:spacing w:before="100" w:beforeAutospacing="1" w:after="100" w:afterAutospacing="1"/>
    </w:pPr>
  </w:style>
  <w:style w:type="paragraph" w:styleId="CommentText">
    <w:name w:val="annotation text"/>
    <w:basedOn w:val="Normal"/>
    <w:link w:val="CommentTextChar"/>
    <w:semiHidden/>
    <w:unhideWhenUsed/>
    <w:rsid w:val="00AC23A3"/>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AC23A3"/>
    <w:rPr>
      <w:rFonts w:ascii="Calibri" w:eastAsia="Calibri" w:hAnsi="Calibri" w:cs="Times New Roman"/>
      <w:sz w:val="20"/>
      <w:szCs w:val="20"/>
    </w:rPr>
  </w:style>
  <w:style w:type="paragraph" w:styleId="Footer">
    <w:name w:val="footer"/>
    <w:basedOn w:val="Normal"/>
    <w:link w:val="FooterChar"/>
    <w:uiPriority w:val="99"/>
    <w:unhideWhenUsed/>
    <w:rsid w:val="0023691D"/>
    <w:pPr>
      <w:tabs>
        <w:tab w:val="center" w:pos="4153"/>
        <w:tab w:val="right" w:pos="8306"/>
      </w:tabs>
    </w:pPr>
  </w:style>
  <w:style w:type="character" w:customStyle="1" w:styleId="FooterChar">
    <w:name w:val="Footer Char"/>
    <w:basedOn w:val="DefaultParagraphFont"/>
    <w:link w:val="Footer"/>
    <w:uiPriority w:val="99"/>
    <w:rsid w:val="002369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1588</Words>
  <Characters>11521</Characters>
  <Application>Microsoft Office Word</Application>
  <DocSecurity>0</DocSecurity>
  <Lines>548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2021-02-16T14:27:00Z</dcterms:created>
  <dcterms:modified xsi:type="dcterms:W3CDTF">2021-02-18T09:17:00Z</dcterms:modified>
</cp:coreProperties>
</file>