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D756" w14:textId="5453B6B0" w:rsidR="00543AA6" w:rsidRPr="00B37BCF" w:rsidRDefault="00393CF5" w:rsidP="00E660F2">
      <w:pPr>
        <w:spacing w:after="0" w:line="240" w:lineRule="auto"/>
        <w:ind w:firstLine="301"/>
        <w:jc w:val="center"/>
        <w:rPr>
          <w:rFonts w:ascii="Times New Roman" w:eastAsia="Times New Roman" w:hAnsi="Times New Roman" w:cs="Times New Roman"/>
          <w:b/>
          <w:bCs/>
          <w:sz w:val="28"/>
          <w:szCs w:val="28"/>
          <w:lang w:eastAsia="lv-LV"/>
        </w:rPr>
      </w:pPr>
      <w:r w:rsidRPr="005851C0">
        <w:rPr>
          <w:rFonts w:ascii="Times New Roman" w:eastAsia="Times New Roman" w:hAnsi="Times New Roman" w:cs="Times New Roman"/>
          <w:b/>
          <w:bCs/>
          <w:sz w:val="24"/>
          <w:szCs w:val="24"/>
          <w:lang w:eastAsia="lv-LV"/>
        </w:rPr>
        <w:t xml:space="preserve"> </w:t>
      </w:r>
      <w:r w:rsidR="00E41115" w:rsidRPr="00B37BCF">
        <w:rPr>
          <w:rFonts w:ascii="Times New Roman" w:eastAsia="Times New Roman" w:hAnsi="Times New Roman" w:cs="Times New Roman"/>
          <w:b/>
          <w:bCs/>
          <w:sz w:val="28"/>
          <w:szCs w:val="28"/>
          <w:lang w:eastAsia="lv-LV"/>
        </w:rPr>
        <w:t xml:space="preserve">Likumprojekta </w:t>
      </w:r>
      <w:r w:rsidR="00D6069A" w:rsidRPr="00B37BCF">
        <w:rPr>
          <w:rFonts w:ascii="Times New Roman" w:eastAsia="Times New Roman" w:hAnsi="Times New Roman" w:cs="Times New Roman"/>
          <w:b/>
          <w:bCs/>
          <w:sz w:val="28"/>
          <w:szCs w:val="28"/>
          <w:lang w:eastAsia="lv-LV"/>
        </w:rPr>
        <w:t>“</w:t>
      </w:r>
      <w:r w:rsidR="00E41115" w:rsidRPr="00B37BCF">
        <w:rPr>
          <w:rFonts w:ascii="Times New Roman" w:eastAsia="Times New Roman" w:hAnsi="Times New Roman" w:cs="Times New Roman"/>
          <w:b/>
          <w:bCs/>
          <w:sz w:val="28"/>
          <w:szCs w:val="28"/>
          <w:lang w:eastAsia="lv-LV"/>
        </w:rPr>
        <w:t xml:space="preserve">Grozījumi likumā </w:t>
      </w:r>
      <w:r w:rsidR="00D6069A" w:rsidRPr="00B37BCF">
        <w:rPr>
          <w:rFonts w:ascii="Times New Roman" w:eastAsia="Times New Roman" w:hAnsi="Times New Roman" w:cs="Times New Roman"/>
          <w:b/>
          <w:bCs/>
          <w:sz w:val="28"/>
          <w:szCs w:val="28"/>
          <w:lang w:eastAsia="lv-LV"/>
        </w:rPr>
        <w:t>“</w:t>
      </w:r>
      <w:r w:rsidR="00E41115" w:rsidRPr="00B37BCF">
        <w:rPr>
          <w:rFonts w:ascii="Times New Roman" w:eastAsia="Times New Roman" w:hAnsi="Times New Roman" w:cs="Times New Roman"/>
          <w:b/>
          <w:bCs/>
          <w:sz w:val="28"/>
          <w:szCs w:val="28"/>
          <w:lang w:eastAsia="lv-LV"/>
        </w:rPr>
        <w:t>Par akcīzes nodokli””</w:t>
      </w:r>
      <w:r w:rsidR="00543AA6" w:rsidRPr="00B37BCF">
        <w:rPr>
          <w:rFonts w:ascii="Times New Roman" w:eastAsia="Times New Roman" w:hAnsi="Times New Roman" w:cs="Times New Roman"/>
          <w:b/>
          <w:bCs/>
          <w:sz w:val="28"/>
          <w:szCs w:val="28"/>
          <w:lang w:eastAsia="lv-LV"/>
        </w:rPr>
        <w:t xml:space="preserve"> sākotnējās ietekmes novērtējuma ziņojums</w:t>
      </w:r>
      <w:r w:rsidR="00B37BCF" w:rsidRPr="00B37BCF">
        <w:rPr>
          <w:rFonts w:ascii="Times New Roman" w:eastAsia="Times New Roman" w:hAnsi="Times New Roman" w:cs="Times New Roman"/>
          <w:b/>
          <w:bCs/>
          <w:sz w:val="28"/>
          <w:szCs w:val="28"/>
          <w:lang w:eastAsia="lv-LV"/>
        </w:rPr>
        <w:t xml:space="preserve"> </w:t>
      </w:r>
      <w:r w:rsidR="00543AA6" w:rsidRPr="00B37BCF">
        <w:rPr>
          <w:rFonts w:ascii="Times New Roman" w:eastAsia="Times New Roman" w:hAnsi="Times New Roman" w:cs="Times New Roman"/>
          <w:b/>
          <w:bCs/>
          <w:sz w:val="28"/>
          <w:szCs w:val="28"/>
          <w:lang w:eastAsia="lv-LV"/>
        </w:rPr>
        <w:t>(anotācija)</w:t>
      </w:r>
    </w:p>
    <w:p w14:paraId="3D87C75F" w14:textId="77777777" w:rsidR="00E660F2" w:rsidRPr="00251FEF" w:rsidRDefault="00E660F2" w:rsidP="00E660F2">
      <w:pPr>
        <w:spacing w:after="0" w:line="240" w:lineRule="auto"/>
        <w:ind w:firstLine="301"/>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37"/>
        <w:gridCol w:w="5564"/>
      </w:tblGrid>
      <w:tr w:rsidR="00543AA6" w:rsidRPr="00235AD3" w14:paraId="015978C0" w14:textId="77777777" w:rsidTr="0058711A">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CF86C25" w14:textId="77777777" w:rsidR="00543AA6" w:rsidRPr="00235AD3"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35AD3">
              <w:rPr>
                <w:rFonts w:ascii="Times New Roman" w:eastAsia="Times New Roman" w:hAnsi="Times New Roman" w:cs="Times New Roman"/>
                <w:b/>
                <w:bCs/>
                <w:sz w:val="24"/>
                <w:szCs w:val="24"/>
                <w:lang w:eastAsia="lv-LV"/>
              </w:rPr>
              <w:t>Tiesību akta projekta anotācijas kopsavilkums</w:t>
            </w:r>
          </w:p>
        </w:tc>
      </w:tr>
      <w:tr w:rsidR="0058711A" w:rsidRPr="00235AD3" w14:paraId="7A524EC3" w14:textId="77777777" w:rsidTr="002A4683">
        <w:tc>
          <w:tcPr>
            <w:tcW w:w="1943" w:type="pct"/>
            <w:tcBorders>
              <w:top w:val="outset" w:sz="6" w:space="0" w:color="414142"/>
              <w:left w:val="outset" w:sz="6" w:space="0" w:color="414142"/>
              <w:bottom w:val="outset" w:sz="6" w:space="0" w:color="414142"/>
              <w:right w:val="outset" w:sz="6" w:space="0" w:color="414142"/>
            </w:tcBorders>
            <w:hideMark/>
          </w:tcPr>
          <w:p w14:paraId="6079FECB" w14:textId="77777777" w:rsidR="0058711A" w:rsidRPr="00235AD3" w:rsidRDefault="0058711A" w:rsidP="0069728C">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Mērķis, risinājums un projekta spēkā stāšanās laiks (500 zīmes bez atstarpēm)</w:t>
            </w:r>
          </w:p>
        </w:tc>
        <w:tc>
          <w:tcPr>
            <w:tcW w:w="3057" w:type="pct"/>
            <w:tcBorders>
              <w:top w:val="outset" w:sz="6" w:space="0" w:color="414142"/>
              <w:left w:val="outset" w:sz="6" w:space="0" w:color="414142"/>
              <w:bottom w:val="outset" w:sz="6" w:space="0" w:color="414142"/>
              <w:right w:val="outset" w:sz="6" w:space="0" w:color="414142"/>
            </w:tcBorders>
            <w:hideMark/>
          </w:tcPr>
          <w:p w14:paraId="43308F8F" w14:textId="77777777" w:rsidR="00302376" w:rsidRPr="00235AD3" w:rsidRDefault="00302376" w:rsidP="00302376">
            <w:pPr>
              <w:spacing w:after="0" w:line="240" w:lineRule="auto"/>
              <w:ind w:firstLine="400"/>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Likumprojekts </w:t>
            </w:r>
            <w:r w:rsidRPr="00235AD3">
              <w:rPr>
                <w:rFonts w:ascii="Times New Roman" w:eastAsia="Times New Roman" w:hAnsi="Times New Roman" w:cs="Times New Roman"/>
                <w:bCs/>
                <w:sz w:val="24"/>
                <w:szCs w:val="24"/>
                <w:lang w:eastAsia="lv-LV"/>
              </w:rPr>
              <w:t xml:space="preserve">“Grozījumi likumā </w:t>
            </w:r>
            <w:r w:rsidR="00D6069A" w:rsidRPr="00235AD3">
              <w:rPr>
                <w:rFonts w:ascii="Times New Roman" w:eastAsia="Times New Roman" w:hAnsi="Times New Roman" w:cs="Times New Roman"/>
                <w:bCs/>
                <w:sz w:val="24"/>
                <w:szCs w:val="24"/>
                <w:lang w:eastAsia="lv-LV"/>
              </w:rPr>
              <w:t>“</w:t>
            </w:r>
            <w:r w:rsidRPr="00235AD3">
              <w:rPr>
                <w:rFonts w:ascii="Times New Roman" w:eastAsia="Times New Roman" w:hAnsi="Times New Roman" w:cs="Times New Roman"/>
                <w:bCs/>
                <w:sz w:val="24"/>
                <w:szCs w:val="24"/>
                <w:lang w:eastAsia="lv-LV"/>
              </w:rPr>
              <w:t>Par akcīzes nodokli”” (turpmāk – likumprojekts) paredz</w:t>
            </w:r>
            <w:r w:rsidRPr="00235AD3">
              <w:rPr>
                <w:rFonts w:ascii="Times New Roman" w:eastAsia="Times New Roman" w:hAnsi="Times New Roman" w:cs="Times New Roman"/>
                <w:sz w:val="24"/>
                <w:szCs w:val="24"/>
                <w:lang w:eastAsia="lv-LV"/>
              </w:rPr>
              <w:t xml:space="preserve"> veikt grozījumus likumā “Par akcīzes nodokli” (turpmāk – likums)</w:t>
            </w:r>
            <w:r w:rsidR="00EF4764" w:rsidRPr="00235AD3">
              <w:rPr>
                <w:rFonts w:ascii="Times New Roman" w:eastAsia="Times New Roman" w:hAnsi="Times New Roman" w:cs="Times New Roman"/>
                <w:sz w:val="24"/>
                <w:szCs w:val="24"/>
                <w:lang w:eastAsia="lv-LV"/>
              </w:rPr>
              <w:t xml:space="preserve"> ar mērķi</w:t>
            </w:r>
            <w:r w:rsidRPr="00235AD3">
              <w:rPr>
                <w:rFonts w:ascii="Times New Roman" w:eastAsia="Times New Roman" w:hAnsi="Times New Roman" w:cs="Times New Roman"/>
                <w:sz w:val="24"/>
                <w:szCs w:val="24"/>
                <w:lang w:eastAsia="lv-LV"/>
              </w:rPr>
              <w:t>:</w:t>
            </w:r>
          </w:p>
          <w:p w14:paraId="39002FC6" w14:textId="77777777" w:rsidR="00302376" w:rsidRPr="00235AD3" w:rsidRDefault="00302376" w:rsidP="00342915">
            <w:pPr>
              <w:spacing w:after="0" w:line="240" w:lineRule="auto"/>
              <w:ind w:firstLine="400"/>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pārskatīt un pilnveidot atsevišķu</w:t>
            </w:r>
            <w:r w:rsidR="0090451F" w:rsidRPr="00235AD3">
              <w:rPr>
                <w:rFonts w:ascii="Times New Roman" w:eastAsia="Times New Roman" w:hAnsi="Times New Roman" w:cs="Times New Roman"/>
                <w:sz w:val="24"/>
                <w:szCs w:val="24"/>
                <w:lang w:eastAsia="lv-LV"/>
              </w:rPr>
              <w:t>s</w:t>
            </w:r>
            <w:r w:rsidRPr="00235AD3">
              <w:rPr>
                <w:rFonts w:ascii="Times New Roman" w:eastAsia="Times New Roman" w:hAnsi="Times New Roman" w:cs="Times New Roman"/>
                <w:sz w:val="24"/>
                <w:szCs w:val="24"/>
                <w:lang w:eastAsia="lv-LV"/>
              </w:rPr>
              <w:t xml:space="preserve"> akcīzes preču aprites nosacījumus;</w:t>
            </w:r>
          </w:p>
          <w:p w14:paraId="57359C11" w14:textId="222556CE" w:rsidR="00302376" w:rsidRPr="00235AD3" w:rsidRDefault="00302376" w:rsidP="00302376">
            <w:pPr>
              <w:spacing w:after="0" w:line="240" w:lineRule="auto"/>
              <w:ind w:firstLine="400"/>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nodrošināt akcīzes nodokļa atbrīvojuma piemērošanā vienādu pieeju neharmonizētajām akcīzes precēm</w:t>
            </w:r>
            <w:r w:rsidR="00287DBB" w:rsidRPr="00235AD3">
              <w:rPr>
                <w:rFonts w:ascii="Times New Roman" w:eastAsia="Times New Roman" w:hAnsi="Times New Roman" w:cs="Times New Roman"/>
                <w:sz w:val="24"/>
                <w:szCs w:val="24"/>
                <w:lang w:eastAsia="lv-LV"/>
              </w:rPr>
              <w:t xml:space="preserve"> </w:t>
            </w:r>
            <w:r w:rsidR="00C14822" w:rsidRPr="00235AD3">
              <w:rPr>
                <w:rFonts w:ascii="Times New Roman" w:eastAsia="Times New Roman" w:hAnsi="Times New Roman" w:cs="Times New Roman"/>
                <w:sz w:val="24"/>
                <w:szCs w:val="24"/>
                <w:lang w:eastAsia="lv-LV"/>
              </w:rPr>
              <w:t>un no konkurences aspekta - aizstājējproduktiem</w:t>
            </w:r>
            <w:r w:rsidRPr="00235AD3">
              <w:rPr>
                <w:rFonts w:ascii="Times New Roman" w:eastAsia="Times New Roman" w:hAnsi="Times New Roman" w:cs="Times New Roman"/>
                <w:sz w:val="24"/>
                <w:szCs w:val="24"/>
                <w:lang w:eastAsia="lv-LV"/>
              </w:rPr>
              <w:t>;</w:t>
            </w:r>
          </w:p>
          <w:p w14:paraId="3EB1098C" w14:textId="6A6F4908" w:rsidR="00302376" w:rsidRPr="00235AD3" w:rsidRDefault="008A209D" w:rsidP="00302376">
            <w:pPr>
              <w:spacing w:after="0" w:line="240" w:lineRule="auto"/>
              <w:ind w:firstLine="400"/>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 </w:t>
            </w:r>
            <w:r w:rsidR="007664D9" w:rsidRPr="00235AD3">
              <w:rPr>
                <w:rFonts w:ascii="Times New Roman" w:eastAsia="Times New Roman" w:hAnsi="Times New Roman" w:cs="Times New Roman"/>
                <w:sz w:val="24"/>
                <w:szCs w:val="24"/>
                <w:lang w:eastAsia="lv-LV"/>
              </w:rPr>
              <w:t xml:space="preserve">mazināt administratīvo un finansiālo slogu </w:t>
            </w:r>
            <w:r w:rsidR="00E41EB9" w:rsidRPr="00235AD3">
              <w:rPr>
                <w:rFonts w:ascii="Times New Roman" w:eastAsia="Times New Roman" w:hAnsi="Times New Roman" w:cs="Times New Roman"/>
                <w:sz w:val="24"/>
                <w:szCs w:val="24"/>
                <w:lang w:eastAsia="lv-LV"/>
              </w:rPr>
              <w:t>uzņēmumiem</w:t>
            </w:r>
            <w:r w:rsidR="00302376" w:rsidRPr="00235AD3">
              <w:rPr>
                <w:rFonts w:ascii="Times New Roman" w:eastAsia="Times New Roman" w:hAnsi="Times New Roman" w:cs="Times New Roman"/>
                <w:sz w:val="24"/>
                <w:szCs w:val="24"/>
                <w:lang w:eastAsia="lv-LV"/>
              </w:rPr>
              <w:t xml:space="preserve"> darbībām ar akcīzes nodokļa markām marķējamām akcīzes precēm.</w:t>
            </w:r>
          </w:p>
          <w:p w14:paraId="210FE85F" w14:textId="458E123F" w:rsidR="00BB079D" w:rsidRPr="00235AD3" w:rsidRDefault="00A5015E" w:rsidP="001506C5">
            <w:pPr>
              <w:spacing w:after="0" w:line="240" w:lineRule="auto"/>
              <w:ind w:firstLine="400"/>
              <w:jc w:val="both"/>
              <w:rPr>
                <w:rFonts w:ascii="Times New Roman" w:eastAsia="Times New Roman" w:hAnsi="Times New Roman" w:cs="Times New Roman"/>
                <w:bCs/>
                <w:sz w:val="24"/>
                <w:szCs w:val="24"/>
                <w:lang w:eastAsia="lv-LV"/>
              </w:rPr>
            </w:pPr>
            <w:r w:rsidRPr="00235AD3">
              <w:rPr>
                <w:rFonts w:ascii="Times New Roman" w:hAnsi="Times New Roman" w:cs="Times New Roman"/>
                <w:sz w:val="24"/>
                <w:szCs w:val="24"/>
              </w:rPr>
              <w:t>Likums stājas spēkā 2021.</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gada 1.</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j</w:t>
            </w:r>
            <w:r w:rsidR="00C04A6B" w:rsidRPr="00235AD3">
              <w:rPr>
                <w:rFonts w:ascii="Times New Roman" w:hAnsi="Times New Roman" w:cs="Times New Roman"/>
                <w:sz w:val="24"/>
                <w:szCs w:val="24"/>
              </w:rPr>
              <w:t>ūlijā</w:t>
            </w:r>
            <w:r w:rsidRPr="00235AD3">
              <w:rPr>
                <w:rFonts w:ascii="Times New Roman" w:hAnsi="Times New Roman" w:cs="Times New Roman"/>
                <w:sz w:val="24"/>
                <w:szCs w:val="24"/>
              </w:rPr>
              <w:t>.</w:t>
            </w:r>
          </w:p>
        </w:tc>
      </w:tr>
    </w:tbl>
    <w:p w14:paraId="42A48F44" w14:textId="77777777" w:rsidR="0058711A" w:rsidRPr="00235AD3" w:rsidRDefault="0058711A" w:rsidP="00543AA6">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5"/>
        <w:gridCol w:w="2911"/>
        <w:gridCol w:w="5716"/>
      </w:tblGrid>
      <w:tr w:rsidR="00543AA6" w:rsidRPr="00235AD3" w14:paraId="61B1F8EC" w14:textId="77777777" w:rsidTr="00BC693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E190A6E" w14:textId="77777777" w:rsidR="00543AA6" w:rsidRPr="00235AD3"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35AD3">
              <w:rPr>
                <w:rFonts w:ascii="Times New Roman" w:eastAsia="Times New Roman" w:hAnsi="Times New Roman" w:cs="Times New Roman"/>
                <w:b/>
                <w:bCs/>
                <w:sz w:val="24"/>
                <w:szCs w:val="24"/>
                <w:lang w:eastAsia="lv-LV"/>
              </w:rPr>
              <w:t>I. Tiesību akta projekta izstrādes nepieciešamība</w:t>
            </w:r>
          </w:p>
        </w:tc>
      </w:tr>
      <w:tr w:rsidR="00543AA6" w:rsidRPr="00235AD3" w14:paraId="5D097535" w14:textId="77777777" w:rsidTr="00BC6935">
        <w:tc>
          <w:tcPr>
            <w:tcW w:w="338" w:type="pct"/>
            <w:tcBorders>
              <w:top w:val="outset" w:sz="6" w:space="0" w:color="414142"/>
              <w:left w:val="outset" w:sz="6" w:space="0" w:color="414142"/>
              <w:bottom w:val="outset" w:sz="6" w:space="0" w:color="414142"/>
              <w:right w:val="outset" w:sz="6" w:space="0" w:color="414142"/>
            </w:tcBorders>
            <w:hideMark/>
          </w:tcPr>
          <w:p w14:paraId="03A76335" w14:textId="77777777" w:rsidR="00543AA6" w:rsidRPr="00235AD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1.</w:t>
            </w:r>
          </w:p>
        </w:tc>
        <w:tc>
          <w:tcPr>
            <w:tcW w:w="1573" w:type="pct"/>
            <w:tcBorders>
              <w:top w:val="outset" w:sz="6" w:space="0" w:color="414142"/>
              <w:left w:val="outset" w:sz="6" w:space="0" w:color="414142"/>
              <w:bottom w:val="outset" w:sz="6" w:space="0" w:color="414142"/>
              <w:right w:val="outset" w:sz="6" w:space="0" w:color="414142"/>
            </w:tcBorders>
            <w:hideMark/>
          </w:tcPr>
          <w:p w14:paraId="4795AA31" w14:textId="77777777" w:rsidR="00174314" w:rsidRPr="00235AD3" w:rsidRDefault="00543AA6" w:rsidP="00FB308F">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Pamatojums</w:t>
            </w:r>
          </w:p>
          <w:p w14:paraId="53AEEDA5" w14:textId="77777777" w:rsidR="00174314" w:rsidRPr="00235AD3" w:rsidRDefault="00174314" w:rsidP="00174314">
            <w:pPr>
              <w:rPr>
                <w:rFonts w:ascii="Times New Roman" w:eastAsia="Times New Roman" w:hAnsi="Times New Roman" w:cs="Times New Roman"/>
                <w:sz w:val="24"/>
                <w:szCs w:val="24"/>
                <w:lang w:eastAsia="lv-LV"/>
              </w:rPr>
            </w:pPr>
          </w:p>
          <w:p w14:paraId="78DFB698" w14:textId="77777777" w:rsidR="00174314" w:rsidRPr="00235AD3" w:rsidRDefault="00174314" w:rsidP="00174314">
            <w:pPr>
              <w:rPr>
                <w:rFonts w:ascii="Times New Roman" w:eastAsia="Times New Roman" w:hAnsi="Times New Roman" w:cs="Times New Roman"/>
                <w:sz w:val="24"/>
                <w:szCs w:val="24"/>
                <w:lang w:eastAsia="lv-LV"/>
              </w:rPr>
            </w:pPr>
          </w:p>
          <w:p w14:paraId="396CD563" w14:textId="77777777" w:rsidR="00543AA6" w:rsidRPr="00235AD3" w:rsidRDefault="00543AA6" w:rsidP="00174314">
            <w:pPr>
              <w:ind w:firstLine="720"/>
              <w:rPr>
                <w:rFonts w:ascii="Times New Roman" w:eastAsia="Times New Roman" w:hAnsi="Times New Roman" w:cs="Times New Roman"/>
                <w:sz w:val="24"/>
                <w:szCs w:val="24"/>
                <w:lang w:eastAsia="lv-LV"/>
              </w:rPr>
            </w:pPr>
          </w:p>
        </w:tc>
        <w:tc>
          <w:tcPr>
            <w:tcW w:w="3088" w:type="pct"/>
            <w:tcBorders>
              <w:top w:val="outset" w:sz="6" w:space="0" w:color="414142"/>
              <w:left w:val="outset" w:sz="6" w:space="0" w:color="414142"/>
              <w:bottom w:val="outset" w:sz="6" w:space="0" w:color="414142"/>
              <w:right w:val="outset" w:sz="6" w:space="0" w:color="414142"/>
            </w:tcBorders>
            <w:hideMark/>
          </w:tcPr>
          <w:p w14:paraId="1F430DA9" w14:textId="113FFC74" w:rsidR="005A0779" w:rsidRPr="00235AD3" w:rsidRDefault="0094435A" w:rsidP="00A50548">
            <w:pPr>
              <w:spacing w:after="0" w:line="240" w:lineRule="auto"/>
              <w:ind w:firstLine="390"/>
              <w:jc w:val="both"/>
              <w:rPr>
                <w:rFonts w:ascii="Times New Roman" w:hAnsi="Times New Roman" w:cs="Times New Roman"/>
                <w:sz w:val="24"/>
                <w:szCs w:val="24"/>
              </w:rPr>
            </w:pPr>
            <w:r w:rsidRPr="00235AD3">
              <w:rPr>
                <w:rFonts w:ascii="Times New Roman" w:hAnsi="Times New Roman" w:cs="Times New Roman"/>
                <w:sz w:val="24"/>
                <w:szCs w:val="24"/>
              </w:rPr>
              <w:t>Ministru kabineta 2018.</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gada 18.</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decembra sēdes protokola Nr.</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 xml:space="preserve">60 </w:t>
            </w:r>
            <w:r w:rsidR="00C235A4" w:rsidRPr="00235AD3">
              <w:rPr>
                <w:rFonts w:ascii="Times New Roman" w:hAnsi="Times New Roman" w:cs="Times New Roman"/>
                <w:sz w:val="24"/>
                <w:szCs w:val="24"/>
              </w:rPr>
              <w:t xml:space="preserve">9.§ </w:t>
            </w:r>
            <w:r w:rsidRPr="00235AD3">
              <w:rPr>
                <w:rFonts w:ascii="Times New Roman" w:hAnsi="Times New Roman" w:cs="Times New Roman"/>
                <w:sz w:val="24"/>
                <w:szCs w:val="24"/>
              </w:rPr>
              <w:t>“Noteikumu projekts “Kārtība, kādā piešķirams patstāvīgas mazās alus darītavas statuss un piemērojama akcīzes nodokļa likme patstāvīgo mazo alus darītavu saražotajam alum”</w:t>
            </w:r>
            <w:r w:rsidR="00211D2D" w:rsidRPr="00235AD3">
              <w:rPr>
                <w:rFonts w:ascii="Times New Roman" w:hAnsi="Times New Roman" w:cs="Times New Roman"/>
                <w:sz w:val="24"/>
                <w:szCs w:val="24"/>
              </w:rPr>
              <w:t>” 2.</w:t>
            </w:r>
            <w:r w:rsidR="002E4F1C" w:rsidRPr="00235AD3">
              <w:rPr>
                <w:rFonts w:ascii="Times New Roman" w:hAnsi="Times New Roman" w:cs="Times New Roman"/>
                <w:sz w:val="24"/>
                <w:szCs w:val="24"/>
              </w:rPr>
              <w:t> punkts (turpmāk – MK protokola N</w:t>
            </w:r>
            <w:r w:rsidR="00211D2D" w:rsidRPr="00235AD3">
              <w:rPr>
                <w:rFonts w:ascii="Times New Roman" w:hAnsi="Times New Roman" w:cs="Times New Roman"/>
                <w:sz w:val="24"/>
                <w:szCs w:val="24"/>
              </w:rPr>
              <w:t>r.</w:t>
            </w:r>
            <w:r w:rsidR="002E4F1C" w:rsidRPr="00235AD3">
              <w:rPr>
                <w:rFonts w:ascii="Times New Roman" w:hAnsi="Times New Roman" w:cs="Times New Roman"/>
                <w:sz w:val="24"/>
                <w:szCs w:val="24"/>
              </w:rPr>
              <w:t> </w:t>
            </w:r>
            <w:r w:rsidR="00211D2D" w:rsidRPr="00235AD3">
              <w:rPr>
                <w:rFonts w:ascii="Times New Roman" w:hAnsi="Times New Roman" w:cs="Times New Roman"/>
                <w:sz w:val="24"/>
                <w:szCs w:val="24"/>
              </w:rPr>
              <w:t>60</w:t>
            </w:r>
            <w:r w:rsidR="00C235A4" w:rsidRPr="00235AD3">
              <w:rPr>
                <w:rFonts w:ascii="Times New Roman" w:hAnsi="Times New Roman" w:cs="Times New Roman"/>
                <w:sz w:val="24"/>
                <w:szCs w:val="24"/>
              </w:rPr>
              <w:t xml:space="preserve"> 9.§ </w:t>
            </w:r>
            <w:r w:rsidR="00211D2D" w:rsidRPr="00235AD3">
              <w:rPr>
                <w:rFonts w:ascii="Times New Roman" w:hAnsi="Times New Roman" w:cs="Times New Roman"/>
                <w:sz w:val="24"/>
                <w:szCs w:val="24"/>
              </w:rPr>
              <w:t>2.</w:t>
            </w:r>
            <w:r w:rsidR="002E4F1C" w:rsidRPr="00235AD3">
              <w:rPr>
                <w:rFonts w:ascii="Times New Roman" w:hAnsi="Times New Roman" w:cs="Times New Roman"/>
                <w:sz w:val="24"/>
                <w:szCs w:val="24"/>
              </w:rPr>
              <w:t> </w:t>
            </w:r>
            <w:r w:rsidR="00211D2D" w:rsidRPr="00235AD3">
              <w:rPr>
                <w:rFonts w:ascii="Times New Roman" w:hAnsi="Times New Roman" w:cs="Times New Roman"/>
                <w:sz w:val="24"/>
                <w:szCs w:val="24"/>
              </w:rPr>
              <w:t>punkts)</w:t>
            </w:r>
            <w:r w:rsidRPr="00235AD3">
              <w:rPr>
                <w:rFonts w:ascii="Times New Roman" w:hAnsi="Times New Roman" w:cs="Times New Roman"/>
                <w:sz w:val="24"/>
                <w:szCs w:val="24"/>
              </w:rPr>
              <w:t>.</w:t>
            </w:r>
          </w:p>
          <w:p w14:paraId="6A6FC5F0" w14:textId="5EA80AFA" w:rsidR="00A50548" w:rsidRPr="00235AD3" w:rsidRDefault="009A61AA" w:rsidP="001506C5">
            <w:pPr>
              <w:spacing w:after="0" w:line="240" w:lineRule="auto"/>
              <w:ind w:firstLine="390"/>
              <w:jc w:val="both"/>
              <w:rPr>
                <w:rFonts w:ascii="Times New Roman" w:hAnsi="Times New Roman" w:cs="Times New Roman"/>
                <w:sz w:val="24"/>
                <w:szCs w:val="24"/>
              </w:rPr>
            </w:pPr>
            <w:r w:rsidRPr="00235AD3">
              <w:rPr>
                <w:rFonts w:ascii="Times New Roman" w:hAnsi="Times New Roman" w:cs="Times New Roman"/>
                <w:bCs/>
                <w:sz w:val="24"/>
                <w:szCs w:val="24"/>
              </w:rPr>
              <w:t>Saņemtie priekšlikumi</w:t>
            </w:r>
            <w:r w:rsidR="00FA71F1" w:rsidRPr="00235AD3">
              <w:rPr>
                <w:rFonts w:ascii="Times New Roman" w:hAnsi="Times New Roman" w:cs="Times New Roman"/>
                <w:bCs/>
                <w:sz w:val="24"/>
                <w:szCs w:val="24"/>
              </w:rPr>
              <w:t>, kā arī</w:t>
            </w:r>
            <w:r w:rsidRPr="00235AD3">
              <w:rPr>
                <w:rFonts w:ascii="Times New Roman" w:hAnsi="Times New Roman" w:cs="Times New Roman"/>
                <w:bCs/>
                <w:sz w:val="24"/>
                <w:szCs w:val="24"/>
              </w:rPr>
              <w:t xml:space="preserve"> darba procesā apzināti</w:t>
            </w:r>
            <w:r w:rsidR="00FA71F1" w:rsidRPr="00235AD3">
              <w:rPr>
                <w:rFonts w:ascii="Times New Roman" w:hAnsi="Times New Roman" w:cs="Times New Roman"/>
                <w:bCs/>
                <w:sz w:val="24"/>
                <w:szCs w:val="24"/>
              </w:rPr>
              <w:t>e</w:t>
            </w:r>
            <w:r w:rsidRPr="00235AD3">
              <w:rPr>
                <w:rFonts w:ascii="Times New Roman" w:hAnsi="Times New Roman" w:cs="Times New Roman"/>
                <w:bCs/>
                <w:sz w:val="24"/>
                <w:szCs w:val="24"/>
              </w:rPr>
              <w:t xml:space="preserve"> nepieciešamie grozījumi, lai vienkāršotu un uzlabotu uzņēmējdarbību ar akcīzes precēm.</w:t>
            </w:r>
          </w:p>
        </w:tc>
      </w:tr>
      <w:tr w:rsidR="0038587F" w:rsidRPr="00235AD3" w14:paraId="4AD0AF51" w14:textId="77777777" w:rsidTr="00BC6935">
        <w:tc>
          <w:tcPr>
            <w:tcW w:w="338" w:type="pct"/>
            <w:tcBorders>
              <w:top w:val="outset" w:sz="6" w:space="0" w:color="414142"/>
              <w:left w:val="outset" w:sz="6" w:space="0" w:color="414142"/>
              <w:bottom w:val="outset" w:sz="6" w:space="0" w:color="414142"/>
              <w:right w:val="outset" w:sz="6" w:space="0" w:color="414142"/>
            </w:tcBorders>
            <w:hideMark/>
          </w:tcPr>
          <w:p w14:paraId="4EE2571B" w14:textId="77777777" w:rsidR="009F2884" w:rsidRPr="00235AD3"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2.</w:t>
            </w:r>
          </w:p>
          <w:p w14:paraId="5C349361" w14:textId="77777777" w:rsidR="009F2884" w:rsidRPr="00235AD3" w:rsidRDefault="009F2884" w:rsidP="009F2884">
            <w:pPr>
              <w:rPr>
                <w:rFonts w:ascii="Times New Roman" w:eastAsia="Times New Roman" w:hAnsi="Times New Roman" w:cs="Times New Roman"/>
                <w:sz w:val="24"/>
                <w:szCs w:val="24"/>
                <w:lang w:eastAsia="lv-LV"/>
              </w:rPr>
            </w:pPr>
          </w:p>
          <w:p w14:paraId="6806D1A5" w14:textId="77777777" w:rsidR="009F2884" w:rsidRPr="00235AD3" w:rsidRDefault="009F2884" w:rsidP="009F2884">
            <w:pPr>
              <w:rPr>
                <w:rFonts w:ascii="Times New Roman" w:eastAsia="Times New Roman" w:hAnsi="Times New Roman" w:cs="Times New Roman"/>
                <w:sz w:val="24"/>
                <w:szCs w:val="24"/>
                <w:lang w:eastAsia="lv-LV"/>
              </w:rPr>
            </w:pPr>
          </w:p>
          <w:p w14:paraId="68A585E0" w14:textId="77777777" w:rsidR="009F2884" w:rsidRPr="00235AD3" w:rsidRDefault="009F2884" w:rsidP="009F2884">
            <w:pPr>
              <w:rPr>
                <w:rFonts w:ascii="Times New Roman" w:eastAsia="Times New Roman" w:hAnsi="Times New Roman" w:cs="Times New Roman"/>
                <w:sz w:val="24"/>
                <w:szCs w:val="24"/>
                <w:lang w:eastAsia="lv-LV"/>
              </w:rPr>
            </w:pPr>
          </w:p>
          <w:p w14:paraId="310DC189" w14:textId="77777777" w:rsidR="009F2884" w:rsidRPr="00235AD3" w:rsidRDefault="009F2884" w:rsidP="009F2884">
            <w:pPr>
              <w:rPr>
                <w:rFonts w:ascii="Times New Roman" w:eastAsia="Times New Roman" w:hAnsi="Times New Roman" w:cs="Times New Roman"/>
                <w:sz w:val="24"/>
                <w:szCs w:val="24"/>
                <w:lang w:eastAsia="lv-LV"/>
              </w:rPr>
            </w:pPr>
          </w:p>
          <w:p w14:paraId="77C67278" w14:textId="77777777" w:rsidR="009F2884" w:rsidRPr="00235AD3" w:rsidRDefault="009F2884" w:rsidP="009F2884">
            <w:pPr>
              <w:rPr>
                <w:rFonts w:ascii="Times New Roman" w:eastAsia="Times New Roman" w:hAnsi="Times New Roman" w:cs="Times New Roman"/>
                <w:sz w:val="24"/>
                <w:szCs w:val="24"/>
                <w:lang w:eastAsia="lv-LV"/>
              </w:rPr>
            </w:pPr>
          </w:p>
          <w:p w14:paraId="13224D4C" w14:textId="77777777" w:rsidR="009F2884" w:rsidRPr="00235AD3" w:rsidRDefault="009F2884" w:rsidP="009F2884">
            <w:pPr>
              <w:rPr>
                <w:rFonts w:ascii="Times New Roman" w:eastAsia="Times New Roman" w:hAnsi="Times New Roman" w:cs="Times New Roman"/>
                <w:sz w:val="24"/>
                <w:szCs w:val="24"/>
                <w:lang w:eastAsia="lv-LV"/>
              </w:rPr>
            </w:pPr>
          </w:p>
          <w:p w14:paraId="25FC1F13" w14:textId="77777777" w:rsidR="009F2884" w:rsidRPr="00235AD3" w:rsidRDefault="009F2884" w:rsidP="009F2884">
            <w:pPr>
              <w:rPr>
                <w:rFonts w:ascii="Times New Roman" w:eastAsia="Times New Roman" w:hAnsi="Times New Roman" w:cs="Times New Roman"/>
                <w:sz w:val="24"/>
                <w:szCs w:val="24"/>
                <w:lang w:eastAsia="lv-LV"/>
              </w:rPr>
            </w:pPr>
          </w:p>
          <w:p w14:paraId="5440D3CC" w14:textId="77777777" w:rsidR="0038587F" w:rsidRPr="00235AD3" w:rsidRDefault="0038587F" w:rsidP="009F2884">
            <w:pPr>
              <w:rPr>
                <w:rFonts w:ascii="Times New Roman" w:eastAsia="Times New Roman" w:hAnsi="Times New Roman" w:cs="Times New Roman"/>
                <w:sz w:val="24"/>
                <w:szCs w:val="24"/>
                <w:lang w:eastAsia="lv-LV"/>
              </w:rPr>
            </w:pPr>
          </w:p>
        </w:tc>
        <w:tc>
          <w:tcPr>
            <w:tcW w:w="1573" w:type="pct"/>
            <w:tcBorders>
              <w:top w:val="outset" w:sz="6" w:space="0" w:color="414142"/>
              <w:left w:val="outset" w:sz="6" w:space="0" w:color="414142"/>
              <w:bottom w:val="outset" w:sz="6" w:space="0" w:color="414142"/>
              <w:right w:val="outset" w:sz="6" w:space="0" w:color="414142"/>
            </w:tcBorders>
            <w:hideMark/>
          </w:tcPr>
          <w:p w14:paraId="560A2647" w14:textId="77777777" w:rsidR="002F71AE" w:rsidRPr="00235AD3" w:rsidRDefault="0038587F" w:rsidP="0038587F">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E6B6495" w14:textId="77777777" w:rsidR="002F71AE" w:rsidRPr="00235AD3" w:rsidRDefault="002F71AE" w:rsidP="002F71AE">
            <w:pPr>
              <w:rPr>
                <w:rFonts w:ascii="Times New Roman" w:eastAsia="Times New Roman" w:hAnsi="Times New Roman" w:cs="Times New Roman"/>
                <w:sz w:val="24"/>
                <w:szCs w:val="24"/>
                <w:lang w:eastAsia="lv-LV"/>
              </w:rPr>
            </w:pPr>
          </w:p>
          <w:p w14:paraId="58FE8C75" w14:textId="77777777" w:rsidR="002F71AE" w:rsidRPr="00235AD3" w:rsidRDefault="002F71AE" w:rsidP="002F71AE">
            <w:pPr>
              <w:rPr>
                <w:rFonts w:ascii="Times New Roman" w:eastAsia="Times New Roman" w:hAnsi="Times New Roman" w:cs="Times New Roman"/>
                <w:sz w:val="24"/>
                <w:szCs w:val="24"/>
                <w:lang w:eastAsia="lv-LV"/>
              </w:rPr>
            </w:pPr>
          </w:p>
          <w:p w14:paraId="385F46A9" w14:textId="77777777" w:rsidR="002F71AE" w:rsidRPr="00235AD3" w:rsidRDefault="002F71AE" w:rsidP="002F71AE">
            <w:pPr>
              <w:rPr>
                <w:rFonts w:ascii="Times New Roman" w:eastAsia="Times New Roman" w:hAnsi="Times New Roman" w:cs="Times New Roman"/>
                <w:sz w:val="24"/>
                <w:szCs w:val="24"/>
                <w:lang w:eastAsia="lv-LV"/>
              </w:rPr>
            </w:pPr>
          </w:p>
          <w:p w14:paraId="3A269949" w14:textId="77777777" w:rsidR="002F71AE" w:rsidRPr="00235AD3" w:rsidRDefault="002F71AE" w:rsidP="00A85CD8">
            <w:pPr>
              <w:ind w:firstLine="720"/>
              <w:rPr>
                <w:rFonts w:ascii="Times New Roman" w:eastAsia="Times New Roman" w:hAnsi="Times New Roman" w:cs="Times New Roman"/>
                <w:sz w:val="24"/>
                <w:szCs w:val="24"/>
                <w:lang w:eastAsia="lv-LV"/>
              </w:rPr>
            </w:pPr>
          </w:p>
          <w:p w14:paraId="75D361D4" w14:textId="77777777" w:rsidR="002F71AE" w:rsidRPr="00235AD3" w:rsidRDefault="002F71AE" w:rsidP="002F71AE">
            <w:pPr>
              <w:rPr>
                <w:rFonts w:ascii="Times New Roman" w:eastAsia="Times New Roman" w:hAnsi="Times New Roman" w:cs="Times New Roman"/>
                <w:sz w:val="24"/>
                <w:szCs w:val="24"/>
                <w:lang w:eastAsia="lv-LV"/>
              </w:rPr>
            </w:pPr>
          </w:p>
          <w:p w14:paraId="495CF9D3" w14:textId="77777777" w:rsidR="002F71AE" w:rsidRPr="00235AD3" w:rsidRDefault="002F71AE" w:rsidP="002F71AE">
            <w:pPr>
              <w:rPr>
                <w:rFonts w:ascii="Times New Roman" w:eastAsia="Times New Roman" w:hAnsi="Times New Roman" w:cs="Times New Roman"/>
                <w:sz w:val="24"/>
                <w:szCs w:val="24"/>
                <w:lang w:eastAsia="lv-LV"/>
              </w:rPr>
            </w:pPr>
          </w:p>
          <w:p w14:paraId="0EE8FE94" w14:textId="77777777" w:rsidR="002A4683" w:rsidRPr="00235AD3" w:rsidRDefault="002A4683" w:rsidP="002F71AE">
            <w:pPr>
              <w:ind w:firstLine="720"/>
              <w:rPr>
                <w:rFonts w:ascii="Times New Roman" w:eastAsia="Times New Roman" w:hAnsi="Times New Roman" w:cs="Times New Roman"/>
                <w:sz w:val="24"/>
                <w:szCs w:val="24"/>
                <w:lang w:eastAsia="lv-LV"/>
              </w:rPr>
            </w:pPr>
          </w:p>
          <w:p w14:paraId="1B7B2EF6" w14:textId="77777777" w:rsidR="002A4683" w:rsidRPr="00235AD3" w:rsidRDefault="002A4683" w:rsidP="002A4683">
            <w:pPr>
              <w:rPr>
                <w:rFonts w:ascii="Times New Roman" w:eastAsia="Times New Roman" w:hAnsi="Times New Roman" w:cs="Times New Roman"/>
                <w:sz w:val="24"/>
                <w:szCs w:val="24"/>
                <w:lang w:eastAsia="lv-LV"/>
              </w:rPr>
            </w:pPr>
          </w:p>
          <w:p w14:paraId="5FC559E0" w14:textId="77777777" w:rsidR="002A4683" w:rsidRPr="00235AD3" w:rsidRDefault="002A4683" w:rsidP="002A4683">
            <w:pPr>
              <w:rPr>
                <w:rFonts w:ascii="Times New Roman" w:eastAsia="Times New Roman" w:hAnsi="Times New Roman" w:cs="Times New Roman"/>
                <w:sz w:val="24"/>
                <w:szCs w:val="24"/>
                <w:lang w:eastAsia="lv-LV"/>
              </w:rPr>
            </w:pPr>
          </w:p>
          <w:p w14:paraId="3115BD4B" w14:textId="77777777" w:rsidR="002A4683" w:rsidRPr="00235AD3" w:rsidRDefault="002A4683" w:rsidP="002A4683">
            <w:pPr>
              <w:rPr>
                <w:rFonts w:ascii="Times New Roman" w:eastAsia="Times New Roman" w:hAnsi="Times New Roman" w:cs="Times New Roman"/>
                <w:sz w:val="24"/>
                <w:szCs w:val="24"/>
                <w:lang w:eastAsia="lv-LV"/>
              </w:rPr>
            </w:pPr>
          </w:p>
          <w:p w14:paraId="2A0BB4B3" w14:textId="77777777" w:rsidR="002A4683" w:rsidRPr="00235AD3" w:rsidRDefault="002A4683" w:rsidP="002A4683">
            <w:pPr>
              <w:rPr>
                <w:rFonts w:ascii="Times New Roman" w:eastAsia="Times New Roman" w:hAnsi="Times New Roman" w:cs="Times New Roman"/>
                <w:sz w:val="24"/>
                <w:szCs w:val="24"/>
                <w:lang w:eastAsia="lv-LV"/>
              </w:rPr>
            </w:pPr>
          </w:p>
          <w:p w14:paraId="1E1FF153" w14:textId="77777777" w:rsidR="002A4683" w:rsidRPr="00235AD3" w:rsidRDefault="002A4683" w:rsidP="002A4683">
            <w:pPr>
              <w:rPr>
                <w:rFonts w:ascii="Times New Roman" w:eastAsia="Times New Roman" w:hAnsi="Times New Roman" w:cs="Times New Roman"/>
                <w:sz w:val="24"/>
                <w:szCs w:val="24"/>
                <w:lang w:eastAsia="lv-LV"/>
              </w:rPr>
            </w:pPr>
          </w:p>
          <w:p w14:paraId="4A79BCC4" w14:textId="77777777" w:rsidR="0038587F" w:rsidRPr="00235AD3" w:rsidRDefault="002A4683" w:rsidP="002A4683">
            <w:pPr>
              <w:tabs>
                <w:tab w:val="left" w:pos="915"/>
              </w:tabs>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ab/>
            </w:r>
          </w:p>
        </w:tc>
        <w:tc>
          <w:tcPr>
            <w:tcW w:w="3088" w:type="pct"/>
            <w:tcBorders>
              <w:top w:val="outset" w:sz="6" w:space="0" w:color="414142"/>
              <w:left w:val="outset" w:sz="6" w:space="0" w:color="414142"/>
              <w:bottom w:val="outset" w:sz="6" w:space="0" w:color="414142"/>
              <w:right w:val="outset" w:sz="6" w:space="0" w:color="414142"/>
            </w:tcBorders>
          </w:tcPr>
          <w:p w14:paraId="38BDC40E" w14:textId="3C27672D" w:rsidR="007D4E4E" w:rsidRPr="00235AD3" w:rsidRDefault="007D4E4E" w:rsidP="007D4E4E">
            <w:pPr>
              <w:pStyle w:val="ListParagraph"/>
              <w:numPr>
                <w:ilvl w:val="0"/>
                <w:numId w:val="22"/>
              </w:numPr>
              <w:tabs>
                <w:tab w:val="left" w:pos="250"/>
              </w:tabs>
              <w:ind w:left="117" w:firstLine="275"/>
              <w:jc w:val="both"/>
            </w:pPr>
            <w:r w:rsidRPr="00235AD3">
              <w:lastRenderedPageBreak/>
              <w:t>Šobrīd spēkā esošais likums paredz, ka elektroniskās cigaretes var uzpildīt gan ar nikotīnu saturošu, gan nikotīnu nesaturošu šķidrumu. Saskaņā ar “Tabakas izstrādājumu, augu smēķēšanas produktu, elektronisko smēķēšanas ierīču un to šķidrumu aprites likuma” (turpmāk – Tabakas likums) 1. panta 7. punktu “elektroniska smēķēšanas ierīce” ir gan elektroniskā cigarete, gan elektroniska ierīce. Saskaņā ar Tabakas likuma 1. panta 7. punkta “a” un “b” apakšpunktu ar nikotīnu saturošu šķidrumu var uzpildīt tikai elektroniskās cigaretes, savukārt ar nikotīnu nesaturošu šķidrumu var uzpildīt elektroniskās ierīces. Tabakas likumā iekļautā “elektroniskās cigaretes” definīcija izriet no Eiro</w:t>
            </w:r>
            <w:r w:rsidR="002E4F1C" w:rsidRPr="00235AD3">
              <w:t>pas Parlamenta un Padomes 2014. </w:t>
            </w:r>
            <w:r w:rsidRPr="00235AD3">
              <w:t xml:space="preserve">gada 3. aprīļa direktīvas 2014/40/ES par dalībvalstu normatīvo un administratīvo aktu tuvināšanu attiecībā uz tabakas un saistīto izstrādājumu ražošanu (turpmāk – Direktīva 2014/40/ES) 2. panta 16. punktā minētās definīcijas, kas nosaka, ka elektroniskajā cigaretē var izmantot nikotīnu saturošu </w:t>
            </w:r>
            <w:r w:rsidRPr="00235AD3">
              <w:lastRenderedPageBreak/>
              <w:t>šķidrumu. Lai nodrošinātu vienotas terminoloģijas izmantošanu likumdošanā, kā arī novērstu iespējamo normu interpretāciju, ir nepieciešams paredzēt, ka visā likumā tiek aizstāti vārdi “elektroniskā cigarete” ar vārdiem “elektroniskā smēķēšanas ierīce”.</w:t>
            </w:r>
          </w:p>
          <w:p w14:paraId="3C5D1C7E" w14:textId="77777777" w:rsidR="007D4E4E" w:rsidRPr="00235AD3" w:rsidRDefault="007D4E4E" w:rsidP="007D4E4E">
            <w:pPr>
              <w:pStyle w:val="ListParagraph"/>
              <w:tabs>
                <w:tab w:val="left" w:pos="250"/>
              </w:tabs>
              <w:ind w:left="392"/>
              <w:jc w:val="both"/>
            </w:pPr>
          </w:p>
          <w:p w14:paraId="3B2EABF3" w14:textId="73180A60" w:rsidR="0040537F" w:rsidRPr="00207BD3" w:rsidRDefault="0040537F" w:rsidP="0040537F">
            <w:pPr>
              <w:pStyle w:val="ListParagraph"/>
              <w:numPr>
                <w:ilvl w:val="0"/>
                <w:numId w:val="22"/>
              </w:numPr>
              <w:ind w:left="117" w:firstLine="275"/>
              <w:jc w:val="both"/>
            </w:pPr>
            <w:r w:rsidRPr="00207BD3">
              <w:t>2021.gada 1.janvārī stājas spēkā grozījumi likumā, kas paredz, sākot ar 2021.gada 1.jūliju, ar akcīzes nodokļa markām uzsākt marķēt elektroniskajās smēķēšanas ierīcēs izmantojamo šķidrumu, elektroniskajās smēķēšanas ierīcēs izmantojamā šķidruma sagatavošanas sastāvdaļas un tabakas aizstājējproduktus. Pašlaik likuma 27.panta piektā daļa nosaka, ka akcīzes nodokļa markas var saņemt persona, kas saskaņā ar šā likuma 26.pantu Latvijas Republikā no citas dalībvalsts ieved vai saņem ar akcīzes nodokļa markām marķējamās akcīzes preces. Līdz ar to lai persona varētu ievest Latvijas Republikā jau ar akcīzes nodokļa markām marķētos elektroniskajās smēķēšanas ierīcēs izmantojamos šķidrumus, elektroniskajās smēķēšanas ierīcēs izmantojamā šķidruma sagatavošanas sastāvdaļas un tabakas aizstājējproduktus, nepieciešams attiecīgi precizēt likuma 2.pantu paredzot, ka likuma 26.pants ir attiecināms uz darbībām ar minētām precēm. Papildus ta</w:t>
            </w:r>
            <w:r w:rsidR="00E122EC" w:rsidRPr="00207BD3">
              <w:t>m</w:t>
            </w:r>
            <w:r w:rsidRPr="00207BD3">
              <w:t xml:space="preserve"> nepieciešams aizstāt likuma 7.panta 5.punktā vārdus „vai elektroniskajās cigaretēs izmantojamo šķidrumu,” ar vārdiem „elektroniskajās smēķēšanas ierīcēs izmantojamo šķidrumu, elektroniskajās smēķēšanas ierīcēs izmantojamā šķidruma sagatavošanas sastāvdaļas un tabakas aizstājējproduktus”.</w:t>
            </w:r>
          </w:p>
          <w:p w14:paraId="260500EF" w14:textId="77777777" w:rsidR="009A61F3" w:rsidRDefault="009A61F3" w:rsidP="009A61F3">
            <w:pPr>
              <w:pStyle w:val="ListParagraph"/>
            </w:pPr>
          </w:p>
          <w:p w14:paraId="6D7800CC" w14:textId="7DA7D59E" w:rsidR="00526B6F" w:rsidRPr="00235AD3" w:rsidRDefault="00526B6F" w:rsidP="00B94447">
            <w:pPr>
              <w:pStyle w:val="ListParagraph"/>
              <w:numPr>
                <w:ilvl w:val="0"/>
                <w:numId w:val="22"/>
              </w:numPr>
              <w:ind w:left="117" w:firstLine="275"/>
              <w:jc w:val="both"/>
            </w:pPr>
            <w:r w:rsidRPr="00235AD3">
              <w:t>Apvienotā Karaliste 2020.</w:t>
            </w:r>
            <w:r w:rsidR="002E4F1C" w:rsidRPr="00235AD3">
              <w:t> </w:t>
            </w:r>
            <w:r w:rsidRPr="00235AD3">
              <w:t>gada 31.</w:t>
            </w:r>
            <w:r w:rsidR="002E4F1C" w:rsidRPr="00235AD3">
              <w:t> </w:t>
            </w:r>
            <w:r w:rsidRPr="00235AD3">
              <w:t>janvārī izstājās no Eiropas Savienības, pamatojoties uz Līgumu par Lielbritānijas un Ziemeļīrijas Apvienotās Karalistes izstāšanos no Eiropas Savienības un Eiropas Atomenerģijas kopienas (turpmāk - Izstāšanās līgums). Līdz ar to A</w:t>
            </w:r>
            <w:r w:rsidR="00E53C2E" w:rsidRPr="00235AD3">
              <w:t xml:space="preserve">pvienotā </w:t>
            </w:r>
            <w:r w:rsidRPr="00235AD3">
              <w:t>K</w:t>
            </w:r>
            <w:r w:rsidR="00E53C2E" w:rsidRPr="00235AD3">
              <w:t>araliste</w:t>
            </w:r>
            <w:r w:rsidRPr="00235AD3">
              <w:t xml:space="preserve"> kā trešā valsts vairs nepiedalās E</w:t>
            </w:r>
            <w:r w:rsidR="00E92265" w:rsidRPr="00235AD3">
              <w:t xml:space="preserve">iropas </w:t>
            </w:r>
            <w:r w:rsidRPr="00235AD3">
              <w:t>S</w:t>
            </w:r>
            <w:r w:rsidR="00E92265" w:rsidRPr="00235AD3">
              <w:t>avienības</w:t>
            </w:r>
            <w:r w:rsidRPr="00235AD3">
              <w:t xml:space="preserve"> lēmumu pieņemšanā, nav pārstāvēta E</w:t>
            </w:r>
            <w:r w:rsidR="00E92265" w:rsidRPr="00235AD3">
              <w:t xml:space="preserve">iropas </w:t>
            </w:r>
            <w:r w:rsidRPr="00235AD3">
              <w:t>S</w:t>
            </w:r>
            <w:r w:rsidR="00E92265" w:rsidRPr="00235AD3">
              <w:t>avienības</w:t>
            </w:r>
            <w:r w:rsidRPr="00235AD3">
              <w:t xml:space="preserve"> iestādēs, E</w:t>
            </w:r>
            <w:r w:rsidR="00E92265" w:rsidRPr="00235AD3">
              <w:t xml:space="preserve">iropas </w:t>
            </w:r>
            <w:r w:rsidRPr="00235AD3">
              <w:t>S</w:t>
            </w:r>
            <w:r w:rsidR="00E92265" w:rsidRPr="00235AD3">
              <w:t>avienības</w:t>
            </w:r>
            <w:r w:rsidRPr="00235AD3">
              <w:t xml:space="preserve"> aģentūrās, organizācijās vai citās E</w:t>
            </w:r>
            <w:r w:rsidR="00E92265" w:rsidRPr="00235AD3">
              <w:t xml:space="preserve">iropas </w:t>
            </w:r>
            <w:r w:rsidRPr="00235AD3">
              <w:t>S</w:t>
            </w:r>
            <w:r w:rsidR="00E92265" w:rsidRPr="00235AD3">
              <w:t>avienības</w:t>
            </w:r>
            <w:r w:rsidRPr="00235AD3">
              <w:t xml:space="preserve"> struktūrās. Izstāšanās līguma 126.</w:t>
            </w:r>
            <w:r w:rsidR="002E4F1C" w:rsidRPr="00235AD3">
              <w:t> </w:t>
            </w:r>
            <w:r w:rsidRPr="00235AD3">
              <w:t>pantā ir paredzēts pārejas periods, kas beidz</w:t>
            </w:r>
            <w:r w:rsidR="007C4BD7" w:rsidRPr="00235AD3">
              <w:t>ā</w:t>
            </w:r>
            <w:r w:rsidRPr="00235AD3">
              <w:t>s 2020.</w:t>
            </w:r>
            <w:r w:rsidR="002E4F1C" w:rsidRPr="00235AD3">
              <w:t> </w:t>
            </w:r>
            <w:r w:rsidRPr="00235AD3">
              <w:t>gada 31.</w:t>
            </w:r>
            <w:r w:rsidR="002E4F1C" w:rsidRPr="00235AD3">
              <w:t> </w:t>
            </w:r>
            <w:r w:rsidRPr="00235AD3">
              <w:t>decembrī. Līdz tam A</w:t>
            </w:r>
            <w:r w:rsidR="00E53C2E" w:rsidRPr="00235AD3">
              <w:t xml:space="preserve">pvienotā </w:t>
            </w:r>
            <w:r w:rsidRPr="00235AD3">
              <w:t>K</w:t>
            </w:r>
            <w:r w:rsidR="00E53C2E" w:rsidRPr="00235AD3">
              <w:t>araliste</w:t>
            </w:r>
            <w:r w:rsidRPr="00235AD3">
              <w:t xml:space="preserve"> un tās teritorijā pilnībā ir piemērojami E</w:t>
            </w:r>
            <w:r w:rsidR="00E92265" w:rsidRPr="00235AD3">
              <w:t xml:space="preserve">iropas </w:t>
            </w:r>
            <w:r w:rsidRPr="00235AD3">
              <w:t>S</w:t>
            </w:r>
            <w:r w:rsidR="00E92265" w:rsidRPr="00235AD3">
              <w:t>avienības</w:t>
            </w:r>
            <w:r w:rsidRPr="00235AD3">
              <w:t xml:space="preserve"> tiesību akti un A</w:t>
            </w:r>
            <w:r w:rsidR="00E53C2E" w:rsidRPr="00235AD3">
              <w:t xml:space="preserve">pvienotā </w:t>
            </w:r>
            <w:r w:rsidRPr="00235AD3">
              <w:t>K</w:t>
            </w:r>
            <w:r w:rsidR="00E53C2E" w:rsidRPr="00235AD3">
              <w:t>araliste</w:t>
            </w:r>
            <w:r w:rsidRPr="00235AD3">
              <w:t xml:space="preserve"> turpina piedalīties E</w:t>
            </w:r>
            <w:r w:rsidR="00E92265" w:rsidRPr="00235AD3">
              <w:t xml:space="preserve">iropas </w:t>
            </w:r>
            <w:r w:rsidRPr="00235AD3">
              <w:t>S</w:t>
            </w:r>
            <w:r w:rsidR="00E92265" w:rsidRPr="00235AD3">
              <w:t xml:space="preserve">avienības </w:t>
            </w:r>
            <w:r w:rsidRPr="00235AD3">
              <w:t>vienotajā tirgū un muitas savienībā, gūt labumu no E</w:t>
            </w:r>
            <w:r w:rsidR="00E53C2E" w:rsidRPr="00235AD3">
              <w:t xml:space="preserve">iropas </w:t>
            </w:r>
            <w:r w:rsidRPr="00235AD3">
              <w:t>S</w:t>
            </w:r>
            <w:r w:rsidR="00E53C2E" w:rsidRPr="00235AD3">
              <w:t>avienības</w:t>
            </w:r>
            <w:r w:rsidRPr="00235AD3">
              <w:t xml:space="preserve"> rīcībpolitikām un programmām, kā arī pildīt to starptautisko nolīgumu saistības, kuros E</w:t>
            </w:r>
            <w:r w:rsidR="00E92265" w:rsidRPr="00235AD3">
              <w:t xml:space="preserve">iropas </w:t>
            </w:r>
            <w:r w:rsidRPr="00235AD3">
              <w:t>S</w:t>
            </w:r>
            <w:r w:rsidR="00E92265" w:rsidRPr="00235AD3">
              <w:t>avienība</w:t>
            </w:r>
            <w:r w:rsidRPr="00235AD3">
              <w:t xml:space="preserve"> ir līgumslēdzēja puse. Pēc pārejas perioda E</w:t>
            </w:r>
            <w:r w:rsidR="00E92265" w:rsidRPr="00235AD3">
              <w:t xml:space="preserve">iropas </w:t>
            </w:r>
            <w:r w:rsidRPr="00235AD3">
              <w:t>S</w:t>
            </w:r>
            <w:r w:rsidR="00E92265" w:rsidRPr="00235AD3">
              <w:t>avienības</w:t>
            </w:r>
            <w:r w:rsidRPr="00235AD3">
              <w:t xml:space="preserve"> noteikumi par </w:t>
            </w:r>
            <w:r w:rsidRPr="00235AD3">
              <w:lastRenderedPageBreak/>
              <w:t>akcīzes nodokli un akcīzes precēm A</w:t>
            </w:r>
            <w:r w:rsidR="00E53C2E" w:rsidRPr="00235AD3">
              <w:t xml:space="preserve">pvienotai </w:t>
            </w:r>
            <w:r w:rsidRPr="00235AD3">
              <w:t>K</w:t>
            </w:r>
            <w:r w:rsidR="00E53C2E" w:rsidRPr="00235AD3">
              <w:t>aralistei</w:t>
            </w:r>
            <w:r w:rsidRPr="00235AD3">
              <w:t xml:space="preserve"> vairs nebūs piemērojami. </w:t>
            </w:r>
          </w:p>
          <w:p w14:paraId="76550F8D" w14:textId="365C7ACC" w:rsidR="00526B6F" w:rsidRPr="00235AD3" w:rsidRDefault="00526B6F" w:rsidP="007D4E4E">
            <w:pPr>
              <w:pStyle w:val="ListParagraph"/>
              <w:tabs>
                <w:tab w:val="left" w:pos="117"/>
              </w:tabs>
              <w:ind w:left="117" w:firstLine="275"/>
              <w:jc w:val="both"/>
            </w:pPr>
            <w:r w:rsidRPr="00235AD3">
              <w:t xml:space="preserve">Attiecībā uz </w:t>
            </w:r>
            <w:r w:rsidR="00E53C2E" w:rsidRPr="00235AD3">
              <w:t xml:space="preserve">likumā </w:t>
            </w:r>
            <w:r w:rsidRPr="00235AD3">
              <w:t>noteiktām normām par Apvienotās Karalistes suverēno bāzu teritorijām Kiprā (likuma 2.</w:t>
            </w:r>
            <w:r w:rsidR="002E4F1C" w:rsidRPr="00235AD3">
              <w:t> </w:t>
            </w:r>
            <w:r w:rsidRPr="00235AD3">
              <w:t>panta trešās daļas 5.</w:t>
            </w:r>
            <w:r w:rsidR="002E4F1C" w:rsidRPr="00235AD3">
              <w:t> </w:t>
            </w:r>
            <w:r w:rsidRPr="00235AD3">
              <w:t>punkts un 20.</w:t>
            </w:r>
            <w:r w:rsidR="002E4F1C" w:rsidRPr="00235AD3">
              <w:t> </w:t>
            </w:r>
            <w:r w:rsidRPr="00235AD3">
              <w:t>panta pirmās daļas 8.</w:t>
            </w:r>
            <w:r w:rsidR="002E4F1C" w:rsidRPr="00235AD3">
              <w:t> </w:t>
            </w:r>
            <w:r w:rsidRPr="00235AD3">
              <w:t>punkts) nav nepieciešams veikt grozījumus, jo minētie noteikumi saglabājas arī turpmāk atbilstoši Izstāšanās līguma Protokolam par Lielbritānijas un Ziemeļīrijas Apvienotās Karalistes Suverēnajām bāzu teritorijām Kiprā</w:t>
            </w:r>
            <w:r w:rsidR="00E92265" w:rsidRPr="00235AD3">
              <w:t>.</w:t>
            </w:r>
          </w:p>
          <w:p w14:paraId="49BC9C0A" w14:textId="5107D1C0" w:rsidR="00526B6F" w:rsidRPr="00235AD3" w:rsidRDefault="00E92265" w:rsidP="007D4E4E">
            <w:pPr>
              <w:pStyle w:val="ListParagraph"/>
              <w:tabs>
                <w:tab w:val="left" w:pos="250"/>
              </w:tabs>
              <w:ind w:left="117" w:firstLine="275"/>
              <w:jc w:val="both"/>
            </w:pPr>
            <w:r w:rsidRPr="00235AD3">
              <w:t xml:space="preserve">Tomēr </w:t>
            </w:r>
            <w:r w:rsidR="00526B6F" w:rsidRPr="00235AD3">
              <w:t>Izstāšanās līgums paredz īpašus nosacījumus attiecībā uz Ziemeļīriju un tie ir ietverti Protokolā par Īriju/Ziemeļīriju. Atbilstoši Izstāšanās līguma Protokola par Īriju/Ziemeļīriju 8.</w:t>
            </w:r>
            <w:r w:rsidR="002E4F1C" w:rsidRPr="00235AD3">
              <w:t> </w:t>
            </w:r>
            <w:r w:rsidR="00526B6F" w:rsidRPr="00235AD3">
              <w:t>pantam attiecībā uz Ziemeļīriju piemēro E</w:t>
            </w:r>
            <w:r w:rsidR="00E53C2E" w:rsidRPr="00235AD3">
              <w:t xml:space="preserve">iropas </w:t>
            </w:r>
            <w:r w:rsidR="00526B6F" w:rsidRPr="00235AD3">
              <w:t>S</w:t>
            </w:r>
            <w:r w:rsidR="00E53C2E" w:rsidRPr="00235AD3">
              <w:t>avienības</w:t>
            </w:r>
            <w:r w:rsidR="00526B6F" w:rsidRPr="00235AD3">
              <w:t xml:space="preserve"> tiesību noteikumus par precēm, t.sk. par akcīzes precēm. Akcīzes preču pārvietošana no E</w:t>
            </w:r>
            <w:r w:rsidR="00E53C2E" w:rsidRPr="00235AD3">
              <w:t xml:space="preserve">iropas </w:t>
            </w:r>
            <w:r w:rsidR="00526B6F" w:rsidRPr="00235AD3">
              <w:t>S</w:t>
            </w:r>
            <w:r w:rsidR="00E53C2E" w:rsidRPr="00235AD3">
              <w:t>avienības</w:t>
            </w:r>
            <w:r w:rsidR="00526B6F" w:rsidRPr="00235AD3">
              <w:t xml:space="preserve"> uz Ziemeļīriju un otrādi tiks uzskatīta par pārvietošanu E</w:t>
            </w:r>
            <w:r w:rsidR="00E53C2E" w:rsidRPr="00235AD3">
              <w:t xml:space="preserve">iropas </w:t>
            </w:r>
            <w:r w:rsidR="00526B6F" w:rsidRPr="00235AD3">
              <w:t>S</w:t>
            </w:r>
            <w:r w:rsidR="00E53C2E" w:rsidRPr="00235AD3">
              <w:t>avienības</w:t>
            </w:r>
            <w:r w:rsidR="00526B6F" w:rsidRPr="00235AD3">
              <w:t xml:space="preserve"> iekšienē. </w:t>
            </w:r>
          </w:p>
          <w:p w14:paraId="5F66A2A4" w14:textId="391FF160" w:rsidR="00526B6F" w:rsidRPr="00235AD3" w:rsidRDefault="00526B6F" w:rsidP="007D4E4E">
            <w:pPr>
              <w:pStyle w:val="ListParagraph"/>
              <w:tabs>
                <w:tab w:val="left" w:pos="250"/>
              </w:tabs>
              <w:ind w:left="117" w:firstLine="283"/>
              <w:jc w:val="both"/>
            </w:pPr>
            <w:r w:rsidRPr="00235AD3">
              <w:t>Tā kā A</w:t>
            </w:r>
            <w:r w:rsidR="00E53C2E" w:rsidRPr="00235AD3">
              <w:t xml:space="preserve">pvienotās </w:t>
            </w:r>
            <w:r w:rsidRPr="00235AD3">
              <w:t>K</w:t>
            </w:r>
            <w:r w:rsidR="00E53C2E" w:rsidRPr="00235AD3">
              <w:t>aralistes</w:t>
            </w:r>
            <w:r w:rsidRPr="00235AD3">
              <w:t xml:space="preserve"> valdība noraidīja iespēju pārejas periodu pagarināt, tas noslē</w:t>
            </w:r>
            <w:r w:rsidR="007C4BD7" w:rsidRPr="00235AD3">
              <w:t>dzās</w:t>
            </w:r>
            <w:r w:rsidRPr="00235AD3">
              <w:t xml:space="preserve"> 2020.</w:t>
            </w:r>
            <w:r w:rsidR="002E4F1C" w:rsidRPr="00235AD3">
              <w:t> </w:t>
            </w:r>
            <w:r w:rsidRPr="00235AD3">
              <w:t>gada 31.</w:t>
            </w:r>
            <w:r w:rsidR="002E4F1C" w:rsidRPr="00235AD3">
              <w:t> </w:t>
            </w:r>
            <w:r w:rsidRPr="00235AD3">
              <w:t>decembrī. Līdz ar to ar 2021.</w:t>
            </w:r>
            <w:r w:rsidR="002E4F1C" w:rsidRPr="00235AD3">
              <w:t> </w:t>
            </w:r>
            <w:r w:rsidRPr="00235AD3">
              <w:t>gada 1.</w:t>
            </w:r>
            <w:r w:rsidR="002E4F1C" w:rsidRPr="00235AD3">
              <w:t> </w:t>
            </w:r>
            <w:r w:rsidRPr="00235AD3">
              <w:t>janvāri A</w:t>
            </w:r>
            <w:r w:rsidR="00C95649" w:rsidRPr="00235AD3">
              <w:t xml:space="preserve">pvienotā </w:t>
            </w:r>
            <w:r w:rsidRPr="00235AD3">
              <w:t>K</w:t>
            </w:r>
            <w:r w:rsidR="00C95649" w:rsidRPr="00235AD3">
              <w:t>araliste</w:t>
            </w:r>
            <w:r w:rsidRPr="00235AD3">
              <w:t xml:space="preserve"> vairs </w:t>
            </w:r>
            <w:r w:rsidR="007C4BD7" w:rsidRPr="00235AD3">
              <w:t>nav</w:t>
            </w:r>
            <w:r w:rsidRPr="00235AD3">
              <w:t xml:space="preserve"> ES vienotā tirgus un muitas savienības dalībniece. Tādējādi ir nepieciešams veikt atbilstošus grozījumus likuma 2.</w:t>
            </w:r>
            <w:r w:rsidR="002E4F1C" w:rsidRPr="00235AD3">
              <w:t> </w:t>
            </w:r>
            <w:r w:rsidRPr="00235AD3">
              <w:t>pantā.</w:t>
            </w:r>
          </w:p>
          <w:p w14:paraId="3C37972E" w14:textId="77777777" w:rsidR="00526B6F" w:rsidRPr="00235AD3" w:rsidRDefault="00526B6F" w:rsidP="007D4E4E">
            <w:pPr>
              <w:tabs>
                <w:tab w:val="left" w:pos="250"/>
              </w:tabs>
              <w:spacing w:after="0" w:line="240" w:lineRule="auto"/>
              <w:ind w:left="117" w:firstLine="275"/>
              <w:jc w:val="both"/>
              <w:rPr>
                <w:rFonts w:ascii="Times New Roman" w:hAnsi="Times New Roman" w:cs="Times New Roman"/>
                <w:sz w:val="24"/>
                <w:szCs w:val="24"/>
              </w:rPr>
            </w:pPr>
          </w:p>
          <w:p w14:paraId="347C6912" w14:textId="66A6099F" w:rsidR="00A374DC" w:rsidRPr="00235AD3" w:rsidRDefault="00A374DC" w:rsidP="00AC21F4">
            <w:pPr>
              <w:pStyle w:val="ListParagraph"/>
              <w:numPr>
                <w:ilvl w:val="0"/>
                <w:numId w:val="22"/>
              </w:numPr>
              <w:tabs>
                <w:tab w:val="left" w:pos="250"/>
              </w:tabs>
              <w:ind w:left="117" w:firstLine="275"/>
              <w:jc w:val="both"/>
            </w:pPr>
            <w:r w:rsidRPr="00235AD3">
              <w:t>Lēmumu pieņemšanu par speciālo atļauju (licenču) izsniegšanu Valsts ieņēmumu dienests veic, ievērojot Administratīvā procesa likuma 67.</w:t>
            </w:r>
            <w:r w:rsidR="002E4F1C" w:rsidRPr="00235AD3">
              <w:t> </w:t>
            </w:r>
            <w:r w:rsidRPr="00235AD3">
              <w:t>panta prasības par administratīvā akta obligāto sastāvdaļu ietveršanu lēmumos. Pārskatot lēmumu pieņemšanas praksi, Valsts ieņēmumu dienests ir secinājis, ka ne visos gadījumos, kad pieņemami lēmumi administratīvā procesa ietvaros, pastāv objektīva nepieciešamība izvērsti lēmumā ietvert visas administratīvā akta sastāvdaļas. Administratīvo aktu izdod rakstveidā, izņemot Administratīvā procesa likuma 69.</w:t>
            </w:r>
            <w:r w:rsidR="002E4F1C" w:rsidRPr="00235AD3">
              <w:t> </w:t>
            </w:r>
            <w:r w:rsidRPr="00235AD3">
              <w:t>pantā minētos gadījumus</w:t>
            </w:r>
            <w:r w:rsidRPr="00235AD3">
              <w:rPr>
                <w:vertAlign w:val="superscript"/>
              </w:rPr>
              <w:footnoteReference w:id="1"/>
            </w:r>
            <w:r w:rsidRPr="00235AD3">
              <w:t xml:space="preserve">. Administratīvo aktu var izdot mutvārdos vai citādi, neievērojot </w:t>
            </w:r>
            <w:r w:rsidR="009D7C66" w:rsidRPr="00235AD3">
              <w:t xml:space="preserve">Administratīvā procesa </w:t>
            </w:r>
            <w:r w:rsidRPr="00235AD3">
              <w:t>likuma 67.</w:t>
            </w:r>
            <w:r w:rsidR="002E4F1C" w:rsidRPr="00235AD3">
              <w:t> </w:t>
            </w:r>
            <w:r w:rsidRPr="00235AD3">
              <w:t>panta noteikumus, ja tas paredzēts piemērojamā normatīvajā aktā</w:t>
            </w:r>
            <w:r w:rsidRPr="00235AD3">
              <w:rPr>
                <w:vertAlign w:val="superscript"/>
              </w:rPr>
              <w:footnoteReference w:id="2"/>
            </w:r>
            <w:r w:rsidRPr="00235AD3">
              <w:t>. Valsts ieņēmumu dienests, analizējot tiesisko regulējumu, ierosina paredzēt gadījumus, kad būtu iespējams atteikties no administratīvā akta rakstveida formas un administratīvo aktu izdot citādi</w:t>
            </w:r>
            <w:r w:rsidR="003863B8">
              <w:t>.</w:t>
            </w:r>
            <w:r w:rsidRPr="00235AD3">
              <w:t xml:space="preserve"> </w:t>
            </w:r>
          </w:p>
          <w:p w14:paraId="243F141F" w14:textId="2A393121" w:rsidR="00FD17FD" w:rsidRPr="00847279" w:rsidRDefault="00A374DC" w:rsidP="00130A7D">
            <w:pPr>
              <w:tabs>
                <w:tab w:val="left" w:pos="250"/>
              </w:tabs>
              <w:spacing w:after="0" w:line="240" w:lineRule="auto"/>
              <w:ind w:left="117" w:firstLine="275"/>
              <w:jc w:val="both"/>
              <w:rPr>
                <w:rFonts w:ascii="Times New Roman" w:hAnsi="Times New Roman" w:cs="Times New Roman"/>
                <w:sz w:val="24"/>
                <w:szCs w:val="24"/>
              </w:rPr>
            </w:pPr>
            <w:r w:rsidRPr="00847279">
              <w:rPr>
                <w:rFonts w:ascii="Times New Roman" w:hAnsi="Times New Roman" w:cs="Times New Roman"/>
                <w:sz w:val="24"/>
                <w:szCs w:val="24"/>
              </w:rPr>
              <w:t>Līdz ar to ir nepieciešams papildināt likuma 2.</w:t>
            </w:r>
            <w:r w:rsidR="002E4F1C" w:rsidRPr="00847279">
              <w:rPr>
                <w:rFonts w:ascii="Times New Roman" w:hAnsi="Times New Roman" w:cs="Times New Roman"/>
                <w:sz w:val="24"/>
                <w:szCs w:val="24"/>
              </w:rPr>
              <w:t> </w:t>
            </w:r>
            <w:r w:rsidRPr="00847279">
              <w:rPr>
                <w:rFonts w:ascii="Times New Roman" w:hAnsi="Times New Roman" w:cs="Times New Roman"/>
                <w:sz w:val="24"/>
                <w:szCs w:val="24"/>
              </w:rPr>
              <w:t xml:space="preserve">pantu ar devīto daļu, kas paredz, ka </w:t>
            </w:r>
            <w:r w:rsidR="00130A7D" w:rsidRPr="00847279">
              <w:rPr>
                <w:rFonts w:ascii="Times New Roman" w:hAnsi="Times New Roman" w:cs="Times New Roman"/>
                <w:sz w:val="24"/>
                <w:szCs w:val="24"/>
              </w:rPr>
              <w:t xml:space="preserve">labvēlīgu lēmumu par speciālās atļaujas (licences) izsniegšanu vai pārreģistrāciju rakstveidā neizdod, bet izsniedz speciālo atļauju (licenci). </w:t>
            </w:r>
            <w:r w:rsidR="00130A7D" w:rsidRPr="00847279">
              <w:rPr>
                <w:rFonts w:ascii="Times New Roman" w:hAnsi="Times New Roman" w:cs="Times New Roman"/>
                <w:sz w:val="24"/>
                <w:szCs w:val="24"/>
              </w:rPr>
              <w:lastRenderedPageBreak/>
              <w:t>Lēmumu par speciālās atļaujas (licences) anulēšanu, ja tas pieņemts, pamatojoties uz nodokļu maksātāja iesniegumu, rakstveidā neizdod, bet nodokļu maksātājam nosūta paziņojumu par pieņemto lēmumu.</w:t>
            </w:r>
            <w:r w:rsidR="00FD17FD" w:rsidRPr="00847279">
              <w:rPr>
                <w:rFonts w:ascii="Times New Roman" w:hAnsi="Times New Roman" w:cs="Times New Roman"/>
                <w:sz w:val="24"/>
                <w:szCs w:val="24"/>
              </w:rPr>
              <w:t xml:space="preserve"> </w:t>
            </w:r>
            <w:r w:rsidR="006F6BCD" w:rsidRPr="00847279">
              <w:rPr>
                <w:rFonts w:ascii="Times New Roman" w:hAnsi="Times New Roman" w:cs="Times New Roman"/>
                <w:sz w:val="24"/>
                <w:szCs w:val="24"/>
              </w:rPr>
              <w:t>Šajos gadījumos administratīvā akta izdošana ir objektīvi mazsvarīga, jo</w:t>
            </w:r>
            <w:r w:rsidR="00E97F03" w:rsidRPr="00847279">
              <w:rPr>
                <w:rFonts w:ascii="Times New Roman" w:hAnsi="Times New Roman" w:cs="Times New Roman"/>
                <w:sz w:val="24"/>
                <w:szCs w:val="24"/>
              </w:rPr>
              <w:t xml:space="preserve">, piemēram, </w:t>
            </w:r>
            <w:r w:rsidR="006F6BCD" w:rsidRPr="00847279">
              <w:rPr>
                <w:rFonts w:ascii="Times New Roman" w:hAnsi="Times New Roman" w:cs="Times New Roman"/>
                <w:sz w:val="24"/>
                <w:szCs w:val="24"/>
              </w:rPr>
              <w:t xml:space="preserve"> administratīvā akta izdošanas rezultātā tiek izdots dokuments – speciāla atļauja (licence), kas apliecina administratīvā akta izdošanu, un nodokļu maksātāju interesēs ir svarīgi iegūt attiecīgo dokumentu – speciālo atļauju (licenci), nevis administratīvo aktu</w:t>
            </w:r>
            <w:r w:rsidR="00E97F03" w:rsidRPr="00847279">
              <w:rPr>
                <w:rFonts w:ascii="Times New Roman" w:hAnsi="Times New Roman" w:cs="Times New Roman"/>
                <w:sz w:val="24"/>
                <w:szCs w:val="24"/>
              </w:rPr>
              <w:t>. Savukārt lēmums par speciālās atļaujas (licences) anulēšanu</w:t>
            </w:r>
            <w:r w:rsidR="00DF16A9" w:rsidRPr="00847279">
              <w:rPr>
                <w:rFonts w:ascii="Times New Roman" w:hAnsi="Times New Roman" w:cs="Times New Roman"/>
                <w:sz w:val="24"/>
                <w:szCs w:val="24"/>
              </w:rPr>
              <w:t xml:space="preserve"> tiek </w:t>
            </w:r>
            <w:r w:rsidR="00E97F03" w:rsidRPr="00847279">
              <w:rPr>
                <w:rFonts w:ascii="Times New Roman" w:hAnsi="Times New Roman" w:cs="Times New Roman"/>
                <w:sz w:val="24"/>
                <w:szCs w:val="24"/>
              </w:rPr>
              <w:t>pieņemts, pamatojoties uz nodokļu maksātāja</w:t>
            </w:r>
            <w:r w:rsidR="00DF16A9" w:rsidRPr="00847279">
              <w:rPr>
                <w:rFonts w:ascii="Times New Roman" w:hAnsi="Times New Roman" w:cs="Times New Roman"/>
                <w:sz w:val="24"/>
                <w:szCs w:val="24"/>
              </w:rPr>
              <w:t xml:space="preserve"> iesniegumu, tātad nodokļu maksātājs ir ieinteresēts anulēt speciālo atļauju (licenci)</w:t>
            </w:r>
            <w:r w:rsidR="006F6BCD" w:rsidRPr="00847279">
              <w:rPr>
                <w:rFonts w:ascii="Times New Roman" w:hAnsi="Times New Roman" w:cs="Times New Roman"/>
                <w:sz w:val="24"/>
                <w:szCs w:val="24"/>
              </w:rPr>
              <w:t xml:space="preserve">. </w:t>
            </w:r>
            <w:r w:rsidR="00DF16A9" w:rsidRPr="00847279">
              <w:rPr>
                <w:rFonts w:ascii="Times New Roman" w:hAnsi="Times New Roman" w:cs="Times New Roman"/>
                <w:sz w:val="24"/>
                <w:szCs w:val="24"/>
              </w:rPr>
              <w:t xml:space="preserve"> </w:t>
            </w:r>
            <w:r w:rsidR="00FD17FD" w:rsidRPr="00847279">
              <w:rPr>
                <w:rFonts w:ascii="Times New Roman" w:hAnsi="Times New Roman" w:cs="Times New Roman"/>
                <w:sz w:val="24"/>
                <w:szCs w:val="24"/>
              </w:rPr>
              <w:t>Minētajos gad</w:t>
            </w:r>
            <w:r w:rsidR="00036BF5" w:rsidRPr="00847279">
              <w:rPr>
                <w:rFonts w:ascii="Times New Roman" w:hAnsi="Times New Roman" w:cs="Times New Roman"/>
                <w:sz w:val="24"/>
                <w:szCs w:val="24"/>
              </w:rPr>
              <w:t>ī</w:t>
            </w:r>
            <w:r w:rsidR="00FD17FD" w:rsidRPr="00847279">
              <w:rPr>
                <w:rFonts w:ascii="Times New Roman" w:hAnsi="Times New Roman" w:cs="Times New Roman"/>
                <w:sz w:val="24"/>
                <w:szCs w:val="24"/>
              </w:rPr>
              <w:t>jumos administratīvais akts uzskatāms par paziņotu</w:t>
            </w:r>
            <w:r w:rsidR="006F6BCD" w:rsidRPr="00847279">
              <w:rPr>
                <w:rFonts w:ascii="Times New Roman" w:hAnsi="Times New Roman" w:cs="Times New Roman"/>
                <w:sz w:val="24"/>
                <w:szCs w:val="24"/>
              </w:rPr>
              <w:t xml:space="preserve"> un paziņojums par pieņemto lēmumu tiks nosūtīts</w:t>
            </w:r>
            <w:r w:rsidR="00FD17FD" w:rsidRPr="00847279">
              <w:rPr>
                <w:rFonts w:ascii="Times New Roman" w:hAnsi="Times New Roman" w:cs="Times New Roman"/>
                <w:sz w:val="24"/>
                <w:szCs w:val="24"/>
              </w:rPr>
              <w:t xml:space="preserve"> saskaņā ar likuma "Par nodokļiem un nodevām" 7.</w:t>
            </w:r>
            <w:r w:rsidR="00FD17FD" w:rsidRPr="00847279">
              <w:rPr>
                <w:rFonts w:ascii="Times New Roman" w:hAnsi="Times New Roman" w:cs="Times New Roman"/>
                <w:sz w:val="24"/>
                <w:szCs w:val="24"/>
                <w:vertAlign w:val="superscript"/>
              </w:rPr>
              <w:t>2</w:t>
            </w:r>
            <w:r w:rsidR="00FD17FD" w:rsidRPr="00847279">
              <w:rPr>
                <w:rFonts w:ascii="Times New Roman" w:hAnsi="Times New Roman" w:cs="Times New Roman"/>
                <w:sz w:val="24"/>
                <w:szCs w:val="24"/>
              </w:rPr>
              <w:t> pantā notei</w:t>
            </w:r>
            <w:r w:rsidR="00036BF5" w:rsidRPr="00847279">
              <w:rPr>
                <w:rFonts w:ascii="Times New Roman" w:hAnsi="Times New Roman" w:cs="Times New Roman"/>
                <w:sz w:val="24"/>
                <w:szCs w:val="24"/>
              </w:rPr>
              <w:t>kt</w:t>
            </w:r>
            <w:r w:rsidR="00FD17FD" w:rsidRPr="00847279">
              <w:rPr>
                <w:rFonts w:ascii="Times New Roman" w:hAnsi="Times New Roman" w:cs="Times New Roman"/>
                <w:sz w:val="24"/>
                <w:szCs w:val="24"/>
              </w:rPr>
              <w:t>o</w:t>
            </w:r>
            <w:r w:rsidR="00036BF5" w:rsidRPr="00847279">
              <w:rPr>
                <w:rFonts w:ascii="Times New Roman" w:hAnsi="Times New Roman" w:cs="Times New Roman"/>
                <w:sz w:val="24"/>
                <w:szCs w:val="24"/>
              </w:rPr>
              <w:t>.</w:t>
            </w:r>
          </w:p>
          <w:p w14:paraId="3B97477B" w14:textId="667CC07E" w:rsidR="000975BF" w:rsidRPr="00235AD3" w:rsidRDefault="000975BF" w:rsidP="00130A7D">
            <w:pPr>
              <w:tabs>
                <w:tab w:val="left" w:pos="250"/>
              </w:tabs>
              <w:spacing w:after="0" w:line="240" w:lineRule="auto"/>
              <w:ind w:left="117" w:firstLine="275"/>
              <w:jc w:val="both"/>
              <w:rPr>
                <w:rFonts w:ascii="Times New Roman" w:hAnsi="Times New Roman" w:cs="Times New Roman"/>
                <w:sz w:val="24"/>
                <w:szCs w:val="24"/>
              </w:rPr>
            </w:pPr>
          </w:p>
          <w:p w14:paraId="5AF19E87" w14:textId="74BB21E2" w:rsidR="000975BF" w:rsidRPr="001934A1" w:rsidRDefault="00210D8F" w:rsidP="00E122EC">
            <w:pPr>
              <w:pStyle w:val="ListParagraph"/>
              <w:numPr>
                <w:ilvl w:val="0"/>
                <w:numId w:val="22"/>
              </w:numPr>
              <w:tabs>
                <w:tab w:val="left" w:pos="250"/>
              </w:tabs>
              <w:ind w:left="119" w:firstLine="0"/>
              <w:jc w:val="both"/>
            </w:pPr>
            <w:r w:rsidRPr="00235AD3">
              <w:t>Ņemot vērā, ka personas, kas ir akcīzes nodokļa maksātāji, saziņai ar Valsts ieņēmumu dienestu  izmanto Valsts ieņēmumu dienesta Elektroniskās deklarēšanas sistēmu, kurā ir atrodami strukturēti iesniedzamie dokumenti, kurā tiek iesniegtas nepieciešamās informatīvās un nodokļu deklarācijas, likumā ir nepieciešams noteikt normu, ka šāda elektroniska saziņa tiek veikta, izmantojot Valsts ieņēmumu dienesta Elektroniskās deklarēšanas sistēmu. Savukārt gadījumos, kad saziņ</w:t>
            </w:r>
            <w:r w:rsidR="00C11E1B" w:rsidRPr="00235AD3">
              <w:t>u</w:t>
            </w:r>
            <w:r w:rsidRPr="00235AD3">
              <w:t xml:space="preserve"> nav </w:t>
            </w:r>
            <w:r w:rsidRPr="001934A1">
              <w:t xml:space="preserve">iespējams veikt elektroniski, tad tiek saglabāta iespēja, ka to var veikt arī citādi, piemēram, iesniegumu </w:t>
            </w:r>
            <w:r w:rsidR="00DE0555" w:rsidRPr="001934A1">
              <w:t xml:space="preserve">vai dokumentu </w:t>
            </w:r>
            <w:r w:rsidRPr="001934A1">
              <w:t>iesniedzot papīra formātā. Līdz ar to ir nepieciešams papildināt likuma 2.pantu ar daļu, ka</w:t>
            </w:r>
            <w:r w:rsidR="00C11E1B" w:rsidRPr="001934A1">
              <w:t>s</w:t>
            </w:r>
            <w:r w:rsidRPr="001934A1">
              <w:t xml:space="preserve"> paredz, ka </w:t>
            </w:r>
            <w:r w:rsidRPr="001934A1">
              <w:rPr>
                <w:bCs/>
              </w:rPr>
              <w:t>persona saziņu ar Valsts ieņēmumu dienestu veic elektroniski, izmantojot Valsts ieņēmumu dienesta Elektroniskās deklarēšan</w:t>
            </w:r>
            <w:r w:rsidR="00865EF3" w:rsidRPr="001934A1">
              <w:rPr>
                <w:bCs/>
              </w:rPr>
              <w:t>a</w:t>
            </w:r>
            <w:r w:rsidRPr="001934A1">
              <w:rPr>
                <w:bCs/>
              </w:rPr>
              <w:t xml:space="preserve">s sistēmu, ja </w:t>
            </w:r>
            <w:r w:rsidR="00E122EC">
              <w:rPr>
                <w:bCs/>
              </w:rPr>
              <w:t xml:space="preserve">šajā likumā  </w:t>
            </w:r>
            <w:r w:rsidR="00E122EC" w:rsidRPr="00E122EC">
              <w:rPr>
                <w:bCs/>
              </w:rPr>
              <w:t>un c</w:t>
            </w:r>
            <w:r w:rsidR="00E122EC">
              <w:rPr>
                <w:bCs/>
              </w:rPr>
              <w:t xml:space="preserve">itos likumos </w:t>
            </w:r>
            <w:r w:rsidRPr="001934A1">
              <w:rPr>
                <w:bCs/>
              </w:rPr>
              <w:t>nav noteikts citādi</w:t>
            </w:r>
            <w:r w:rsidR="003A76FB" w:rsidRPr="001934A1">
              <w:rPr>
                <w:bCs/>
              </w:rPr>
              <w:t>.</w:t>
            </w:r>
          </w:p>
          <w:p w14:paraId="0E5AA77F" w14:textId="32B04575" w:rsidR="00A374DC" w:rsidRPr="001934A1" w:rsidRDefault="00A374DC" w:rsidP="007D4E4E">
            <w:pPr>
              <w:tabs>
                <w:tab w:val="left" w:pos="250"/>
              </w:tabs>
              <w:spacing w:after="0" w:line="240" w:lineRule="auto"/>
              <w:ind w:left="117" w:firstLine="275"/>
              <w:jc w:val="both"/>
              <w:rPr>
                <w:rFonts w:ascii="Times New Roman" w:eastAsia="Calibri" w:hAnsi="Times New Roman" w:cs="Times New Roman"/>
                <w:color w:val="44546A"/>
                <w:sz w:val="24"/>
                <w:szCs w:val="24"/>
              </w:rPr>
            </w:pPr>
          </w:p>
          <w:p w14:paraId="5907D561" w14:textId="6F19E6DB" w:rsidR="00B40827" w:rsidRPr="00235AD3" w:rsidRDefault="00B40827" w:rsidP="00AC21F4">
            <w:pPr>
              <w:pStyle w:val="ListParagraph"/>
              <w:numPr>
                <w:ilvl w:val="0"/>
                <w:numId w:val="22"/>
              </w:numPr>
              <w:tabs>
                <w:tab w:val="left" w:pos="250"/>
              </w:tabs>
              <w:ind w:left="117" w:firstLine="275"/>
              <w:jc w:val="both"/>
              <w:rPr>
                <w:rFonts w:eastAsia="Calibri"/>
              </w:rPr>
            </w:pPr>
            <w:r w:rsidRPr="00235AD3">
              <w:rPr>
                <w:rFonts w:eastAsia="Calibri"/>
              </w:rPr>
              <w:t>Likuma 3.</w:t>
            </w:r>
            <w:r w:rsidR="002E4F1C" w:rsidRPr="00235AD3">
              <w:rPr>
                <w:rFonts w:eastAsia="Calibri"/>
              </w:rPr>
              <w:t> </w:t>
            </w:r>
            <w:r w:rsidRPr="00235AD3">
              <w:rPr>
                <w:rFonts w:eastAsia="Calibri"/>
              </w:rPr>
              <w:t xml:space="preserve">panta trešās </w:t>
            </w:r>
            <w:r w:rsidR="00DF2D95" w:rsidRPr="00235AD3">
              <w:rPr>
                <w:rFonts w:eastAsia="Calibri"/>
              </w:rPr>
              <w:t>daļas 2.</w:t>
            </w:r>
            <w:r w:rsidR="002E4F1C" w:rsidRPr="00235AD3">
              <w:rPr>
                <w:rFonts w:eastAsia="Calibri"/>
              </w:rPr>
              <w:t> </w:t>
            </w:r>
            <w:r w:rsidR="00DF2D95" w:rsidRPr="00235AD3">
              <w:rPr>
                <w:rFonts w:eastAsia="Calibri"/>
              </w:rPr>
              <w:t xml:space="preserve">punktā ir </w:t>
            </w:r>
            <w:r w:rsidRPr="00235AD3">
              <w:rPr>
                <w:rFonts w:eastAsia="Calibri"/>
              </w:rPr>
              <w:t>notei</w:t>
            </w:r>
            <w:r w:rsidR="00DF2D95" w:rsidRPr="00235AD3">
              <w:rPr>
                <w:rFonts w:eastAsia="Calibri"/>
              </w:rPr>
              <w:t>k</w:t>
            </w:r>
            <w:r w:rsidRPr="00235AD3">
              <w:rPr>
                <w:rFonts w:eastAsia="Calibri"/>
              </w:rPr>
              <w:t>ts, kādi produkti ir uzskatāmi par dzirkstošo vīnu, un ceturtās daļas 2.</w:t>
            </w:r>
            <w:r w:rsidR="002E4F1C" w:rsidRPr="00235AD3">
              <w:rPr>
                <w:rFonts w:eastAsia="Calibri"/>
              </w:rPr>
              <w:t> </w:t>
            </w:r>
            <w:r w:rsidRPr="00235AD3">
              <w:rPr>
                <w:rFonts w:eastAsia="Calibri"/>
              </w:rPr>
              <w:t>punktā ir noteikts, kādi produkti ir uzskatāmi par dzirkstošiem raudzētajiem dzērieniem</w:t>
            </w:r>
            <w:r w:rsidR="006670AE" w:rsidRPr="00235AD3">
              <w:rPr>
                <w:rFonts w:eastAsia="Calibri"/>
              </w:rPr>
              <w:t>. Minētajās norm</w:t>
            </w:r>
            <w:r w:rsidR="00134355" w:rsidRPr="00235AD3">
              <w:rPr>
                <w:rFonts w:eastAsia="Calibri"/>
              </w:rPr>
              <w:t>ā</w:t>
            </w:r>
            <w:r w:rsidR="006670AE" w:rsidRPr="00235AD3">
              <w:rPr>
                <w:rFonts w:eastAsia="Calibri"/>
              </w:rPr>
              <w:t>s ir</w:t>
            </w:r>
            <w:r w:rsidRPr="00235AD3">
              <w:rPr>
                <w:rFonts w:eastAsia="Calibri"/>
              </w:rPr>
              <w:t xml:space="preserve"> atsauc</w:t>
            </w:r>
            <w:r w:rsidR="006670AE" w:rsidRPr="00235AD3">
              <w:rPr>
                <w:rFonts w:eastAsia="Calibri"/>
              </w:rPr>
              <w:t>es</w:t>
            </w:r>
            <w:r w:rsidRPr="00235AD3">
              <w:rPr>
                <w:rFonts w:eastAsia="Calibri"/>
              </w:rPr>
              <w:t xml:space="preserve"> uz Kombinētās nomenklatūras preču pozīcijām.</w:t>
            </w:r>
          </w:p>
          <w:p w14:paraId="66056AB8" w14:textId="4A8917E4" w:rsidR="00EE3A5B" w:rsidRPr="00235AD3" w:rsidRDefault="00B40827" w:rsidP="007D4E4E">
            <w:pPr>
              <w:tabs>
                <w:tab w:val="left" w:pos="250"/>
              </w:tabs>
              <w:spacing w:after="0" w:line="240" w:lineRule="auto"/>
              <w:ind w:left="117" w:firstLine="275"/>
              <w:jc w:val="both"/>
              <w:rPr>
                <w:rFonts w:ascii="Times New Roman" w:eastAsia="Calibri" w:hAnsi="Times New Roman" w:cs="Times New Roman"/>
                <w:sz w:val="24"/>
                <w:szCs w:val="24"/>
              </w:rPr>
            </w:pPr>
            <w:r w:rsidRPr="00235AD3">
              <w:rPr>
                <w:rFonts w:ascii="Times New Roman" w:eastAsia="Calibri" w:hAnsi="Times New Roman" w:cs="Times New Roman"/>
                <w:sz w:val="24"/>
                <w:szCs w:val="24"/>
              </w:rPr>
              <w:t>Ir pieņemta Padomes 2020.</w:t>
            </w:r>
            <w:r w:rsidR="002E4F1C" w:rsidRPr="00235AD3">
              <w:rPr>
                <w:rFonts w:ascii="Times New Roman" w:eastAsia="Calibri" w:hAnsi="Times New Roman" w:cs="Times New Roman"/>
                <w:sz w:val="24"/>
                <w:szCs w:val="24"/>
              </w:rPr>
              <w:t> </w:t>
            </w:r>
            <w:r w:rsidRPr="00235AD3">
              <w:rPr>
                <w:rFonts w:ascii="Times New Roman" w:eastAsia="Calibri" w:hAnsi="Times New Roman" w:cs="Times New Roman"/>
                <w:sz w:val="24"/>
                <w:szCs w:val="24"/>
              </w:rPr>
              <w:t>gada 29.</w:t>
            </w:r>
            <w:r w:rsidR="002E4F1C" w:rsidRPr="00235AD3">
              <w:rPr>
                <w:rFonts w:ascii="Times New Roman" w:eastAsia="Calibri" w:hAnsi="Times New Roman" w:cs="Times New Roman"/>
                <w:sz w:val="24"/>
                <w:szCs w:val="24"/>
              </w:rPr>
              <w:t> </w:t>
            </w:r>
            <w:r w:rsidRPr="00235AD3">
              <w:rPr>
                <w:rFonts w:ascii="Times New Roman" w:eastAsia="Calibri" w:hAnsi="Times New Roman" w:cs="Times New Roman"/>
                <w:sz w:val="24"/>
                <w:szCs w:val="24"/>
              </w:rPr>
              <w:t>jūlija direktīva (ES) 2020/1151, ar ko groza Direktīvu 92/83/EEK par to, kā saskaņojams akcīzes nodoklis spirtam un alkoholiskajiem dzērieniem (tu</w:t>
            </w:r>
            <w:r w:rsidR="006670AE" w:rsidRPr="00235AD3">
              <w:rPr>
                <w:rFonts w:ascii="Times New Roman" w:eastAsia="Calibri" w:hAnsi="Times New Roman" w:cs="Times New Roman"/>
                <w:sz w:val="24"/>
                <w:szCs w:val="24"/>
              </w:rPr>
              <w:t>rpmāk – direktīva 2020/1151/ES). Direktīva 2020/1151/ES</w:t>
            </w:r>
            <w:r w:rsidRPr="00235AD3">
              <w:rPr>
                <w:rFonts w:ascii="Times New Roman" w:eastAsia="Calibri" w:hAnsi="Times New Roman" w:cs="Times New Roman"/>
                <w:sz w:val="24"/>
                <w:szCs w:val="24"/>
              </w:rPr>
              <w:t xml:space="preserve"> </w:t>
            </w:r>
            <w:r w:rsidR="00FC4D58" w:rsidRPr="00235AD3">
              <w:rPr>
                <w:rFonts w:ascii="Times New Roman" w:eastAsia="Calibri" w:hAnsi="Times New Roman" w:cs="Times New Roman"/>
                <w:sz w:val="24"/>
                <w:szCs w:val="24"/>
              </w:rPr>
              <w:t>paredz, ka ar terminu “dzirkstošie vīni” apzīmē visus produktus, kas atbilst</w:t>
            </w:r>
            <w:r w:rsidR="00134355" w:rsidRPr="00235AD3">
              <w:rPr>
                <w:rFonts w:ascii="Times New Roman" w:eastAsia="Calibri" w:hAnsi="Times New Roman" w:cs="Times New Roman"/>
                <w:sz w:val="24"/>
                <w:szCs w:val="24"/>
              </w:rPr>
              <w:t xml:space="preserve"> Kombinētās nomenklatūras </w:t>
            </w:r>
            <w:r w:rsidR="006670AE" w:rsidRPr="00235AD3">
              <w:rPr>
                <w:rFonts w:ascii="Times New Roman" w:eastAsia="Calibri" w:hAnsi="Times New Roman" w:cs="Times New Roman"/>
                <w:sz w:val="24"/>
                <w:szCs w:val="24"/>
              </w:rPr>
              <w:t>2204 10</w:t>
            </w:r>
            <w:r w:rsidR="00134355" w:rsidRPr="00235AD3">
              <w:rPr>
                <w:rFonts w:ascii="Times New Roman" w:eastAsia="Calibri" w:hAnsi="Times New Roman" w:cs="Times New Roman"/>
                <w:sz w:val="24"/>
                <w:szCs w:val="24"/>
              </w:rPr>
              <w:t>.</w:t>
            </w:r>
            <w:r w:rsidR="006670AE" w:rsidRPr="00235AD3">
              <w:rPr>
                <w:rFonts w:ascii="Times New Roman" w:eastAsia="Calibri" w:hAnsi="Times New Roman" w:cs="Times New Roman"/>
                <w:sz w:val="24"/>
                <w:szCs w:val="24"/>
              </w:rPr>
              <w:t>, 2204 21 06</w:t>
            </w:r>
            <w:r w:rsidR="00134355" w:rsidRPr="00235AD3">
              <w:rPr>
                <w:rFonts w:ascii="Times New Roman" w:eastAsia="Calibri" w:hAnsi="Times New Roman" w:cs="Times New Roman"/>
                <w:sz w:val="24"/>
                <w:szCs w:val="24"/>
              </w:rPr>
              <w:t>.</w:t>
            </w:r>
            <w:r w:rsidR="006670AE" w:rsidRPr="00235AD3">
              <w:rPr>
                <w:rFonts w:ascii="Times New Roman" w:eastAsia="Calibri" w:hAnsi="Times New Roman" w:cs="Times New Roman"/>
                <w:sz w:val="24"/>
                <w:szCs w:val="24"/>
              </w:rPr>
              <w:t>, 2204 21 07</w:t>
            </w:r>
            <w:r w:rsidR="00134355" w:rsidRPr="00235AD3">
              <w:rPr>
                <w:rFonts w:ascii="Times New Roman" w:eastAsia="Calibri" w:hAnsi="Times New Roman" w:cs="Times New Roman"/>
                <w:sz w:val="24"/>
                <w:szCs w:val="24"/>
              </w:rPr>
              <w:t>.</w:t>
            </w:r>
            <w:r w:rsidR="006670AE" w:rsidRPr="00235AD3">
              <w:rPr>
                <w:rFonts w:ascii="Times New Roman" w:eastAsia="Calibri" w:hAnsi="Times New Roman" w:cs="Times New Roman"/>
                <w:sz w:val="24"/>
                <w:szCs w:val="24"/>
              </w:rPr>
              <w:t>, 2204 21 08</w:t>
            </w:r>
            <w:r w:rsidR="00134355" w:rsidRPr="00235AD3">
              <w:rPr>
                <w:rFonts w:ascii="Times New Roman" w:eastAsia="Calibri" w:hAnsi="Times New Roman" w:cs="Times New Roman"/>
                <w:sz w:val="24"/>
                <w:szCs w:val="24"/>
              </w:rPr>
              <w:t>.</w:t>
            </w:r>
            <w:r w:rsidR="006670AE" w:rsidRPr="00235AD3">
              <w:rPr>
                <w:rFonts w:ascii="Times New Roman" w:eastAsia="Calibri" w:hAnsi="Times New Roman" w:cs="Times New Roman"/>
                <w:sz w:val="24"/>
                <w:szCs w:val="24"/>
              </w:rPr>
              <w:t>, 2204 21 09</w:t>
            </w:r>
            <w:r w:rsidR="00134355" w:rsidRPr="00235AD3">
              <w:rPr>
                <w:rFonts w:ascii="Times New Roman" w:eastAsia="Calibri" w:hAnsi="Times New Roman" w:cs="Times New Roman"/>
                <w:sz w:val="24"/>
                <w:szCs w:val="24"/>
              </w:rPr>
              <w:t>.</w:t>
            </w:r>
            <w:r w:rsidR="006670AE" w:rsidRPr="00235AD3">
              <w:rPr>
                <w:rFonts w:ascii="Times New Roman" w:eastAsia="Calibri" w:hAnsi="Times New Roman" w:cs="Times New Roman"/>
                <w:sz w:val="24"/>
                <w:szCs w:val="24"/>
              </w:rPr>
              <w:t>, 2204 29 10</w:t>
            </w:r>
            <w:r w:rsidR="00134355" w:rsidRPr="00235AD3">
              <w:rPr>
                <w:rFonts w:ascii="Times New Roman" w:eastAsia="Calibri" w:hAnsi="Times New Roman" w:cs="Times New Roman"/>
                <w:sz w:val="24"/>
                <w:szCs w:val="24"/>
              </w:rPr>
              <w:t>.</w:t>
            </w:r>
            <w:r w:rsidR="006670AE" w:rsidRPr="00235AD3">
              <w:rPr>
                <w:rFonts w:ascii="Times New Roman" w:eastAsia="Calibri" w:hAnsi="Times New Roman" w:cs="Times New Roman"/>
                <w:sz w:val="24"/>
                <w:szCs w:val="24"/>
              </w:rPr>
              <w:t xml:space="preserve"> un </w:t>
            </w:r>
            <w:r w:rsidR="006670AE" w:rsidRPr="00235AD3">
              <w:rPr>
                <w:rFonts w:ascii="Times New Roman" w:eastAsia="Calibri" w:hAnsi="Times New Roman" w:cs="Times New Roman"/>
                <w:sz w:val="24"/>
                <w:szCs w:val="24"/>
              </w:rPr>
              <w:lastRenderedPageBreak/>
              <w:t>2205</w:t>
            </w:r>
            <w:r w:rsidR="00134355" w:rsidRPr="00235AD3">
              <w:rPr>
                <w:rFonts w:ascii="Times New Roman" w:eastAsia="Calibri" w:hAnsi="Times New Roman" w:cs="Times New Roman"/>
                <w:sz w:val="24"/>
                <w:szCs w:val="24"/>
              </w:rPr>
              <w:t>.preču pozīc</w:t>
            </w:r>
            <w:r w:rsidR="000E6B8B" w:rsidRPr="00235AD3">
              <w:rPr>
                <w:rFonts w:ascii="Times New Roman" w:eastAsia="Calibri" w:hAnsi="Times New Roman" w:cs="Times New Roman"/>
                <w:sz w:val="24"/>
                <w:szCs w:val="24"/>
              </w:rPr>
              <w:t>ij</w:t>
            </w:r>
            <w:r w:rsidR="00134355" w:rsidRPr="00235AD3">
              <w:rPr>
                <w:rFonts w:ascii="Times New Roman" w:eastAsia="Calibri" w:hAnsi="Times New Roman" w:cs="Times New Roman"/>
                <w:sz w:val="24"/>
                <w:szCs w:val="24"/>
              </w:rPr>
              <w:t xml:space="preserve">ām, savukārt </w:t>
            </w:r>
            <w:r w:rsidR="000E6B8B" w:rsidRPr="00235AD3">
              <w:rPr>
                <w:rFonts w:ascii="Times New Roman" w:eastAsia="Calibri" w:hAnsi="Times New Roman" w:cs="Times New Roman"/>
                <w:sz w:val="24"/>
                <w:szCs w:val="24"/>
              </w:rPr>
              <w:t>ar terminu “citi dzirkstošie raudzētie dzērieni” apzīmē visus produktus, kas atbilst Kombinētās nomenklatūras 2206 00 31</w:t>
            </w:r>
            <w:r w:rsidR="00DF2D95" w:rsidRPr="00235AD3">
              <w:rPr>
                <w:rFonts w:ascii="Times New Roman" w:eastAsia="Calibri" w:hAnsi="Times New Roman" w:cs="Times New Roman"/>
                <w:sz w:val="24"/>
                <w:szCs w:val="24"/>
              </w:rPr>
              <w:t>.</w:t>
            </w:r>
            <w:r w:rsidR="000E6B8B" w:rsidRPr="00235AD3">
              <w:rPr>
                <w:rFonts w:ascii="Times New Roman" w:eastAsia="Calibri" w:hAnsi="Times New Roman" w:cs="Times New Roman"/>
                <w:sz w:val="24"/>
                <w:szCs w:val="24"/>
              </w:rPr>
              <w:t xml:space="preserve"> un 2206 00 39</w:t>
            </w:r>
            <w:r w:rsidR="00DF2D95" w:rsidRPr="00235AD3">
              <w:rPr>
                <w:rFonts w:ascii="Times New Roman" w:eastAsia="Calibri" w:hAnsi="Times New Roman" w:cs="Times New Roman"/>
                <w:sz w:val="24"/>
                <w:szCs w:val="24"/>
              </w:rPr>
              <w:t>.preču pozīcijai</w:t>
            </w:r>
            <w:r w:rsidR="000E6B8B" w:rsidRPr="00235AD3">
              <w:rPr>
                <w:rFonts w:ascii="Times New Roman" w:eastAsia="Calibri" w:hAnsi="Times New Roman" w:cs="Times New Roman"/>
                <w:sz w:val="24"/>
                <w:szCs w:val="24"/>
              </w:rPr>
              <w:t xml:space="preserve">, kā arī produktus, kas atbilst </w:t>
            </w:r>
            <w:r w:rsidR="00DF2D95" w:rsidRPr="00235AD3">
              <w:rPr>
                <w:rFonts w:ascii="Times New Roman" w:eastAsia="Calibri" w:hAnsi="Times New Roman" w:cs="Times New Roman"/>
                <w:sz w:val="24"/>
                <w:szCs w:val="24"/>
              </w:rPr>
              <w:t>Kombinētās nomenklatūras</w:t>
            </w:r>
            <w:r w:rsidR="000E6B8B" w:rsidRPr="00235AD3">
              <w:rPr>
                <w:rFonts w:ascii="Times New Roman" w:eastAsia="Calibri" w:hAnsi="Times New Roman" w:cs="Times New Roman"/>
                <w:sz w:val="24"/>
                <w:szCs w:val="24"/>
              </w:rPr>
              <w:t xml:space="preserve"> 2204 10</w:t>
            </w:r>
            <w:r w:rsidR="00DF2D95" w:rsidRPr="00235AD3">
              <w:rPr>
                <w:rFonts w:ascii="Times New Roman" w:eastAsia="Calibri" w:hAnsi="Times New Roman" w:cs="Times New Roman"/>
                <w:sz w:val="24"/>
                <w:szCs w:val="24"/>
              </w:rPr>
              <w:t>.</w:t>
            </w:r>
            <w:r w:rsidR="000E6B8B" w:rsidRPr="00235AD3">
              <w:rPr>
                <w:rFonts w:ascii="Times New Roman" w:eastAsia="Calibri" w:hAnsi="Times New Roman" w:cs="Times New Roman"/>
                <w:sz w:val="24"/>
                <w:szCs w:val="24"/>
              </w:rPr>
              <w:t>, 2204 21 06</w:t>
            </w:r>
            <w:r w:rsidR="00DF2D95" w:rsidRPr="00235AD3">
              <w:rPr>
                <w:rFonts w:ascii="Times New Roman" w:eastAsia="Calibri" w:hAnsi="Times New Roman" w:cs="Times New Roman"/>
                <w:sz w:val="24"/>
                <w:szCs w:val="24"/>
              </w:rPr>
              <w:t>., 2204 </w:t>
            </w:r>
            <w:r w:rsidR="000E6B8B" w:rsidRPr="00235AD3">
              <w:rPr>
                <w:rFonts w:ascii="Times New Roman" w:eastAsia="Calibri" w:hAnsi="Times New Roman" w:cs="Times New Roman"/>
                <w:sz w:val="24"/>
                <w:szCs w:val="24"/>
              </w:rPr>
              <w:t>21</w:t>
            </w:r>
            <w:r w:rsidR="00DF2D95" w:rsidRPr="00235AD3">
              <w:rPr>
                <w:rFonts w:ascii="Times New Roman" w:eastAsia="Calibri" w:hAnsi="Times New Roman" w:cs="Times New Roman"/>
                <w:sz w:val="24"/>
                <w:szCs w:val="24"/>
              </w:rPr>
              <w:t> </w:t>
            </w:r>
            <w:r w:rsidR="000E6B8B" w:rsidRPr="00235AD3">
              <w:rPr>
                <w:rFonts w:ascii="Times New Roman" w:eastAsia="Calibri" w:hAnsi="Times New Roman" w:cs="Times New Roman"/>
                <w:sz w:val="24"/>
                <w:szCs w:val="24"/>
              </w:rPr>
              <w:t>07</w:t>
            </w:r>
            <w:r w:rsidR="00DF2D95" w:rsidRPr="00235AD3">
              <w:rPr>
                <w:rFonts w:ascii="Times New Roman" w:eastAsia="Calibri" w:hAnsi="Times New Roman" w:cs="Times New Roman"/>
                <w:sz w:val="24"/>
                <w:szCs w:val="24"/>
              </w:rPr>
              <w:t>.</w:t>
            </w:r>
            <w:r w:rsidR="000E6B8B" w:rsidRPr="00235AD3">
              <w:rPr>
                <w:rFonts w:ascii="Times New Roman" w:eastAsia="Calibri" w:hAnsi="Times New Roman" w:cs="Times New Roman"/>
                <w:sz w:val="24"/>
                <w:szCs w:val="24"/>
              </w:rPr>
              <w:t>, 2204 21 08</w:t>
            </w:r>
            <w:r w:rsidR="00DF2D95" w:rsidRPr="00235AD3">
              <w:rPr>
                <w:rFonts w:ascii="Times New Roman" w:eastAsia="Calibri" w:hAnsi="Times New Roman" w:cs="Times New Roman"/>
                <w:sz w:val="24"/>
                <w:szCs w:val="24"/>
              </w:rPr>
              <w:t>.</w:t>
            </w:r>
            <w:r w:rsidR="000E6B8B" w:rsidRPr="00235AD3">
              <w:rPr>
                <w:rFonts w:ascii="Times New Roman" w:eastAsia="Calibri" w:hAnsi="Times New Roman" w:cs="Times New Roman"/>
                <w:sz w:val="24"/>
                <w:szCs w:val="24"/>
              </w:rPr>
              <w:t>, 2204 21 09</w:t>
            </w:r>
            <w:r w:rsidR="00DF2D95" w:rsidRPr="00235AD3">
              <w:rPr>
                <w:rFonts w:ascii="Times New Roman" w:eastAsia="Calibri" w:hAnsi="Times New Roman" w:cs="Times New Roman"/>
                <w:sz w:val="24"/>
                <w:szCs w:val="24"/>
              </w:rPr>
              <w:t>.</w:t>
            </w:r>
            <w:r w:rsidR="000E6B8B" w:rsidRPr="00235AD3">
              <w:rPr>
                <w:rFonts w:ascii="Times New Roman" w:eastAsia="Calibri" w:hAnsi="Times New Roman" w:cs="Times New Roman"/>
                <w:sz w:val="24"/>
                <w:szCs w:val="24"/>
              </w:rPr>
              <w:t>, 2204 29 10</w:t>
            </w:r>
            <w:r w:rsidR="00DF2D95" w:rsidRPr="00235AD3">
              <w:rPr>
                <w:rFonts w:ascii="Times New Roman" w:eastAsia="Calibri" w:hAnsi="Times New Roman" w:cs="Times New Roman"/>
                <w:sz w:val="24"/>
                <w:szCs w:val="24"/>
              </w:rPr>
              <w:t>.</w:t>
            </w:r>
            <w:r w:rsidR="000E6B8B" w:rsidRPr="00235AD3">
              <w:rPr>
                <w:rFonts w:ascii="Times New Roman" w:eastAsia="Calibri" w:hAnsi="Times New Roman" w:cs="Times New Roman"/>
                <w:sz w:val="24"/>
                <w:szCs w:val="24"/>
              </w:rPr>
              <w:t xml:space="preserve"> un 2205</w:t>
            </w:r>
            <w:r w:rsidR="00DF2D95" w:rsidRPr="00235AD3">
              <w:rPr>
                <w:rFonts w:ascii="Times New Roman" w:eastAsia="Calibri" w:hAnsi="Times New Roman" w:cs="Times New Roman"/>
                <w:sz w:val="24"/>
                <w:szCs w:val="24"/>
              </w:rPr>
              <w:t>.preču pozīcijai.</w:t>
            </w:r>
            <w:r w:rsidR="00EE3A5B" w:rsidRPr="00235AD3">
              <w:rPr>
                <w:rFonts w:ascii="Times New Roman" w:eastAsia="Calibri" w:hAnsi="Times New Roman" w:cs="Times New Roman"/>
                <w:sz w:val="24"/>
                <w:szCs w:val="24"/>
              </w:rPr>
              <w:t xml:space="preserve"> Direktīvā 2020/1151/ES minētos noteikumus piemēro no 2022.</w:t>
            </w:r>
            <w:r w:rsidR="002E4F1C" w:rsidRPr="00235AD3">
              <w:rPr>
                <w:rFonts w:ascii="Times New Roman" w:eastAsia="Calibri" w:hAnsi="Times New Roman" w:cs="Times New Roman"/>
                <w:sz w:val="24"/>
                <w:szCs w:val="24"/>
              </w:rPr>
              <w:t> </w:t>
            </w:r>
            <w:r w:rsidR="00EE3A5B" w:rsidRPr="00235AD3">
              <w:rPr>
                <w:rFonts w:ascii="Times New Roman" w:eastAsia="Calibri" w:hAnsi="Times New Roman" w:cs="Times New Roman"/>
                <w:sz w:val="24"/>
                <w:szCs w:val="24"/>
              </w:rPr>
              <w:t>gada 1.</w:t>
            </w:r>
            <w:r w:rsidR="002E4F1C" w:rsidRPr="00235AD3">
              <w:rPr>
                <w:rFonts w:ascii="Times New Roman" w:eastAsia="Calibri" w:hAnsi="Times New Roman" w:cs="Times New Roman"/>
                <w:sz w:val="24"/>
                <w:szCs w:val="24"/>
              </w:rPr>
              <w:t> </w:t>
            </w:r>
            <w:r w:rsidR="00EE3A5B" w:rsidRPr="00235AD3">
              <w:rPr>
                <w:rFonts w:ascii="Times New Roman" w:eastAsia="Calibri" w:hAnsi="Times New Roman" w:cs="Times New Roman"/>
                <w:sz w:val="24"/>
                <w:szCs w:val="24"/>
              </w:rPr>
              <w:t xml:space="preserve">janvāra.  </w:t>
            </w:r>
          </w:p>
          <w:p w14:paraId="1CC293B1" w14:textId="72D9A920" w:rsidR="00FC4D58" w:rsidRPr="00235AD3" w:rsidRDefault="00EE3A5B" w:rsidP="007D4E4E">
            <w:pPr>
              <w:tabs>
                <w:tab w:val="left" w:pos="250"/>
              </w:tabs>
              <w:spacing w:after="0" w:line="240" w:lineRule="auto"/>
              <w:ind w:left="117" w:firstLine="275"/>
              <w:jc w:val="both"/>
              <w:rPr>
                <w:rFonts w:ascii="Times New Roman" w:eastAsia="Calibri" w:hAnsi="Times New Roman" w:cs="Times New Roman"/>
                <w:sz w:val="24"/>
                <w:szCs w:val="24"/>
              </w:rPr>
            </w:pPr>
            <w:r w:rsidRPr="00235AD3">
              <w:rPr>
                <w:rFonts w:ascii="Times New Roman" w:eastAsia="Calibri" w:hAnsi="Times New Roman" w:cs="Times New Roman"/>
                <w:sz w:val="24"/>
                <w:szCs w:val="24"/>
              </w:rPr>
              <w:t>Līdz ar to ir nepieciešams veikt atbilstošus grozījumus likuma 3.</w:t>
            </w:r>
            <w:r w:rsidR="002E4F1C" w:rsidRPr="00235AD3">
              <w:rPr>
                <w:rFonts w:ascii="Times New Roman" w:eastAsia="Calibri" w:hAnsi="Times New Roman" w:cs="Times New Roman"/>
                <w:sz w:val="24"/>
                <w:szCs w:val="24"/>
              </w:rPr>
              <w:t> </w:t>
            </w:r>
            <w:r w:rsidRPr="00235AD3">
              <w:rPr>
                <w:rFonts w:ascii="Times New Roman" w:eastAsia="Calibri" w:hAnsi="Times New Roman" w:cs="Times New Roman"/>
                <w:sz w:val="24"/>
                <w:szCs w:val="24"/>
              </w:rPr>
              <w:t>panta trešās daļas 2.</w:t>
            </w:r>
            <w:r w:rsidR="002E4F1C" w:rsidRPr="00235AD3">
              <w:rPr>
                <w:rFonts w:ascii="Times New Roman" w:eastAsia="Calibri" w:hAnsi="Times New Roman" w:cs="Times New Roman"/>
                <w:sz w:val="24"/>
                <w:szCs w:val="24"/>
              </w:rPr>
              <w:t> </w:t>
            </w:r>
            <w:r w:rsidRPr="00235AD3">
              <w:rPr>
                <w:rFonts w:ascii="Times New Roman" w:eastAsia="Calibri" w:hAnsi="Times New Roman" w:cs="Times New Roman"/>
                <w:sz w:val="24"/>
                <w:szCs w:val="24"/>
              </w:rPr>
              <w:t>punktā un ceturtās daļas 2.</w:t>
            </w:r>
            <w:r w:rsidR="002E4F1C" w:rsidRPr="00235AD3">
              <w:rPr>
                <w:rFonts w:ascii="Times New Roman" w:eastAsia="Calibri" w:hAnsi="Times New Roman" w:cs="Times New Roman"/>
                <w:sz w:val="24"/>
                <w:szCs w:val="24"/>
              </w:rPr>
              <w:t> </w:t>
            </w:r>
            <w:r w:rsidRPr="00235AD3">
              <w:rPr>
                <w:rFonts w:ascii="Times New Roman" w:eastAsia="Calibri" w:hAnsi="Times New Roman" w:cs="Times New Roman"/>
                <w:sz w:val="24"/>
                <w:szCs w:val="24"/>
              </w:rPr>
              <w:t>punktā, kā arī paredzēt likuma pārejas noteikumos regulējumu, ka minētie grozījumi stājas spēkā 2022.</w:t>
            </w:r>
            <w:r w:rsidR="002E4F1C" w:rsidRPr="00235AD3">
              <w:rPr>
                <w:rFonts w:ascii="Times New Roman" w:eastAsia="Calibri" w:hAnsi="Times New Roman" w:cs="Times New Roman"/>
                <w:sz w:val="24"/>
                <w:szCs w:val="24"/>
              </w:rPr>
              <w:t> </w:t>
            </w:r>
            <w:r w:rsidRPr="00235AD3">
              <w:rPr>
                <w:rFonts w:ascii="Times New Roman" w:eastAsia="Calibri" w:hAnsi="Times New Roman" w:cs="Times New Roman"/>
                <w:sz w:val="24"/>
                <w:szCs w:val="24"/>
              </w:rPr>
              <w:t>gada 1.</w:t>
            </w:r>
            <w:r w:rsidR="002E4F1C" w:rsidRPr="00235AD3">
              <w:rPr>
                <w:rFonts w:ascii="Times New Roman" w:eastAsia="Calibri" w:hAnsi="Times New Roman" w:cs="Times New Roman"/>
                <w:sz w:val="24"/>
                <w:szCs w:val="24"/>
              </w:rPr>
              <w:t> </w:t>
            </w:r>
            <w:r w:rsidRPr="00235AD3">
              <w:rPr>
                <w:rFonts w:ascii="Times New Roman" w:eastAsia="Calibri" w:hAnsi="Times New Roman" w:cs="Times New Roman"/>
                <w:sz w:val="24"/>
                <w:szCs w:val="24"/>
              </w:rPr>
              <w:t>janvārī.</w:t>
            </w:r>
          </w:p>
          <w:p w14:paraId="553A42AA" w14:textId="77777777" w:rsidR="00B40827" w:rsidRPr="00235AD3" w:rsidRDefault="00B40827" w:rsidP="007D4E4E">
            <w:pPr>
              <w:tabs>
                <w:tab w:val="left" w:pos="250"/>
              </w:tabs>
              <w:spacing w:after="0" w:line="240" w:lineRule="auto"/>
              <w:ind w:left="117" w:firstLine="275"/>
              <w:jc w:val="both"/>
              <w:rPr>
                <w:rFonts w:ascii="Times New Roman" w:eastAsia="Calibri" w:hAnsi="Times New Roman" w:cs="Times New Roman"/>
                <w:sz w:val="24"/>
                <w:szCs w:val="24"/>
              </w:rPr>
            </w:pPr>
          </w:p>
          <w:p w14:paraId="3B4B8D36" w14:textId="62BE27C6" w:rsidR="003C590A" w:rsidRPr="00235AD3" w:rsidRDefault="003C590A" w:rsidP="00AC21F4">
            <w:pPr>
              <w:pStyle w:val="ListParagraph"/>
              <w:numPr>
                <w:ilvl w:val="0"/>
                <w:numId w:val="22"/>
              </w:numPr>
              <w:tabs>
                <w:tab w:val="left" w:pos="250"/>
              </w:tabs>
              <w:ind w:left="117" w:firstLine="275"/>
              <w:jc w:val="both"/>
            </w:pPr>
            <w:r w:rsidRPr="00235AD3">
              <w:rPr>
                <w:rFonts w:eastAsia="Calibri"/>
              </w:rPr>
              <w:t>L</w:t>
            </w:r>
            <w:r w:rsidRPr="00235AD3">
              <w:t>ikuma 6.</w:t>
            </w:r>
            <w:r w:rsidRPr="00235AD3">
              <w:rPr>
                <w:vertAlign w:val="superscript"/>
              </w:rPr>
              <w:t>1</w:t>
            </w:r>
            <w:r w:rsidRPr="00235AD3">
              <w:t xml:space="preserve"> panta ceturtā daļa nosaka, ka ar akcīzes nodokli neapliek dabasgāzi, kuru vienotais dabasgāzes pārvades un uzglabāšanas sistēmas operators un dabasgāzes sadales sistēmas operators izlieto dabasgāzes pārvades, uzglabāšanas vai sadales sistēmas tehnoloģiskajām vajadzībām. </w:t>
            </w:r>
          </w:p>
          <w:p w14:paraId="5C751A92" w14:textId="6B242F3E" w:rsidR="003C590A" w:rsidRPr="00235AD3" w:rsidRDefault="003C590A"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Valsts ieņēmumu dienests, administrējot akcīzes nodokli dabasgāzei, ir konstatējis, ka Vienotais dabasgāzes pārvades un uzglabāšanas sistēmas operators sniedz</w:t>
            </w:r>
            <w:r w:rsidR="00CA3545" w:rsidRPr="00235AD3">
              <w:rPr>
                <w:rFonts w:ascii="Times New Roman" w:hAnsi="Times New Roman" w:cs="Times New Roman"/>
                <w:sz w:val="24"/>
                <w:szCs w:val="24"/>
              </w:rPr>
              <w:t xml:space="preserve"> arī</w:t>
            </w:r>
            <w:r w:rsidRPr="00235AD3">
              <w:rPr>
                <w:rFonts w:ascii="Times New Roman" w:hAnsi="Times New Roman" w:cs="Times New Roman"/>
                <w:sz w:val="24"/>
                <w:szCs w:val="24"/>
              </w:rPr>
              <w:t xml:space="preserve"> pakalpojumu - dabasgāzes iesūknēšanu krātuvē. Saskaņā ar Sabiedrisko pakalpojumu regulēšanas komisijas padomes 2018.</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gada 28.</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maija lēmumu Nr.</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1/10 “Inčukalna pazemes gāzes krātuves lietošanas noteikumi” 49.</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punktu dabasgāzes iesūknēšanas agregātu (kompresoru) darbībai nepieciešamo dabasgāzes (degvielas gāzes) daudzumu par saviem līdzekļiem nodrošina sistēmas lietotājs. Tādējādi vienotais dabasgāzes pārvades un uzglabāšanas sistēmas operators sniedz dabasgāzes iesūknēšanas pakalpojumu</w:t>
            </w:r>
            <w:r w:rsidR="003C0429" w:rsidRPr="00235AD3">
              <w:rPr>
                <w:rFonts w:ascii="Times New Roman" w:hAnsi="Times New Roman" w:cs="Times New Roman"/>
                <w:sz w:val="24"/>
                <w:szCs w:val="24"/>
              </w:rPr>
              <w:t xml:space="preserve">, </w:t>
            </w:r>
            <w:r w:rsidRPr="00235AD3">
              <w:rPr>
                <w:rFonts w:ascii="Times New Roman" w:hAnsi="Times New Roman" w:cs="Times New Roman"/>
                <w:sz w:val="24"/>
                <w:szCs w:val="24"/>
              </w:rPr>
              <w:t xml:space="preserve">izlietojot dabasgāzi, kuru tam nodrošina sistēmas lietotājs.  </w:t>
            </w:r>
          </w:p>
          <w:p w14:paraId="13893799" w14:textId="5E0C0B9E" w:rsidR="003C590A" w:rsidRPr="00235AD3" w:rsidRDefault="009438C8"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 xml:space="preserve">Šobrīd </w:t>
            </w:r>
            <w:r w:rsidR="00B365AA" w:rsidRPr="00235AD3">
              <w:rPr>
                <w:rFonts w:ascii="Times New Roman" w:hAnsi="Times New Roman" w:cs="Times New Roman"/>
                <w:sz w:val="24"/>
                <w:szCs w:val="24"/>
              </w:rPr>
              <w:t>a</w:t>
            </w:r>
            <w:r w:rsidR="003C590A" w:rsidRPr="00235AD3">
              <w:rPr>
                <w:rFonts w:ascii="Times New Roman" w:hAnsi="Times New Roman" w:cs="Times New Roman"/>
                <w:sz w:val="24"/>
                <w:szCs w:val="24"/>
              </w:rPr>
              <w:t>tbilstoši likumā noteiktajam, atbrīvojumu izlietotajai dabasgāzei piemēro sistēmas operators, tātad, persona, kurai dabasgāze nepieder un kur</w:t>
            </w:r>
            <w:r w:rsidR="00B365AA" w:rsidRPr="00235AD3">
              <w:rPr>
                <w:rFonts w:ascii="Times New Roman" w:hAnsi="Times New Roman" w:cs="Times New Roman"/>
                <w:sz w:val="24"/>
                <w:szCs w:val="24"/>
              </w:rPr>
              <w:t>ai nav akcīzes nodokļa saistību. S</w:t>
            </w:r>
            <w:r w:rsidR="003C590A" w:rsidRPr="00235AD3">
              <w:rPr>
                <w:rFonts w:ascii="Times New Roman" w:hAnsi="Times New Roman" w:cs="Times New Roman"/>
                <w:sz w:val="24"/>
                <w:szCs w:val="24"/>
              </w:rPr>
              <w:t>avukārt dabasgāzes īpašnieks, kas ir sistēmas lietotājs un kuram ir pienākums operatoram nodrošināt dabasgāzi, nav tiesīgs piemērot atbrīvojumu no akcīzes nodokļa.</w:t>
            </w:r>
          </w:p>
          <w:p w14:paraId="310F3AD0" w14:textId="214186F6" w:rsidR="002F66ED" w:rsidRPr="00235AD3" w:rsidRDefault="002F66ED"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Līdz ar to ir nepieciešams attiecīgi precizēt likuma 6.</w:t>
            </w:r>
            <w:r w:rsidRPr="00235AD3">
              <w:rPr>
                <w:rFonts w:ascii="Times New Roman" w:hAnsi="Times New Roman" w:cs="Times New Roman"/>
                <w:sz w:val="24"/>
                <w:szCs w:val="24"/>
                <w:vertAlign w:val="superscript"/>
              </w:rPr>
              <w:t>1 </w:t>
            </w:r>
            <w:r w:rsidRPr="00235AD3">
              <w:rPr>
                <w:rFonts w:ascii="Times New Roman" w:hAnsi="Times New Roman" w:cs="Times New Roman"/>
                <w:sz w:val="24"/>
                <w:szCs w:val="24"/>
              </w:rPr>
              <w:t>panta ceturto daļu</w:t>
            </w:r>
            <w:r w:rsidR="008602C7" w:rsidRPr="00235AD3">
              <w:rPr>
                <w:rFonts w:ascii="Times New Roman" w:hAnsi="Times New Roman" w:cs="Times New Roman"/>
                <w:sz w:val="24"/>
                <w:szCs w:val="24"/>
              </w:rPr>
              <w:t>, paredzot, ka</w:t>
            </w:r>
            <w:r w:rsidR="005057B3" w:rsidRPr="00235AD3">
              <w:rPr>
                <w:rFonts w:ascii="Times New Roman" w:hAnsi="Times New Roman" w:cs="Times New Roman"/>
                <w:sz w:val="24"/>
                <w:szCs w:val="24"/>
              </w:rPr>
              <w:t xml:space="preserve"> atbrīvojumu piemēro</w:t>
            </w:r>
            <w:r w:rsidR="008602C7" w:rsidRPr="00235AD3">
              <w:rPr>
                <w:rFonts w:ascii="Times New Roman" w:hAnsi="Times New Roman" w:cs="Times New Roman"/>
                <w:sz w:val="24"/>
                <w:szCs w:val="24"/>
              </w:rPr>
              <w:t xml:space="preserve"> dabasgāze</w:t>
            </w:r>
            <w:r w:rsidR="005057B3" w:rsidRPr="00235AD3">
              <w:rPr>
                <w:rFonts w:ascii="Times New Roman" w:hAnsi="Times New Roman" w:cs="Times New Roman"/>
                <w:sz w:val="24"/>
                <w:szCs w:val="24"/>
              </w:rPr>
              <w:t>i</w:t>
            </w:r>
            <w:r w:rsidR="008602C7" w:rsidRPr="00235AD3">
              <w:rPr>
                <w:rFonts w:ascii="Times New Roman" w:hAnsi="Times New Roman" w:cs="Times New Roman"/>
                <w:sz w:val="24"/>
                <w:szCs w:val="24"/>
              </w:rPr>
              <w:t>, kura tiek izmantota vienotā dabasgāzes pārvades un uzglabāšanas sistēmā un dabasgāzes sadales sistēmā dabasgāzes pārvades, uzglabāšanas vai sadales sistēmas tehnoloģisko vajadzību nodrošināšanai</w:t>
            </w:r>
            <w:r w:rsidR="00CA3545" w:rsidRPr="00235AD3">
              <w:rPr>
                <w:rFonts w:ascii="Times New Roman" w:hAnsi="Times New Roman" w:cs="Times New Roman"/>
                <w:sz w:val="24"/>
                <w:szCs w:val="24"/>
              </w:rPr>
              <w:t>, neatsaucoties uz sistēmas operatoru</w:t>
            </w:r>
            <w:r w:rsidRPr="00235AD3">
              <w:rPr>
                <w:rFonts w:ascii="Times New Roman" w:hAnsi="Times New Roman" w:cs="Times New Roman"/>
                <w:sz w:val="24"/>
                <w:szCs w:val="24"/>
              </w:rPr>
              <w:t>.</w:t>
            </w:r>
          </w:p>
          <w:p w14:paraId="6AFED565" w14:textId="1064E358" w:rsidR="00A374DC" w:rsidRPr="00235AD3" w:rsidRDefault="00A374DC" w:rsidP="007D4E4E">
            <w:pPr>
              <w:tabs>
                <w:tab w:val="left" w:pos="250"/>
              </w:tabs>
              <w:spacing w:after="0" w:line="240" w:lineRule="auto"/>
              <w:ind w:left="117" w:firstLine="275"/>
              <w:jc w:val="both"/>
              <w:rPr>
                <w:rFonts w:ascii="Times New Roman" w:hAnsi="Times New Roman" w:cs="Times New Roman"/>
                <w:sz w:val="24"/>
                <w:szCs w:val="24"/>
              </w:rPr>
            </w:pPr>
          </w:p>
          <w:p w14:paraId="0F53A195" w14:textId="1859148C" w:rsidR="00A374DC" w:rsidRPr="00235AD3" w:rsidRDefault="00A374DC" w:rsidP="00AC21F4">
            <w:pPr>
              <w:pStyle w:val="ListParagraph"/>
              <w:numPr>
                <w:ilvl w:val="0"/>
                <w:numId w:val="22"/>
              </w:numPr>
              <w:tabs>
                <w:tab w:val="left" w:pos="250"/>
              </w:tabs>
              <w:ind w:left="117" w:firstLine="275"/>
              <w:jc w:val="both"/>
            </w:pPr>
            <w:r w:rsidRPr="00235AD3">
              <w:lastRenderedPageBreak/>
              <w:t>Likuma 9.</w:t>
            </w:r>
            <w:r w:rsidR="002E4F1C" w:rsidRPr="00235AD3">
              <w:t> </w:t>
            </w:r>
            <w:r w:rsidRPr="00235AD3">
              <w:t xml:space="preserve">pants paredz normas par reģistrētu saņēmēju un īslaicīgi reģistrētu saņēmēju. Šobrīd Valsts ieņēmumu dienestam nākas saskarties ar problēmu, ka komersanti (īslaicīgi reģistrēts saņēmējs un reģistrēts saņēmējs), kuri nevar uzglabāt akcīzes preces atliktā akcīzes nodokļa maksāšanas režīmā, ieved </w:t>
            </w:r>
            <w:r w:rsidR="00682D52" w:rsidRPr="00235AD3">
              <w:t xml:space="preserve">Latvijas Republikā </w:t>
            </w:r>
            <w:r w:rsidRPr="00235AD3">
              <w:t>marķējamās akcīzes preces bez akcīzes nodokļa markām. Atbilstoši likuma 27.</w:t>
            </w:r>
            <w:r w:rsidR="002E4F1C" w:rsidRPr="00235AD3">
              <w:t> </w:t>
            </w:r>
            <w:r w:rsidRPr="00235AD3">
              <w:t>panta</w:t>
            </w:r>
            <w:r w:rsidR="007756F3" w:rsidRPr="00235AD3">
              <w:t xml:space="preserve"> otrajai daļai</w:t>
            </w:r>
            <w:r w:rsidRPr="00235AD3">
              <w:t>, kas reglamentē noteikumus attiecībā uz alkoholisko dzērienu un tabakas izstrādājumu marķēšanu, īslaicīgi reģistrētam saņēmējam un reģistrētam saņēmējam nav atļauts ar akcīzes nodokļa markām marķēt alkoholiskos dzērienus un tabakas izstrādājumus</w:t>
            </w:r>
            <w:r w:rsidR="007756F3" w:rsidRPr="00235AD3">
              <w:t xml:space="preserve"> Latvijas Republikā</w:t>
            </w:r>
            <w:r w:rsidRPr="00235AD3">
              <w:t>. Tādējādi, reģistrētam saņēmējam un īslaicīgi reģistrētam saņēmējam ievedot Latvijas Republikā ar akcīzes nodokļa markām marķējamas akcīzes preces, tām jābūt jau marķētām ar akcīzes nodokļa markām ievešanas brīdī atbilstoši likuma 27.</w:t>
            </w:r>
            <w:r w:rsidR="002E4F1C" w:rsidRPr="00235AD3">
              <w:t> </w:t>
            </w:r>
            <w:r w:rsidRPr="00235AD3">
              <w:t xml:space="preserve">panta nosacījumiem. </w:t>
            </w:r>
          </w:p>
          <w:p w14:paraId="166A8535" w14:textId="7D9AE108" w:rsidR="00A374DC" w:rsidRPr="00235AD3" w:rsidRDefault="00A374DC"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Līdz ar to, lai īslaicīgi reģistrētam saņēmējam un reģistrētam saņēmējam būtu skaidra rīcība attiecībā uz ar akcīzes nodokļa markām marķējamām akcīzes precēm, ievedot tās Latvijas Republikā, nepieciešams papildināt likuma 9.</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pantu ar sesto daļu, kas nosaka, ka, minētām personām, ievedot Latvijas Republikā ar akcīzes nodokļa markām marķējamas akcīzes preces, tām jābūt</w:t>
            </w:r>
            <w:r w:rsidR="005057B3" w:rsidRPr="00235AD3">
              <w:rPr>
                <w:rFonts w:ascii="Times New Roman" w:hAnsi="Times New Roman" w:cs="Times New Roman"/>
                <w:sz w:val="24"/>
                <w:szCs w:val="24"/>
              </w:rPr>
              <w:t xml:space="preserve"> jau</w:t>
            </w:r>
            <w:r w:rsidRPr="00235AD3">
              <w:rPr>
                <w:rFonts w:ascii="Times New Roman" w:hAnsi="Times New Roman" w:cs="Times New Roman"/>
                <w:sz w:val="24"/>
                <w:szCs w:val="24"/>
              </w:rPr>
              <w:t xml:space="preserve"> marķētām ar akcīzes nodokļa markām ievešanas brīdī.</w:t>
            </w:r>
          </w:p>
          <w:p w14:paraId="097266F6" w14:textId="72DD7877" w:rsidR="00A374DC" w:rsidRPr="00235AD3" w:rsidRDefault="00A374DC" w:rsidP="007D4E4E">
            <w:pPr>
              <w:tabs>
                <w:tab w:val="left" w:pos="250"/>
              </w:tabs>
              <w:spacing w:after="0" w:line="240" w:lineRule="auto"/>
              <w:ind w:left="117" w:firstLine="275"/>
              <w:jc w:val="both"/>
              <w:rPr>
                <w:rFonts w:ascii="Times New Roman" w:hAnsi="Times New Roman" w:cs="Times New Roman"/>
                <w:sz w:val="24"/>
                <w:szCs w:val="24"/>
              </w:rPr>
            </w:pPr>
          </w:p>
          <w:p w14:paraId="403050EE" w14:textId="5BADBF1A" w:rsidR="000A63AE" w:rsidRPr="00235AD3" w:rsidRDefault="000A63AE" w:rsidP="00AC21F4">
            <w:pPr>
              <w:pStyle w:val="ListParagraph"/>
              <w:numPr>
                <w:ilvl w:val="0"/>
                <w:numId w:val="22"/>
              </w:numPr>
              <w:tabs>
                <w:tab w:val="left" w:pos="250"/>
              </w:tabs>
              <w:ind w:left="117" w:firstLine="275"/>
              <w:jc w:val="both"/>
            </w:pPr>
            <w:r w:rsidRPr="00235AD3">
              <w:t>Likuma 12.</w:t>
            </w:r>
            <w:r w:rsidR="002E4F1C" w:rsidRPr="00235AD3">
              <w:t> </w:t>
            </w:r>
            <w:r w:rsidRPr="00235AD3">
              <w:t>panta trešajā daļā ir dots Ministru kabinetam deleģējums par patstāvīgu mazo alus darītavu un tās statusu.</w:t>
            </w:r>
          </w:p>
          <w:p w14:paraId="6CDF0CE5" w14:textId="6F802749" w:rsidR="00E417C8" w:rsidRPr="00235AD3" w:rsidRDefault="00E417C8"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Ministru kabineta protokola Nr.</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60 9.§ 2.</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punkts nosaka uzdevumu Finanšu ministrijai sagatavot grozījumus likumā, papildinot likumu ar pilnvarojumu Ministru kabinetam noteikt kārtību, kādā Latvijas Republikā pārvieto patstāvīgās mazās alus darītavas saražoto alu, kam piemēro likuma 12.</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panta otrajā daļā noteikto akcīzes nodokļa likmi, piemēro likuma 12.</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panta otrajā daļā noteikto akcīzes nodokļa likmi alum, kas saražots citas dalībvalsts patstāvīgā mazā alus darītavā un kalendāra gadā ievests Latvijas Republikā, kā arī paredzot nosacījumus, kad alus darītava nav uzskatāma par juridiski un saimnieciski neatkarīgu no citām alus darītavām, un iesniegt grozījumus izskatīšanai Ministru kabinetā vienlaikus ar citiem būtiskiem grozījumiem likumā “Par akcīzes nodokli”.</w:t>
            </w:r>
          </w:p>
          <w:p w14:paraId="36C4D4B1" w14:textId="69B7855D" w:rsidR="00834A09" w:rsidRPr="00166DA3" w:rsidRDefault="00834A09" w:rsidP="00834A09">
            <w:pPr>
              <w:tabs>
                <w:tab w:val="left" w:pos="250"/>
              </w:tabs>
              <w:spacing w:after="0" w:line="240" w:lineRule="auto"/>
              <w:ind w:left="117" w:firstLine="275"/>
              <w:jc w:val="both"/>
              <w:rPr>
                <w:rFonts w:ascii="Times New Roman" w:hAnsi="Times New Roman" w:cs="Times New Roman"/>
                <w:sz w:val="24"/>
                <w:szCs w:val="24"/>
              </w:rPr>
            </w:pPr>
            <w:r w:rsidRPr="00166DA3">
              <w:rPr>
                <w:rFonts w:ascii="Times New Roman" w:hAnsi="Times New Roman" w:cs="Times New Roman"/>
                <w:sz w:val="24"/>
                <w:szCs w:val="24"/>
              </w:rPr>
              <w:t>Tādējādi ir nepieciešams sakārtot likuma 12.</w:t>
            </w:r>
            <w:r w:rsidR="002E4F1C" w:rsidRPr="00166DA3">
              <w:rPr>
                <w:rFonts w:ascii="Times New Roman" w:hAnsi="Times New Roman" w:cs="Times New Roman"/>
                <w:sz w:val="24"/>
                <w:szCs w:val="24"/>
              </w:rPr>
              <w:t> </w:t>
            </w:r>
            <w:r w:rsidRPr="00166DA3">
              <w:rPr>
                <w:rFonts w:ascii="Times New Roman" w:hAnsi="Times New Roman" w:cs="Times New Roman"/>
                <w:sz w:val="24"/>
                <w:szCs w:val="24"/>
              </w:rPr>
              <w:t>panta trešajā daļā Ministru kabinetam doto deleģējumu par patstāvīgu mazo alus darītavu un tās statusu;</w:t>
            </w:r>
          </w:p>
          <w:p w14:paraId="5C1220F5" w14:textId="05453996" w:rsidR="00834A09" w:rsidRPr="00166DA3" w:rsidRDefault="00834A09" w:rsidP="007D4E4E">
            <w:pPr>
              <w:tabs>
                <w:tab w:val="left" w:pos="250"/>
              </w:tabs>
              <w:spacing w:after="0" w:line="240" w:lineRule="auto"/>
              <w:ind w:left="117" w:firstLine="275"/>
              <w:jc w:val="both"/>
              <w:rPr>
                <w:rFonts w:ascii="Times New Roman" w:hAnsi="Times New Roman" w:cs="Times New Roman"/>
                <w:sz w:val="24"/>
                <w:szCs w:val="24"/>
              </w:rPr>
            </w:pPr>
          </w:p>
          <w:p w14:paraId="4BBEDCF9" w14:textId="5D5CC5C3" w:rsidR="00834A09" w:rsidRPr="00166DA3" w:rsidRDefault="00834A09" w:rsidP="00834A09">
            <w:pPr>
              <w:pStyle w:val="ListParagraph"/>
              <w:numPr>
                <w:ilvl w:val="0"/>
                <w:numId w:val="22"/>
              </w:numPr>
              <w:tabs>
                <w:tab w:val="left" w:pos="250"/>
              </w:tabs>
              <w:ind w:left="-25" w:firstLine="417"/>
              <w:jc w:val="both"/>
            </w:pPr>
            <w:r w:rsidRPr="00166DA3">
              <w:lastRenderedPageBreak/>
              <w:t>Direktīva 2020/1151/ES paredz, ka attiecībā uz mazajiem alkoholisko dzērienu ražotājiem Eiropas Savienības dalībvalstis izsniedz sertifikātu, kas apstiprina to atbilstību noteiktiem nosacījumiem un ir pamats samazinātas akcīzes nodokļa likmes piemērošanai. Līdz ar to nepieciešams paredzēt  deleģējumu Ministru kabinetam izdot atbilstošus noteikumus.</w:t>
            </w:r>
          </w:p>
          <w:p w14:paraId="43FEB0FE" w14:textId="77777777" w:rsidR="00FE790B" w:rsidRPr="00166DA3" w:rsidRDefault="00FE790B" w:rsidP="007D4E4E">
            <w:pPr>
              <w:tabs>
                <w:tab w:val="left" w:pos="250"/>
              </w:tabs>
              <w:spacing w:after="0" w:line="240" w:lineRule="auto"/>
              <w:ind w:left="117" w:firstLine="275"/>
              <w:jc w:val="both"/>
              <w:rPr>
                <w:rFonts w:ascii="Times New Roman" w:hAnsi="Times New Roman" w:cs="Times New Roman"/>
                <w:sz w:val="24"/>
                <w:szCs w:val="24"/>
              </w:rPr>
            </w:pPr>
          </w:p>
          <w:p w14:paraId="0C162802" w14:textId="52F00BFB" w:rsidR="00EF76CC" w:rsidRPr="00235AD3" w:rsidRDefault="00865EF3" w:rsidP="00AC21F4">
            <w:pPr>
              <w:pStyle w:val="ListParagraph"/>
              <w:numPr>
                <w:ilvl w:val="0"/>
                <w:numId w:val="22"/>
              </w:numPr>
              <w:tabs>
                <w:tab w:val="left" w:pos="250"/>
              </w:tabs>
              <w:ind w:left="117" w:firstLine="275"/>
              <w:jc w:val="both"/>
            </w:pPr>
            <w:r w:rsidRPr="00235AD3">
              <w:t xml:space="preserve"> </w:t>
            </w:r>
            <w:r w:rsidR="00EF76CC" w:rsidRPr="00235AD3">
              <w:t>Saskaņā ar likuma 14.</w:t>
            </w:r>
            <w:r w:rsidR="002E4F1C" w:rsidRPr="00235AD3">
              <w:t> </w:t>
            </w:r>
            <w:r w:rsidR="00EF76CC" w:rsidRPr="00235AD3">
              <w:t>panta 2.</w:t>
            </w:r>
            <w:r w:rsidR="00EF76CC" w:rsidRPr="00235AD3">
              <w:rPr>
                <w:vertAlign w:val="superscript"/>
              </w:rPr>
              <w:t>1</w:t>
            </w:r>
            <w:r w:rsidR="002E4F1C" w:rsidRPr="00235AD3">
              <w:rPr>
                <w:vertAlign w:val="superscript"/>
              </w:rPr>
              <w:t> </w:t>
            </w:r>
            <w:r w:rsidR="00EF76CC" w:rsidRPr="00235AD3">
              <w:t>daļu eļļas atkritumiem, kuri ietilpst Kombinētās nomenklatūras 2710.</w:t>
            </w:r>
            <w:r w:rsidR="002E4F1C" w:rsidRPr="00235AD3">
              <w:t> </w:t>
            </w:r>
            <w:r w:rsidR="00EF76CC" w:rsidRPr="00235AD3">
              <w:t>preču pozīcijā, izņemot šā panta pirmās daļas 7.</w:t>
            </w:r>
            <w:r w:rsidR="002E4F1C" w:rsidRPr="00235AD3">
              <w:t> </w:t>
            </w:r>
            <w:r w:rsidR="00EF76CC" w:rsidRPr="00235AD3">
              <w:t xml:space="preserve">punktā minēto produktu, Ministru kabineta noteiktajā kārtībā piemēro šā panta otrajā daļā noteikto nodokļa likmi, ja tos realizē vai paredz realizācijai, izmanto vai paredz izmantošanai par kurināmo. Šajā gadījumā uz eļļas atkritumiem neattiecas norma par iezīmēšanu (marķēšanu). Minēto Ministra kabineta kārtību </w:t>
            </w:r>
            <w:r w:rsidR="005057B3" w:rsidRPr="00235AD3">
              <w:t>nosaka</w:t>
            </w:r>
            <w:r w:rsidR="00EF76CC" w:rsidRPr="00235AD3">
              <w:t xml:space="preserve"> </w:t>
            </w:r>
            <w:r w:rsidR="00EF76CC" w:rsidRPr="00235AD3">
              <w:rPr>
                <w:bCs/>
              </w:rPr>
              <w:t xml:space="preserve">Ministru kabineta </w:t>
            </w:r>
            <w:r w:rsidR="00EF76CC" w:rsidRPr="00235AD3">
              <w:t>2007.</w:t>
            </w:r>
            <w:r w:rsidR="002E4F1C" w:rsidRPr="00235AD3">
              <w:t> </w:t>
            </w:r>
            <w:r w:rsidR="00EF76CC" w:rsidRPr="00235AD3">
              <w:t>gada 31.</w:t>
            </w:r>
            <w:r w:rsidR="002E4F1C" w:rsidRPr="00235AD3">
              <w:t> </w:t>
            </w:r>
            <w:r w:rsidR="00EF76CC" w:rsidRPr="00235AD3">
              <w:t xml:space="preserve">jūlija </w:t>
            </w:r>
            <w:r w:rsidR="00EF76CC" w:rsidRPr="00235AD3">
              <w:rPr>
                <w:bCs/>
              </w:rPr>
              <w:t>noteikumi Nr.</w:t>
            </w:r>
            <w:r w:rsidR="002E4F1C" w:rsidRPr="00235AD3">
              <w:rPr>
                <w:bCs/>
              </w:rPr>
              <w:t> </w:t>
            </w:r>
            <w:r w:rsidR="00EF76CC" w:rsidRPr="00235AD3">
              <w:rPr>
                <w:bCs/>
              </w:rPr>
              <w:t>525</w:t>
            </w:r>
            <w:r w:rsidR="00EF76CC" w:rsidRPr="00235AD3">
              <w:t xml:space="preserve"> </w:t>
            </w:r>
            <w:r w:rsidR="00EF76CC" w:rsidRPr="00235AD3">
              <w:rPr>
                <w:bCs/>
              </w:rPr>
              <w:t>“Kārtība, kādā atsevišķiem naftas produktiem piemēro samazinātu akcīzes nodokļa likmi vai atbrīvojumu no akcīzes nodokļa”</w:t>
            </w:r>
            <w:r w:rsidR="002F369E" w:rsidRPr="00235AD3">
              <w:rPr>
                <w:bCs/>
              </w:rPr>
              <w:t xml:space="preserve"> (noteikumu 4.</w:t>
            </w:r>
            <w:r w:rsidR="002E4F1C" w:rsidRPr="00235AD3">
              <w:rPr>
                <w:bCs/>
              </w:rPr>
              <w:t> </w:t>
            </w:r>
            <w:r w:rsidR="002F369E" w:rsidRPr="00235AD3">
              <w:rPr>
                <w:bCs/>
              </w:rPr>
              <w:t>punkts, IV. sadaļa, 118.</w:t>
            </w:r>
            <w:r w:rsidR="002F369E" w:rsidRPr="00235AD3">
              <w:rPr>
                <w:bCs/>
                <w:vertAlign w:val="superscript"/>
              </w:rPr>
              <w:t>2</w:t>
            </w:r>
            <w:r w:rsidR="002F369E" w:rsidRPr="00235AD3">
              <w:rPr>
                <w:bCs/>
              </w:rPr>
              <w:t>, 122.</w:t>
            </w:r>
            <w:r w:rsidR="002F369E" w:rsidRPr="00235AD3">
              <w:rPr>
                <w:bCs/>
                <w:vertAlign w:val="superscript"/>
              </w:rPr>
              <w:t>1</w:t>
            </w:r>
            <w:r w:rsidR="002F369E" w:rsidRPr="00235AD3">
              <w:rPr>
                <w:bCs/>
              </w:rPr>
              <w:t xml:space="preserve"> un 132</w:t>
            </w:r>
            <w:r w:rsidR="002E4F1C" w:rsidRPr="00235AD3">
              <w:rPr>
                <w:bCs/>
              </w:rPr>
              <w:t>. </w:t>
            </w:r>
            <w:r w:rsidR="002F369E" w:rsidRPr="00235AD3">
              <w:rPr>
                <w:bCs/>
              </w:rPr>
              <w:t>punkts, un noteikumu 2., 4., 9. un 10.</w:t>
            </w:r>
            <w:r w:rsidR="002E4F1C" w:rsidRPr="00235AD3">
              <w:rPr>
                <w:bCs/>
              </w:rPr>
              <w:t> </w:t>
            </w:r>
            <w:r w:rsidR="002F369E" w:rsidRPr="00235AD3">
              <w:rPr>
                <w:bCs/>
              </w:rPr>
              <w:t>pielikums)</w:t>
            </w:r>
            <w:r w:rsidR="00EF76CC" w:rsidRPr="00235AD3">
              <w:rPr>
                <w:bCs/>
              </w:rPr>
              <w:t xml:space="preserve">. Saskaņā ar minētajiem noteikumiem, lai eļļas atkritumus varētu izmantot par kurināmo un piemērot samazinātu akcīzes nodokļa likmi, ir nepieciešams saņemt izziņu par tiesībām iegādāties eļļas atkritumus. Minētie noteikumi nosaka arī šāda produkta kā akcīzes preces aprites kārtību šajā gadījumā. </w:t>
            </w:r>
            <w:r w:rsidR="00EF76CC" w:rsidRPr="00235AD3">
              <w:t xml:space="preserve"> </w:t>
            </w:r>
          </w:p>
          <w:p w14:paraId="490981E8" w14:textId="4A7689E3" w:rsidR="00EF76CC" w:rsidRPr="00235AD3" w:rsidRDefault="00EF76CC"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Savukārt atkritumu apsaimniekošanas kārtību nosaka Atkritumu apsaimniekošanas likums, lai aizsargātu vidi, cilvēku dzīvību un veselību, novēršot atkritumu rašanos, nodrošinot Latvijas Republikas teritorijā radīto atkritumu dalītu savākšanu un reģenerāciju, kā arī vecinot dabas resursu efektīvu izmantošanu un apglabājamo atkritumu apjoma samazināšanu. Saskaņā ar Atkritumu apsaimniekošanas likumu atkritumi ir jebkurš priekšmets vai viela, no kuras tās valdītājs atbrīvojas, ir nolēmis vai spiests atbrīvoties. Naftas produktu atkritumu apsaimniekošanas kārtību reglamentē Ministru kabineta 2011.</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gada 21.</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jūnija noteikumi Nr.</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485 “</w:t>
            </w:r>
            <w:r w:rsidR="006C0541" w:rsidRPr="00235AD3">
              <w:rPr>
                <w:rFonts w:ascii="Times New Roman" w:hAnsi="Times New Roman" w:cs="Times New Roman"/>
                <w:bCs/>
                <w:sz w:val="24"/>
                <w:szCs w:val="24"/>
              </w:rPr>
              <w:t>Atsevišķu veidu bīstamo atkritumu apsaimniekošanas kārtība un prasības titāna dioksīda ražošanas iekārtu radīto emisiju ierobežošanai, kontrolei un monitoringam</w:t>
            </w:r>
            <w:r w:rsidRPr="00235AD3">
              <w:rPr>
                <w:rFonts w:ascii="Times New Roman" w:hAnsi="Times New Roman" w:cs="Times New Roman"/>
                <w:sz w:val="24"/>
                <w:szCs w:val="24"/>
              </w:rPr>
              <w:t xml:space="preserve">”. Saskaņā ar šiem noteikumiem naftas produktu atkritumi ir atkritumu eļļas un citi naftas produktus saturoši atkritumi. Atkritumu eļļas ir jebkuras minerālas vai sintētiskas izcelsmes smēreļļas vai rūpnieciskās eļļas (piemēram, lietotas iekšdedzes dzinēju un pārnesumkārbu eļļas, minerālās smēreļļas, turbīnu eļļas un hidrauliskās eļļas), kuras ir kļuvušas nederīgas sākotnēji paredzētajam lietošanas </w:t>
            </w:r>
            <w:r w:rsidRPr="00235AD3">
              <w:rPr>
                <w:rFonts w:ascii="Times New Roman" w:hAnsi="Times New Roman" w:cs="Times New Roman"/>
                <w:sz w:val="24"/>
                <w:szCs w:val="24"/>
              </w:rPr>
              <w:lastRenderedPageBreak/>
              <w:t xml:space="preserve">mērķim. Saskaņā ar noteikto kārtību naftas produktu atkritumu apsaimniekotājs vai valdītājs nodrošina naftas produktu atkritumu savākšanu atsevišķi no citiem atkritumu veidiem, ja tas ir tehniski iespējams un atbilst saņemtās atļaujas A vai B kategorijas piesārņojošai darbībai vai atkritumu apsaimniekošanas atļaujas nosacījumiem. </w:t>
            </w:r>
          </w:p>
          <w:p w14:paraId="0CC98F6E" w14:textId="77777777" w:rsidR="00EF76CC" w:rsidRPr="00235AD3" w:rsidRDefault="00EF76CC"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Naftas produktu saturoši atkritumi var veidoties muitas noliktavās, brīvajās zonās, ostās, uz kuģiem (kuģu atkritumi), akcīzes preču noliktavās, naftas produktu vairumtirdzniecības un mazumtirdzniecības vietās, autoservisos, kā arī cita veida uzņēmumos.</w:t>
            </w:r>
          </w:p>
          <w:p w14:paraId="16C979A5" w14:textId="0418F95E" w:rsidR="0008709D" w:rsidRPr="00235AD3" w:rsidRDefault="00EF76CC"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Ņemot vērā, ka eļļas atkritumi ir naftas produktu</w:t>
            </w:r>
            <w:r w:rsidR="005B4CEA" w:rsidRPr="00235AD3">
              <w:rPr>
                <w:rFonts w:ascii="Times New Roman" w:hAnsi="Times New Roman" w:cs="Times New Roman"/>
                <w:sz w:val="24"/>
                <w:szCs w:val="24"/>
              </w:rPr>
              <w:t>s</w:t>
            </w:r>
            <w:r w:rsidRPr="00235AD3">
              <w:rPr>
                <w:rFonts w:ascii="Times New Roman" w:hAnsi="Times New Roman" w:cs="Times New Roman"/>
                <w:sz w:val="24"/>
                <w:szCs w:val="24"/>
              </w:rPr>
              <w:t xml:space="preserve"> saturoši atkritumi, ir nepieciešams sakārtot jautājumu par to apriti, izslēdzot no likuma normas par eļļas atkritumiem</w:t>
            </w:r>
            <w:r w:rsidR="0008709D" w:rsidRPr="00235AD3">
              <w:rPr>
                <w:rFonts w:ascii="Times New Roman" w:hAnsi="Times New Roman" w:cs="Times New Roman"/>
                <w:sz w:val="24"/>
                <w:szCs w:val="24"/>
              </w:rPr>
              <w:t>, t.i., izslēgt no likuma 14.</w:t>
            </w:r>
            <w:r w:rsidR="002E4F1C" w:rsidRPr="00235AD3">
              <w:rPr>
                <w:rFonts w:ascii="Times New Roman" w:hAnsi="Times New Roman" w:cs="Times New Roman"/>
                <w:sz w:val="24"/>
                <w:szCs w:val="24"/>
              </w:rPr>
              <w:t> </w:t>
            </w:r>
            <w:r w:rsidR="0008709D" w:rsidRPr="00235AD3">
              <w:rPr>
                <w:rFonts w:ascii="Times New Roman" w:hAnsi="Times New Roman" w:cs="Times New Roman"/>
                <w:sz w:val="24"/>
                <w:szCs w:val="24"/>
              </w:rPr>
              <w:t>panta 2.</w:t>
            </w:r>
            <w:r w:rsidR="0008709D" w:rsidRPr="00235AD3">
              <w:rPr>
                <w:rFonts w:ascii="Times New Roman" w:hAnsi="Times New Roman" w:cs="Times New Roman"/>
                <w:sz w:val="24"/>
                <w:szCs w:val="24"/>
                <w:vertAlign w:val="superscript"/>
              </w:rPr>
              <w:t>1</w:t>
            </w:r>
            <w:r w:rsidR="0008709D" w:rsidRPr="00235AD3">
              <w:rPr>
                <w:rFonts w:ascii="Times New Roman" w:hAnsi="Times New Roman" w:cs="Times New Roman"/>
                <w:sz w:val="24"/>
                <w:szCs w:val="24"/>
              </w:rPr>
              <w:t> daļu, 23.</w:t>
            </w:r>
            <w:r w:rsidR="002E4F1C" w:rsidRPr="00235AD3">
              <w:rPr>
                <w:rFonts w:ascii="Times New Roman" w:hAnsi="Times New Roman" w:cs="Times New Roman"/>
                <w:sz w:val="24"/>
                <w:szCs w:val="24"/>
              </w:rPr>
              <w:t> </w:t>
            </w:r>
            <w:r w:rsidR="0008709D" w:rsidRPr="00235AD3">
              <w:rPr>
                <w:rFonts w:ascii="Times New Roman" w:hAnsi="Times New Roman" w:cs="Times New Roman"/>
                <w:sz w:val="24"/>
                <w:szCs w:val="24"/>
              </w:rPr>
              <w:t>panta sešpadsmito daļu un no likuma pielikuma 1.12., 2.4., 3.6., 4.9., un 5.6.</w:t>
            </w:r>
            <w:r w:rsidR="002E4F1C" w:rsidRPr="00235AD3">
              <w:rPr>
                <w:rFonts w:ascii="Times New Roman" w:hAnsi="Times New Roman" w:cs="Times New Roman"/>
                <w:sz w:val="24"/>
                <w:szCs w:val="24"/>
              </w:rPr>
              <w:t> </w:t>
            </w:r>
            <w:r w:rsidR="0008709D" w:rsidRPr="00235AD3">
              <w:rPr>
                <w:rFonts w:ascii="Times New Roman" w:hAnsi="Times New Roman" w:cs="Times New Roman"/>
                <w:sz w:val="24"/>
                <w:szCs w:val="24"/>
              </w:rPr>
              <w:t>apakšpunktu.</w:t>
            </w:r>
          </w:p>
          <w:p w14:paraId="2B9022E3" w14:textId="1A295002" w:rsidR="00EF76CC" w:rsidRPr="00235AD3" w:rsidRDefault="00EF76CC"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Tādējādi tiks nodrošināts, ka naftas produktu atkritumu aprite, piemēram, savākšana, apsaimniekošana, pārstrāde, reģenerācija vai paglabāšana noritēs atbilstoši vides aizsardzības normatīvo aktu prasībām</w:t>
            </w:r>
            <w:r w:rsidR="005057B3" w:rsidRPr="00235AD3">
              <w:rPr>
                <w:rFonts w:ascii="Times New Roman" w:hAnsi="Times New Roman" w:cs="Times New Roman"/>
                <w:sz w:val="24"/>
                <w:szCs w:val="24"/>
              </w:rPr>
              <w:t xml:space="preserve"> un to vairs neregulēs akcīzes jomas normatīvie akti</w:t>
            </w:r>
            <w:r w:rsidRPr="00235AD3">
              <w:rPr>
                <w:rFonts w:ascii="Times New Roman" w:hAnsi="Times New Roman" w:cs="Times New Roman"/>
                <w:sz w:val="24"/>
                <w:szCs w:val="24"/>
              </w:rPr>
              <w:t>.</w:t>
            </w:r>
          </w:p>
          <w:p w14:paraId="68933F35" w14:textId="13CF996F" w:rsidR="00EF76CC" w:rsidRPr="00235AD3" w:rsidRDefault="00EF76CC" w:rsidP="007D4E4E">
            <w:pPr>
              <w:tabs>
                <w:tab w:val="left" w:pos="250"/>
              </w:tabs>
              <w:spacing w:after="0" w:line="240" w:lineRule="auto"/>
              <w:ind w:left="117" w:firstLine="275"/>
              <w:jc w:val="both"/>
              <w:rPr>
                <w:rFonts w:ascii="Times New Roman" w:hAnsi="Times New Roman" w:cs="Times New Roman"/>
                <w:sz w:val="24"/>
                <w:szCs w:val="24"/>
              </w:rPr>
            </w:pPr>
          </w:p>
          <w:p w14:paraId="5EDA783B" w14:textId="6FAFC1ED" w:rsidR="00B331EF" w:rsidRPr="00235AD3" w:rsidRDefault="00F12EAB" w:rsidP="00AC21F4">
            <w:pPr>
              <w:pStyle w:val="ListParagraph"/>
              <w:numPr>
                <w:ilvl w:val="0"/>
                <w:numId w:val="22"/>
              </w:numPr>
              <w:tabs>
                <w:tab w:val="left" w:pos="250"/>
              </w:tabs>
              <w:ind w:left="117" w:firstLine="275"/>
              <w:jc w:val="both"/>
            </w:pPr>
            <w:r w:rsidRPr="00235AD3">
              <w:t xml:space="preserve"> </w:t>
            </w:r>
            <w:r w:rsidR="00B92950" w:rsidRPr="00235AD3">
              <w:t>Likuma 16.</w:t>
            </w:r>
            <w:r w:rsidR="002E4F1C" w:rsidRPr="00235AD3">
              <w:t> </w:t>
            </w:r>
            <w:r w:rsidR="00B92950" w:rsidRPr="00235AD3">
              <w:t>panta pirmās daļas 4.</w:t>
            </w:r>
            <w:r w:rsidR="00B92950" w:rsidRPr="00235AD3">
              <w:rPr>
                <w:vertAlign w:val="superscript"/>
              </w:rPr>
              <w:t>1 </w:t>
            </w:r>
            <w:r w:rsidR="00B92950" w:rsidRPr="00235AD3">
              <w:t>punkts paredz, ka no akcīzes nodokļa ir atbrīvoti uztura bagātinātāji, kuri satur spirtu un kurus reģistrē, izplata, realizē, noformē un piegādā saskaņā ar normatīvajiem aktiem par obligātajām nekaitīguma un marķējuma prasībām uztura bagātinātājiem un uztura bagātinātāju reģistrācijas kārtību, ja absolūtā spirta saturs nepārsniedz 80 mililitrus iepakojumā.</w:t>
            </w:r>
          </w:p>
          <w:p w14:paraId="13B86674" w14:textId="72D6EC99" w:rsidR="00B92950" w:rsidRPr="00235AD3" w:rsidRDefault="00B331EF"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Savukārt par uztura bagātinātājiem ar absolūtā spirta saturu virs 80 mililitriem iepakojumā, ir jāsamaksā akcīzes nodoklis atbilstoši likuma 23.</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panta divdesmit pirmajai daļai.</w:t>
            </w:r>
          </w:p>
          <w:p w14:paraId="243F2318" w14:textId="3C2A17CE" w:rsidR="00B92950" w:rsidRPr="00235AD3" w:rsidRDefault="00B92950"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 xml:space="preserve">Ir pieņemta direktīva 2020/1151/ES, </w:t>
            </w:r>
            <w:r w:rsidR="00CD68B9" w:rsidRPr="00235AD3">
              <w:rPr>
                <w:rFonts w:ascii="Times New Roman" w:hAnsi="Times New Roman" w:cs="Times New Roman"/>
                <w:sz w:val="24"/>
                <w:szCs w:val="24"/>
              </w:rPr>
              <w:t>kurā minētos noteikumus piemēro no 2022.</w:t>
            </w:r>
            <w:r w:rsidR="002E4F1C" w:rsidRPr="00235AD3">
              <w:rPr>
                <w:rFonts w:ascii="Times New Roman" w:hAnsi="Times New Roman" w:cs="Times New Roman"/>
                <w:sz w:val="24"/>
                <w:szCs w:val="24"/>
              </w:rPr>
              <w:t> </w:t>
            </w:r>
            <w:r w:rsidR="00CD68B9" w:rsidRPr="00235AD3">
              <w:rPr>
                <w:rFonts w:ascii="Times New Roman" w:hAnsi="Times New Roman" w:cs="Times New Roman"/>
                <w:sz w:val="24"/>
                <w:szCs w:val="24"/>
              </w:rPr>
              <w:t>gada 1.</w:t>
            </w:r>
            <w:r w:rsidR="002E4F1C" w:rsidRPr="00235AD3">
              <w:rPr>
                <w:rFonts w:ascii="Times New Roman" w:hAnsi="Times New Roman" w:cs="Times New Roman"/>
                <w:sz w:val="24"/>
                <w:szCs w:val="24"/>
              </w:rPr>
              <w:t> </w:t>
            </w:r>
            <w:r w:rsidR="00CD68B9" w:rsidRPr="00235AD3">
              <w:rPr>
                <w:rFonts w:ascii="Times New Roman" w:hAnsi="Times New Roman" w:cs="Times New Roman"/>
                <w:sz w:val="24"/>
                <w:szCs w:val="24"/>
              </w:rPr>
              <w:t>janvāra. Direktīva 2020/1151/ES</w:t>
            </w:r>
            <w:r w:rsidRPr="00235AD3">
              <w:rPr>
                <w:rFonts w:ascii="Times New Roman" w:hAnsi="Times New Roman" w:cs="Times New Roman"/>
                <w:sz w:val="24"/>
                <w:szCs w:val="24"/>
              </w:rPr>
              <w:t xml:space="preserve"> papildina direktīvas 92/83/EEK 27.</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panta 2.</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punktu ar “f” apakšpunktu. Minētais apakšpunkts paredz, ka tādu uztura bagātinātāju ražošanā, kas noteikti Eiropas Parlamenta un Padomes Direktīvā 2002/46/EK</w:t>
            </w:r>
            <w:r w:rsidRPr="00235AD3">
              <w:rPr>
                <w:rStyle w:val="FootnoteReference"/>
                <w:rFonts w:ascii="Times New Roman" w:hAnsi="Times New Roman" w:cs="Times New Roman"/>
                <w:sz w:val="24"/>
                <w:szCs w:val="24"/>
              </w:rPr>
              <w:footnoteReference w:id="3"/>
            </w:r>
            <w:r w:rsidRPr="00235AD3">
              <w:rPr>
                <w:rFonts w:ascii="Times New Roman" w:hAnsi="Times New Roman" w:cs="Times New Roman"/>
                <w:sz w:val="24"/>
                <w:szCs w:val="24"/>
              </w:rPr>
              <w:t xml:space="preserve"> un kas satur etilspirtu, ja patēriņam nodotā uztura bagātinātā</w:t>
            </w:r>
            <w:r w:rsidR="004808FE" w:rsidRPr="00235AD3">
              <w:rPr>
                <w:rFonts w:ascii="Times New Roman" w:hAnsi="Times New Roman" w:cs="Times New Roman"/>
                <w:sz w:val="24"/>
                <w:szCs w:val="24"/>
              </w:rPr>
              <w:t>ja</w:t>
            </w:r>
            <w:r w:rsidRPr="00235AD3">
              <w:rPr>
                <w:rFonts w:ascii="Times New Roman" w:hAnsi="Times New Roman" w:cs="Times New Roman"/>
                <w:sz w:val="24"/>
                <w:szCs w:val="24"/>
              </w:rPr>
              <w:t xml:space="preserve"> iepakojuma vienība nepārsniedz 0,15 litru un uztura bagātinātāji ir laisti tirgū, ievērojot minētās direktīvas 10.</w:t>
            </w:r>
            <w:r w:rsidR="002E4F1C" w:rsidRPr="00235AD3">
              <w:rPr>
                <w:rFonts w:ascii="Times New Roman" w:hAnsi="Times New Roman" w:cs="Times New Roman"/>
                <w:sz w:val="24"/>
                <w:szCs w:val="24"/>
              </w:rPr>
              <w:t> pantu.</w:t>
            </w:r>
          </w:p>
          <w:p w14:paraId="253216FA" w14:textId="045A491F" w:rsidR="00B92950" w:rsidRPr="00235AD3" w:rsidRDefault="00B92950"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lastRenderedPageBreak/>
              <w:t>Direktīvas 2002/46/EK 10.</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pants paredz, ka, lai veicinātu uztura bagātinātāju efektīvu uzraudzību, dalībvalstis var noteikt, ka ražotājiem vai personām, kas to teritorijā produktu laiž tirgū, ir par to jāpaziņo kompetentajai iestādei, nosūtot tai produkta marķējuma paraugu.</w:t>
            </w:r>
          </w:p>
          <w:p w14:paraId="0DA844B3" w14:textId="0227829B" w:rsidR="00B92950" w:rsidRPr="00235AD3" w:rsidRDefault="00B92950" w:rsidP="007D4E4E">
            <w:pPr>
              <w:tabs>
                <w:tab w:val="left" w:pos="250"/>
              </w:tabs>
              <w:spacing w:after="0" w:line="240" w:lineRule="auto"/>
              <w:ind w:left="117" w:firstLine="275"/>
              <w:jc w:val="both"/>
              <w:rPr>
                <w:rFonts w:ascii="Times New Roman" w:hAnsi="Times New Roman" w:cs="Times New Roman"/>
                <w:bCs/>
                <w:vanish/>
                <w:sz w:val="24"/>
                <w:szCs w:val="24"/>
              </w:rPr>
            </w:pPr>
            <w:r w:rsidRPr="00235AD3">
              <w:rPr>
                <w:rFonts w:ascii="Times New Roman" w:hAnsi="Times New Roman" w:cs="Times New Roman"/>
                <w:sz w:val="24"/>
                <w:szCs w:val="24"/>
              </w:rPr>
              <w:t>Direktīvā 2002/46/EK noteiktās normas, t.sk. 10.</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 xml:space="preserve">pants, ir pārņemtas ar </w:t>
            </w:r>
            <w:r w:rsidRPr="00235AD3">
              <w:rPr>
                <w:rFonts w:ascii="Times New Roman" w:hAnsi="Times New Roman" w:cs="Times New Roman"/>
                <w:bCs/>
                <w:sz w:val="24"/>
                <w:szCs w:val="24"/>
              </w:rPr>
              <w:t xml:space="preserve">Ministru kabineta </w:t>
            </w:r>
            <w:r w:rsidRPr="00235AD3">
              <w:rPr>
                <w:rFonts w:ascii="Times New Roman" w:hAnsi="Times New Roman" w:cs="Times New Roman"/>
                <w:sz w:val="24"/>
                <w:szCs w:val="24"/>
              </w:rPr>
              <w:t>2015.</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gada 1.</w:t>
            </w:r>
            <w:r w:rsidR="002E4F1C" w:rsidRPr="00235AD3">
              <w:rPr>
                <w:rFonts w:ascii="Times New Roman" w:hAnsi="Times New Roman" w:cs="Times New Roman"/>
                <w:sz w:val="24"/>
                <w:szCs w:val="24"/>
              </w:rPr>
              <w:t> </w:t>
            </w:r>
            <w:r w:rsidRPr="00235AD3">
              <w:rPr>
                <w:rFonts w:ascii="Times New Roman" w:hAnsi="Times New Roman" w:cs="Times New Roman"/>
                <w:sz w:val="24"/>
                <w:szCs w:val="24"/>
              </w:rPr>
              <w:t xml:space="preserve">decembra </w:t>
            </w:r>
            <w:r w:rsidRPr="00235AD3">
              <w:rPr>
                <w:rFonts w:ascii="Times New Roman" w:hAnsi="Times New Roman" w:cs="Times New Roman"/>
                <w:bCs/>
                <w:sz w:val="24"/>
                <w:szCs w:val="24"/>
              </w:rPr>
              <w:t>noteikumiem Nr.</w:t>
            </w:r>
            <w:r w:rsidR="002E4F1C" w:rsidRPr="00235AD3">
              <w:rPr>
                <w:rFonts w:ascii="Times New Roman" w:hAnsi="Times New Roman" w:cs="Times New Roman"/>
                <w:bCs/>
                <w:sz w:val="24"/>
                <w:szCs w:val="24"/>
              </w:rPr>
              <w:t> </w:t>
            </w:r>
            <w:r w:rsidRPr="00235AD3">
              <w:rPr>
                <w:rFonts w:ascii="Times New Roman" w:hAnsi="Times New Roman" w:cs="Times New Roman"/>
                <w:bCs/>
                <w:sz w:val="24"/>
                <w:szCs w:val="24"/>
              </w:rPr>
              <w:t>685</w:t>
            </w:r>
            <w:r w:rsidRPr="00235AD3">
              <w:rPr>
                <w:rFonts w:ascii="Times New Roman" w:hAnsi="Times New Roman" w:cs="Times New Roman"/>
                <w:sz w:val="24"/>
                <w:szCs w:val="24"/>
              </w:rPr>
              <w:t xml:space="preserve"> “</w:t>
            </w:r>
            <w:r w:rsidRPr="00235AD3">
              <w:rPr>
                <w:rFonts w:ascii="Times New Roman" w:hAnsi="Times New Roman" w:cs="Times New Roman"/>
                <w:bCs/>
                <w:sz w:val="24"/>
                <w:szCs w:val="24"/>
              </w:rPr>
              <w:t>Prasības uztura bagātinātājiem” (turpmāk – Ministru kabineta noteikumi Nr.</w:t>
            </w:r>
            <w:r w:rsidR="002E4F1C" w:rsidRPr="00235AD3">
              <w:rPr>
                <w:rFonts w:ascii="Times New Roman" w:hAnsi="Times New Roman" w:cs="Times New Roman"/>
                <w:bCs/>
                <w:sz w:val="24"/>
                <w:szCs w:val="24"/>
              </w:rPr>
              <w:t> </w:t>
            </w:r>
            <w:r w:rsidRPr="00235AD3">
              <w:rPr>
                <w:rFonts w:ascii="Times New Roman" w:hAnsi="Times New Roman" w:cs="Times New Roman"/>
                <w:bCs/>
                <w:sz w:val="24"/>
                <w:szCs w:val="24"/>
              </w:rPr>
              <w:t>685). Saskaņā ar Ministru kabineta noteikumu Nr.</w:t>
            </w:r>
            <w:r w:rsidR="002E4F1C" w:rsidRPr="00235AD3">
              <w:rPr>
                <w:rFonts w:ascii="Times New Roman" w:hAnsi="Times New Roman" w:cs="Times New Roman"/>
                <w:bCs/>
                <w:sz w:val="24"/>
                <w:szCs w:val="24"/>
              </w:rPr>
              <w:t> </w:t>
            </w:r>
            <w:r w:rsidRPr="00235AD3">
              <w:rPr>
                <w:rFonts w:ascii="Times New Roman" w:hAnsi="Times New Roman" w:cs="Times New Roman"/>
                <w:bCs/>
                <w:sz w:val="24"/>
                <w:szCs w:val="24"/>
              </w:rPr>
              <w:t xml:space="preserve">685 </w:t>
            </w:r>
            <w:bookmarkStart w:id="0" w:name="p-570975"/>
            <w:bookmarkStart w:id="1" w:name="p3"/>
            <w:bookmarkEnd w:id="0"/>
            <w:bookmarkEnd w:id="1"/>
            <w:r w:rsidRPr="00235AD3">
              <w:rPr>
                <w:rFonts w:ascii="Times New Roman" w:hAnsi="Times New Roman" w:cs="Times New Roman"/>
                <w:bCs/>
                <w:sz w:val="24"/>
                <w:szCs w:val="24"/>
              </w:rPr>
              <w:t>3.</w:t>
            </w:r>
            <w:r w:rsidR="002E4F1C" w:rsidRPr="00235AD3">
              <w:rPr>
                <w:rFonts w:ascii="Times New Roman" w:hAnsi="Times New Roman" w:cs="Times New Roman"/>
                <w:bCs/>
                <w:sz w:val="24"/>
                <w:szCs w:val="24"/>
              </w:rPr>
              <w:t> </w:t>
            </w:r>
            <w:r w:rsidRPr="00235AD3">
              <w:rPr>
                <w:rFonts w:ascii="Times New Roman" w:hAnsi="Times New Roman" w:cs="Times New Roman"/>
                <w:bCs/>
                <w:sz w:val="24"/>
                <w:szCs w:val="24"/>
              </w:rPr>
              <w:t xml:space="preserve">punktu Latvijas Republikā atļauts laist tirgū uztura bagātinātājus, ja tie ir paziņoti Pārtikas un veterinārajam dienestam un iekļauti uztura bagātinātāju reģistrā, un noformēti kā pārtikas produkti un galapatērētājam tiek piegādāti tikai fasētā veidā. </w:t>
            </w:r>
            <w:r w:rsidRPr="00235AD3">
              <w:rPr>
                <w:rFonts w:ascii="Times New Roman" w:hAnsi="Times New Roman" w:cs="Times New Roman"/>
                <w:bCs/>
                <w:vanish/>
                <w:sz w:val="24"/>
                <w:szCs w:val="24"/>
              </w:rPr>
              <w:t>4</w:t>
            </w:r>
          </w:p>
          <w:p w14:paraId="0B602C45" w14:textId="77777777" w:rsidR="00B92950" w:rsidRPr="00235AD3" w:rsidRDefault="00B92950" w:rsidP="007D4E4E">
            <w:pPr>
              <w:tabs>
                <w:tab w:val="left" w:pos="250"/>
              </w:tabs>
              <w:spacing w:after="0" w:line="240" w:lineRule="auto"/>
              <w:ind w:left="117" w:firstLine="275"/>
              <w:jc w:val="both"/>
              <w:rPr>
                <w:rFonts w:ascii="Times New Roman" w:hAnsi="Times New Roman" w:cs="Times New Roman"/>
                <w:bCs/>
                <w:vanish/>
                <w:sz w:val="24"/>
                <w:szCs w:val="24"/>
              </w:rPr>
            </w:pPr>
            <w:r w:rsidRPr="00235AD3">
              <w:rPr>
                <w:rFonts w:ascii="Times New Roman" w:hAnsi="Times New Roman" w:cs="Times New Roman"/>
                <w:bCs/>
                <w:vanish/>
                <w:sz w:val="24"/>
                <w:szCs w:val="24"/>
              </w:rPr>
              <w:t>Parādīt iespējas</w:t>
            </w:r>
          </w:p>
          <w:p w14:paraId="038F111C" w14:textId="77777777" w:rsidR="00B92950" w:rsidRPr="00235AD3" w:rsidRDefault="00B92950" w:rsidP="007D4E4E">
            <w:pPr>
              <w:tabs>
                <w:tab w:val="left" w:pos="250"/>
              </w:tabs>
              <w:spacing w:after="0" w:line="240" w:lineRule="auto"/>
              <w:ind w:left="117" w:firstLine="275"/>
              <w:jc w:val="both"/>
              <w:rPr>
                <w:rFonts w:ascii="Times New Roman" w:hAnsi="Times New Roman" w:cs="Times New Roman"/>
                <w:bCs/>
                <w:vanish/>
                <w:sz w:val="24"/>
                <w:szCs w:val="24"/>
              </w:rPr>
            </w:pPr>
            <w:r w:rsidRPr="00235AD3">
              <w:rPr>
                <w:rFonts w:ascii="Times New Roman" w:hAnsi="Times New Roman" w:cs="Times New Roman"/>
                <w:bCs/>
                <w:vanish/>
                <w:sz w:val="24"/>
                <w:szCs w:val="24"/>
              </w:rPr>
              <w:t>Slēpt iespējas</w:t>
            </w:r>
          </w:p>
          <w:p w14:paraId="229021EF" w14:textId="77777777" w:rsidR="00B92950" w:rsidRPr="00235AD3" w:rsidRDefault="00B92950" w:rsidP="007D4E4E">
            <w:pPr>
              <w:numPr>
                <w:ilvl w:val="0"/>
                <w:numId w:val="21"/>
              </w:numPr>
              <w:tabs>
                <w:tab w:val="left" w:pos="250"/>
              </w:tabs>
              <w:spacing w:after="0" w:line="240" w:lineRule="auto"/>
              <w:ind w:left="117" w:firstLine="275"/>
              <w:jc w:val="both"/>
              <w:rPr>
                <w:rFonts w:ascii="Times New Roman" w:hAnsi="Times New Roman" w:cs="Times New Roman"/>
                <w:bCs/>
                <w:vanish/>
                <w:sz w:val="24"/>
                <w:szCs w:val="24"/>
              </w:rPr>
            </w:pPr>
            <w:r w:rsidRPr="00235AD3">
              <w:rPr>
                <w:rFonts w:ascii="Times New Roman" w:hAnsi="Times New Roman" w:cs="Times New Roman"/>
                <w:bCs/>
                <w:vanish/>
                <w:sz w:val="24"/>
                <w:szCs w:val="24"/>
              </w:rPr>
              <w:t>Drukāt punktu</w:t>
            </w:r>
          </w:p>
          <w:p w14:paraId="0E72A199" w14:textId="77777777" w:rsidR="00B92950" w:rsidRPr="00235AD3" w:rsidRDefault="00B92950" w:rsidP="007D4E4E">
            <w:pPr>
              <w:numPr>
                <w:ilvl w:val="0"/>
                <w:numId w:val="21"/>
              </w:numPr>
              <w:tabs>
                <w:tab w:val="left" w:pos="250"/>
              </w:tabs>
              <w:spacing w:after="0" w:line="240" w:lineRule="auto"/>
              <w:ind w:left="117" w:firstLine="275"/>
              <w:jc w:val="both"/>
              <w:rPr>
                <w:rFonts w:ascii="Times New Roman" w:hAnsi="Times New Roman" w:cs="Times New Roman"/>
                <w:bCs/>
                <w:vanish/>
                <w:sz w:val="24"/>
                <w:szCs w:val="24"/>
              </w:rPr>
            </w:pPr>
            <w:r w:rsidRPr="00235AD3">
              <w:rPr>
                <w:rFonts w:ascii="Times New Roman" w:hAnsi="Times New Roman" w:cs="Times New Roman"/>
                <w:bCs/>
                <w:vanish/>
                <w:sz w:val="24"/>
                <w:szCs w:val="24"/>
              </w:rPr>
              <w:t>Saglabāt kā PDF</w:t>
            </w:r>
          </w:p>
          <w:p w14:paraId="5EAE20E7" w14:textId="77777777" w:rsidR="00B92950" w:rsidRPr="00235AD3" w:rsidRDefault="00B92950" w:rsidP="007D4E4E">
            <w:pPr>
              <w:numPr>
                <w:ilvl w:val="0"/>
                <w:numId w:val="21"/>
              </w:numPr>
              <w:tabs>
                <w:tab w:val="left" w:pos="250"/>
              </w:tabs>
              <w:spacing w:after="0" w:line="240" w:lineRule="auto"/>
              <w:ind w:left="117" w:firstLine="275"/>
              <w:jc w:val="both"/>
              <w:rPr>
                <w:rFonts w:ascii="Times New Roman" w:hAnsi="Times New Roman" w:cs="Times New Roman"/>
                <w:bCs/>
                <w:vanish/>
                <w:sz w:val="24"/>
                <w:szCs w:val="24"/>
              </w:rPr>
            </w:pPr>
            <w:r w:rsidRPr="00235AD3">
              <w:rPr>
                <w:rFonts w:ascii="Times New Roman" w:hAnsi="Times New Roman" w:cs="Times New Roman"/>
                <w:bCs/>
                <w:vanish/>
                <w:sz w:val="24"/>
                <w:szCs w:val="24"/>
              </w:rPr>
              <w:t>Pievienot piezīmi</w:t>
            </w:r>
          </w:p>
          <w:p w14:paraId="59313235" w14:textId="77777777" w:rsidR="00B92950" w:rsidRPr="00235AD3" w:rsidRDefault="00B92950" w:rsidP="007D4E4E">
            <w:pPr>
              <w:numPr>
                <w:ilvl w:val="0"/>
                <w:numId w:val="21"/>
              </w:numPr>
              <w:tabs>
                <w:tab w:val="left" w:pos="250"/>
              </w:tabs>
              <w:spacing w:after="0" w:line="240" w:lineRule="auto"/>
              <w:ind w:left="117" w:firstLine="275"/>
              <w:jc w:val="both"/>
              <w:rPr>
                <w:rFonts w:ascii="Times New Roman" w:hAnsi="Times New Roman" w:cs="Times New Roman"/>
                <w:bCs/>
                <w:vanish/>
                <w:sz w:val="24"/>
                <w:szCs w:val="24"/>
              </w:rPr>
            </w:pPr>
            <w:r w:rsidRPr="00235AD3">
              <w:rPr>
                <w:rFonts w:ascii="Times New Roman" w:hAnsi="Times New Roman" w:cs="Times New Roman"/>
                <w:bCs/>
                <w:vanish/>
                <w:sz w:val="24"/>
                <w:szCs w:val="24"/>
              </w:rPr>
              <w:t>Atsauce uz punktu</w:t>
            </w:r>
          </w:p>
          <w:p w14:paraId="6D83D391" w14:textId="0DD96212" w:rsidR="00B17D4E" w:rsidRPr="00235AD3" w:rsidRDefault="00B92950" w:rsidP="00B17D4E">
            <w:pPr>
              <w:tabs>
                <w:tab w:val="left" w:pos="250"/>
              </w:tabs>
              <w:spacing w:after="0" w:line="240" w:lineRule="auto"/>
              <w:ind w:left="117" w:firstLine="275"/>
              <w:jc w:val="both"/>
              <w:rPr>
                <w:rFonts w:ascii="Times New Roman" w:hAnsi="Times New Roman" w:cs="Times New Roman"/>
                <w:bCs/>
                <w:sz w:val="24"/>
                <w:szCs w:val="24"/>
              </w:rPr>
            </w:pPr>
            <w:bookmarkStart w:id="2" w:name="p-570976"/>
            <w:bookmarkStart w:id="3" w:name="p4"/>
            <w:bookmarkEnd w:id="2"/>
            <w:bookmarkEnd w:id="3"/>
            <w:r w:rsidRPr="00235AD3">
              <w:rPr>
                <w:rFonts w:ascii="Times New Roman" w:hAnsi="Times New Roman" w:cs="Times New Roman"/>
                <w:bCs/>
                <w:sz w:val="24"/>
                <w:szCs w:val="24"/>
              </w:rPr>
              <w:t>Pārtikas uzņēmums nodrošina, ka attiecīgo uztura bagātinātāju tirdzniecības vietā ir informācija par produktiem, ko tas izplata (Ministru kabineta noteikumu Nr.</w:t>
            </w:r>
            <w:r w:rsidR="002E4F1C" w:rsidRPr="00235AD3">
              <w:rPr>
                <w:rFonts w:ascii="Times New Roman" w:hAnsi="Times New Roman" w:cs="Times New Roman"/>
                <w:bCs/>
                <w:sz w:val="24"/>
                <w:szCs w:val="24"/>
              </w:rPr>
              <w:t> </w:t>
            </w:r>
            <w:r w:rsidRPr="00235AD3">
              <w:rPr>
                <w:rFonts w:ascii="Times New Roman" w:hAnsi="Times New Roman" w:cs="Times New Roman"/>
                <w:bCs/>
                <w:sz w:val="24"/>
                <w:szCs w:val="24"/>
              </w:rPr>
              <w:t>685 4.</w:t>
            </w:r>
            <w:r w:rsidR="002E4F1C" w:rsidRPr="00235AD3">
              <w:rPr>
                <w:rFonts w:ascii="Times New Roman" w:hAnsi="Times New Roman" w:cs="Times New Roman"/>
                <w:bCs/>
                <w:sz w:val="24"/>
                <w:szCs w:val="24"/>
              </w:rPr>
              <w:t> </w:t>
            </w:r>
            <w:r w:rsidRPr="00235AD3">
              <w:rPr>
                <w:rFonts w:ascii="Times New Roman" w:hAnsi="Times New Roman" w:cs="Times New Roman"/>
                <w:bCs/>
                <w:sz w:val="24"/>
                <w:szCs w:val="24"/>
              </w:rPr>
              <w:t xml:space="preserve">punkts). </w:t>
            </w:r>
            <w:r w:rsidR="00B17D4E" w:rsidRPr="00235AD3">
              <w:rPr>
                <w:rFonts w:ascii="Times New Roman" w:hAnsi="Times New Roman" w:cs="Times New Roman"/>
                <w:bCs/>
                <w:sz w:val="24"/>
                <w:szCs w:val="24"/>
              </w:rPr>
              <w:t>Atbilstoši minēto noteikumu 9.</w:t>
            </w:r>
            <w:r w:rsidR="002E4F1C" w:rsidRPr="00235AD3">
              <w:rPr>
                <w:rFonts w:ascii="Times New Roman" w:hAnsi="Times New Roman" w:cs="Times New Roman"/>
                <w:bCs/>
                <w:sz w:val="24"/>
                <w:szCs w:val="24"/>
              </w:rPr>
              <w:t> </w:t>
            </w:r>
            <w:r w:rsidR="00B17D4E" w:rsidRPr="00235AD3">
              <w:rPr>
                <w:rFonts w:ascii="Times New Roman" w:hAnsi="Times New Roman" w:cs="Times New Roman"/>
                <w:bCs/>
                <w:sz w:val="24"/>
                <w:szCs w:val="24"/>
              </w:rPr>
              <w:t xml:space="preserve">punktam, lai reģistrētu uztura bagātinātāju, pārtikas uzņēmums Pārtikas un </w:t>
            </w:r>
            <w:r w:rsidR="002E4F1C" w:rsidRPr="00235AD3">
              <w:rPr>
                <w:rFonts w:ascii="Times New Roman" w:hAnsi="Times New Roman" w:cs="Times New Roman"/>
                <w:bCs/>
                <w:sz w:val="24"/>
                <w:szCs w:val="24"/>
              </w:rPr>
              <w:t>veterinārajā dienestā iesniedz:</w:t>
            </w:r>
          </w:p>
          <w:p w14:paraId="75585B48" w14:textId="77777777" w:rsidR="00B17D4E" w:rsidRPr="00235AD3" w:rsidRDefault="00B17D4E" w:rsidP="00B17D4E">
            <w:pPr>
              <w:tabs>
                <w:tab w:val="left" w:pos="250"/>
              </w:tabs>
              <w:spacing w:after="0" w:line="240" w:lineRule="auto"/>
              <w:ind w:left="117" w:firstLine="275"/>
              <w:jc w:val="both"/>
              <w:rPr>
                <w:rFonts w:ascii="Times New Roman" w:hAnsi="Times New Roman" w:cs="Times New Roman"/>
                <w:bCs/>
                <w:sz w:val="24"/>
                <w:szCs w:val="24"/>
              </w:rPr>
            </w:pPr>
            <w:r w:rsidRPr="00235AD3">
              <w:rPr>
                <w:rFonts w:ascii="Times New Roman" w:hAnsi="Times New Roman" w:cs="Times New Roman"/>
                <w:bCs/>
                <w:sz w:val="24"/>
                <w:szCs w:val="24"/>
              </w:rPr>
              <w:t xml:space="preserve">- paziņojumu uztura bagātinātāja reģistrācijai (paziņojuma veidlapas paraugs pieejams dienesta tīmekļvietnē); </w:t>
            </w:r>
          </w:p>
          <w:p w14:paraId="59B2D1DD" w14:textId="34EE3C7A" w:rsidR="00B17D4E" w:rsidRPr="00235AD3" w:rsidRDefault="00B17D4E" w:rsidP="00B17D4E">
            <w:pPr>
              <w:tabs>
                <w:tab w:val="left" w:pos="250"/>
              </w:tabs>
              <w:spacing w:after="0" w:line="240" w:lineRule="auto"/>
              <w:ind w:left="117" w:firstLine="275"/>
              <w:jc w:val="both"/>
              <w:rPr>
                <w:rFonts w:ascii="Times New Roman" w:hAnsi="Times New Roman" w:cs="Times New Roman"/>
                <w:bCs/>
                <w:sz w:val="24"/>
                <w:szCs w:val="24"/>
              </w:rPr>
            </w:pPr>
            <w:r w:rsidRPr="00235AD3">
              <w:rPr>
                <w:rFonts w:ascii="Times New Roman" w:hAnsi="Times New Roman" w:cs="Times New Roman"/>
                <w:bCs/>
                <w:sz w:val="24"/>
                <w:szCs w:val="24"/>
              </w:rPr>
              <w:t xml:space="preserve">- marķējuma </w:t>
            </w:r>
            <w:r w:rsidR="002E4F1C" w:rsidRPr="00235AD3">
              <w:rPr>
                <w:rFonts w:ascii="Times New Roman" w:hAnsi="Times New Roman" w:cs="Times New Roman"/>
                <w:bCs/>
                <w:sz w:val="24"/>
                <w:szCs w:val="24"/>
              </w:rPr>
              <w:t>teksta paraugu latviešu valodā;</w:t>
            </w:r>
          </w:p>
          <w:p w14:paraId="28766570" w14:textId="1B446B27" w:rsidR="00B17D4E" w:rsidRPr="00235AD3" w:rsidRDefault="00B17D4E" w:rsidP="00B17D4E">
            <w:pPr>
              <w:tabs>
                <w:tab w:val="left" w:pos="250"/>
              </w:tabs>
              <w:spacing w:after="0" w:line="240" w:lineRule="auto"/>
              <w:ind w:left="117" w:firstLine="275"/>
              <w:jc w:val="both"/>
              <w:rPr>
                <w:rFonts w:ascii="Times New Roman" w:hAnsi="Times New Roman" w:cs="Times New Roman"/>
                <w:bCs/>
                <w:sz w:val="24"/>
                <w:szCs w:val="24"/>
              </w:rPr>
            </w:pPr>
            <w:r w:rsidRPr="00235AD3">
              <w:rPr>
                <w:rFonts w:ascii="Times New Roman" w:hAnsi="Times New Roman" w:cs="Times New Roman"/>
                <w:bCs/>
                <w:sz w:val="24"/>
                <w:szCs w:val="24"/>
              </w:rPr>
              <w:t>- marķējuma paraugu oriģinālvalodā, iepakojuma oriģinālu vai tā fotokopiju.</w:t>
            </w:r>
          </w:p>
          <w:p w14:paraId="5EA5D521" w14:textId="704FA003" w:rsidR="00B33E37" w:rsidRPr="00235AD3" w:rsidRDefault="00B92950" w:rsidP="00B17D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bCs/>
                <w:sz w:val="24"/>
                <w:szCs w:val="24"/>
              </w:rPr>
              <w:t>Tādējādi nepieciešams likuma 16.panta pirmās daļas 4.</w:t>
            </w:r>
            <w:r w:rsidRPr="00235AD3">
              <w:rPr>
                <w:rFonts w:ascii="Times New Roman" w:hAnsi="Times New Roman" w:cs="Times New Roman"/>
                <w:bCs/>
                <w:sz w:val="24"/>
                <w:szCs w:val="24"/>
                <w:vertAlign w:val="superscript"/>
              </w:rPr>
              <w:t>1 </w:t>
            </w:r>
            <w:r w:rsidRPr="00235AD3">
              <w:rPr>
                <w:rFonts w:ascii="Times New Roman" w:hAnsi="Times New Roman" w:cs="Times New Roman"/>
                <w:bCs/>
                <w:sz w:val="24"/>
                <w:szCs w:val="24"/>
              </w:rPr>
              <w:t>punktā aizstāt vārdus “ja absolūtā spirta saturs nepārsniedz 80 mililitrus iepakojumā” ar vārdiem “ja uztura bagātinātā</w:t>
            </w:r>
            <w:r w:rsidR="00511610" w:rsidRPr="00235AD3">
              <w:rPr>
                <w:rFonts w:ascii="Times New Roman" w:hAnsi="Times New Roman" w:cs="Times New Roman"/>
                <w:bCs/>
                <w:sz w:val="24"/>
                <w:szCs w:val="24"/>
              </w:rPr>
              <w:t>ja</w:t>
            </w:r>
            <w:r w:rsidRPr="00235AD3">
              <w:rPr>
                <w:rFonts w:ascii="Times New Roman" w:hAnsi="Times New Roman" w:cs="Times New Roman"/>
                <w:bCs/>
                <w:sz w:val="24"/>
                <w:szCs w:val="24"/>
              </w:rPr>
              <w:t xml:space="preserve"> iepakojuma vienība nepārsniedz </w:t>
            </w:r>
            <w:r w:rsidR="003043FB" w:rsidRPr="00235AD3">
              <w:rPr>
                <w:rFonts w:ascii="Times New Roman" w:hAnsi="Times New Roman" w:cs="Times New Roman"/>
                <w:bCs/>
                <w:sz w:val="24"/>
                <w:szCs w:val="24"/>
              </w:rPr>
              <w:t>150 mililitrus</w:t>
            </w:r>
            <w:r w:rsidRPr="00235AD3">
              <w:rPr>
                <w:rFonts w:ascii="Times New Roman" w:hAnsi="Times New Roman" w:cs="Times New Roman"/>
                <w:bCs/>
                <w:sz w:val="24"/>
                <w:szCs w:val="24"/>
              </w:rPr>
              <w:t>”</w:t>
            </w:r>
            <w:r w:rsidR="00E762F3" w:rsidRPr="00235AD3">
              <w:rPr>
                <w:rFonts w:ascii="Times New Roman" w:hAnsi="Times New Roman" w:cs="Times New Roman"/>
                <w:bCs/>
                <w:sz w:val="24"/>
                <w:szCs w:val="24"/>
              </w:rPr>
              <w:t>, kā arī veikt attiecīgus grozījumus likuma 3.</w:t>
            </w:r>
            <w:r w:rsidR="002E4F1C" w:rsidRPr="00235AD3">
              <w:rPr>
                <w:rFonts w:ascii="Times New Roman" w:hAnsi="Times New Roman" w:cs="Times New Roman"/>
                <w:bCs/>
                <w:sz w:val="24"/>
                <w:szCs w:val="24"/>
              </w:rPr>
              <w:t> </w:t>
            </w:r>
            <w:r w:rsidR="00E762F3" w:rsidRPr="00235AD3">
              <w:rPr>
                <w:rFonts w:ascii="Times New Roman" w:hAnsi="Times New Roman" w:cs="Times New Roman"/>
                <w:bCs/>
                <w:sz w:val="24"/>
                <w:szCs w:val="24"/>
              </w:rPr>
              <w:t>panta septītajā daļā</w:t>
            </w:r>
            <w:r w:rsidR="00F35C2F" w:rsidRPr="00235AD3">
              <w:rPr>
                <w:rFonts w:ascii="Times New Roman" w:hAnsi="Times New Roman" w:cs="Times New Roman"/>
                <w:bCs/>
                <w:sz w:val="24"/>
                <w:szCs w:val="24"/>
              </w:rPr>
              <w:t>, 23.</w:t>
            </w:r>
            <w:r w:rsidR="002E4F1C" w:rsidRPr="00235AD3">
              <w:rPr>
                <w:rFonts w:ascii="Times New Roman" w:hAnsi="Times New Roman" w:cs="Times New Roman"/>
                <w:bCs/>
                <w:sz w:val="24"/>
                <w:szCs w:val="24"/>
              </w:rPr>
              <w:t> </w:t>
            </w:r>
            <w:r w:rsidR="00F35C2F" w:rsidRPr="00235AD3">
              <w:rPr>
                <w:rFonts w:ascii="Times New Roman" w:hAnsi="Times New Roman" w:cs="Times New Roman"/>
                <w:bCs/>
                <w:sz w:val="24"/>
                <w:szCs w:val="24"/>
              </w:rPr>
              <w:t>pant</w:t>
            </w:r>
            <w:r w:rsidR="00511610" w:rsidRPr="00235AD3">
              <w:rPr>
                <w:rFonts w:ascii="Times New Roman" w:hAnsi="Times New Roman" w:cs="Times New Roman"/>
                <w:bCs/>
                <w:sz w:val="24"/>
                <w:szCs w:val="24"/>
              </w:rPr>
              <w:t>a</w:t>
            </w:r>
            <w:r w:rsidR="00F35C2F" w:rsidRPr="00235AD3">
              <w:rPr>
                <w:rFonts w:ascii="Times New Roman" w:hAnsi="Times New Roman" w:cs="Times New Roman"/>
                <w:bCs/>
                <w:sz w:val="24"/>
                <w:szCs w:val="24"/>
              </w:rPr>
              <w:t xml:space="preserve"> divdesmit pirmajā daļā</w:t>
            </w:r>
            <w:r w:rsidR="00011126" w:rsidRPr="00235AD3">
              <w:rPr>
                <w:rFonts w:ascii="Times New Roman" w:hAnsi="Times New Roman" w:cs="Times New Roman"/>
                <w:bCs/>
                <w:sz w:val="24"/>
                <w:szCs w:val="24"/>
              </w:rPr>
              <w:t xml:space="preserve"> un papildināt </w:t>
            </w:r>
            <w:r w:rsidR="003043B8" w:rsidRPr="00235AD3">
              <w:rPr>
                <w:rFonts w:ascii="Times New Roman" w:hAnsi="Times New Roman" w:cs="Times New Roman"/>
                <w:bCs/>
                <w:sz w:val="24"/>
                <w:szCs w:val="24"/>
              </w:rPr>
              <w:t xml:space="preserve">likuma informatīvo atsauci uz Eiropas Savienības direktīvām ar punktu par direktīvu 2020/1151/ES un </w:t>
            </w:r>
            <w:r w:rsidR="00011126" w:rsidRPr="00235AD3">
              <w:rPr>
                <w:rFonts w:ascii="Times New Roman" w:hAnsi="Times New Roman" w:cs="Times New Roman"/>
                <w:bCs/>
                <w:sz w:val="24"/>
                <w:szCs w:val="24"/>
              </w:rPr>
              <w:t>likuma pārejas noteikumus ar punktu par minēto normu spēkā stāšanos 2022.</w:t>
            </w:r>
            <w:r w:rsidR="002E4F1C" w:rsidRPr="00235AD3">
              <w:rPr>
                <w:rFonts w:ascii="Times New Roman" w:hAnsi="Times New Roman" w:cs="Times New Roman"/>
                <w:bCs/>
                <w:sz w:val="24"/>
                <w:szCs w:val="24"/>
              </w:rPr>
              <w:t> </w:t>
            </w:r>
            <w:r w:rsidR="00011126" w:rsidRPr="00235AD3">
              <w:rPr>
                <w:rFonts w:ascii="Times New Roman" w:hAnsi="Times New Roman" w:cs="Times New Roman"/>
                <w:bCs/>
                <w:sz w:val="24"/>
                <w:szCs w:val="24"/>
              </w:rPr>
              <w:t>gada 1.</w:t>
            </w:r>
            <w:r w:rsidR="002E4F1C" w:rsidRPr="00235AD3">
              <w:rPr>
                <w:rFonts w:ascii="Times New Roman" w:hAnsi="Times New Roman" w:cs="Times New Roman"/>
                <w:bCs/>
                <w:sz w:val="24"/>
                <w:szCs w:val="24"/>
              </w:rPr>
              <w:t> </w:t>
            </w:r>
            <w:r w:rsidR="00011126" w:rsidRPr="00235AD3">
              <w:rPr>
                <w:rFonts w:ascii="Times New Roman" w:hAnsi="Times New Roman" w:cs="Times New Roman"/>
                <w:bCs/>
                <w:sz w:val="24"/>
                <w:szCs w:val="24"/>
              </w:rPr>
              <w:t>janvārī</w:t>
            </w:r>
            <w:r w:rsidR="007F5BF8" w:rsidRPr="00235AD3">
              <w:rPr>
                <w:rFonts w:ascii="Times New Roman" w:hAnsi="Times New Roman" w:cs="Times New Roman"/>
                <w:bCs/>
                <w:sz w:val="24"/>
                <w:szCs w:val="24"/>
              </w:rPr>
              <w:t xml:space="preserve"> un uztura bagātinātāju, kuri satur</w:t>
            </w:r>
            <w:r w:rsidR="005A2BE4" w:rsidRPr="00235AD3">
              <w:rPr>
                <w:rFonts w:ascii="Times New Roman" w:hAnsi="Times New Roman" w:cs="Times New Roman"/>
                <w:bCs/>
                <w:sz w:val="24"/>
                <w:szCs w:val="24"/>
              </w:rPr>
              <w:t xml:space="preserve"> etil</w:t>
            </w:r>
            <w:r w:rsidR="007F5BF8" w:rsidRPr="00235AD3">
              <w:rPr>
                <w:rFonts w:ascii="Times New Roman" w:hAnsi="Times New Roman" w:cs="Times New Roman"/>
                <w:bCs/>
                <w:sz w:val="24"/>
                <w:szCs w:val="24"/>
              </w:rPr>
              <w:t>spirtu un ir iepakojumā virs 150 ml, inventarizāciju un aprēķinātā akcīzes nodokļa nomaksu valsts budžetā. Nepieciešams</w:t>
            </w:r>
            <w:r w:rsidR="001F47A9" w:rsidRPr="00235AD3">
              <w:rPr>
                <w:rFonts w:ascii="Times New Roman" w:hAnsi="Times New Roman" w:cs="Times New Roman"/>
                <w:bCs/>
                <w:sz w:val="24"/>
                <w:szCs w:val="24"/>
              </w:rPr>
              <w:t xml:space="preserve"> likuma pārejas noteikumos </w:t>
            </w:r>
            <w:r w:rsidR="007F5BF8" w:rsidRPr="00235AD3">
              <w:rPr>
                <w:rFonts w:ascii="Times New Roman" w:hAnsi="Times New Roman" w:cs="Times New Roman"/>
                <w:bCs/>
                <w:sz w:val="24"/>
                <w:szCs w:val="24"/>
              </w:rPr>
              <w:t>arī paredzēt</w:t>
            </w:r>
            <w:r w:rsidR="001F47A9" w:rsidRPr="00235AD3">
              <w:rPr>
                <w:rFonts w:ascii="Times New Roman" w:hAnsi="Times New Roman" w:cs="Times New Roman"/>
                <w:bCs/>
                <w:sz w:val="24"/>
                <w:szCs w:val="24"/>
              </w:rPr>
              <w:t xml:space="preserve"> regulējumu, ka līdz 2021.</w:t>
            </w:r>
            <w:r w:rsidR="002E4F1C" w:rsidRPr="00235AD3">
              <w:rPr>
                <w:rFonts w:ascii="Times New Roman" w:hAnsi="Times New Roman" w:cs="Times New Roman"/>
                <w:bCs/>
                <w:sz w:val="24"/>
                <w:szCs w:val="24"/>
              </w:rPr>
              <w:t> </w:t>
            </w:r>
            <w:r w:rsidR="001F47A9" w:rsidRPr="00235AD3">
              <w:rPr>
                <w:rFonts w:ascii="Times New Roman" w:hAnsi="Times New Roman" w:cs="Times New Roman"/>
                <w:bCs/>
                <w:sz w:val="24"/>
                <w:szCs w:val="24"/>
              </w:rPr>
              <w:t>gada 31.</w:t>
            </w:r>
            <w:r w:rsidR="002E4F1C" w:rsidRPr="00235AD3">
              <w:rPr>
                <w:rFonts w:ascii="Times New Roman" w:hAnsi="Times New Roman" w:cs="Times New Roman"/>
                <w:bCs/>
                <w:sz w:val="24"/>
                <w:szCs w:val="24"/>
              </w:rPr>
              <w:t> </w:t>
            </w:r>
            <w:r w:rsidR="001F47A9" w:rsidRPr="00235AD3">
              <w:rPr>
                <w:rFonts w:ascii="Times New Roman" w:hAnsi="Times New Roman" w:cs="Times New Roman"/>
                <w:bCs/>
                <w:sz w:val="24"/>
                <w:szCs w:val="24"/>
              </w:rPr>
              <w:t>decembrim izsniegtās Valsts ieņēmumu dienesta atļaujas alkoholisko dzērienu iegādei uztura bagātinātāju, kuri satur spirtu, ražošanai ir derīgas līdz to termiņa beigām</w:t>
            </w:r>
            <w:r w:rsidRPr="00235AD3">
              <w:rPr>
                <w:rFonts w:ascii="Times New Roman" w:hAnsi="Times New Roman" w:cs="Times New Roman"/>
                <w:bCs/>
                <w:sz w:val="24"/>
                <w:szCs w:val="24"/>
              </w:rPr>
              <w:t>.</w:t>
            </w:r>
          </w:p>
          <w:p w14:paraId="0513010B" w14:textId="77777777" w:rsidR="00B92950" w:rsidRPr="00235AD3" w:rsidRDefault="00B92950" w:rsidP="007D4E4E">
            <w:pPr>
              <w:tabs>
                <w:tab w:val="left" w:pos="250"/>
              </w:tabs>
              <w:spacing w:after="0" w:line="240" w:lineRule="auto"/>
              <w:ind w:left="117" w:firstLine="275"/>
              <w:jc w:val="both"/>
              <w:rPr>
                <w:rFonts w:ascii="Times New Roman" w:hAnsi="Times New Roman" w:cs="Times New Roman"/>
                <w:sz w:val="24"/>
                <w:szCs w:val="24"/>
              </w:rPr>
            </w:pPr>
          </w:p>
          <w:p w14:paraId="247C359B" w14:textId="1EB3945E" w:rsidR="00EF76CC" w:rsidRPr="00235AD3" w:rsidRDefault="00AC21F4" w:rsidP="002E4F1C">
            <w:pPr>
              <w:pStyle w:val="ListParagraph"/>
              <w:numPr>
                <w:ilvl w:val="0"/>
                <w:numId w:val="22"/>
              </w:numPr>
              <w:tabs>
                <w:tab w:val="left" w:pos="250"/>
              </w:tabs>
              <w:ind w:left="117" w:firstLine="275"/>
              <w:jc w:val="both"/>
            </w:pPr>
            <w:r w:rsidRPr="00235AD3">
              <w:t xml:space="preserve"> </w:t>
            </w:r>
            <w:r w:rsidR="00EF76CC" w:rsidRPr="00235AD3">
              <w:t>Likuma 16.</w:t>
            </w:r>
            <w:r w:rsidR="002E4F1C" w:rsidRPr="00235AD3">
              <w:t> </w:t>
            </w:r>
            <w:r w:rsidR="00EF76CC" w:rsidRPr="00235AD3">
              <w:t xml:space="preserve">panta otrajā daļā ir dots deleģējums Ministru kabinetam noteikt spirta denaturēšanas un denaturētā spirta aprites kārtību. Minēto kārtību </w:t>
            </w:r>
            <w:r w:rsidR="005057B3" w:rsidRPr="00235AD3">
              <w:t>nosaka</w:t>
            </w:r>
            <w:r w:rsidR="00EF76CC" w:rsidRPr="00235AD3">
              <w:t xml:space="preserve"> </w:t>
            </w:r>
            <w:r w:rsidR="00EF76CC" w:rsidRPr="00235AD3">
              <w:lastRenderedPageBreak/>
              <w:t>Ministru kabineta 2009.</w:t>
            </w:r>
            <w:r w:rsidR="002E4F1C" w:rsidRPr="00235AD3">
              <w:t> </w:t>
            </w:r>
            <w:r w:rsidR="00EF76CC" w:rsidRPr="00235AD3">
              <w:t>gada 3.</w:t>
            </w:r>
            <w:r w:rsidR="002E4F1C" w:rsidRPr="00235AD3">
              <w:t> </w:t>
            </w:r>
            <w:r w:rsidR="00EF76CC" w:rsidRPr="00235AD3">
              <w:t>marta noteikumi Nr.</w:t>
            </w:r>
            <w:r w:rsidR="002E4F1C" w:rsidRPr="00235AD3">
              <w:t> </w:t>
            </w:r>
            <w:r w:rsidR="00EF76CC" w:rsidRPr="00235AD3">
              <w:t xml:space="preserve">211 “Spirta denaturēšanas un denaturētā spirta aprites kārtība”. Minētie Ministru kabineta noteikumi ietver arī tādus jautājumus, kas attiecas uz kārtību, kādā Valsts ieņēmumu dienests izsniedz, pārreģistrē, anulē vai atsaka izsniegt atļauju denaturētā spirta iegādei, kā arī nosaka spirta denaturēšanas vielas un nosacījumus, kad spirts ir uzskatāms par denaturētu spirtu, </w:t>
            </w:r>
            <w:r w:rsidR="001805E5" w:rsidRPr="00235AD3">
              <w:t>informāciju, kas ietverama atļaujā alkoholisko dzērienu iegādei, atļaujas alkoholisko dzērienu iegādei spēkā stāšanās nosacījumus un darbības termiņu,</w:t>
            </w:r>
            <w:r w:rsidR="0026765D" w:rsidRPr="00235AD3">
              <w:t xml:space="preserve"> </w:t>
            </w:r>
            <w:r w:rsidR="00EF76CC" w:rsidRPr="00235AD3">
              <w:t>prasības denaturētā spirta lietotājam. Līdz ar to ir nepieciešams</w:t>
            </w:r>
            <w:r w:rsidR="00036C98" w:rsidRPr="00235AD3">
              <w:t xml:space="preserve"> </w:t>
            </w:r>
            <w:r w:rsidR="00161D77" w:rsidRPr="00235AD3">
              <w:t xml:space="preserve">sakārtot Ministru kabinetam doto deleģējumu un </w:t>
            </w:r>
            <w:r w:rsidR="00FD0491" w:rsidRPr="00235AD3">
              <w:t>likuma 16.</w:t>
            </w:r>
            <w:r w:rsidR="002E4F1C" w:rsidRPr="00235AD3">
              <w:t> </w:t>
            </w:r>
            <w:r w:rsidR="00FD0491" w:rsidRPr="00235AD3">
              <w:t xml:space="preserve">pantu papildināt ar </w:t>
            </w:r>
            <w:r w:rsidR="000F77B3" w:rsidRPr="00235AD3">
              <w:t>2.</w:t>
            </w:r>
            <w:r w:rsidR="000F77B3" w:rsidRPr="00235AD3">
              <w:rPr>
                <w:vertAlign w:val="superscript"/>
              </w:rPr>
              <w:t>1</w:t>
            </w:r>
            <w:r w:rsidR="002E4F1C" w:rsidRPr="00235AD3">
              <w:t> </w:t>
            </w:r>
            <w:r w:rsidR="000F77B3" w:rsidRPr="00235AD3">
              <w:t>daļu</w:t>
            </w:r>
            <w:r w:rsidR="00036C98" w:rsidRPr="00235AD3">
              <w:t>.</w:t>
            </w:r>
          </w:p>
          <w:p w14:paraId="4C2141AA" w14:textId="77777777" w:rsidR="00EF76CC" w:rsidRPr="00235AD3" w:rsidRDefault="00EF76CC" w:rsidP="007D4E4E">
            <w:pPr>
              <w:tabs>
                <w:tab w:val="left" w:pos="250"/>
              </w:tabs>
              <w:spacing w:after="0" w:line="240" w:lineRule="auto"/>
              <w:ind w:left="117" w:firstLine="275"/>
              <w:jc w:val="both"/>
              <w:rPr>
                <w:rFonts w:ascii="Times New Roman" w:hAnsi="Times New Roman" w:cs="Times New Roman"/>
                <w:sz w:val="24"/>
                <w:szCs w:val="24"/>
              </w:rPr>
            </w:pPr>
          </w:p>
          <w:p w14:paraId="0E21C6C3" w14:textId="39A36AFC" w:rsidR="00EF76CC" w:rsidRPr="00235AD3" w:rsidRDefault="00A32FBA" w:rsidP="00A32FBA">
            <w:pPr>
              <w:pStyle w:val="ListParagraph"/>
              <w:numPr>
                <w:ilvl w:val="0"/>
                <w:numId w:val="22"/>
              </w:numPr>
              <w:tabs>
                <w:tab w:val="left" w:pos="250"/>
              </w:tabs>
              <w:ind w:left="117" w:firstLine="275"/>
              <w:jc w:val="both"/>
            </w:pPr>
            <w:r w:rsidRPr="00235AD3">
              <w:t xml:space="preserve"> </w:t>
            </w:r>
            <w:r w:rsidR="00EF76CC" w:rsidRPr="00235AD3">
              <w:t>Likuma 16.</w:t>
            </w:r>
            <w:r w:rsidR="002E4F1C" w:rsidRPr="00235AD3">
              <w:t> </w:t>
            </w:r>
            <w:r w:rsidR="00EF76CC" w:rsidRPr="00235AD3">
              <w:t>panta piektajā daļā ir dots deleģējums Ministru kabinetam paredzēt kārtību, kādā piemēro likuma 16.</w:t>
            </w:r>
            <w:r w:rsidR="002E4F1C" w:rsidRPr="00235AD3">
              <w:t> </w:t>
            </w:r>
            <w:r w:rsidR="00EF76CC" w:rsidRPr="00235AD3">
              <w:t>panta pirmās daļas 4.</w:t>
            </w:r>
            <w:r w:rsidR="00EF76CC" w:rsidRPr="00235AD3">
              <w:rPr>
                <w:vertAlign w:val="superscript"/>
              </w:rPr>
              <w:t>1</w:t>
            </w:r>
            <w:r w:rsidR="00EF76CC" w:rsidRPr="00235AD3">
              <w:t>, 5., 7., 8., 9. un 10.</w:t>
            </w:r>
            <w:r w:rsidR="002E4F1C" w:rsidRPr="00235AD3">
              <w:t> </w:t>
            </w:r>
            <w:r w:rsidR="00EF76CC" w:rsidRPr="00235AD3">
              <w:t>punktā noteiktos akcīzes nodokļa atbrīvojumus. Minēto kārtību reglamentē Ministru kabineta 2011.</w:t>
            </w:r>
            <w:r w:rsidR="002E4F1C" w:rsidRPr="00235AD3">
              <w:t> </w:t>
            </w:r>
            <w:r w:rsidR="00EF76CC" w:rsidRPr="00235AD3">
              <w:t>gada 30.</w:t>
            </w:r>
            <w:r w:rsidR="002E4F1C" w:rsidRPr="00235AD3">
              <w:t> </w:t>
            </w:r>
            <w:r w:rsidR="00EF76CC" w:rsidRPr="00235AD3">
              <w:t>augusta noteikumi Nr.</w:t>
            </w:r>
            <w:r w:rsidR="002E4F1C" w:rsidRPr="00235AD3">
              <w:t> </w:t>
            </w:r>
            <w:r w:rsidR="00EF76CC" w:rsidRPr="00235AD3">
              <w:t xml:space="preserve">684 “Kārtība, kādā atsevišķiem alkoholiskajiem dzērieniem piemēro akcīzes nodokļa atbrīvojumu”. Minētie Ministru kabineta noteikumi ietver arī tādus jautājumus, kas attiecas uz atļauju alkoholisko dzērienu iegādei izsniegšanu, pārreģistrāciju, anulēšanu vai atteikšanu izsniegt minēto atļauju, alkoholisko dzērienu piegādi lietotājam, informāciju, kas ietverama atļaujā alkoholisko dzērienu iegādei, atļaujas alkoholisko dzērienu iegādei spēkā stāšanās nosacījumiem un darbības termiņiem, prasībām alkoholisko dzērienu piegādātajiem un lietotājiem. </w:t>
            </w:r>
            <w:r w:rsidR="0003620C" w:rsidRPr="00235AD3">
              <w:t xml:space="preserve">Līdz ar to ir nepieciešams sakārtot Ministru kabinetam doto deleģējumu un likuma 16.pantu papildināt ar </w:t>
            </w:r>
            <w:r w:rsidR="00B94447">
              <w:t>sesto</w:t>
            </w:r>
            <w:r w:rsidR="002E4F1C" w:rsidRPr="00235AD3">
              <w:t> </w:t>
            </w:r>
            <w:r w:rsidR="0003620C" w:rsidRPr="00235AD3">
              <w:t>daļu</w:t>
            </w:r>
            <w:r w:rsidR="00EF76CC" w:rsidRPr="00235AD3">
              <w:t>.</w:t>
            </w:r>
          </w:p>
          <w:p w14:paraId="259B6584" w14:textId="21A020A4" w:rsidR="008B2E38" w:rsidRPr="00235AD3" w:rsidRDefault="008B2E38" w:rsidP="007D4E4E">
            <w:pPr>
              <w:tabs>
                <w:tab w:val="left" w:pos="250"/>
              </w:tabs>
              <w:spacing w:after="0" w:line="240" w:lineRule="auto"/>
              <w:ind w:left="117" w:firstLine="275"/>
              <w:jc w:val="both"/>
              <w:rPr>
                <w:rFonts w:ascii="Times New Roman" w:hAnsi="Times New Roman" w:cs="Times New Roman"/>
                <w:sz w:val="24"/>
                <w:szCs w:val="24"/>
              </w:rPr>
            </w:pPr>
          </w:p>
          <w:p w14:paraId="1710F84A" w14:textId="02A339A3" w:rsidR="008B2E38" w:rsidRPr="00235AD3" w:rsidRDefault="006028FC" w:rsidP="006028FC">
            <w:pPr>
              <w:pStyle w:val="ListParagraph"/>
              <w:numPr>
                <w:ilvl w:val="0"/>
                <w:numId w:val="22"/>
              </w:numPr>
              <w:tabs>
                <w:tab w:val="left" w:pos="250"/>
              </w:tabs>
              <w:ind w:left="117" w:firstLine="275"/>
              <w:jc w:val="both"/>
            </w:pPr>
            <w:r w:rsidRPr="00235AD3">
              <w:t xml:space="preserve"> </w:t>
            </w:r>
            <w:r w:rsidR="008B2E38" w:rsidRPr="00235AD3">
              <w:t>Nepieciešams likuma 17.</w:t>
            </w:r>
            <w:r w:rsidR="002E4F1C" w:rsidRPr="00235AD3">
              <w:t> </w:t>
            </w:r>
            <w:r w:rsidR="008B2E38" w:rsidRPr="00235AD3">
              <w:t xml:space="preserve">pantu papildināt ar jaunu daļu par deleģējumu Ministru kabinetam, saskaņā ar kuru  Ministru kabinets </w:t>
            </w:r>
            <w:r w:rsidR="00AE0BCB" w:rsidRPr="00235AD3">
              <w:t>izdod noteikumus</w:t>
            </w:r>
            <w:r w:rsidR="008B2E38" w:rsidRPr="00235AD3">
              <w:t xml:space="preserve">, kādā Valsts ieņēmumu dienests izsniedz atļauju denaturēto tabakas izstrādājumu piegādei vai atsaka izsniegt atļauju denaturēto tabakas izstrādājumu piegādei, </w:t>
            </w:r>
            <w:r w:rsidR="00AE0BCB" w:rsidRPr="00235AD3">
              <w:t xml:space="preserve">kā arī kuros iekļauj nosacījumus kādi tabakas izstrādājumi, ir uzskatāmi par denaturētiem. </w:t>
            </w:r>
            <w:r w:rsidR="00464D28" w:rsidRPr="00235AD3">
              <w:t xml:space="preserve">Ņemot vērā minēto, attiecīgi ir jāprecizē arī </w:t>
            </w:r>
            <w:r w:rsidR="00B15768" w:rsidRPr="00235AD3">
              <w:t>17.</w:t>
            </w:r>
            <w:r w:rsidR="002E4F1C" w:rsidRPr="00235AD3">
              <w:t> </w:t>
            </w:r>
            <w:r w:rsidR="007B33C3" w:rsidRPr="00235AD3">
              <w:t xml:space="preserve">panta nosaukums, norādot, ka papildu akcīzes nodokļa atbrīvojumiem un atvieglojumiem tabakas izstrādājumiem </w:t>
            </w:r>
            <w:r w:rsidR="00B15768" w:rsidRPr="00235AD3">
              <w:t xml:space="preserve">pants </w:t>
            </w:r>
            <w:r w:rsidR="007B33C3" w:rsidRPr="00235AD3">
              <w:t>nosaka arī normas par denaturēto</w:t>
            </w:r>
            <w:r w:rsidR="002E4F1C" w:rsidRPr="00235AD3">
              <w:t xml:space="preserve"> tabakas izstrādājumu piegādi.</w:t>
            </w:r>
          </w:p>
          <w:p w14:paraId="3576C906" w14:textId="77777777" w:rsidR="00EF76CC" w:rsidRPr="00235AD3" w:rsidRDefault="00EF76CC" w:rsidP="007D4E4E">
            <w:pPr>
              <w:tabs>
                <w:tab w:val="left" w:pos="250"/>
              </w:tabs>
              <w:spacing w:after="0" w:line="240" w:lineRule="auto"/>
              <w:ind w:left="117" w:firstLine="275"/>
              <w:jc w:val="both"/>
              <w:rPr>
                <w:rFonts w:ascii="Times New Roman" w:hAnsi="Times New Roman" w:cs="Times New Roman"/>
                <w:sz w:val="24"/>
                <w:szCs w:val="24"/>
              </w:rPr>
            </w:pPr>
          </w:p>
          <w:p w14:paraId="3819ADE5" w14:textId="4869C71D" w:rsidR="00EC5CD9" w:rsidRPr="00235AD3" w:rsidRDefault="006028FC" w:rsidP="00EC5CD9">
            <w:pPr>
              <w:pStyle w:val="ListParagraph"/>
              <w:numPr>
                <w:ilvl w:val="0"/>
                <w:numId w:val="22"/>
              </w:numPr>
              <w:tabs>
                <w:tab w:val="left" w:pos="250"/>
              </w:tabs>
              <w:ind w:left="117" w:firstLine="275"/>
              <w:jc w:val="both"/>
            </w:pPr>
            <w:r w:rsidRPr="00235AD3">
              <w:t xml:space="preserve"> </w:t>
            </w:r>
            <w:r w:rsidR="00EC5CD9" w:rsidRPr="00235AD3">
              <w:t xml:space="preserve">Saskaņā ar likumu ar akcīzes nodokli apliek elektroniskajās cigaretēs (smēķēšanas ierīcēs) izmantojamos šķidrumus, to sastāvdaļas un tabakas </w:t>
            </w:r>
            <w:r w:rsidR="00EC5CD9" w:rsidRPr="00235AD3">
              <w:lastRenderedPageBreak/>
              <w:t>aizstājējproduktus. Elektroniskajās smēķēšanas ierīcēs izmantojamie šķidrumi, to sastāvdaļas un tabakas aizstājējprodukti ir neharmonizētās akcīzes preces līdzīgi kā kafija un bezalkoholiskie dzērieni, jo akcīzes nodokļa piemērošanu minētajiem produktiem neharmonizē Eiropas Savienības līmenī, t.i., Eiropas Savienības tiesību akti nereglamentē akcīzes nodokļa piemērošanas nosacījumus un minimālās likmes minētajiem produktiem un šo produktu aprites nosacījumus. Atbilstoši likuma 19.</w:t>
            </w:r>
            <w:r w:rsidR="002E4F1C" w:rsidRPr="00235AD3">
              <w:t> </w:t>
            </w:r>
            <w:r w:rsidR="00EC5CD9" w:rsidRPr="00235AD3">
              <w:t>pantam no akcīzes nodokļa ir atbrīvota kafija un bezalkoholiskie dzērieni, kurus izmanto attiecīgā produkta kvalitātes noteikšanai vai kurus iznīcina pilnvarotas Valsts ieņēmumu dienesta amatpersonas klātbūtnē. Elektroniskajās smēķēšanas ierīcēs izmantojamie šķidrumi un tabakas aizstājējprodukti ir uzskatāmi arī kā alternatīva tabakas izstrādājumiem. Atbilstoši likuma 17.</w:t>
            </w:r>
            <w:r w:rsidR="002E4F1C" w:rsidRPr="00235AD3">
              <w:t> </w:t>
            </w:r>
            <w:r w:rsidR="00EC5CD9" w:rsidRPr="00235AD3">
              <w:t>pantam no akcīzes nodokļa ir atbrīvoti denaturēti tabakas izstrādājumi un tabakas izstrādājumi, kurus iznīcina, un tabakas izstrādājumi, kurus izmanto tabakas izstrādājumu kvalitātes noteikšanai. Ņemot vērā minēto, akcīzes nodokļa atbrīvojuma piemērošanā elektroniskajās smēķēšanas ierīcēs izmantojamiem šķidrumiem, to sastāvdaļām un tabakas aizstājējproduktiem vajadzētu būt līdzīgai pieejai kā citām neharmonizējamām akcīzes precēm un no konkurences aspekta kā tabakas izstrādājumiem. Līdz ar to likums ir jāpapildina ar 17.</w:t>
            </w:r>
            <w:r w:rsidR="00EC5CD9" w:rsidRPr="00235AD3">
              <w:rPr>
                <w:vertAlign w:val="superscript"/>
              </w:rPr>
              <w:t>1</w:t>
            </w:r>
            <w:r w:rsidR="00EC5CD9" w:rsidRPr="00235AD3">
              <w:t> pantu par akcīzes nodokļa atbrīvojuma piemērošanu elektroniskajās smēķēšanas ierīcēs izmantojamiem šķidrumiem, to sastāvdaļām un tabakas aizstājējproduktiem.</w:t>
            </w:r>
          </w:p>
          <w:p w14:paraId="5172EA1A" w14:textId="7BD1BBAC" w:rsidR="00B15768" w:rsidRPr="00235AD3" w:rsidRDefault="00B15768" w:rsidP="007D4E4E">
            <w:pPr>
              <w:tabs>
                <w:tab w:val="left" w:pos="250"/>
              </w:tabs>
              <w:spacing w:after="0" w:line="240" w:lineRule="auto"/>
              <w:ind w:left="117" w:firstLine="275"/>
              <w:jc w:val="both"/>
              <w:rPr>
                <w:rFonts w:ascii="Times New Roman" w:hAnsi="Times New Roman" w:cs="Times New Roman"/>
                <w:sz w:val="24"/>
                <w:szCs w:val="24"/>
              </w:rPr>
            </w:pPr>
          </w:p>
          <w:p w14:paraId="1C2DE6E2" w14:textId="2B0E1D26" w:rsidR="00171408" w:rsidRPr="00166DA3" w:rsidRDefault="002D3930" w:rsidP="002D3930">
            <w:pPr>
              <w:pStyle w:val="ListParagraph"/>
              <w:numPr>
                <w:ilvl w:val="0"/>
                <w:numId w:val="22"/>
              </w:numPr>
              <w:tabs>
                <w:tab w:val="left" w:pos="250"/>
              </w:tabs>
              <w:ind w:left="117" w:firstLine="275"/>
              <w:jc w:val="both"/>
            </w:pPr>
            <w:r w:rsidRPr="00235AD3">
              <w:t xml:space="preserve"> </w:t>
            </w:r>
            <w:r w:rsidR="002D4012" w:rsidRPr="00235AD3">
              <w:t>Šobrīd akcīzes preces iznīcina Valsts ieņēmumu dienesta pārstāvja klātbūtnē. Ir plānots mainīt šo pieeju un paredzēt, ka Valsts ieņēmumu dienests izvērtēs piedalīšanos iznīcināšanā, ņemot vērā konstatētos riskus. Tādējādi Valsts ieņēmumu dienests izvērtēs, kurā iznīcināšanā piedalīties un kurā nē. Līdz ar to ir jāveic atbilstoši grozījumi likuma 19.</w:t>
            </w:r>
            <w:r w:rsidR="002E4F1C" w:rsidRPr="00235AD3">
              <w:t> </w:t>
            </w:r>
            <w:r w:rsidR="002D4012" w:rsidRPr="00235AD3">
              <w:t>pantā.</w:t>
            </w:r>
            <w:r w:rsidR="00171408" w:rsidRPr="00235AD3">
              <w:t xml:space="preserve"> Likuma 19.</w:t>
            </w:r>
            <w:r w:rsidR="002E4F1C" w:rsidRPr="00235AD3">
              <w:t> </w:t>
            </w:r>
            <w:r w:rsidR="00171408" w:rsidRPr="00235AD3">
              <w:t xml:space="preserve">pantu ir nepieciešams papildināt arī ar jaunu daļu par deleģējumu Ministru kabinetam, saskaņā ar kuru Ministru kabinets </w:t>
            </w:r>
            <w:r w:rsidR="00F26AE3" w:rsidRPr="00235AD3">
              <w:t>izdod noteikumus, kādā piemēro šajā pantā</w:t>
            </w:r>
            <w:r w:rsidR="00171408" w:rsidRPr="00235AD3">
              <w:t xml:space="preserve"> noteiktos </w:t>
            </w:r>
            <w:r w:rsidR="00F26AE3" w:rsidRPr="00235AD3">
              <w:t xml:space="preserve">akcīzes </w:t>
            </w:r>
            <w:r w:rsidR="00171408" w:rsidRPr="00235AD3">
              <w:t>nodokļa atbrīvojumus, kā arī nosacījumus bezalkoholisko dzērienu un kafijas iznīcināšanai. Lai varētu noformulēt</w:t>
            </w:r>
            <w:r w:rsidR="000F5DC4" w:rsidRPr="00235AD3">
              <w:t xml:space="preserve"> minēto</w:t>
            </w:r>
            <w:r w:rsidR="00171408" w:rsidRPr="00235AD3">
              <w:t xml:space="preserve"> deleģējumu Ministru kabinetam, ir nepieciešams šobrīd spēkā esošā likuma 19.</w:t>
            </w:r>
            <w:r w:rsidR="002E4F1C" w:rsidRPr="00235AD3">
              <w:t> </w:t>
            </w:r>
            <w:r w:rsidR="00171408" w:rsidRPr="00235AD3">
              <w:t xml:space="preserve">panta pirmo daļu sadalīt, jo nav paredzēts noteikt kārtību attiecībā uz akcīzes nodokļa atbrīvojuma piemērošanu bezalkoholiskajiem dzērieniem, kurus izgatavojusi </w:t>
            </w:r>
            <w:r w:rsidR="00171408" w:rsidRPr="00166DA3">
              <w:t>fiziskā persona savam patēriņam</w:t>
            </w:r>
            <w:r w:rsidR="000F5DC4" w:rsidRPr="00166DA3">
              <w:t xml:space="preserve"> vai kuri ir nefasēti un izgatavoti sabiedriskās ēdināšanas uzņēmumā </w:t>
            </w:r>
            <w:r w:rsidR="000F5DC4" w:rsidRPr="00166DA3">
              <w:lastRenderedPageBreak/>
              <w:t xml:space="preserve">patērēšanai </w:t>
            </w:r>
            <w:r w:rsidR="00171408" w:rsidRPr="00166DA3">
              <w:t xml:space="preserve"> </w:t>
            </w:r>
            <w:r w:rsidR="000F5DC4" w:rsidRPr="00166DA3">
              <w:t>uz vietas</w:t>
            </w:r>
            <w:r w:rsidR="00F26AE3" w:rsidRPr="00166DA3">
              <w:t>. Ņemot vērā, ka likuma 19.</w:t>
            </w:r>
            <w:r w:rsidR="002E4F1C" w:rsidRPr="00166DA3">
              <w:t> </w:t>
            </w:r>
            <w:r w:rsidR="00F26AE3" w:rsidRPr="00166DA3">
              <w:t xml:space="preserve">pantā ir jāveic vairāki grozījumi, </w:t>
            </w:r>
            <w:r w:rsidR="007D3058" w:rsidRPr="00166DA3">
              <w:t>paredzēts</w:t>
            </w:r>
            <w:r w:rsidR="00F26AE3" w:rsidRPr="00166DA3">
              <w:t xml:space="preserve"> </w:t>
            </w:r>
            <w:r w:rsidR="009520C4" w:rsidRPr="00166DA3">
              <w:t>šo pantu izteikt jaunā redakcijā</w:t>
            </w:r>
            <w:r w:rsidR="000F5DC4" w:rsidRPr="00166DA3">
              <w:t>.</w:t>
            </w:r>
          </w:p>
          <w:p w14:paraId="65CEEBC1" w14:textId="77777777" w:rsidR="002D4012" w:rsidRPr="008D152E" w:rsidRDefault="002D4012" w:rsidP="007D4E4E">
            <w:pPr>
              <w:tabs>
                <w:tab w:val="left" w:pos="250"/>
              </w:tabs>
              <w:spacing w:after="0" w:line="240" w:lineRule="auto"/>
              <w:ind w:left="117" w:firstLine="275"/>
              <w:jc w:val="both"/>
              <w:rPr>
                <w:rFonts w:ascii="Times New Roman" w:hAnsi="Times New Roman" w:cs="Times New Roman"/>
                <w:sz w:val="24"/>
                <w:szCs w:val="24"/>
              </w:rPr>
            </w:pPr>
          </w:p>
          <w:p w14:paraId="10D9E71A" w14:textId="3C888F87" w:rsidR="00B17F47" w:rsidRPr="008D152E" w:rsidRDefault="008F5548" w:rsidP="00B81B00">
            <w:pPr>
              <w:pStyle w:val="ListParagraph"/>
              <w:numPr>
                <w:ilvl w:val="0"/>
                <w:numId w:val="22"/>
              </w:numPr>
              <w:ind w:left="117" w:firstLine="392"/>
              <w:jc w:val="both"/>
            </w:pPr>
            <w:r w:rsidRPr="008D152E">
              <w:t>Ir pieņemta Padomes 2019.</w:t>
            </w:r>
            <w:r w:rsidR="002E4F1C" w:rsidRPr="008D152E">
              <w:t> </w:t>
            </w:r>
            <w:r w:rsidRPr="008D152E">
              <w:t>gada 16.</w:t>
            </w:r>
            <w:r w:rsidR="002E4F1C" w:rsidRPr="008D152E">
              <w:t> </w:t>
            </w:r>
            <w:r w:rsidRPr="008D152E">
              <w:t>decembra direktīv</w:t>
            </w:r>
            <w:r w:rsidR="000A312C" w:rsidRPr="008D152E">
              <w:t>a</w:t>
            </w:r>
            <w:r w:rsidRPr="008D152E">
              <w:t xml:space="preserve"> (ES) 2019/2235, ar ko groza Direktīvu 2006/112/EK par kopējo pievienotās vērtības nodokļa sistēmu un Direktīvu 2008/118/EK par akcīzes nodokļa piemērošanas vispārējo režīmu attiecībā uz aizsardzības pasākumiem Savienības satvarā</w:t>
            </w:r>
            <w:r w:rsidR="000A312C" w:rsidRPr="008D152E">
              <w:t xml:space="preserve"> (turpmāk – direktīva 2019/2235/ES).</w:t>
            </w:r>
            <w:r w:rsidR="00803BFA" w:rsidRPr="008D152E">
              <w:t xml:space="preserve"> </w:t>
            </w:r>
            <w:r w:rsidR="006262C1" w:rsidRPr="008D152E">
              <w:t>Direktīva</w:t>
            </w:r>
            <w:r w:rsidR="00B81B00" w:rsidRPr="008D152E">
              <w:t>s</w:t>
            </w:r>
            <w:r w:rsidR="006262C1" w:rsidRPr="008D152E">
              <w:t xml:space="preserve"> 2019/2235/ES </w:t>
            </w:r>
            <w:r w:rsidR="00B81B00" w:rsidRPr="008D152E">
              <w:t>2.</w:t>
            </w:r>
            <w:r w:rsidR="002E4F1C" w:rsidRPr="008D152E">
              <w:t> </w:t>
            </w:r>
            <w:r w:rsidR="00B81B00" w:rsidRPr="008D152E">
              <w:t xml:space="preserve">pants paredz papildināt </w:t>
            </w:r>
            <w:r w:rsidR="00B10742" w:rsidRPr="008D152E">
              <w:t>Padomes 2008.</w:t>
            </w:r>
            <w:r w:rsidR="002E4F1C" w:rsidRPr="008D152E">
              <w:t> </w:t>
            </w:r>
            <w:r w:rsidR="00B10742" w:rsidRPr="008D152E">
              <w:t>gada 16.</w:t>
            </w:r>
            <w:r w:rsidR="002E4F1C" w:rsidRPr="008D152E">
              <w:t> </w:t>
            </w:r>
            <w:r w:rsidR="00B10742" w:rsidRPr="008D152E">
              <w:t xml:space="preserve">decembra </w:t>
            </w:r>
            <w:r w:rsidR="00B81B00" w:rsidRPr="008D152E">
              <w:t xml:space="preserve">Direktīvas 2008/118/EK </w:t>
            </w:r>
            <w:r w:rsidR="00B10742" w:rsidRPr="008D152E">
              <w:t>par akcīzes nodokļa piemērošanas vispārēju rež</w:t>
            </w:r>
            <w:r w:rsidR="00BD7586" w:rsidRPr="008D152E">
              <w:t>ī</w:t>
            </w:r>
            <w:r w:rsidR="00B10742" w:rsidRPr="008D152E">
              <w:t xml:space="preserve">mu, ar ko atceļ Direktīvu 92/12/EEK, (turpmāk – </w:t>
            </w:r>
            <w:r w:rsidR="008D3639" w:rsidRPr="008D152E">
              <w:t xml:space="preserve">direktīva </w:t>
            </w:r>
            <w:r w:rsidR="00B10742" w:rsidRPr="008D152E">
              <w:t xml:space="preserve">2008/112/EK) </w:t>
            </w:r>
            <w:r w:rsidR="00B81B00" w:rsidRPr="008D152E">
              <w:t>12.</w:t>
            </w:r>
            <w:r w:rsidR="002E4F1C" w:rsidRPr="008D152E">
              <w:t> </w:t>
            </w:r>
            <w:r w:rsidR="00B81B00" w:rsidRPr="008D152E">
              <w:t>panta 1.</w:t>
            </w:r>
            <w:r w:rsidR="002E4F1C" w:rsidRPr="008D152E">
              <w:t> </w:t>
            </w:r>
            <w:r w:rsidR="00B81B00" w:rsidRPr="008D152E">
              <w:t xml:space="preserve">punktu ar normu, </w:t>
            </w:r>
            <w:proofErr w:type="spellStart"/>
            <w:r w:rsidR="00B81B00" w:rsidRPr="008D152E">
              <w:t>sakaņā</w:t>
            </w:r>
            <w:proofErr w:type="spellEnd"/>
            <w:r w:rsidR="00B81B00" w:rsidRPr="008D152E">
              <w:t xml:space="preserve"> ar </w:t>
            </w:r>
            <w:r w:rsidR="00BD7586" w:rsidRPr="008D152E">
              <w:t>kuru</w:t>
            </w:r>
            <w:r w:rsidR="00B81B00" w:rsidRPr="008D152E">
              <w:t xml:space="preserve"> akcīzes preces atbrīvo no akcīzes nodokļa, ja tās paredzētas, lai tās izmantotu jebkuras tādas dalībvalsts bruņotie spēki, kas nav dalībvalsts, kurā akcīzes nodoklis ir iekasējams, – minēto bruņoto spēku vajadzībām, civilajam personālam, kurš to pavada, vai šo bruņoto spēku virtuvju vai ēdnīcu apgādei, ja šādi spēki piedalās aizsardzības pasākumā, ko veic, lai īstenotu Savienības darbību saskaņā ar kopējo drošības un aizsardzības politiku. </w:t>
            </w:r>
            <w:r w:rsidR="00B10742" w:rsidRPr="008D152E">
              <w:t xml:space="preserve">Tādā veidā tiktu nodrošināts līdzīgs akcīzes nodokļa atbrīvojums, kāds tas ir noteikts </w:t>
            </w:r>
            <w:r w:rsidR="002C7709" w:rsidRPr="008D152E">
              <w:t>tās valsts bruņotajiem spēkiem, kas ir Ziemeļatlantijas līguma puse, izņemot dalībvalsti</w:t>
            </w:r>
            <w:r w:rsidR="00C2375D" w:rsidRPr="008D152E">
              <w:t>,</w:t>
            </w:r>
            <w:r w:rsidR="00C2375D" w:rsidRPr="008D152E">
              <w:rPr>
                <w:color w:val="414142"/>
                <w:sz w:val="28"/>
                <w:szCs w:val="28"/>
              </w:rPr>
              <w:t xml:space="preserve"> </w:t>
            </w:r>
            <w:r w:rsidR="00C2375D" w:rsidRPr="008D152E">
              <w:t xml:space="preserve">kurā iekasē nodokli,— šo bruņoto spēku vajadzībām, kā arī </w:t>
            </w:r>
            <w:proofErr w:type="spellStart"/>
            <w:r w:rsidR="00C2375D" w:rsidRPr="008D152E">
              <w:t>civilpersonālam</w:t>
            </w:r>
            <w:proofErr w:type="spellEnd"/>
            <w:r w:rsidR="00C2375D" w:rsidRPr="008D152E">
              <w:t xml:space="preserve">, </w:t>
            </w:r>
            <w:r w:rsidR="002C7709" w:rsidRPr="008D152E">
              <w:t xml:space="preserve"> kas šos bruņotos spēkus pavada, vai šo bruņoto spēku virtuves vai ēdnīcu apgādei</w:t>
            </w:r>
            <w:r w:rsidR="006262C1" w:rsidRPr="008D152E">
              <w:t xml:space="preserve"> </w:t>
            </w:r>
            <w:r w:rsidR="008D3639" w:rsidRPr="008D152E">
              <w:t>(direktīvas 2008/112/EK 12.</w:t>
            </w:r>
            <w:r w:rsidR="002E4F1C" w:rsidRPr="008D152E">
              <w:t> </w:t>
            </w:r>
            <w:r w:rsidR="008D3639" w:rsidRPr="008D152E">
              <w:t>panta 1.</w:t>
            </w:r>
            <w:r w:rsidR="002E4F1C" w:rsidRPr="008D152E">
              <w:t> </w:t>
            </w:r>
            <w:r w:rsidR="008D3639" w:rsidRPr="008D152E">
              <w:t>punkta “c” apakšpunkts; likuma 20.</w:t>
            </w:r>
            <w:r w:rsidR="002E4F1C" w:rsidRPr="008D152E">
              <w:t> </w:t>
            </w:r>
            <w:r w:rsidR="008D3639" w:rsidRPr="008D152E">
              <w:t>panta pirmās daļas 6.</w:t>
            </w:r>
            <w:r w:rsidR="002E4F1C" w:rsidRPr="008D152E">
              <w:t> </w:t>
            </w:r>
            <w:r w:rsidR="008D3639" w:rsidRPr="008D152E">
              <w:t>punkts).</w:t>
            </w:r>
            <w:r w:rsidR="00BC42CE" w:rsidRPr="008D152E">
              <w:t xml:space="preserve"> Līdz ar to ir nepieciešams papildināt likuma 20.</w:t>
            </w:r>
            <w:r w:rsidR="002E4F1C" w:rsidRPr="008D152E">
              <w:t> </w:t>
            </w:r>
            <w:r w:rsidR="00BC42CE" w:rsidRPr="008D152E">
              <w:t xml:space="preserve">panta pirmo daļu ar </w:t>
            </w:r>
            <w:r w:rsidR="00B17F47" w:rsidRPr="008D152E">
              <w:t>6.</w:t>
            </w:r>
            <w:r w:rsidR="00B17F47" w:rsidRPr="008D152E">
              <w:rPr>
                <w:vertAlign w:val="superscript"/>
              </w:rPr>
              <w:t>1</w:t>
            </w:r>
            <w:r w:rsidR="002E4F1C" w:rsidRPr="008D152E">
              <w:rPr>
                <w:vertAlign w:val="superscript"/>
              </w:rPr>
              <w:t> </w:t>
            </w:r>
            <w:r w:rsidR="00BC42CE" w:rsidRPr="008D152E">
              <w:t xml:space="preserve">punktu par </w:t>
            </w:r>
            <w:r w:rsidR="003842E3" w:rsidRPr="008D152E">
              <w:t xml:space="preserve">attiecīga </w:t>
            </w:r>
            <w:r w:rsidR="00BC42CE" w:rsidRPr="008D152E">
              <w:t xml:space="preserve">akcīzes nodokļa atbrīvojuma piemērošanu </w:t>
            </w:r>
            <w:r w:rsidR="003842E3" w:rsidRPr="008D152E">
              <w:t xml:space="preserve">akcīzes precēm, kas tiek piegādātas </w:t>
            </w:r>
            <w:r w:rsidR="00BD7586" w:rsidRPr="008D152E">
              <w:t>jebkuras tādas dalībvalsts bruņotajiem spēkiem, kas nav dalībvalsts, kurā akcīzes nodoklis ir iekasējams, – minēto bruņoto spēku vajadzībām, civilajam personālam, kurš to pavada, vai šo bruņoto spēku virtuvju vai ēdnīcu apgādei, ja šādi spēki piedalās aizsardzības pasākumā, ko veic, lai īstenotu Savienības darbību saskaņā ar kopējo drošības un aizsardzības politiku</w:t>
            </w:r>
            <w:r w:rsidR="003842E3" w:rsidRPr="008D152E">
              <w:t>.</w:t>
            </w:r>
            <w:r w:rsidR="00B17F47" w:rsidRPr="008D152E">
              <w:t xml:space="preserve"> </w:t>
            </w:r>
          </w:p>
          <w:p w14:paraId="5E0A246C" w14:textId="5056AA86" w:rsidR="006262C1" w:rsidRPr="008D152E" w:rsidRDefault="00B17F47" w:rsidP="00B17F47">
            <w:pPr>
              <w:pStyle w:val="ListParagraph"/>
              <w:ind w:left="117" w:firstLine="392"/>
              <w:jc w:val="both"/>
            </w:pPr>
            <w:r w:rsidRPr="008D152E">
              <w:t>Papildu</w:t>
            </w:r>
            <w:r w:rsidR="00CA5823" w:rsidRPr="008D152E">
              <w:t>s</w:t>
            </w:r>
            <w:r w:rsidRPr="008D152E">
              <w:t xml:space="preserve"> tam, lai nodrošinātu vienādu terminoloģiju piemērošanu likuma 20.</w:t>
            </w:r>
            <w:r w:rsidR="002E4F1C" w:rsidRPr="008D152E">
              <w:t> </w:t>
            </w:r>
            <w:r w:rsidRPr="008D152E">
              <w:t>panta pirmās daļas 6.</w:t>
            </w:r>
            <w:r w:rsidR="00B94447">
              <w:t>,</w:t>
            </w:r>
            <w:proofErr w:type="gramStart"/>
            <w:r w:rsidRPr="008D152E">
              <w:t xml:space="preserve">  </w:t>
            </w:r>
            <w:proofErr w:type="gramEnd"/>
            <w:r w:rsidRPr="008D152E">
              <w:t>6.</w:t>
            </w:r>
            <w:r w:rsidRPr="008D152E">
              <w:rPr>
                <w:vertAlign w:val="superscript"/>
              </w:rPr>
              <w:t>1</w:t>
            </w:r>
            <w:r w:rsidR="002E4F1C" w:rsidRPr="008D152E">
              <w:rPr>
                <w:vertAlign w:val="superscript"/>
              </w:rPr>
              <w:t> </w:t>
            </w:r>
            <w:r w:rsidR="00B94447">
              <w:t>un 8.</w:t>
            </w:r>
            <w:r w:rsidR="00BD7586" w:rsidRPr="008D152E">
              <w:t>punktā,</w:t>
            </w:r>
            <w:r w:rsidRPr="008D152E">
              <w:t xml:space="preserve"> nepieciešams likuma 20.</w:t>
            </w:r>
            <w:r w:rsidR="002E4F1C" w:rsidRPr="008D152E">
              <w:t> </w:t>
            </w:r>
            <w:r w:rsidRPr="008D152E">
              <w:t>panta pirmās daļas 6.</w:t>
            </w:r>
            <w:r w:rsidR="00B94447">
              <w:t xml:space="preserve"> un 8.</w:t>
            </w:r>
            <w:r w:rsidR="002E4F1C" w:rsidRPr="008D152E">
              <w:t> </w:t>
            </w:r>
            <w:r w:rsidRPr="008D152E">
              <w:t>punktā aizstāt vārdu “patēriņam” ar vārdu “vajadzībām” un vārdu “vajadzībām” ar vārdu “apgādei”.</w:t>
            </w:r>
            <w:r w:rsidR="00237CB9" w:rsidRPr="008D152E">
              <w:t xml:space="preserve"> Līdz ar to likumprojekts paredz </w:t>
            </w:r>
            <w:r w:rsidR="00CA5823" w:rsidRPr="008D152E">
              <w:t xml:space="preserve">arī </w:t>
            </w:r>
            <w:r w:rsidR="00237CB9" w:rsidRPr="008D152E">
              <w:t xml:space="preserve">aizstāt </w:t>
            </w:r>
            <w:r w:rsidR="00CA5823" w:rsidRPr="008D152E">
              <w:t>likuma 20.</w:t>
            </w:r>
            <w:r w:rsidR="00F57F59" w:rsidRPr="008D152E">
              <w:t> </w:t>
            </w:r>
            <w:r w:rsidR="00CA5823" w:rsidRPr="008D152E">
              <w:t>panta pirmās daļas 6.</w:t>
            </w:r>
            <w:r w:rsidR="00F57F59" w:rsidRPr="008D152E">
              <w:t> </w:t>
            </w:r>
            <w:r w:rsidR="00B94447">
              <w:t>un 8.</w:t>
            </w:r>
            <w:r w:rsidR="00CA5823" w:rsidRPr="008D152E">
              <w:t xml:space="preserve">punktā </w:t>
            </w:r>
            <w:r w:rsidR="00237CB9" w:rsidRPr="008D152E">
              <w:t xml:space="preserve">vārdus “patēriņam, kā arī </w:t>
            </w:r>
            <w:proofErr w:type="spellStart"/>
            <w:r w:rsidR="00237CB9" w:rsidRPr="008D152E">
              <w:t>civilpersonālam</w:t>
            </w:r>
            <w:proofErr w:type="spellEnd"/>
            <w:r w:rsidR="00237CB9" w:rsidRPr="008D152E">
              <w:t xml:space="preserve">, kas šos bruņotos spēkus pavada, </w:t>
            </w:r>
            <w:r w:rsidR="00237CB9" w:rsidRPr="008D152E">
              <w:lastRenderedPageBreak/>
              <w:t>vai šo bruņoto spēku virtuves vai ēdnīcu vajadzībām” ar v</w:t>
            </w:r>
            <w:r w:rsidR="009A459B" w:rsidRPr="008D152E">
              <w:t>ā</w:t>
            </w:r>
            <w:r w:rsidR="00237CB9" w:rsidRPr="008D152E">
              <w:t>rdiem “vajadzībām, kā arī civil</w:t>
            </w:r>
            <w:r w:rsidR="00B94447">
              <w:t xml:space="preserve">ajam </w:t>
            </w:r>
            <w:r w:rsidR="00237CB9" w:rsidRPr="008D152E">
              <w:t>personālam, kas šos bruņotos spēkus pavada, vai šo bruņoto spēku virtuves vai ēdnīcu apgādei”.</w:t>
            </w:r>
          </w:p>
          <w:p w14:paraId="5276B91F" w14:textId="4587E425" w:rsidR="006262C1" w:rsidRPr="008D152E" w:rsidRDefault="006262C1" w:rsidP="006262C1">
            <w:pPr>
              <w:pStyle w:val="ListParagraph"/>
            </w:pPr>
          </w:p>
          <w:p w14:paraId="11433F48" w14:textId="1B31E785" w:rsidR="009D603F" w:rsidRPr="00235AD3" w:rsidRDefault="002D3930" w:rsidP="002D3930">
            <w:pPr>
              <w:pStyle w:val="ListParagraph"/>
              <w:numPr>
                <w:ilvl w:val="0"/>
                <w:numId w:val="22"/>
              </w:numPr>
              <w:tabs>
                <w:tab w:val="left" w:pos="250"/>
              </w:tabs>
              <w:ind w:left="117" w:firstLine="275"/>
              <w:jc w:val="both"/>
            </w:pPr>
            <w:r w:rsidRPr="008D152E">
              <w:t xml:space="preserve"> </w:t>
            </w:r>
            <w:r w:rsidR="009D603F" w:rsidRPr="008D152E">
              <w:t>Šobrīd likuma</w:t>
            </w:r>
            <w:r w:rsidR="009D603F" w:rsidRPr="00235AD3">
              <w:t xml:space="preserve"> 23.</w:t>
            </w:r>
            <w:r w:rsidR="00F57F59" w:rsidRPr="00235AD3">
              <w:t> </w:t>
            </w:r>
            <w:r w:rsidR="009D603F" w:rsidRPr="00235AD3">
              <w:t>panta trešajā un devītajā daļā ir noteikts akcīzes nodokļa samaksas termiņš reģistrētam nosūtītājam, kas ir vienāds ar noteiktu nosacījumu iestāšanās termiņu, kuri ir noteikti likuma</w:t>
            </w:r>
            <w:r w:rsidR="00DA5156" w:rsidRPr="00235AD3">
              <w:t xml:space="preserve"> 25.</w:t>
            </w:r>
            <w:r w:rsidR="00F57F59" w:rsidRPr="00235AD3">
              <w:t> </w:t>
            </w:r>
            <w:r w:rsidR="00DA5156" w:rsidRPr="00235AD3">
              <w:t>panta trešajā daļā</w:t>
            </w:r>
            <w:r w:rsidR="009D603F" w:rsidRPr="00235AD3">
              <w:t xml:space="preserve"> un kuri ir par pamatu akcīzes nodokļa samaksai. Tas rada problēmas akcīzes nodokļa savlaicīgai nomaksai, jo nodoklis jānomaksā tajā pašā dienā, kad iestājas noteiktie nosacījumi. </w:t>
            </w:r>
          </w:p>
          <w:p w14:paraId="7C88CF30" w14:textId="621AD813" w:rsidR="005975FA" w:rsidRPr="00235AD3" w:rsidRDefault="009D603F"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Līdz ar to ir nepieciešams precizēt likuma 23.</w:t>
            </w:r>
            <w:r w:rsidR="00F57F59" w:rsidRPr="00235AD3">
              <w:rPr>
                <w:rFonts w:ascii="Times New Roman" w:hAnsi="Times New Roman" w:cs="Times New Roman"/>
                <w:sz w:val="24"/>
                <w:szCs w:val="24"/>
              </w:rPr>
              <w:t> </w:t>
            </w:r>
            <w:r w:rsidRPr="00235AD3">
              <w:rPr>
                <w:rFonts w:ascii="Times New Roman" w:hAnsi="Times New Roman" w:cs="Times New Roman"/>
                <w:sz w:val="24"/>
                <w:szCs w:val="24"/>
              </w:rPr>
              <w:t>panta trešajā un devītajā daļā noteikto akcīzes nodokļa samaksas termiņu, paredzot, ka akcīzes nodoklis ir jānomaksā piecu darbdienu laikā pēc noteiktu nosacījumu iestāšanās.</w:t>
            </w:r>
          </w:p>
          <w:p w14:paraId="6D2844F9" w14:textId="77777777" w:rsidR="005975FA" w:rsidRPr="00235AD3" w:rsidRDefault="005975FA" w:rsidP="007D4E4E">
            <w:pPr>
              <w:tabs>
                <w:tab w:val="left" w:pos="250"/>
              </w:tabs>
              <w:spacing w:after="0" w:line="240" w:lineRule="auto"/>
              <w:ind w:left="117" w:firstLine="275"/>
              <w:jc w:val="both"/>
              <w:rPr>
                <w:rFonts w:ascii="Times New Roman" w:hAnsi="Times New Roman" w:cs="Times New Roman"/>
                <w:sz w:val="24"/>
                <w:szCs w:val="24"/>
              </w:rPr>
            </w:pPr>
          </w:p>
          <w:p w14:paraId="59C29E48" w14:textId="0FB7F825" w:rsidR="009D603F" w:rsidRPr="00235AD3" w:rsidRDefault="002D3930" w:rsidP="002D3930">
            <w:pPr>
              <w:pStyle w:val="ListParagraph"/>
              <w:numPr>
                <w:ilvl w:val="0"/>
                <w:numId w:val="22"/>
              </w:numPr>
              <w:tabs>
                <w:tab w:val="left" w:pos="250"/>
              </w:tabs>
              <w:ind w:left="117" w:firstLine="275"/>
              <w:jc w:val="both"/>
            </w:pPr>
            <w:r w:rsidRPr="00235AD3">
              <w:t xml:space="preserve"> </w:t>
            </w:r>
            <w:r w:rsidR="009D603F" w:rsidRPr="00235AD3">
              <w:t>Šobrīd likuma 23.</w:t>
            </w:r>
            <w:r w:rsidR="00F57F59" w:rsidRPr="00235AD3">
              <w:t> </w:t>
            </w:r>
            <w:r w:rsidR="009D603F" w:rsidRPr="00235AD3">
              <w:t>panta desmitajā daļā par akcīzes precēm, ko citu dalībvalstu komersanti ieved Latvijas Republikā saskaņā ar likuma 25.</w:t>
            </w:r>
            <w:r w:rsidR="00F57F59" w:rsidRPr="00235AD3">
              <w:t> </w:t>
            </w:r>
            <w:r w:rsidR="009D603F" w:rsidRPr="00235AD3">
              <w:t>pantu, akcīzes nodokļa samaksas pienākumu nosaka tikai citas dalībvalsts apstiprinātam noliktavas turētājiem un reģistrētiem saņēmējiem. Taču praksē Valsts ieņēmumu dienests saskaras ar situācijām, kad akcīzes nodokļa samaksu nodrošina citas personas, piemēram, pārvadātājs, tāpēc, lai nodrošinātu akcīzes nodokļa iekasēšanu, nepieciešamas izmaiņas likuma 23.</w:t>
            </w:r>
            <w:r w:rsidR="00F57F59" w:rsidRPr="00235AD3">
              <w:t> </w:t>
            </w:r>
            <w:r w:rsidR="009D603F" w:rsidRPr="00235AD3">
              <w:t>panta desmitajā daļā, papildinot to ar normu, kas nosaka, ka par akcīzes preču iztrūkumu Latvijas Republikā maksā ne tikai citas dalībvalsts apstiprināts noliktavas turētājs un reģistrēts nosūtītājs, bet arī persona, kas sniedz nodrošinājumu par no citas dalībvalsts uz  Latvijas Republiku pārvietotajām akcīzes precēm.</w:t>
            </w:r>
            <w:r w:rsidR="00322906" w:rsidRPr="00235AD3">
              <w:t xml:space="preserve"> Likuma 23.</w:t>
            </w:r>
            <w:r w:rsidR="00F57F59" w:rsidRPr="00235AD3">
              <w:t> </w:t>
            </w:r>
            <w:r w:rsidR="00322906" w:rsidRPr="00235AD3">
              <w:t xml:space="preserve">panta desmitajā daļā ietvertais </w:t>
            </w:r>
            <w:r w:rsidR="004E739B" w:rsidRPr="00235AD3">
              <w:t xml:space="preserve">akcīzes nodokļa </w:t>
            </w:r>
            <w:r w:rsidR="00322906" w:rsidRPr="00235AD3">
              <w:t xml:space="preserve">objekts </w:t>
            </w:r>
            <w:r w:rsidR="004E739B" w:rsidRPr="00235AD3">
              <w:t>“par Latvijas Republikā konstatēto akcīzes preču iztrūkumu (piemēram, izlaupījumu, zaudējumu, zudumu, izņemot šā likuma 21.</w:t>
            </w:r>
            <w:r w:rsidR="00F57F59" w:rsidRPr="00235AD3">
              <w:t> </w:t>
            </w:r>
            <w:r w:rsidR="004E739B" w:rsidRPr="00235AD3">
              <w:t>panta pirmajā, otrajā un 2.</w:t>
            </w:r>
            <w:r w:rsidR="004E739B" w:rsidRPr="00235AD3">
              <w:rPr>
                <w:vertAlign w:val="superscript"/>
              </w:rPr>
              <w:t>1</w:t>
            </w:r>
            <w:r w:rsidR="00F57F59" w:rsidRPr="00235AD3">
              <w:rPr>
                <w:vertAlign w:val="superscript"/>
              </w:rPr>
              <w:t> </w:t>
            </w:r>
            <w:r w:rsidR="004E739B" w:rsidRPr="00235AD3">
              <w:t xml:space="preserve">daļā minēto iztrūkumu)” </w:t>
            </w:r>
            <w:r w:rsidR="00EE1E39" w:rsidRPr="00235AD3">
              <w:t xml:space="preserve">ar sagatavotajiem grozījumiem </w:t>
            </w:r>
            <w:r w:rsidR="004E739B" w:rsidRPr="00235AD3">
              <w:t>netiek main</w:t>
            </w:r>
            <w:r w:rsidR="00EE1E39" w:rsidRPr="00235AD3">
              <w:t>īts</w:t>
            </w:r>
            <w:r w:rsidR="004E739B" w:rsidRPr="00235AD3">
              <w:t xml:space="preserve">. Līdz ar to arī </w:t>
            </w:r>
            <w:r w:rsidR="00EE1E39" w:rsidRPr="00235AD3">
              <w:t xml:space="preserve">līdzšinējā </w:t>
            </w:r>
            <w:r w:rsidR="004E739B" w:rsidRPr="00235AD3">
              <w:t>pieeja attiecībā uz to</w:t>
            </w:r>
            <w:r w:rsidR="00EE1E39" w:rsidRPr="00235AD3">
              <w:t>, ko</w:t>
            </w:r>
            <w:r w:rsidR="004E739B" w:rsidRPr="00235AD3">
              <w:t xml:space="preserve"> saprot ar akcīzes preču iztrūkumu netiek mainīta. Pēc būtības </w:t>
            </w:r>
            <w:r w:rsidR="00EE1E39" w:rsidRPr="00235AD3">
              <w:t>iztrūkums nozīmē starpību starp dokumentos fiksēto un faktiski esošo.</w:t>
            </w:r>
          </w:p>
          <w:p w14:paraId="642C3D7B" w14:textId="00AAA9CA" w:rsidR="00E87DF8" w:rsidRPr="00235AD3" w:rsidRDefault="00E87DF8"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Papildus, šajā daļā noteikts, ka</w:t>
            </w:r>
            <w:r w:rsidR="005F5B3E" w:rsidRPr="00235AD3">
              <w:rPr>
                <w:rFonts w:ascii="Times New Roman" w:hAnsi="Times New Roman" w:cs="Times New Roman"/>
                <w:sz w:val="24"/>
                <w:szCs w:val="24"/>
              </w:rPr>
              <w:t xml:space="preserve"> </w:t>
            </w:r>
            <w:r w:rsidRPr="00235AD3">
              <w:rPr>
                <w:rFonts w:ascii="Times New Roman" w:hAnsi="Times New Roman" w:cs="Times New Roman"/>
                <w:sz w:val="24"/>
                <w:szCs w:val="24"/>
              </w:rPr>
              <w:t>citas dalībvalsts apstiprināts noliktavas turētājs un reģistrēts nosūtītājs, kas Latvijas Republikā ieved akcīzes preces saskaņā ar šā likuma 25.</w:t>
            </w:r>
            <w:r w:rsidR="00F57F59" w:rsidRPr="00235AD3">
              <w:rPr>
                <w:rFonts w:ascii="Times New Roman" w:hAnsi="Times New Roman" w:cs="Times New Roman"/>
                <w:sz w:val="24"/>
                <w:szCs w:val="24"/>
              </w:rPr>
              <w:t> </w:t>
            </w:r>
            <w:r w:rsidRPr="00235AD3">
              <w:rPr>
                <w:rFonts w:ascii="Times New Roman" w:hAnsi="Times New Roman" w:cs="Times New Roman"/>
                <w:sz w:val="24"/>
                <w:szCs w:val="24"/>
              </w:rPr>
              <w:t xml:space="preserve">pantu, par Latvijas Republikā konstatēto akcīzes preču iztrūkumu samaksā akcīzes nodokli četru mēnešu laikā no attiecīgo akcīzes preču pārvietošanas sākuma. Ja minētajā termiņā akcīzes nodoklis netiek samaksāts, tiek aprēķināta likuma “Par nodokļiem un </w:t>
            </w:r>
            <w:r w:rsidRPr="00235AD3">
              <w:rPr>
                <w:rFonts w:ascii="Times New Roman" w:hAnsi="Times New Roman" w:cs="Times New Roman"/>
                <w:sz w:val="24"/>
                <w:szCs w:val="24"/>
              </w:rPr>
              <w:lastRenderedPageBreak/>
              <w:t>nodevām” 29.</w:t>
            </w:r>
            <w:r w:rsidR="00F57F59" w:rsidRPr="00235AD3">
              <w:rPr>
                <w:rFonts w:ascii="Times New Roman" w:hAnsi="Times New Roman" w:cs="Times New Roman"/>
                <w:sz w:val="24"/>
                <w:szCs w:val="24"/>
              </w:rPr>
              <w:t> </w:t>
            </w:r>
            <w:r w:rsidRPr="00235AD3">
              <w:rPr>
                <w:rFonts w:ascii="Times New Roman" w:hAnsi="Times New Roman" w:cs="Times New Roman"/>
                <w:sz w:val="24"/>
                <w:szCs w:val="24"/>
              </w:rPr>
              <w:t>panta otrajā daļā noteiktā nokavējuma nauda.</w:t>
            </w:r>
          </w:p>
          <w:p w14:paraId="103F84A2" w14:textId="5BA12544" w:rsidR="00E87DF8" w:rsidRPr="00235AD3" w:rsidRDefault="00E87DF8"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Līdzšinējā prakse rāda, ka citu dalībvalstu komersantiem nav zināmas minētās Latvijas Republikas normatīvo aktu prasības un kāda ir nodokļa maksāšanas kārtība. Savukārt Valsts ieņēmumu dienestam pirms attiecīga lēmuma pieņemšanas ir nepieciešams pārbaudīt katrā elektroniskajā administratīvajā dokumentā norādītā iztrūkuma rašanās iemeslu. Lai to noskaidrotu, Valsts ieņēmumu dienestam ir jāsadarbojas ar attiecīgās nosūtītāja dalībvalsts nodokļu administrācij</w:t>
            </w:r>
            <w:r w:rsidR="003B2CFB" w:rsidRPr="00235AD3">
              <w:rPr>
                <w:rFonts w:ascii="Times New Roman" w:hAnsi="Times New Roman" w:cs="Times New Roman"/>
                <w:sz w:val="24"/>
                <w:szCs w:val="24"/>
              </w:rPr>
              <w:t>u,</w:t>
            </w:r>
            <w:r w:rsidRPr="00235AD3">
              <w:rPr>
                <w:rFonts w:ascii="Times New Roman" w:hAnsi="Times New Roman" w:cs="Times New Roman"/>
                <w:sz w:val="24"/>
                <w:szCs w:val="24"/>
              </w:rPr>
              <w:t xml:space="preserve"> izmantojot Eiropas Savienībā noteikto administratīvās sadarbības sistēmu. Līdz ar to</w:t>
            </w:r>
            <w:r w:rsidR="003B2CFB" w:rsidRPr="00235AD3">
              <w:rPr>
                <w:rFonts w:ascii="Times New Roman" w:hAnsi="Times New Roman" w:cs="Times New Roman"/>
                <w:sz w:val="24"/>
                <w:szCs w:val="24"/>
              </w:rPr>
              <w:t>,</w:t>
            </w:r>
            <w:r w:rsidRPr="00235AD3">
              <w:rPr>
                <w:rFonts w:ascii="Times New Roman" w:hAnsi="Times New Roman" w:cs="Times New Roman"/>
                <w:sz w:val="24"/>
                <w:szCs w:val="24"/>
              </w:rPr>
              <w:t xml:space="preserve"> ņemot vērā akcīzes preču pārvietošanas laiku, minētai administratīvai sadarbībai nepieciešamo laiku, kas parasti prasa vairākus mēnešus, un informācijas analīzei nepieciešamo laiku, līdz attiecīga lēmuma pieņemšanai bieži paiet vairāk kā četri mēneši. Līdz ar to Valsts ieņēmumu dienestam ir jāgatavo lēmums, kurā jau ir aprēķināta nokavējuma nauda. </w:t>
            </w:r>
          </w:p>
          <w:p w14:paraId="0AA8FC62" w14:textId="305D0826" w:rsidR="00E87DF8" w:rsidRPr="00235AD3" w:rsidRDefault="00E87DF8"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Ņemot vērā to, ka Valsts ieņēmumu dienestam četru mēnešu laikā no akcīzes preču pārvietošanas sākuma bieži nav iespējams noskaidrot faktiskos iztrūkumu iemeslus un sagatavot attiecīgu lēmumu, kā arī tam nav iespējas sazināties ar attiecīgo akcīzes preču nosūtītāju, lai to savlaicīgi informētu, ka tam var izveidoties akcīzes nodokļa parāds, būtu nepieciešams likuma 23.</w:t>
            </w:r>
            <w:r w:rsidR="00F57F59" w:rsidRPr="00235AD3">
              <w:rPr>
                <w:rFonts w:ascii="Times New Roman" w:hAnsi="Times New Roman" w:cs="Times New Roman"/>
                <w:sz w:val="24"/>
                <w:szCs w:val="24"/>
              </w:rPr>
              <w:t> </w:t>
            </w:r>
            <w:r w:rsidRPr="00235AD3">
              <w:rPr>
                <w:rFonts w:ascii="Times New Roman" w:hAnsi="Times New Roman" w:cs="Times New Roman"/>
                <w:sz w:val="24"/>
                <w:szCs w:val="24"/>
              </w:rPr>
              <w:t>pant</w:t>
            </w:r>
            <w:r w:rsidR="00D95397" w:rsidRPr="00235AD3">
              <w:rPr>
                <w:rFonts w:ascii="Times New Roman" w:hAnsi="Times New Roman" w:cs="Times New Roman"/>
                <w:sz w:val="24"/>
                <w:szCs w:val="24"/>
              </w:rPr>
              <w:t>a desmitajā daļā</w:t>
            </w:r>
            <w:r w:rsidRPr="00235AD3">
              <w:rPr>
                <w:rFonts w:ascii="Times New Roman" w:hAnsi="Times New Roman" w:cs="Times New Roman"/>
                <w:sz w:val="24"/>
                <w:szCs w:val="24"/>
              </w:rPr>
              <w:t xml:space="preserve"> noteikt, ka </w:t>
            </w:r>
            <w:r w:rsidR="00D95397" w:rsidRPr="00235AD3">
              <w:rPr>
                <w:rFonts w:ascii="Times New Roman" w:hAnsi="Times New Roman" w:cs="Times New Roman"/>
                <w:sz w:val="24"/>
                <w:szCs w:val="24"/>
              </w:rPr>
              <w:t xml:space="preserve">akcīzes nodokli samaksā persona </w:t>
            </w:r>
            <w:r w:rsidR="00322906" w:rsidRPr="00235AD3">
              <w:rPr>
                <w:rFonts w:ascii="Times New Roman" w:hAnsi="Times New Roman" w:cs="Times New Roman"/>
                <w:sz w:val="24"/>
                <w:szCs w:val="24"/>
              </w:rPr>
              <w:t>vai personas</w:t>
            </w:r>
            <w:r w:rsidR="00D95397" w:rsidRPr="00235AD3">
              <w:rPr>
                <w:rFonts w:ascii="Times New Roman" w:hAnsi="Times New Roman" w:cs="Times New Roman"/>
                <w:sz w:val="24"/>
                <w:szCs w:val="24"/>
              </w:rPr>
              <w:t>, kura</w:t>
            </w:r>
            <w:r w:rsidR="00322906" w:rsidRPr="00235AD3">
              <w:rPr>
                <w:rFonts w:ascii="Times New Roman" w:hAnsi="Times New Roman" w:cs="Times New Roman"/>
                <w:sz w:val="24"/>
                <w:szCs w:val="24"/>
              </w:rPr>
              <w:t>s</w:t>
            </w:r>
            <w:r w:rsidR="00D95397" w:rsidRPr="00235AD3">
              <w:rPr>
                <w:rFonts w:ascii="Times New Roman" w:hAnsi="Times New Roman" w:cs="Times New Roman"/>
                <w:sz w:val="24"/>
                <w:szCs w:val="24"/>
              </w:rPr>
              <w:t xml:space="preserve"> elektroniskajā administratīvajā dokumentā norādīta</w:t>
            </w:r>
            <w:r w:rsidR="00322906" w:rsidRPr="00235AD3">
              <w:rPr>
                <w:rFonts w:ascii="Times New Roman" w:hAnsi="Times New Roman" w:cs="Times New Roman"/>
                <w:sz w:val="24"/>
                <w:szCs w:val="24"/>
              </w:rPr>
              <w:t>s</w:t>
            </w:r>
            <w:r w:rsidR="00D95397" w:rsidRPr="00235AD3">
              <w:rPr>
                <w:rFonts w:ascii="Times New Roman" w:hAnsi="Times New Roman" w:cs="Times New Roman"/>
                <w:sz w:val="24"/>
                <w:szCs w:val="24"/>
              </w:rPr>
              <w:t xml:space="preserve"> kā garantētāj</w:t>
            </w:r>
            <w:r w:rsidR="00322906" w:rsidRPr="00235AD3">
              <w:rPr>
                <w:rFonts w:ascii="Times New Roman" w:hAnsi="Times New Roman" w:cs="Times New Roman"/>
                <w:sz w:val="24"/>
                <w:szCs w:val="24"/>
              </w:rPr>
              <w:t>a</w:t>
            </w:r>
            <w:r w:rsidR="00D95397" w:rsidRPr="00235AD3">
              <w:rPr>
                <w:rFonts w:ascii="Times New Roman" w:hAnsi="Times New Roman" w:cs="Times New Roman"/>
                <w:sz w:val="24"/>
                <w:szCs w:val="24"/>
              </w:rPr>
              <w:t>s, mēneša laikā no Valsts ieņēmumu dienesta lēmuma par nodokļa aprēķinu paziņošanas dienas.</w:t>
            </w:r>
          </w:p>
          <w:p w14:paraId="1D519A35" w14:textId="551BF91E" w:rsidR="00356FA1" w:rsidRPr="00235AD3" w:rsidRDefault="00356FA1" w:rsidP="007D4E4E">
            <w:pPr>
              <w:tabs>
                <w:tab w:val="left" w:pos="250"/>
              </w:tabs>
              <w:spacing w:after="0" w:line="240" w:lineRule="auto"/>
              <w:ind w:left="117" w:firstLine="275"/>
              <w:jc w:val="both"/>
              <w:rPr>
                <w:rFonts w:ascii="Times New Roman" w:hAnsi="Times New Roman" w:cs="Times New Roman"/>
                <w:sz w:val="24"/>
                <w:szCs w:val="24"/>
              </w:rPr>
            </w:pPr>
          </w:p>
          <w:p w14:paraId="2D30D874" w14:textId="671A9F79" w:rsidR="00356FA1" w:rsidRPr="00235AD3" w:rsidRDefault="007F1E3C" w:rsidP="007F1E3C">
            <w:pPr>
              <w:pStyle w:val="ListParagraph"/>
              <w:numPr>
                <w:ilvl w:val="0"/>
                <w:numId w:val="22"/>
              </w:numPr>
              <w:tabs>
                <w:tab w:val="left" w:pos="250"/>
              </w:tabs>
              <w:ind w:left="117" w:firstLine="275"/>
              <w:jc w:val="both"/>
            </w:pPr>
            <w:r w:rsidRPr="00235AD3">
              <w:t xml:space="preserve"> </w:t>
            </w:r>
            <w:r w:rsidR="00AC7F0F" w:rsidRPr="00235AD3">
              <w:t>Nepieciešams likuma 23.</w:t>
            </w:r>
            <w:r w:rsidR="00F57F59" w:rsidRPr="00235AD3">
              <w:t> </w:t>
            </w:r>
            <w:r w:rsidR="00AC7F0F" w:rsidRPr="00235AD3">
              <w:t>panta trīspadsmitajā daļā izslēgt atsauci uz šā panta trešo daļu, jo reģistrēts nosūtītājs aprēķināto nodokli par akcīzes precēm, kuras piesaka muitas procedūrai — laišana brīvā apgrozībā — un kurām piemēro atlikto nodokļa maksāšanu saskaņā ar šā likuma 25.</w:t>
            </w:r>
            <w:r w:rsidR="00F57F59" w:rsidRPr="00235AD3">
              <w:t> </w:t>
            </w:r>
            <w:r w:rsidR="00AC7F0F" w:rsidRPr="00235AD3">
              <w:t>panta nosacījumiem, samaksā valsts budžetā saskaņā ar šā likuma 25.</w:t>
            </w:r>
            <w:r w:rsidR="00F57F59" w:rsidRPr="00235AD3">
              <w:t> </w:t>
            </w:r>
            <w:r w:rsidR="00AC7F0F" w:rsidRPr="00235AD3">
              <w:t>panta trešās daļas nosacījumiem.</w:t>
            </w:r>
          </w:p>
          <w:p w14:paraId="659FE63E" w14:textId="77777777" w:rsidR="009D603F" w:rsidRPr="00235AD3" w:rsidRDefault="009D603F" w:rsidP="007D4E4E">
            <w:pPr>
              <w:tabs>
                <w:tab w:val="left" w:pos="250"/>
              </w:tabs>
              <w:spacing w:after="0" w:line="240" w:lineRule="auto"/>
              <w:ind w:left="117" w:firstLine="275"/>
              <w:jc w:val="both"/>
              <w:rPr>
                <w:rFonts w:ascii="Times New Roman" w:hAnsi="Times New Roman" w:cs="Times New Roman"/>
                <w:sz w:val="24"/>
                <w:szCs w:val="24"/>
              </w:rPr>
            </w:pPr>
          </w:p>
          <w:p w14:paraId="73208BE7" w14:textId="6326B29D" w:rsidR="004A0613" w:rsidRPr="00235AD3" w:rsidRDefault="00E47015" w:rsidP="00E47015">
            <w:pPr>
              <w:pStyle w:val="ListParagraph"/>
              <w:numPr>
                <w:ilvl w:val="0"/>
                <w:numId w:val="22"/>
              </w:numPr>
              <w:tabs>
                <w:tab w:val="left" w:pos="250"/>
              </w:tabs>
              <w:ind w:left="117" w:firstLine="275"/>
              <w:jc w:val="both"/>
            </w:pPr>
            <w:r w:rsidRPr="00235AD3">
              <w:t xml:space="preserve"> </w:t>
            </w:r>
            <w:r w:rsidR="004A0613" w:rsidRPr="00235AD3">
              <w:t>Likuma 23.</w:t>
            </w:r>
            <w:r w:rsidR="00F57F59" w:rsidRPr="00235AD3">
              <w:t> </w:t>
            </w:r>
            <w:r w:rsidR="004A0613" w:rsidRPr="00235AD3">
              <w:t xml:space="preserve">panta četrpadsmitā daļa paredz, ka, ja akcīzes nodokļa maksātājs par akcīzes precēm, kuras marķē ar akcīzes nodokļa markām, nesamaksā akcīzes nodokli saskaņā ar šā panta trīspadsmitās daļas nosacījumiem 180 dienu laikā no akcīzes nodokļa marku saņemšanas dienas, uzskatāms, ka akcīzes preces ir laistas brīvā apgrozībā vai nodotas patēriņam Latvijas Republikā un nodokli par attiecīgajām akcīzes precēm atbilstoši saņemtajām akcīzes nodokļa markām maksā akcīzes nodokļa maksātājs, kurš akcīzes nodokļa markas ir </w:t>
            </w:r>
            <w:r w:rsidR="004A0613" w:rsidRPr="00235AD3">
              <w:lastRenderedPageBreak/>
              <w:t>saņēmis. Importētājs un īslaicīgi reģistrēts saņēmējs, kas saņēmis akcīzes nodokļa markas, akcīzes nodokli samaksā ne vēlāk kā piecu darbdienu laikā pēc iepriekš minēto n</w:t>
            </w:r>
            <w:r w:rsidR="0011613E" w:rsidRPr="00235AD3">
              <w:t>osacījumu iestāšanās dienas. Akcīzes n</w:t>
            </w:r>
            <w:r w:rsidR="004A0613" w:rsidRPr="00235AD3">
              <w:t xml:space="preserve">odokli nemaksā par tām akcīzes precēm, par kurām </w:t>
            </w:r>
            <w:r w:rsidR="00C16100" w:rsidRPr="00235AD3">
              <w:t xml:space="preserve">akcīzes </w:t>
            </w:r>
            <w:r w:rsidR="004A0613" w:rsidRPr="00235AD3">
              <w:t>nodokļa maksātājs atdod atpakaļ akcīzes nodokļa markas saskaņā ar šā likuma 27.</w:t>
            </w:r>
            <w:r w:rsidR="00F57F59" w:rsidRPr="00235AD3">
              <w:t> </w:t>
            </w:r>
            <w:r w:rsidR="004A0613" w:rsidRPr="00235AD3">
              <w:t>pantu.</w:t>
            </w:r>
          </w:p>
          <w:p w14:paraId="42A4078B" w14:textId="77777777" w:rsidR="004A0613" w:rsidRPr="00235AD3" w:rsidRDefault="004A0613"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Tādējādi par izņemtajām akcīzes nodokļa markām ir jāsamaksā akcīzes nodoklis 180 dienu laikā, jo akcīzes preces tiek uzskatītas par laistām brīvā apgrozībā vai nodotas patēriņam Latvijas Republikā. Tas nozīmē, ka komersantiem pie mainīgiem tirgus apstākļiem ir jāiesaldē uzņēmuma apgrozāmie līdzekļi, lai varētu apmaksāt paņemtās, bet ne vienmēr izmantotās akcīzes nodokļa markas.</w:t>
            </w:r>
          </w:p>
          <w:p w14:paraId="29C22542" w14:textId="77777777" w:rsidR="004A0613" w:rsidRPr="00235AD3" w:rsidRDefault="004A0613"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Latvijas Alkohola nozares asociācija (turpmāk – LANA) ierosināja pagarināt šo akcīzes nodokļa marku samaksas termiņu uz 360 dienām vai atcelt vispār un veikt akcīzes nodokļa samaksu vispārējā kārtībā.</w:t>
            </w:r>
          </w:p>
          <w:p w14:paraId="181C0C93" w14:textId="56C642E7" w:rsidR="004A0613" w:rsidRPr="00235AD3" w:rsidRDefault="004A0613"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Izvērtējot minēto priekšlikumu, tajā skaitā iespējamos riskus, tika secināts, ka priekšlikums ir atbalstāms, attiecīgi veicot nepieciešamos grozījumus likumā. Līdz ar to, atceļot prasību 180 dienu laikā veikt akcīzes nodokļa samaksu par saņemtajām akcīzes nodokļa markām, turpmāk par ar akcīzes nodokli marķējamajām akcīzes precēm akcīzes nodoklis būs jāmaksā pēc faktiski marķēto akcīzes preču vienību skaita, kas nodotas patēriņam vai laistas brīvā apgrozībā.</w:t>
            </w:r>
            <w:r w:rsidR="00356FA1" w:rsidRPr="00235AD3">
              <w:rPr>
                <w:rFonts w:ascii="Times New Roman" w:hAnsi="Times New Roman" w:cs="Times New Roman"/>
                <w:sz w:val="24"/>
                <w:szCs w:val="24"/>
              </w:rPr>
              <w:t xml:space="preserve"> </w:t>
            </w:r>
            <w:r w:rsidR="00365558" w:rsidRPr="00235AD3">
              <w:rPr>
                <w:rFonts w:ascii="Times New Roman" w:hAnsi="Times New Roman" w:cs="Times New Roman"/>
                <w:sz w:val="24"/>
                <w:szCs w:val="24"/>
              </w:rPr>
              <w:t>Līdz ar to no likuma ir jāizslēdz 23.</w:t>
            </w:r>
            <w:r w:rsidR="00F57F59" w:rsidRPr="00235AD3">
              <w:rPr>
                <w:rFonts w:ascii="Times New Roman" w:hAnsi="Times New Roman" w:cs="Times New Roman"/>
                <w:sz w:val="24"/>
                <w:szCs w:val="24"/>
              </w:rPr>
              <w:t> </w:t>
            </w:r>
            <w:r w:rsidR="00365558" w:rsidRPr="00235AD3">
              <w:rPr>
                <w:rFonts w:ascii="Times New Roman" w:hAnsi="Times New Roman" w:cs="Times New Roman"/>
                <w:sz w:val="24"/>
                <w:szCs w:val="24"/>
              </w:rPr>
              <w:t xml:space="preserve">panta </w:t>
            </w:r>
            <w:r w:rsidR="00484CD7" w:rsidRPr="00235AD3">
              <w:rPr>
                <w:rFonts w:ascii="Times New Roman" w:hAnsi="Times New Roman" w:cs="Times New Roman"/>
                <w:sz w:val="24"/>
                <w:szCs w:val="24"/>
              </w:rPr>
              <w:t xml:space="preserve">četrpadsmitā un piecpadsmitā daļa, kā arī </w:t>
            </w:r>
            <w:r w:rsidR="00E22CE0" w:rsidRPr="00235AD3">
              <w:rPr>
                <w:rFonts w:ascii="Times New Roman" w:hAnsi="Times New Roman" w:cs="Times New Roman"/>
                <w:sz w:val="24"/>
                <w:szCs w:val="24"/>
              </w:rPr>
              <w:t>likuma 30.</w:t>
            </w:r>
            <w:r w:rsidR="00F57F59" w:rsidRPr="00235AD3">
              <w:rPr>
                <w:rFonts w:ascii="Times New Roman" w:hAnsi="Times New Roman" w:cs="Times New Roman"/>
                <w:sz w:val="24"/>
                <w:szCs w:val="24"/>
              </w:rPr>
              <w:t> </w:t>
            </w:r>
            <w:r w:rsidR="00E22CE0" w:rsidRPr="00235AD3">
              <w:rPr>
                <w:rFonts w:ascii="Times New Roman" w:hAnsi="Times New Roman" w:cs="Times New Roman"/>
                <w:sz w:val="24"/>
                <w:szCs w:val="24"/>
              </w:rPr>
              <w:t>panta otrajā daļā</w:t>
            </w:r>
            <w:r w:rsidR="00B37BCF">
              <w:rPr>
                <w:rFonts w:ascii="Times New Roman" w:hAnsi="Times New Roman" w:cs="Times New Roman"/>
                <w:sz w:val="24"/>
                <w:szCs w:val="24"/>
              </w:rPr>
              <w:t>, 34.panta sestajā daļā</w:t>
            </w:r>
            <w:r w:rsidR="00E22CE0" w:rsidRPr="00235AD3">
              <w:rPr>
                <w:rFonts w:ascii="Times New Roman" w:hAnsi="Times New Roman" w:cs="Times New Roman"/>
                <w:sz w:val="24"/>
                <w:szCs w:val="24"/>
              </w:rPr>
              <w:t xml:space="preserve"> un pārejas noteikumu 12.</w:t>
            </w:r>
            <w:r w:rsidR="00E22CE0" w:rsidRPr="00235AD3">
              <w:rPr>
                <w:rFonts w:ascii="Times New Roman" w:hAnsi="Times New Roman" w:cs="Times New Roman"/>
                <w:sz w:val="24"/>
                <w:szCs w:val="24"/>
                <w:vertAlign w:val="superscript"/>
              </w:rPr>
              <w:t>1</w:t>
            </w:r>
            <w:r w:rsidR="00F57F59" w:rsidRPr="00235AD3">
              <w:rPr>
                <w:rFonts w:ascii="Times New Roman" w:hAnsi="Times New Roman" w:cs="Times New Roman"/>
                <w:sz w:val="24"/>
                <w:szCs w:val="24"/>
                <w:vertAlign w:val="superscript"/>
              </w:rPr>
              <w:t> </w:t>
            </w:r>
            <w:r w:rsidR="00E22CE0" w:rsidRPr="00235AD3">
              <w:rPr>
                <w:rFonts w:ascii="Times New Roman" w:hAnsi="Times New Roman" w:cs="Times New Roman"/>
                <w:sz w:val="24"/>
                <w:szCs w:val="24"/>
              </w:rPr>
              <w:t>punkta 2.</w:t>
            </w:r>
            <w:r w:rsidR="00F57F59" w:rsidRPr="00235AD3">
              <w:rPr>
                <w:rFonts w:ascii="Times New Roman" w:hAnsi="Times New Roman" w:cs="Times New Roman"/>
                <w:sz w:val="24"/>
                <w:szCs w:val="24"/>
              </w:rPr>
              <w:t> </w:t>
            </w:r>
            <w:r w:rsidR="00E22CE0" w:rsidRPr="00235AD3">
              <w:rPr>
                <w:rFonts w:ascii="Times New Roman" w:hAnsi="Times New Roman" w:cs="Times New Roman"/>
                <w:sz w:val="24"/>
                <w:szCs w:val="24"/>
              </w:rPr>
              <w:t xml:space="preserve">apakšpunktā minētā </w:t>
            </w:r>
            <w:r w:rsidR="00484CD7" w:rsidRPr="00235AD3">
              <w:rPr>
                <w:rFonts w:ascii="Times New Roman" w:hAnsi="Times New Roman" w:cs="Times New Roman"/>
                <w:sz w:val="24"/>
                <w:szCs w:val="24"/>
              </w:rPr>
              <w:t>atsauce uz likuma 23.</w:t>
            </w:r>
            <w:r w:rsidR="00F57F59" w:rsidRPr="00235AD3">
              <w:rPr>
                <w:rFonts w:ascii="Times New Roman" w:hAnsi="Times New Roman" w:cs="Times New Roman"/>
                <w:sz w:val="24"/>
                <w:szCs w:val="24"/>
              </w:rPr>
              <w:t> </w:t>
            </w:r>
            <w:r w:rsidR="00484CD7" w:rsidRPr="00235AD3">
              <w:rPr>
                <w:rFonts w:ascii="Times New Roman" w:hAnsi="Times New Roman" w:cs="Times New Roman"/>
                <w:sz w:val="24"/>
                <w:szCs w:val="24"/>
              </w:rPr>
              <w:t xml:space="preserve">panta četrpadsmito </w:t>
            </w:r>
            <w:r w:rsidR="00B37BCF">
              <w:rPr>
                <w:rFonts w:ascii="Times New Roman" w:hAnsi="Times New Roman" w:cs="Times New Roman"/>
                <w:sz w:val="24"/>
                <w:szCs w:val="24"/>
              </w:rPr>
              <w:t xml:space="preserve">un piecpadsmito </w:t>
            </w:r>
            <w:r w:rsidR="00B37BCF" w:rsidRPr="00235AD3">
              <w:rPr>
                <w:rFonts w:ascii="Times New Roman" w:hAnsi="Times New Roman" w:cs="Times New Roman"/>
                <w:sz w:val="24"/>
                <w:szCs w:val="24"/>
              </w:rPr>
              <w:t>daļu</w:t>
            </w:r>
            <w:r w:rsidR="00484CD7" w:rsidRPr="00235AD3">
              <w:rPr>
                <w:rFonts w:ascii="Times New Roman" w:hAnsi="Times New Roman" w:cs="Times New Roman"/>
                <w:sz w:val="24"/>
                <w:szCs w:val="24"/>
              </w:rPr>
              <w:t xml:space="preserve">. </w:t>
            </w:r>
          </w:p>
          <w:p w14:paraId="3D4A6A6A" w14:textId="2A667828" w:rsidR="00C82DEE" w:rsidRPr="00235AD3" w:rsidRDefault="00C82DEE" w:rsidP="007D4E4E">
            <w:pPr>
              <w:tabs>
                <w:tab w:val="left" w:pos="250"/>
              </w:tabs>
              <w:spacing w:after="0" w:line="240" w:lineRule="auto"/>
              <w:ind w:left="117" w:firstLine="275"/>
              <w:jc w:val="both"/>
              <w:rPr>
                <w:rFonts w:ascii="Times New Roman" w:hAnsi="Times New Roman" w:cs="Times New Roman"/>
                <w:sz w:val="24"/>
                <w:szCs w:val="24"/>
              </w:rPr>
            </w:pPr>
          </w:p>
          <w:p w14:paraId="4BA5DCAE" w14:textId="41402F8F" w:rsidR="00FE2F02" w:rsidRPr="00235AD3" w:rsidRDefault="00C552F0" w:rsidP="006223BB">
            <w:pPr>
              <w:pStyle w:val="ListParagraph"/>
              <w:numPr>
                <w:ilvl w:val="0"/>
                <w:numId w:val="22"/>
              </w:numPr>
              <w:tabs>
                <w:tab w:val="left" w:pos="250"/>
              </w:tabs>
              <w:ind w:left="117" w:firstLine="275"/>
              <w:jc w:val="both"/>
            </w:pPr>
            <w:r w:rsidRPr="00235AD3">
              <w:t xml:space="preserve"> </w:t>
            </w:r>
            <w:r w:rsidR="00FE2F02" w:rsidRPr="00235AD3">
              <w:t>Šobrīd likuma 23.</w:t>
            </w:r>
            <w:r w:rsidR="00F57F59" w:rsidRPr="00235AD3">
              <w:t> </w:t>
            </w:r>
            <w:r w:rsidR="00FE2F02" w:rsidRPr="00235AD3">
              <w:t>panta septiņpadsmitā daļa paredz, ka persona, kurai izsniegtā speciālā atļauja (licence) apstiprināta noliktavas turētāja darbībai ir zaudējusi spēku vai anulēta, 15 dienu laikā pēc taksācijas perioda beigām, kurā attiecīgā speciālā atļauja (licence) ir zaudējusi spēku vai atbilstoši normatīvajiem aktiem par akcīzes preču apriti ir stājies spēkā lēmums par attiecīgās speciālās atļaujas (licences) anulēšanu, par attiecīgajiem akcīzes preču atlikumiem samaksā nodokli valsts budžetā vai izmanto nodrošinājumu un atbilstoši normatīvajiem aktiem par akcīzes preču apriti saņemtajai atļaujai minētos akcīzes preču atlikumus pārvieto, realizē, izved vai iznīcina. Tādējādi šajā gadījumā runa ir par bijušo apstiprinātu noliktavas turētāju. Apstiprinātam noliktavas turētājam un reģistrētam saņēmējam akcīzes nodokļa taksācijas periods ir viens kalendāra mēnesis.</w:t>
            </w:r>
          </w:p>
          <w:p w14:paraId="350FEF9B" w14:textId="078AA7D6" w:rsidR="00FE2F02" w:rsidRPr="00235AD3" w:rsidRDefault="00FE2F02"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lastRenderedPageBreak/>
              <w:t>Lai mazinātu administratīvo slogu nodokļu maksātājiem, ar 2021.</w:t>
            </w:r>
            <w:r w:rsidR="00F57F59" w:rsidRPr="00235AD3">
              <w:rPr>
                <w:rFonts w:ascii="Times New Roman" w:hAnsi="Times New Roman" w:cs="Times New Roman"/>
                <w:sz w:val="24"/>
                <w:szCs w:val="24"/>
              </w:rPr>
              <w:t> </w:t>
            </w:r>
            <w:r w:rsidRPr="00235AD3">
              <w:rPr>
                <w:rFonts w:ascii="Times New Roman" w:hAnsi="Times New Roman" w:cs="Times New Roman"/>
                <w:sz w:val="24"/>
                <w:szCs w:val="24"/>
              </w:rPr>
              <w:t>gada 1.</w:t>
            </w:r>
            <w:r w:rsidR="00F57F59" w:rsidRPr="00235AD3">
              <w:rPr>
                <w:rFonts w:ascii="Times New Roman" w:hAnsi="Times New Roman" w:cs="Times New Roman"/>
                <w:sz w:val="24"/>
                <w:szCs w:val="24"/>
              </w:rPr>
              <w:t> </w:t>
            </w:r>
            <w:r w:rsidRPr="00235AD3">
              <w:rPr>
                <w:rFonts w:ascii="Times New Roman" w:hAnsi="Times New Roman" w:cs="Times New Roman"/>
                <w:sz w:val="24"/>
                <w:szCs w:val="24"/>
              </w:rPr>
              <w:t>janvāri ir paredzēts vairākus nodokļu maksājumus, tajā skaitā arī akcīzes nodokļa nomaksu veikt noteiktajā termiņā vienotajā nodokļu kontā.</w:t>
            </w:r>
          </w:p>
          <w:p w14:paraId="3F67D278" w14:textId="63A9C817" w:rsidR="00FE2F02" w:rsidRPr="00235AD3" w:rsidRDefault="00FE2F02"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Ar Saeimā 2019.</w:t>
            </w:r>
            <w:r w:rsidR="00F57F59" w:rsidRPr="00235AD3">
              <w:rPr>
                <w:rFonts w:ascii="Times New Roman" w:hAnsi="Times New Roman" w:cs="Times New Roman"/>
                <w:sz w:val="24"/>
                <w:szCs w:val="24"/>
              </w:rPr>
              <w:t> </w:t>
            </w:r>
            <w:r w:rsidRPr="00235AD3">
              <w:rPr>
                <w:rFonts w:ascii="Times New Roman" w:hAnsi="Times New Roman" w:cs="Times New Roman"/>
                <w:sz w:val="24"/>
                <w:szCs w:val="24"/>
              </w:rPr>
              <w:t>gada 23.</w:t>
            </w:r>
            <w:r w:rsidR="00F57F59" w:rsidRPr="00235AD3">
              <w:rPr>
                <w:rFonts w:ascii="Times New Roman" w:hAnsi="Times New Roman" w:cs="Times New Roman"/>
                <w:sz w:val="24"/>
                <w:szCs w:val="24"/>
              </w:rPr>
              <w:t> </w:t>
            </w:r>
            <w:r w:rsidRPr="00235AD3">
              <w:rPr>
                <w:rFonts w:ascii="Times New Roman" w:hAnsi="Times New Roman" w:cs="Times New Roman"/>
                <w:sz w:val="24"/>
                <w:szCs w:val="24"/>
              </w:rPr>
              <w:t>maijā pieņemtajiem grozījumiem likumā ar 2021.</w:t>
            </w:r>
            <w:r w:rsidR="00F57F59" w:rsidRPr="00235AD3">
              <w:rPr>
                <w:rFonts w:ascii="Times New Roman" w:hAnsi="Times New Roman" w:cs="Times New Roman"/>
                <w:sz w:val="24"/>
                <w:szCs w:val="24"/>
              </w:rPr>
              <w:t> </w:t>
            </w:r>
            <w:r w:rsidRPr="00235AD3">
              <w:rPr>
                <w:rFonts w:ascii="Times New Roman" w:hAnsi="Times New Roman" w:cs="Times New Roman"/>
                <w:sz w:val="24"/>
                <w:szCs w:val="24"/>
              </w:rPr>
              <w:t>gada 1.</w:t>
            </w:r>
            <w:r w:rsidR="00F57F59" w:rsidRPr="00235AD3">
              <w:rPr>
                <w:rFonts w:ascii="Times New Roman" w:hAnsi="Times New Roman" w:cs="Times New Roman"/>
                <w:sz w:val="24"/>
                <w:szCs w:val="24"/>
              </w:rPr>
              <w:t> </w:t>
            </w:r>
            <w:r w:rsidRPr="00235AD3">
              <w:rPr>
                <w:rFonts w:ascii="Times New Roman" w:hAnsi="Times New Roman" w:cs="Times New Roman"/>
                <w:sz w:val="24"/>
                <w:szCs w:val="24"/>
              </w:rPr>
              <w:t>janvāri apstiprinātam noliktavas turētājam akcīzes nodoklis būs jāsamaksā ne vēlāk kā līdz nākamā mēneša 23.</w:t>
            </w:r>
            <w:r w:rsidR="00F57F59" w:rsidRPr="00235AD3">
              <w:rPr>
                <w:rFonts w:ascii="Times New Roman" w:hAnsi="Times New Roman" w:cs="Times New Roman"/>
                <w:sz w:val="24"/>
                <w:szCs w:val="24"/>
              </w:rPr>
              <w:t> </w:t>
            </w:r>
            <w:r w:rsidRPr="00235AD3">
              <w:rPr>
                <w:rFonts w:ascii="Times New Roman" w:hAnsi="Times New Roman" w:cs="Times New Roman"/>
                <w:sz w:val="24"/>
                <w:szCs w:val="24"/>
              </w:rPr>
              <w:t xml:space="preserve">datumam pēc attiecīgā taksācijas perioda beigām. </w:t>
            </w:r>
          </w:p>
          <w:p w14:paraId="0D02122D" w14:textId="01680801" w:rsidR="00FE2F02" w:rsidRPr="00235AD3" w:rsidRDefault="00FE2F02"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Tā kā likuma 23.</w:t>
            </w:r>
            <w:r w:rsidR="00F57F59" w:rsidRPr="00235AD3">
              <w:rPr>
                <w:rFonts w:ascii="Times New Roman" w:hAnsi="Times New Roman" w:cs="Times New Roman"/>
                <w:sz w:val="24"/>
                <w:szCs w:val="24"/>
              </w:rPr>
              <w:t> </w:t>
            </w:r>
            <w:r w:rsidRPr="00235AD3">
              <w:rPr>
                <w:rFonts w:ascii="Times New Roman" w:hAnsi="Times New Roman" w:cs="Times New Roman"/>
                <w:sz w:val="24"/>
                <w:szCs w:val="24"/>
              </w:rPr>
              <w:t>panta septiņpadsmitajā daļa attiecas uz bijušo apstiprinātu noliktavas turētāju, ir nepieciešams šajā daļā noteikt termiņu ne vēlāk kā līdz nākamā mēneša 23.datumam pēc attie</w:t>
            </w:r>
            <w:r w:rsidR="00F57F59" w:rsidRPr="00235AD3">
              <w:rPr>
                <w:rFonts w:ascii="Times New Roman" w:hAnsi="Times New Roman" w:cs="Times New Roman"/>
                <w:sz w:val="24"/>
                <w:szCs w:val="24"/>
              </w:rPr>
              <w:t>cīgā taksācijas perioda beigām.</w:t>
            </w:r>
          </w:p>
          <w:p w14:paraId="5D9A06AD" w14:textId="2B77799B" w:rsidR="008C34A3" w:rsidRPr="00235AD3" w:rsidRDefault="008C34A3" w:rsidP="007D4E4E">
            <w:pPr>
              <w:tabs>
                <w:tab w:val="left" w:pos="250"/>
              </w:tabs>
              <w:spacing w:after="0" w:line="240" w:lineRule="auto"/>
              <w:ind w:left="117" w:firstLine="275"/>
              <w:jc w:val="both"/>
              <w:rPr>
                <w:rFonts w:ascii="Times New Roman" w:hAnsi="Times New Roman" w:cs="Times New Roman"/>
                <w:sz w:val="24"/>
                <w:szCs w:val="24"/>
              </w:rPr>
            </w:pPr>
          </w:p>
          <w:p w14:paraId="13CCC1DF" w14:textId="1A9CAA71" w:rsidR="00153132" w:rsidRDefault="006223BB" w:rsidP="006223BB">
            <w:pPr>
              <w:pStyle w:val="ListParagraph"/>
              <w:numPr>
                <w:ilvl w:val="0"/>
                <w:numId w:val="22"/>
              </w:numPr>
              <w:tabs>
                <w:tab w:val="left" w:pos="250"/>
              </w:tabs>
              <w:ind w:left="117" w:firstLine="275"/>
              <w:jc w:val="both"/>
            </w:pPr>
            <w:r w:rsidRPr="00235AD3">
              <w:t xml:space="preserve"> </w:t>
            </w:r>
            <w:r w:rsidR="00153132" w:rsidRPr="00235AD3">
              <w:t xml:space="preserve">Likuma 23. panta trīspadsmitā daļa paredz, ka akcīzes nodokļa maksātājs par akcīzes precēm, kuras marķē ar akcīzes nodokļa markām, samaksā akcīzes nodokli pirms akcīzes nodokļa marku saņemšanas atbilstoši šā likuma </w:t>
            </w:r>
            <w:r w:rsidR="00153132" w:rsidRPr="00D353FC">
              <w:t>27.panta sestajai un 6.</w:t>
            </w:r>
            <w:r w:rsidR="00153132" w:rsidRPr="00D353FC">
              <w:rPr>
                <w:vertAlign w:val="superscript"/>
              </w:rPr>
              <w:t>1 </w:t>
            </w:r>
            <w:r w:rsidR="00153132" w:rsidRPr="00D353FC">
              <w:t>daļai vai saskaņā ar šā panta otro, trešo, ceturto, piekto, sesto, septīto, astoto, devīto, vienpadsmito vai septiņpadsmito daļu</w:t>
            </w:r>
            <w:r w:rsidR="00153132" w:rsidRPr="00235AD3">
              <w:t>. Savukārt likuma 27. panta sestā daļa paredz, ka, saņemot akcīzes nodokļa markas, attiecīgie akcīzes nodokļa maksātāji saskaņā ar šo likumu iesniedz akcīzes nodokļa samaksas apliecinājumu. Minētā prasība, ka “iesniedz nodokļa samaksas apliecinājumu” ir novecojusi, jo komersantam pašlaik ir jāiesniedz samaksas apliecinājums papīra formā. Tagad Valsts ieņēmumu dienests informācijas sistēmās var konstatēt, vai konkrētais akcīzes nodokļa maksātājs ir samaksājis akcīzes nodokli vai nav un vai ir samaksājis to pietiekošā apmērā. Līdz ar to ir nepieciešams likuma 27. panta sestajā daļā aizstāt vārdus “iesniedz nodokļa samaksas apliecinājumu” ar vārdiem “samaksā nodokli”.</w:t>
            </w:r>
          </w:p>
          <w:p w14:paraId="074364D4" w14:textId="77777777" w:rsidR="00153132" w:rsidRDefault="00153132" w:rsidP="00153132">
            <w:pPr>
              <w:pStyle w:val="ListParagraph"/>
              <w:tabs>
                <w:tab w:val="left" w:pos="250"/>
              </w:tabs>
              <w:ind w:left="392"/>
              <w:jc w:val="both"/>
            </w:pPr>
          </w:p>
          <w:p w14:paraId="5B5F4D07" w14:textId="327113BB" w:rsidR="00D91F0D" w:rsidRPr="00235AD3" w:rsidRDefault="00153132" w:rsidP="006223BB">
            <w:pPr>
              <w:pStyle w:val="ListParagraph"/>
              <w:numPr>
                <w:ilvl w:val="0"/>
                <w:numId w:val="22"/>
              </w:numPr>
              <w:tabs>
                <w:tab w:val="left" w:pos="250"/>
              </w:tabs>
              <w:ind w:left="117" w:firstLine="275"/>
              <w:jc w:val="both"/>
            </w:pPr>
            <w:r>
              <w:t xml:space="preserve"> </w:t>
            </w:r>
            <w:r w:rsidR="00D46AFB" w:rsidRPr="00235AD3">
              <w:t>D</w:t>
            </w:r>
            <w:r w:rsidR="009449BF" w:rsidRPr="00235AD3">
              <w:t>aļai akcīzes preču pārvietošanai, piemērojot atlikto akcīzes nodokļa maksāšanu, nepiemēro likuma 25.</w:t>
            </w:r>
            <w:r w:rsidR="00F57F59" w:rsidRPr="00235AD3">
              <w:t> </w:t>
            </w:r>
            <w:r w:rsidR="009449BF" w:rsidRPr="00235AD3">
              <w:t xml:space="preserve">panta devītajā daļā minēto elektronisko administratīvo dokumentu datorizētās sistēmas ietvaros (EMCS), piemēram, neharmonizētām akcīzes precēm un dabasgāzei. Nereti apstiprināti noliktavas turētāji, kuri izved šādas akcīzes preces uz citu dalībvalsti, kā izvešanu pierādošu dokumentu iesniedz atvērtu pārvadājuma dokumentu, kurā norādīts saņēmējs citā dalībvalstī, taču tas neapliecina, ka akcīzes preču saņēmējs citā dalībvalstī ir arī tās saņēmis. Tādējādi Valsts ieņēmumu dienesta rīcībā nav informācijas par šādu akcīzes preču saņemšanu citā dalībvalstī, jo šobrīd likums nosaka pierādīt izvešanu, bet ne saņemšanu. Pastāv risks, ka šo situāciju uzņēmēji </w:t>
            </w:r>
            <w:r w:rsidR="009449BF" w:rsidRPr="00235AD3">
              <w:lastRenderedPageBreak/>
              <w:t>var izmantot ļaunprātīgi, piemēram, atvērt pārvadājuma dokumentu, kurā norādīts saņēmējs citā dalībvalstī, taču fiziski attiecīgās akcīzes preces izvest no akcīzes preču noliktavas Latvijas Republikā un piegādāt patēriņam Latvijas Republikā, tādā veidā izvairoties no atbilstošas akcīzes nodokļa nomaksas. Līdz ar to, lai būtu pierādījums tam, ka akcīzes preču pārvietošana, piemērojot atlikto akcīzes nodokļa maksāšanu, uz citu dalībvalsti ir noslēgusies un ir pamat</w:t>
            </w:r>
            <w:r w:rsidR="009329C2" w:rsidRPr="00235AD3">
              <w:t>s</w:t>
            </w:r>
            <w:r w:rsidR="009449BF" w:rsidRPr="00235AD3">
              <w:t xml:space="preserve"> nemaksāt akcīzes nodokli par no Latvijas Republikas izvestajām akcīzes precēm nepieciešams precizēt 25.</w:t>
            </w:r>
            <w:r w:rsidR="00F57F59" w:rsidRPr="00235AD3">
              <w:t xml:space="preserve"> panta </w:t>
            </w:r>
            <w:r w:rsidR="009449BF" w:rsidRPr="00235AD3">
              <w:t>divpadsmitās, piecpadsmitās un astoņpadsmitās daļas 2.</w:t>
            </w:r>
            <w:r w:rsidR="00F57F59" w:rsidRPr="00235AD3">
              <w:t> </w:t>
            </w:r>
            <w:r w:rsidR="009449BF" w:rsidRPr="00235AD3">
              <w:t>punktu, papildinot to ar nosacījumu</w:t>
            </w:r>
            <w:r w:rsidR="00D91F0D" w:rsidRPr="00235AD3">
              <w:t>, ka akcīzes preces ir saņemtas citā dalībvalstī.</w:t>
            </w:r>
          </w:p>
          <w:p w14:paraId="21810B66" w14:textId="77DF6964" w:rsidR="00FE2F02" w:rsidRPr="00235AD3" w:rsidRDefault="00FE2F02" w:rsidP="007D4E4E">
            <w:pPr>
              <w:tabs>
                <w:tab w:val="left" w:pos="250"/>
              </w:tabs>
              <w:spacing w:after="0" w:line="240" w:lineRule="auto"/>
              <w:ind w:left="117" w:firstLine="275"/>
              <w:jc w:val="both"/>
              <w:rPr>
                <w:rFonts w:ascii="Times New Roman" w:hAnsi="Times New Roman" w:cs="Times New Roman"/>
                <w:sz w:val="24"/>
                <w:szCs w:val="24"/>
              </w:rPr>
            </w:pPr>
          </w:p>
          <w:p w14:paraId="39C193F0" w14:textId="3A7056EF" w:rsidR="00886F70" w:rsidRPr="00235AD3" w:rsidRDefault="003D7756" w:rsidP="00B94447">
            <w:pPr>
              <w:pStyle w:val="ListParagraph"/>
              <w:numPr>
                <w:ilvl w:val="0"/>
                <w:numId w:val="22"/>
              </w:numPr>
              <w:tabs>
                <w:tab w:val="left" w:pos="250"/>
              </w:tabs>
              <w:ind w:left="117" w:firstLine="275"/>
              <w:jc w:val="both"/>
            </w:pPr>
            <w:r w:rsidRPr="00235AD3">
              <w:t xml:space="preserve"> </w:t>
            </w:r>
            <w:r w:rsidR="00886F70" w:rsidRPr="00235AD3">
              <w:t>Šobrīd saskaņā ar likuma 27.</w:t>
            </w:r>
            <w:r w:rsidR="00F57F59" w:rsidRPr="00235AD3">
              <w:t> </w:t>
            </w:r>
            <w:r w:rsidR="00886F70" w:rsidRPr="00235AD3">
              <w:t>pantu</w:t>
            </w:r>
            <w:r w:rsidR="00BE7468" w:rsidRPr="00235AD3">
              <w:t xml:space="preserve"> akcīzes nodoklis nav jāmaksā vai arī, ja akcīzes nodoklis ir jau samaksāts, to pārskaita nodokļu parādu segšanai, turpmākajiem akcīzes nodokļa maksājumiem vai citu nodokļu maksājumiem vai samaksāto akcīzes nodokli atmaksā, ja attiecīgās akcīzes nodokļa markas ir atdotas Valsts ieņēmumu dienestam.</w:t>
            </w:r>
          </w:p>
          <w:p w14:paraId="52554104" w14:textId="77777777" w:rsidR="00197D47" w:rsidRPr="00235AD3" w:rsidRDefault="00403706"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Tabakas izstrādājumu ražotāju nacionālā asociācija (turpmāk - TIRNA)</w:t>
            </w:r>
            <w:r w:rsidR="00302640" w:rsidRPr="00235AD3">
              <w:rPr>
                <w:rFonts w:ascii="Times New Roman" w:hAnsi="Times New Roman" w:cs="Times New Roman"/>
                <w:sz w:val="24"/>
                <w:szCs w:val="24"/>
              </w:rPr>
              <w:t xml:space="preserve"> </w:t>
            </w:r>
            <w:r w:rsidR="00197D47" w:rsidRPr="00235AD3">
              <w:rPr>
                <w:rFonts w:ascii="Times New Roman" w:hAnsi="Times New Roman" w:cs="Times New Roman"/>
                <w:sz w:val="24"/>
                <w:szCs w:val="24"/>
              </w:rPr>
              <w:t xml:space="preserve">ir izteikusi </w:t>
            </w:r>
            <w:r w:rsidR="00302640" w:rsidRPr="00235AD3">
              <w:rPr>
                <w:rFonts w:ascii="Times New Roman" w:hAnsi="Times New Roman" w:cs="Times New Roman"/>
                <w:sz w:val="24"/>
                <w:szCs w:val="24"/>
              </w:rPr>
              <w:t>priekšlikum</w:t>
            </w:r>
            <w:r w:rsidR="00197D47" w:rsidRPr="00235AD3">
              <w:rPr>
                <w:rFonts w:ascii="Times New Roman" w:hAnsi="Times New Roman" w:cs="Times New Roman"/>
                <w:sz w:val="24"/>
                <w:szCs w:val="24"/>
              </w:rPr>
              <w:t>u</w:t>
            </w:r>
            <w:r w:rsidRPr="00235AD3">
              <w:rPr>
                <w:rFonts w:ascii="Times New Roman" w:hAnsi="Times New Roman" w:cs="Times New Roman"/>
                <w:sz w:val="24"/>
                <w:szCs w:val="24"/>
              </w:rPr>
              <w:t xml:space="preserve"> veikt grozījumus likumā, lai varētu iznīcināt tabakas izstrādājumus, nenoņemot akcīzes nodokļa markas</w:t>
            </w:r>
            <w:r w:rsidR="0099691B" w:rsidRPr="00235AD3">
              <w:rPr>
                <w:rFonts w:ascii="Times New Roman" w:hAnsi="Times New Roman" w:cs="Times New Roman"/>
                <w:sz w:val="24"/>
                <w:szCs w:val="24"/>
              </w:rPr>
              <w:t xml:space="preserve"> no tiem</w:t>
            </w:r>
            <w:r w:rsidR="00197D47" w:rsidRPr="00235AD3">
              <w:rPr>
                <w:rFonts w:ascii="Times New Roman" w:hAnsi="Times New Roman" w:cs="Times New Roman"/>
                <w:sz w:val="24"/>
                <w:szCs w:val="24"/>
              </w:rPr>
              <w:t>.</w:t>
            </w:r>
          </w:p>
          <w:p w14:paraId="2BAC26B3" w14:textId="77777777" w:rsidR="00197D47" w:rsidRPr="00235AD3" w:rsidRDefault="00197D47"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 xml:space="preserve">Izvērtējot minēto ierosinājumu, tika secināts, ka to varētu attiecināt arī </w:t>
            </w:r>
            <w:r w:rsidR="0098147E" w:rsidRPr="00235AD3">
              <w:rPr>
                <w:rFonts w:ascii="Times New Roman" w:hAnsi="Times New Roman" w:cs="Times New Roman"/>
                <w:sz w:val="24"/>
                <w:szCs w:val="24"/>
              </w:rPr>
              <w:t xml:space="preserve">uz </w:t>
            </w:r>
            <w:r w:rsidRPr="00235AD3">
              <w:rPr>
                <w:rFonts w:ascii="Times New Roman" w:hAnsi="Times New Roman" w:cs="Times New Roman"/>
                <w:sz w:val="24"/>
                <w:szCs w:val="24"/>
              </w:rPr>
              <w:t xml:space="preserve">alkoholiskajiem dzērieniem. </w:t>
            </w:r>
          </w:p>
          <w:p w14:paraId="06555841" w14:textId="77777777" w:rsidR="00197D47" w:rsidRPr="00235AD3" w:rsidRDefault="00197D47"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 xml:space="preserve">Lai varētu akcīzes nodokļa markas iznīcināt kopā ar akcīzes precēm (tabakas izstrādājumiem vai alkoholiskajiem dzērieniem) un šajā gadījumā </w:t>
            </w:r>
            <w:r w:rsidR="00F53A9D" w:rsidRPr="00235AD3">
              <w:rPr>
                <w:rFonts w:ascii="Times New Roman" w:hAnsi="Times New Roman" w:cs="Times New Roman"/>
                <w:sz w:val="24"/>
                <w:szCs w:val="24"/>
              </w:rPr>
              <w:t xml:space="preserve">saglabāt tiesības </w:t>
            </w:r>
            <w:r w:rsidRPr="00235AD3">
              <w:rPr>
                <w:rFonts w:ascii="Times New Roman" w:hAnsi="Times New Roman" w:cs="Times New Roman"/>
                <w:sz w:val="24"/>
                <w:szCs w:val="24"/>
              </w:rPr>
              <w:t>saņemt atpakaļ samaksāto akcīzes nodokli, ir nepieciešams veikt atbilstošus grozījumus likumā.</w:t>
            </w:r>
            <w:r w:rsidR="00F53A9D" w:rsidRPr="00235AD3">
              <w:rPr>
                <w:rFonts w:ascii="Times New Roman" w:hAnsi="Times New Roman" w:cs="Times New Roman"/>
                <w:sz w:val="24"/>
                <w:szCs w:val="24"/>
              </w:rPr>
              <w:t xml:space="preserve"> Viens no nosacījumiem, ja iznīcina akcīzes nodokļa markas, nenoņemot tās no akcīzes pre</w:t>
            </w:r>
            <w:r w:rsidR="0099691B" w:rsidRPr="00235AD3">
              <w:rPr>
                <w:rFonts w:ascii="Times New Roman" w:hAnsi="Times New Roman" w:cs="Times New Roman"/>
                <w:sz w:val="24"/>
                <w:szCs w:val="24"/>
              </w:rPr>
              <w:t>ču iepakojumiem</w:t>
            </w:r>
            <w:r w:rsidR="00F53A9D" w:rsidRPr="00235AD3">
              <w:rPr>
                <w:rFonts w:ascii="Times New Roman" w:hAnsi="Times New Roman" w:cs="Times New Roman"/>
                <w:sz w:val="24"/>
                <w:szCs w:val="24"/>
              </w:rPr>
              <w:t>, t.i., kopā ar akcīzes precēm, ir, ka šāda akcīzes nodokļa marku un preču iznīcināšana notiek Valsts ieņēmumu dienesta amatpersonas klātbūtnē.</w:t>
            </w:r>
          </w:p>
          <w:p w14:paraId="13276412" w14:textId="2C3C2288" w:rsidR="00403706" w:rsidRPr="00235AD3" w:rsidRDefault="00403706"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Šobrīd likuma</w:t>
            </w:r>
            <w:r w:rsidR="00F53A9D" w:rsidRPr="00235AD3">
              <w:rPr>
                <w:rFonts w:ascii="Times New Roman" w:hAnsi="Times New Roman" w:cs="Times New Roman"/>
                <w:sz w:val="24"/>
                <w:szCs w:val="24"/>
              </w:rPr>
              <w:t xml:space="preserve"> </w:t>
            </w:r>
            <w:r w:rsidRPr="00235AD3">
              <w:rPr>
                <w:rFonts w:ascii="Times New Roman" w:hAnsi="Times New Roman" w:cs="Times New Roman"/>
                <w:sz w:val="24"/>
                <w:szCs w:val="24"/>
              </w:rPr>
              <w:t>27.</w:t>
            </w:r>
            <w:r w:rsidR="00F57F59" w:rsidRPr="00235AD3">
              <w:rPr>
                <w:rFonts w:ascii="Times New Roman" w:hAnsi="Times New Roman" w:cs="Times New Roman"/>
                <w:sz w:val="24"/>
                <w:szCs w:val="24"/>
              </w:rPr>
              <w:t> </w:t>
            </w:r>
            <w:r w:rsidRPr="00235AD3">
              <w:rPr>
                <w:rFonts w:ascii="Times New Roman" w:hAnsi="Times New Roman" w:cs="Times New Roman"/>
                <w:sz w:val="24"/>
                <w:szCs w:val="24"/>
              </w:rPr>
              <w:t>panta 7.</w:t>
            </w:r>
            <w:r w:rsidRPr="00235AD3">
              <w:rPr>
                <w:rFonts w:ascii="Times New Roman" w:hAnsi="Times New Roman" w:cs="Times New Roman"/>
                <w:sz w:val="24"/>
                <w:szCs w:val="24"/>
                <w:vertAlign w:val="superscript"/>
              </w:rPr>
              <w:t>1 </w:t>
            </w:r>
            <w:r w:rsidRPr="00235AD3">
              <w:rPr>
                <w:rFonts w:ascii="Times New Roman" w:hAnsi="Times New Roman" w:cs="Times New Roman"/>
                <w:sz w:val="24"/>
                <w:szCs w:val="24"/>
              </w:rPr>
              <w:t>daļa paredz no akcīzes precēm noņemtās akcīzes nodokļa markas atdot Valsts ieņēmumu dienestam triju gadu laikā pēc to saņemšanas.</w:t>
            </w:r>
            <w:r w:rsidR="00F53A9D" w:rsidRPr="00235AD3">
              <w:rPr>
                <w:rFonts w:ascii="Times New Roman" w:hAnsi="Times New Roman" w:cs="Times New Roman"/>
                <w:sz w:val="24"/>
                <w:szCs w:val="24"/>
              </w:rPr>
              <w:t xml:space="preserve"> </w:t>
            </w:r>
            <w:r w:rsidRPr="00235AD3">
              <w:rPr>
                <w:rFonts w:ascii="Times New Roman" w:hAnsi="Times New Roman" w:cs="Times New Roman"/>
                <w:sz w:val="24"/>
                <w:szCs w:val="24"/>
              </w:rPr>
              <w:t xml:space="preserve">Likumā noteiktais termiņa ierobežojums akcīzes nodokļa marku atdošanai Valsts ieņēmumu dienestam saistīts ar </w:t>
            </w:r>
            <w:r w:rsidR="00F53A9D" w:rsidRPr="00235AD3">
              <w:rPr>
                <w:rFonts w:ascii="Times New Roman" w:hAnsi="Times New Roman" w:cs="Times New Roman"/>
                <w:sz w:val="24"/>
                <w:szCs w:val="24"/>
              </w:rPr>
              <w:t xml:space="preserve">akcīzes </w:t>
            </w:r>
            <w:r w:rsidRPr="00235AD3">
              <w:rPr>
                <w:rFonts w:ascii="Times New Roman" w:hAnsi="Times New Roman" w:cs="Times New Roman"/>
                <w:sz w:val="24"/>
                <w:szCs w:val="24"/>
              </w:rPr>
              <w:t>nodokļa maksātāja tiesībām saņemt no valsts budžeta samaksāto akcīzes nodokli par akcīzes nodokļa markām. Līdzīgs termiņa ierobežojums par tiesībām saņemt no valsts budžeta samaksāto akcīzes nodokli par akcīzes nodokļa markām ir jāparedz arī, ja akcīzes preces tiks iznīcinātas ar akcīzes nodokļa markām.</w:t>
            </w:r>
          </w:p>
          <w:p w14:paraId="6936D1B1" w14:textId="07D77C5B" w:rsidR="00403706" w:rsidRPr="00235AD3" w:rsidRDefault="00403706"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lastRenderedPageBreak/>
              <w:t>Šobrīd likuma 27.</w:t>
            </w:r>
            <w:r w:rsidR="00F57F59" w:rsidRPr="00235AD3">
              <w:rPr>
                <w:rFonts w:ascii="Times New Roman" w:hAnsi="Times New Roman" w:cs="Times New Roman"/>
                <w:sz w:val="24"/>
                <w:szCs w:val="24"/>
              </w:rPr>
              <w:t> </w:t>
            </w:r>
            <w:r w:rsidRPr="00235AD3">
              <w:rPr>
                <w:rFonts w:ascii="Times New Roman" w:hAnsi="Times New Roman" w:cs="Times New Roman"/>
                <w:sz w:val="24"/>
                <w:szCs w:val="24"/>
              </w:rPr>
              <w:t>panta astotā daļa nosaka nodokļa maksātājam pienākumu, atdodot akcīzes nodokļa markas Valsts ieņēmumu dienestam, segt akcīzes nodokļa marku iegādes izdevumus.</w:t>
            </w:r>
            <w:r w:rsidR="00F53A9D" w:rsidRPr="00235AD3">
              <w:rPr>
                <w:rFonts w:ascii="Times New Roman" w:hAnsi="Times New Roman" w:cs="Times New Roman"/>
                <w:sz w:val="24"/>
                <w:szCs w:val="24"/>
              </w:rPr>
              <w:t xml:space="preserve"> </w:t>
            </w:r>
            <w:r w:rsidRPr="00235AD3">
              <w:rPr>
                <w:rFonts w:ascii="Times New Roman" w:hAnsi="Times New Roman" w:cs="Times New Roman"/>
                <w:sz w:val="24"/>
                <w:szCs w:val="24"/>
              </w:rPr>
              <w:t>Tādējādi likumā ir nepieciešams noteikt pienākumu nodokļa maksātājam segt akcīzes nodokļa marku iegādes izdevumus arī gadījumā, ja akcīzes preces tiks iznīcinātas ar akcīzes nodokļa markām</w:t>
            </w:r>
            <w:r w:rsidR="00674BC9" w:rsidRPr="00235AD3">
              <w:rPr>
                <w:rFonts w:ascii="Times New Roman" w:hAnsi="Times New Roman" w:cs="Times New Roman"/>
                <w:sz w:val="24"/>
                <w:szCs w:val="24"/>
              </w:rPr>
              <w:t>, attiecīgi papildinot likuma 27.</w:t>
            </w:r>
            <w:r w:rsidR="00F57F59" w:rsidRPr="00235AD3">
              <w:rPr>
                <w:rFonts w:ascii="Times New Roman" w:hAnsi="Times New Roman" w:cs="Times New Roman"/>
                <w:sz w:val="24"/>
                <w:szCs w:val="24"/>
              </w:rPr>
              <w:t> </w:t>
            </w:r>
            <w:r w:rsidR="00674BC9" w:rsidRPr="00235AD3">
              <w:rPr>
                <w:rFonts w:ascii="Times New Roman" w:hAnsi="Times New Roman" w:cs="Times New Roman"/>
                <w:sz w:val="24"/>
                <w:szCs w:val="24"/>
              </w:rPr>
              <w:t>pantu ar 8.</w:t>
            </w:r>
            <w:r w:rsidR="00674BC9" w:rsidRPr="00235AD3">
              <w:rPr>
                <w:rFonts w:ascii="Times New Roman" w:hAnsi="Times New Roman" w:cs="Times New Roman"/>
                <w:sz w:val="24"/>
                <w:szCs w:val="24"/>
                <w:vertAlign w:val="superscript"/>
              </w:rPr>
              <w:t>1 </w:t>
            </w:r>
            <w:r w:rsidR="00674BC9" w:rsidRPr="00235AD3">
              <w:rPr>
                <w:rFonts w:ascii="Times New Roman" w:hAnsi="Times New Roman" w:cs="Times New Roman"/>
                <w:sz w:val="24"/>
                <w:szCs w:val="24"/>
              </w:rPr>
              <w:t>da</w:t>
            </w:r>
            <w:r w:rsidR="006243F9" w:rsidRPr="00235AD3">
              <w:rPr>
                <w:rFonts w:ascii="Times New Roman" w:hAnsi="Times New Roman" w:cs="Times New Roman"/>
                <w:sz w:val="24"/>
                <w:szCs w:val="24"/>
              </w:rPr>
              <w:t>ļu.</w:t>
            </w:r>
          </w:p>
          <w:p w14:paraId="77175441" w14:textId="1C83EDCC" w:rsidR="00403706" w:rsidRPr="00235AD3" w:rsidRDefault="00F53A9D"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 xml:space="preserve">Atbilstoši </w:t>
            </w:r>
            <w:r w:rsidR="00403706" w:rsidRPr="00235AD3">
              <w:rPr>
                <w:rFonts w:ascii="Times New Roman" w:hAnsi="Times New Roman" w:cs="Times New Roman"/>
                <w:sz w:val="24"/>
                <w:szCs w:val="24"/>
              </w:rPr>
              <w:t>likuma 27.</w:t>
            </w:r>
            <w:r w:rsidR="00F57F59" w:rsidRPr="00235AD3">
              <w:rPr>
                <w:rFonts w:ascii="Times New Roman" w:hAnsi="Times New Roman" w:cs="Times New Roman"/>
                <w:sz w:val="24"/>
                <w:szCs w:val="24"/>
              </w:rPr>
              <w:t> </w:t>
            </w:r>
            <w:r w:rsidR="00403706" w:rsidRPr="00235AD3">
              <w:rPr>
                <w:rFonts w:ascii="Times New Roman" w:hAnsi="Times New Roman" w:cs="Times New Roman"/>
                <w:sz w:val="24"/>
                <w:szCs w:val="24"/>
              </w:rPr>
              <w:t>panta vienpadsmitaj</w:t>
            </w:r>
            <w:r w:rsidR="006B19D2" w:rsidRPr="00235AD3">
              <w:rPr>
                <w:rFonts w:ascii="Times New Roman" w:hAnsi="Times New Roman" w:cs="Times New Roman"/>
                <w:sz w:val="24"/>
                <w:szCs w:val="24"/>
              </w:rPr>
              <w:t>ai</w:t>
            </w:r>
            <w:r w:rsidR="00403706" w:rsidRPr="00235AD3">
              <w:rPr>
                <w:rFonts w:ascii="Times New Roman" w:hAnsi="Times New Roman" w:cs="Times New Roman"/>
                <w:sz w:val="24"/>
                <w:szCs w:val="24"/>
              </w:rPr>
              <w:t xml:space="preserve"> daļ</w:t>
            </w:r>
            <w:r w:rsidRPr="00235AD3">
              <w:rPr>
                <w:rFonts w:ascii="Times New Roman" w:hAnsi="Times New Roman" w:cs="Times New Roman"/>
                <w:sz w:val="24"/>
                <w:szCs w:val="24"/>
              </w:rPr>
              <w:t xml:space="preserve">ai šobrīd </w:t>
            </w:r>
            <w:r w:rsidR="00403706" w:rsidRPr="00235AD3">
              <w:rPr>
                <w:rFonts w:ascii="Times New Roman" w:hAnsi="Times New Roman" w:cs="Times New Roman"/>
                <w:sz w:val="24"/>
                <w:szCs w:val="24"/>
              </w:rPr>
              <w:t xml:space="preserve">ir noteikts, ja </w:t>
            </w:r>
            <w:r w:rsidRPr="00235AD3">
              <w:rPr>
                <w:rFonts w:ascii="Times New Roman" w:hAnsi="Times New Roman" w:cs="Times New Roman"/>
                <w:sz w:val="24"/>
                <w:szCs w:val="24"/>
              </w:rPr>
              <w:t xml:space="preserve">akcīzes </w:t>
            </w:r>
            <w:r w:rsidR="00403706" w:rsidRPr="00235AD3">
              <w:rPr>
                <w:rFonts w:ascii="Times New Roman" w:hAnsi="Times New Roman" w:cs="Times New Roman"/>
                <w:sz w:val="24"/>
                <w:szCs w:val="24"/>
              </w:rPr>
              <w:t xml:space="preserve">nodokļa maksātājs atdod Valsts ieņēmumu dienestā saņemtās, bet neizmantotās, nederīgās vai bojātās akcīzes nodokļa markas, </w:t>
            </w:r>
            <w:r w:rsidRPr="00235AD3">
              <w:rPr>
                <w:rFonts w:ascii="Times New Roman" w:hAnsi="Times New Roman" w:cs="Times New Roman"/>
                <w:sz w:val="24"/>
                <w:szCs w:val="24"/>
              </w:rPr>
              <w:t xml:space="preserve">akcīzes </w:t>
            </w:r>
            <w:r w:rsidR="00403706" w:rsidRPr="00235AD3">
              <w:rPr>
                <w:rFonts w:ascii="Times New Roman" w:hAnsi="Times New Roman" w:cs="Times New Roman"/>
                <w:sz w:val="24"/>
                <w:szCs w:val="24"/>
              </w:rPr>
              <w:t xml:space="preserve">nodoklis attiecīgajam </w:t>
            </w:r>
            <w:r w:rsidRPr="00235AD3">
              <w:rPr>
                <w:rFonts w:ascii="Times New Roman" w:hAnsi="Times New Roman" w:cs="Times New Roman"/>
                <w:sz w:val="24"/>
                <w:szCs w:val="24"/>
              </w:rPr>
              <w:t xml:space="preserve">akcīzes </w:t>
            </w:r>
            <w:r w:rsidR="00403706" w:rsidRPr="00235AD3">
              <w:rPr>
                <w:rFonts w:ascii="Times New Roman" w:hAnsi="Times New Roman" w:cs="Times New Roman"/>
                <w:sz w:val="24"/>
                <w:szCs w:val="24"/>
              </w:rPr>
              <w:t>n</w:t>
            </w:r>
            <w:r w:rsidRPr="00235AD3">
              <w:rPr>
                <w:rFonts w:ascii="Times New Roman" w:hAnsi="Times New Roman" w:cs="Times New Roman"/>
                <w:sz w:val="24"/>
                <w:szCs w:val="24"/>
              </w:rPr>
              <w:t>odokļa maksātājam nav jāmaksā. Akcīzes n</w:t>
            </w:r>
            <w:r w:rsidR="00403706" w:rsidRPr="00235AD3">
              <w:rPr>
                <w:rFonts w:ascii="Times New Roman" w:hAnsi="Times New Roman" w:cs="Times New Roman"/>
                <w:sz w:val="24"/>
                <w:szCs w:val="24"/>
              </w:rPr>
              <w:t xml:space="preserve">odoklis nav jāmaksā arī tādā gadījumā, ja </w:t>
            </w:r>
            <w:r w:rsidRPr="00235AD3">
              <w:rPr>
                <w:rFonts w:ascii="Times New Roman" w:hAnsi="Times New Roman" w:cs="Times New Roman"/>
                <w:sz w:val="24"/>
                <w:szCs w:val="24"/>
              </w:rPr>
              <w:t xml:space="preserve">akcīzes </w:t>
            </w:r>
            <w:r w:rsidR="00403706" w:rsidRPr="00235AD3">
              <w:rPr>
                <w:rFonts w:ascii="Times New Roman" w:hAnsi="Times New Roman" w:cs="Times New Roman"/>
                <w:sz w:val="24"/>
                <w:szCs w:val="24"/>
              </w:rPr>
              <w:t xml:space="preserve">nodokļa maksātājs iesniedz Valsts ieņēmumu dienestam citas dalībvalsts nodokļu administrācijas izsniegtu dokumentu vai dokumentu par akcīzes nodokļa marku iznīcināšanu, kuru ir apstiprinājusi citas dalībvalsts nodokļu administrācija un kurš apliecina, ka </w:t>
            </w:r>
            <w:r w:rsidRPr="00235AD3">
              <w:rPr>
                <w:rFonts w:ascii="Times New Roman" w:hAnsi="Times New Roman" w:cs="Times New Roman"/>
                <w:sz w:val="24"/>
                <w:szCs w:val="24"/>
              </w:rPr>
              <w:t xml:space="preserve">akcīzes </w:t>
            </w:r>
            <w:r w:rsidR="00403706" w:rsidRPr="00235AD3">
              <w:rPr>
                <w:rFonts w:ascii="Times New Roman" w:hAnsi="Times New Roman" w:cs="Times New Roman"/>
                <w:sz w:val="24"/>
                <w:szCs w:val="24"/>
              </w:rPr>
              <w:t>nodokļa markas ir iznīcinātas citā dalībvalstī.</w:t>
            </w:r>
            <w:r w:rsidR="00862AED" w:rsidRPr="00235AD3">
              <w:rPr>
                <w:rFonts w:ascii="Times New Roman" w:hAnsi="Times New Roman" w:cs="Times New Roman"/>
                <w:sz w:val="24"/>
                <w:szCs w:val="24"/>
              </w:rPr>
              <w:t xml:space="preserve"> Līdz ar to minētā norma ir atbilstoši jāprecizē, paredzot, ka akcīzes nodoklis nav jāmaksā arī tajā gadījumā, ja akcīzes nodokļa markas iznīcina kopā ar akcīzes precēm.</w:t>
            </w:r>
          </w:p>
          <w:p w14:paraId="25B9190A" w14:textId="6949E539" w:rsidR="00BC6FF4" w:rsidRPr="00235AD3" w:rsidRDefault="00BC6FF4"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Likuma 2</w:t>
            </w:r>
            <w:r w:rsidR="001437E8" w:rsidRPr="00235AD3">
              <w:rPr>
                <w:rFonts w:ascii="Times New Roman" w:hAnsi="Times New Roman" w:cs="Times New Roman"/>
                <w:sz w:val="24"/>
                <w:szCs w:val="24"/>
              </w:rPr>
              <w:t>7</w:t>
            </w:r>
            <w:r w:rsidRPr="00235AD3">
              <w:rPr>
                <w:rFonts w:ascii="Times New Roman" w:hAnsi="Times New Roman" w:cs="Times New Roman"/>
                <w:sz w:val="24"/>
                <w:szCs w:val="24"/>
              </w:rPr>
              <w:t>.</w:t>
            </w:r>
            <w:r w:rsidR="00F57F59" w:rsidRPr="00235AD3">
              <w:rPr>
                <w:rFonts w:ascii="Times New Roman" w:hAnsi="Times New Roman" w:cs="Times New Roman"/>
                <w:sz w:val="24"/>
                <w:szCs w:val="24"/>
              </w:rPr>
              <w:t> </w:t>
            </w:r>
            <w:r w:rsidRPr="00235AD3">
              <w:rPr>
                <w:rFonts w:ascii="Times New Roman" w:hAnsi="Times New Roman" w:cs="Times New Roman"/>
                <w:sz w:val="24"/>
                <w:szCs w:val="24"/>
              </w:rPr>
              <w:t>panta divpadsmitajā un 12.</w:t>
            </w:r>
            <w:r w:rsidRPr="00235AD3">
              <w:rPr>
                <w:rFonts w:ascii="Times New Roman" w:hAnsi="Times New Roman" w:cs="Times New Roman"/>
                <w:sz w:val="24"/>
                <w:szCs w:val="24"/>
                <w:vertAlign w:val="superscript"/>
              </w:rPr>
              <w:t>1</w:t>
            </w:r>
            <w:r w:rsidR="00F57F59" w:rsidRPr="00235AD3">
              <w:rPr>
                <w:rFonts w:ascii="Times New Roman" w:hAnsi="Times New Roman" w:cs="Times New Roman"/>
                <w:sz w:val="24"/>
                <w:szCs w:val="24"/>
                <w:vertAlign w:val="superscript"/>
              </w:rPr>
              <w:t> </w:t>
            </w:r>
            <w:r w:rsidRPr="00235AD3">
              <w:rPr>
                <w:rFonts w:ascii="Times New Roman" w:hAnsi="Times New Roman" w:cs="Times New Roman"/>
                <w:sz w:val="24"/>
                <w:szCs w:val="24"/>
              </w:rPr>
              <w:t xml:space="preserve">daļā noteikts, ka pēc </w:t>
            </w:r>
            <w:r w:rsidR="001437E8" w:rsidRPr="00235AD3">
              <w:rPr>
                <w:rFonts w:ascii="Times New Roman" w:hAnsi="Times New Roman" w:cs="Times New Roman"/>
                <w:sz w:val="24"/>
                <w:szCs w:val="24"/>
              </w:rPr>
              <w:t xml:space="preserve">akcīzes </w:t>
            </w:r>
            <w:r w:rsidRPr="00235AD3">
              <w:rPr>
                <w:rFonts w:ascii="Times New Roman" w:hAnsi="Times New Roman" w:cs="Times New Roman"/>
                <w:sz w:val="24"/>
                <w:szCs w:val="24"/>
              </w:rPr>
              <w:t xml:space="preserve">nodokļa maksātāja iesnieguma par atdotajām akcīzes nodokļa markām samaksāto nodokli atmaksā 30 dienu laikā pēc </w:t>
            </w:r>
            <w:r w:rsidR="001437E8" w:rsidRPr="00235AD3">
              <w:rPr>
                <w:rFonts w:ascii="Times New Roman" w:hAnsi="Times New Roman" w:cs="Times New Roman"/>
                <w:sz w:val="24"/>
                <w:szCs w:val="24"/>
              </w:rPr>
              <w:t xml:space="preserve">akcīzes nodokļa </w:t>
            </w:r>
            <w:r w:rsidRPr="00235AD3">
              <w:rPr>
                <w:rFonts w:ascii="Times New Roman" w:hAnsi="Times New Roman" w:cs="Times New Roman"/>
                <w:sz w:val="24"/>
                <w:szCs w:val="24"/>
              </w:rPr>
              <w:t>marku iegādes un iznīcināšanas izdevumu segšanas.</w:t>
            </w:r>
          </w:p>
          <w:p w14:paraId="49026B2D" w14:textId="74B06F32" w:rsidR="00BC6FF4" w:rsidRPr="00235AD3" w:rsidRDefault="00BC6FF4"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 xml:space="preserve">Iesniegumu par </w:t>
            </w:r>
            <w:r w:rsidR="001437E8" w:rsidRPr="00235AD3">
              <w:rPr>
                <w:rFonts w:ascii="Times New Roman" w:hAnsi="Times New Roman" w:cs="Times New Roman"/>
                <w:sz w:val="24"/>
                <w:szCs w:val="24"/>
              </w:rPr>
              <w:t xml:space="preserve">akcīzes </w:t>
            </w:r>
            <w:r w:rsidRPr="00235AD3">
              <w:rPr>
                <w:rFonts w:ascii="Times New Roman" w:hAnsi="Times New Roman" w:cs="Times New Roman"/>
                <w:sz w:val="24"/>
                <w:szCs w:val="24"/>
              </w:rPr>
              <w:t xml:space="preserve">nodokļa atmaksu nodokļa maksātājs iesniedz vienlaicīgi ar atdotajām akcīzes nodokļa markām. Lai varētu atmaksāt </w:t>
            </w:r>
            <w:r w:rsidR="001437E8" w:rsidRPr="00235AD3">
              <w:rPr>
                <w:rFonts w:ascii="Times New Roman" w:hAnsi="Times New Roman" w:cs="Times New Roman"/>
                <w:sz w:val="24"/>
                <w:szCs w:val="24"/>
              </w:rPr>
              <w:t xml:space="preserve">akcīzes </w:t>
            </w:r>
            <w:r w:rsidRPr="00235AD3">
              <w:rPr>
                <w:rFonts w:ascii="Times New Roman" w:hAnsi="Times New Roman" w:cs="Times New Roman"/>
                <w:sz w:val="24"/>
                <w:szCs w:val="24"/>
              </w:rPr>
              <w:t xml:space="preserve">nodokli, Valsts ieņēmumu dienestam ir jāidentificē atdotās </w:t>
            </w:r>
            <w:r w:rsidR="001437E8" w:rsidRPr="00235AD3">
              <w:rPr>
                <w:rFonts w:ascii="Times New Roman" w:hAnsi="Times New Roman" w:cs="Times New Roman"/>
                <w:sz w:val="24"/>
                <w:szCs w:val="24"/>
              </w:rPr>
              <w:t xml:space="preserve">akcīzes </w:t>
            </w:r>
            <w:r w:rsidRPr="00235AD3">
              <w:rPr>
                <w:rFonts w:ascii="Times New Roman" w:hAnsi="Times New Roman" w:cs="Times New Roman"/>
                <w:sz w:val="24"/>
                <w:szCs w:val="24"/>
              </w:rPr>
              <w:t>nodokļa markas. Ministru kabineta 2015.</w:t>
            </w:r>
            <w:r w:rsidR="00F57F59" w:rsidRPr="00235AD3">
              <w:rPr>
                <w:rFonts w:ascii="Times New Roman" w:hAnsi="Times New Roman" w:cs="Times New Roman"/>
                <w:sz w:val="24"/>
                <w:szCs w:val="24"/>
              </w:rPr>
              <w:t> </w:t>
            </w:r>
            <w:r w:rsidRPr="00235AD3">
              <w:rPr>
                <w:rFonts w:ascii="Times New Roman" w:hAnsi="Times New Roman" w:cs="Times New Roman"/>
                <w:sz w:val="24"/>
                <w:szCs w:val="24"/>
              </w:rPr>
              <w:t>gada 12.</w:t>
            </w:r>
            <w:r w:rsidR="00F57F59" w:rsidRPr="00235AD3">
              <w:rPr>
                <w:rFonts w:ascii="Times New Roman" w:hAnsi="Times New Roman" w:cs="Times New Roman"/>
                <w:sz w:val="24"/>
                <w:szCs w:val="24"/>
              </w:rPr>
              <w:t> </w:t>
            </w:r>
            <w:r w:rsidRPr="00235AD3">
              <w:rPr>
                <w:rFonts w:ascii="Times New Roman" w:hAnsi="Times New Roman" w:cs="Times New Roman"/>
                <w:sz w:val="24"/>
                <w:szCs w:val="24"/>
              </w:rPr>
              <w:t>maija noteikumu Nr.</w:t>
            </w:r>
            <w:r w:rsidR="00F57F59" w:rsidRPr="00235AD3">
              <w:rPr>
                <w:rFonts w:ascii="Times New Roman" w:hAnsi="Times New Roman" w:cs="Times New Roman"/>
                <w:sz w:val="24"/>
                <w:szCs w:val="24"/>
              </w:rPr>
              <w:t> </w:t>
            </w:r>
            <w:r w:rsidRPr="00235AD3">
              <w:rPr>
                <w:rFonts w:ascii="Times New Roman" w:hAnsi="Times New Roman" w:cs="Times New Roman"/>
                <w:sz w:val="24"/>
                <w:szCs w:val="24"/>
              </w:rPr>
              <w:t>220 “Kārtība, kādā alkoholiskos dzērienus un tabakas izstrādājumus marķē ar akcīzes nodokļa markām” 27.</w:t>
            </w:r>
            <w:r w:rsidR="00F57F59" w:rsidRPr="00235AD3">
              <w:rPr>
                <w:rFonts w:ascii="Times New Roman" w:hAnsi="Times New Roman" w:cs="Times New Roman"/>
                <w:sz w:val="24"/>
                <w:szCs w:val="24"/>
              </w:rPr>
              <w:t> </w:t>
            </w:r>
            <w:r w:rsidRPr="00235AD3">
              <w:rPr>
                <w:rFonts w:ascii="Times New Roman" w:hAnsi="Times New Roman" w:cs="Times New Roman"/>
                <w:sz w:val="24"/>
                <w:szCs w:val="24"/>
              </w:rPr>
              <w:t>punkts nosaka, ka Valsts ieņēmumu dienests akcīzes nodokļa marku identificēšanu veic mēneša laikā pēc akcīzes nodokļa marku saņemšanas.</w:t>
            </w:r>
          </w:p>
          <w:p w14:paraId="7CD66F51" w14:textId="0B407E10" w:rsidR="00BC6FF4" w:rsidRPr="00235AD3" w:rsidRDefault="00BC6FF4"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 xml:space="preserve">Pēc tam nodokļu maksātājam tiek nosūtīts rēķins par </w:t>
            </w:r>
            <w:r w:rsidR="001437E8" w:rsidRPr="00235AD3">
              <w:rPr>
                <w:rFonts w:ascii="Times New Roman" w:hAnsi="Times New Roman" w:cs="Times New Roman"/>
                <w:sz w:val="24"/>
                <w:szCs w:val="24"/>
              </w:rPr>
              <w:t xml:space="preserve">akcīzes nodokļu </w:t>
            </w:r>
            <w:r w:rsidRPr="00235AD3">
              <w:rPr>
                <w:rFonts w:ascii="Times New Roman" w:hAnsi="Times New Roman" w:cs="Times New Roman"/>
                <w:sz w:val="24"/>
                <w:szCs w:val="24"/>
              </w:rPr>
              <w:t>marku iegādes un iznīcināšanas izdevumu segšanu. Attiecīgi, atbilstoši pa</w:t>
            </w:r>
            <w:r w:rsidR="00CA1EAB" w:rsidRPr="00235AD3">
              <w:rPr>
                <w:rFonts w:ascii="Times New Roman" w:hAnsi="Times New Roman" w:cs="Times New Roman"/>
                <w:sz w:val="24"/>
                <w:szCs w:val="24"/>
              </w:rPr>
              <w:t>š</w:t>
            </w:r>
            <w:r w:rsidRPr="00235AD3">
              <w:rPr>
                <w:rFonts w:ascii="Times New Roman" w:hAnsi="Times New Roman" w:cs="Times New Roman"/>
                <w:sz w:val="24"/>
                <w:szCs w:val="24"/>
              </w:rPr>
              <w:t xml:space="preserve">reizējai likuma redakcijai, </w:t>
            </w:r>
            <w:r w:rsidR="001437E8" w:rsidRPr="00235AD3">
              <w:rPr>
                <w:rFonts w:ascii="Times New Roman" w:hAnsi="Times New Roman" w:cs="Times New Roman"/>
                <w:sz w:val="24"/>
                <w:szCs w:val="24"/>
              </w:rPr>
              <w:t xml:space="preserve">akcīzes </w:t>
            </w:r>
            <w:r w:rsidRPr="00235AD3">
              <w:rPr>
                <w:rFonts w:ascii="Times New Roman" w:hAnsi="Times New Roman" w:cs="Times New Roman"/>
                <w:sz w:val="24"/>
                <w:szCs w:val="24"/>
              </w:rPr>
              <w:t>nodokli atmaksā pēc marku iegādes un iznīcināšanas izdevumu segšanas. Tātad, V</w:t>
            </w:r>
            <w:r w:rsidR="00F204BD" w:rsidRPr="00235AD3">
              <w:rPr>
                <w:rFonts w:ascii="Times New Roman" w:hAnsi="Times New Roman" w:cs="Times New Roman"/>
                <w:sz w:val="24"/>
                <w:szCs w:val="24"/>
              </w:rPr>
              <w:t>alsts ieņēmumu dienestam</w:t>
            </w:r>
            <w:r w:rsidRPr="00235AD3">
              <w:rPr>
                <w:rFonts w:ascii="Times New Roman" w:hAnsi="Times New Roman" w:cs="Times New Roman"/>
                <w:sz w:val="24"/>
                <w:szCs w:val="24"/>
              </w:rPr>
              <w:t xml:space="preserve"> ir jāgaida, kad tiks segti minētie izdevumi un </w:t>
            </w:r>
            <w:r w:rsidR="00F204BD" w:rsidRPr="00235AD3">
              <w:rPr>
                <w:rFonts w:ascii="Times New Roman" w:hAnsi="Times New Roman" w:cs="Times New Roman"/>
                <w:sz w:val="24"/>
                <w:szCs w:val="24"/>
              </w:rPr>
              <w:t xml:space="preserve">Valsts ieņēmumu dienestam </w:t>
            </w:r>
            <w:r w:rsidRPr="00235AD3">
              <w:rPr>
                <w:rFonts w:ascii="Times New Roman" w:hAnsi="Times New Roman" w:cs="Times New Roman"/>
                <w:sz w:val="24"/>
                <w:szCs w:val="24"/>
              </w:rPr>
              <w:t>nav tiesību pabeigt administratīvo procesu ar atteikumu atmaksāt nodokli, ja marku iegādes un iznīcināšanas izdevumi netiek ilgstoši segti.</w:t>
            </w:r>
          </w:p>
          <w:p w14:paraId="5F147F5E" w14:textId="12852C5A" w:rsidR="00BC6FF4" w:rsidRPr="00235AD3" w:rsidRDefault="00BC6FF4"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 xml:space="preserve">Lai padarītu skaidru un vienkāršu akcīzes nodokļa par atdotajām nodokļa markām atmaksas kārtību, likumā ir </w:t>
            </w:r>
            <w:r w:rsidRPr="00235AD3">
              <w:rPr>
                <w:rFonts w:ascii="Times New Roman" w:hAnsi="Times New Roman" w:cs="Times New Roman"/>
                <w:sz w:val="24"/>
                <w:szCs w:val="24"/>
              </w:rPr>
              <w:lastRenderedPageBreak/>
              <w:t>skaidri jāpasaka, ka</w:t>
            </w:r>
            <w:r w:rsidR="001437E8" w:rsidRPr="00235AD3">
              <w:rPr>
                <w:rFonts w:ascii="Times New Roman" w:hAnsi="Times New Roman" w:cs="Times New Roman"/>
                <w:sz w:val="24"/>
                <w:szCs w:val="24"/>
              </w:rPr>
              <w:t xml:space="preserve"> akcīzes </w:t>
            </w:r>
            <w:r w:rsidRPr="00235AD3">
              <w:rPr>
                <w:rFonts w:ascii="Times New Roman" w:hAnsi="Times New Roman" w:cs="Times New Roman"/>
                <w:sz w:val="24"/>
                <w:szCs w:val="24"/>
              </w:rPr>
              <w:t xml:space="preserve">nodokli atmaksā 30 dienu laikā pēc </w:t>
            </w:r>
            <w:r w:rsidR="001437E8" w:rsidRPr="00235AD3">
              <w:rPr>
                <w:rFonts w:ascii="Times New Roman" w:hAnsi="Times New Roman" w:cs="Times New Roman"/>
                <w:sz w:val="24"/>
                <w:szCs w:val="24"/>
              </w:rPr>
              <w:t xml:space="preserve">akcīzes </w:t>
            </w:r>
            <w:r w:rsidRPr="00235AD3">
              <w:rPr>
                <w:rFonts w:ascii="Times New Roman" w:hAnsi="Times New Roman" w:cs="Times New Roman"/>
                <w:sz w:val="24"/>
                <w:szCs w:val="24"/>
              </w:rPr>
              <w:t xml:space="preserve">nodokļa marku identificēšanas, kā arī, ka </w:t>
            </w:r>
            <w:r w:rsidR="001437E8" w:rsidRPr="00235AD3">
              <w:rPr>
                <w:rFonts w:ascii="Times New Roman" w:hAnsi="Times New Roman" w:cs="Times New Roman"/>
                <w:sz w:val="24"/>
                <w:szCs w:val="24"/>
              </w:rPr>
              <w:t xml:space="preserve">akcīzes </w:t>
            </w:r>
            <w:r w:rsidRPr="00235AD3">
              <w:rPr>
                <w:rFonts w:ascii="Times New Roman" w:hAnsi="Times New Roman" w:cs="Times New Roman"/>
                <w:sz w:val="24"/>
                <w:szCs w:val="24"/>
              </w:rPr>
              <w:t xml:space="preserve">nodokli neatmaksā, ja </w:t>
            </w:r>
            <w:r w:rsidR="001437E8" w:rsidRPr="00235AD3">
              <w:rPr>
                <w:rFonts w:ascii="Times New Roman" w:hAnsi="Times New Roman" w:cs="Times New Roman"/>
                <w:sz w:val="24"/>
                <w:szCs w:val="24"/>
              </w:rPr>
              <w:t xml:space="preserve">akcīzes </w:t>
            </w:r>
            <w:r w:rsidRPr="00235AD3">
              <w:rPr>
                <w:rFonts w:ascii="Times New Roman" w:hAnsi="Times New Roman" w:cs="Times New Roman"/>
                <w:sz w:val="24"/>
                <w:szCs w:val="24"/>
              </w:rPr>
              <w:t xml:space="preserve">nodokļa maksātājs nesedz marku iegādes un iznīcināšanas izdevumus. Tādējādi, ja 30 dienu laikā pēc marku identificēšanas </w:t>
            </w:r>
            <w:r w:rsidR="001437E8" w:rsidRPr="00235AD3">
              <w:rPr>
                <w:rFonts w:ascii="Times New Roman" w:hAnsi="Times New Roman" w:cs="Times New Roman"/>
                <w:sz w:val="24"/>
                <w:szCs w:val="24"/>
              </w:rPr>
              <w:t xml:space="preserve">akcīzes </w:t>
            </w:r>
            <w:r w:rsidRPr="00235AD3">
              <w:rPr>
                <w:rFonts w:ascii="Times New Roman" w:hAnsi="Times New Roman" w:cs="Times New Roman"/>
                <w:sz w:val="24"/>
                <w:szCs w:val="24"/>
              </w:rPr>
              <w:t xml:space="preserve">nodokļa maksātājs nebūs sedzis </w:t>
            </w:r>
            <w:r w:rsidR="001437E8" w:rsidRPr="00235AD3">
              <w:rPr>
                <w:rFonts w:ascii="Times New Roman" w:hAnsi="Times New Roman" w:cs="Times New Roman"/>
                <w:sz w:val="24"/>
                <w:szCs w:val="24"/>
              </w:rPr>
              <w:t xml:space="preserve">akcīzes nodokļa </w:t>
            </w:r>
            <w:r w:rsidRPr="00235AD3">
              <w:rPr>
                <w:rFonts w:ascii="Times New Roman" w:hAnsi="Times New Roman" w:cs="Times New Roman"/>
                <w:sz w:val="24"/>
                <w:szCs w:val="24"/>
              </w:rPr>
              <w:t xml:space="preserve">marku iegādes izdevumus, </w:t>
            </w:r>
            <w:r w:rsidR="00E7303A" w:rsidRPr="00235AD3">
              <w:rPr>
                <w:rFonts w:ascii="Times New Roman" w:hAnsi="Times New Roman" w:cs="Times New Roman"/>
                <w:sz w:val="24"/>
                <w:szCs w:val="24"/>
              </w:rPr>
              <w:t xml:space="preserve">akcīzes </w:t>
            </w:r>
            <w:r w:rsidRPr="00235AD3">
              <w:rPr>
                <w:rFonts w:ascii="Times New Roman" w:hAnsi="Times New Roman" w:cs="Times New Roman"/>
                <w:sz w:val="24"/>
                <w:szCs w:val="24"/>
              </w:rPr>
              <w:t>nodokļa atmaksa tiks atteikta.</w:t>
            </w:r>
          </w:p>
          <w:p w14:paraId="7C15C543" w14:textId="528950AE" w:rsidR="001D551C" w:rsidRPr="00235AD3" w:rsidRDefault="00862AED" w:rsidP="007D4E4E">
            <w:pPr>
              <w:tabs>
                <w:tab w:val="left" w:pos="250"/>
              </w:tabs>
              <w:spacing w:after="0" w:line="240" w:lineRule="auto"/>
              <w:ind w:left="117" w:firstLine="275"/>
              <w:jc w:val="both"/>
              <w:rPr>
                <w:rFonts w:ascii="Times New Roman" w:hAnsi="Times New Roman" w:cs="Times New Roman"/>
                <w:sz w:val="24"/>
                <w:szCs w:val="24"/>
              </w:rPr>
            </w:pPr>
            <w:r w:rsidRPr="00235AD3">
              <w:rPr>
                <w:rFonts w:ascii="Times New Roman" w:hAnsi="Times New Roman" w:cs="Times New Roman"/>
                <w:sz w:val="24"/>
                <w:szCs w:val="24"/>
              </w:rPr>
              <w:t xml:space="preserve">Attiecīgi ir jāprecizē </w:t>
            </w:r>
            <w:r w:rsidR="00EE16BD" w:rsidRPr="00235AD3">
              <w:rPr>
                <w:rFonts w:ascii="Times New Roman" w:hAnsi="Times New Roman" w:cs="Times New Roman"/>
                <w:sz w:val="24"/>
                <w:szCs w:val="24"/>
              </w:rPr>
              <w:t xml:space="preserve">arī </w:t>
            </w:r>
            <w:r w:rsidR="00403706" w:rsidRPr="00235AD3">
              <w:rPr>
                <w:rFonts w:ascii="Times New Roman" w:hAnsi="Times New Roman" w:cs="Times New Roman"/>
                <w:sz w:val="24"/>
                <w:szCs w:val="24"/>
              </w:rPr>
              <w:t>likuma 27.</w:t>
            </w:r>
            <w:r w:rsidR="00F57F59" w:rsidRPr="00235AD3">
              <w:rPr>
                <w:rFonts w:ascii="Times New Roman" w:hAnsi="Times New Roman" w:cs="Times New Roman"/>
                <w:sz w:val="24"/>
                <w:szCs w:val="24"/>
              </w:rPr>
              <w:t> </w:t>
            </w:r>
            <w:r w:rsidR="00403706" w:rsidRPr="00235AD3">
              <w:rPr>
                <w:rFonts w:ascii="Times New Roman" w:hAnsi="Times New Roman" w:cs="Times New Roman"/>
                <w:sz w:val="24"/>
                <w:szCs w:val="24"/>
              </w:rPr>
              <w:t>panta divpadsmit</w:t>
            </w:r>
            <w:r w:rsidRPr="00235AD3">
              <w:rPr>
                <w:rFonts w:ascii="Times New Roman" w:hAnsi="Times New Roman" w:cs="Times New Roman"/>
                <w:sz w:val="24"/>
                <w:szCs w:val="24"/>
              </w:rPr>
              <w:t>ā un 12.</w:t>
            </w:r>
            <w:r w:rsidRPr="00235AD3">
              <w:rPr>
                <w:rFonts w:ascii="Times New Roman" w:hAnsi="Times New Roman" w:cs="Times New Roman"/>
                <w:sz w:val="24"/>
                <w:szCs w:val="24"/>
                <w:vertAlign w:val="superscript"/>
              </w:rPr>
              <w:t>1 </w:t>
            </w:r>
            <w:r w:rsidR="00403706" w:rsidRPr="00235AD3">
              <w:rPr>
                <w:rFonts w:ascii="Times New Roman" w:hAnsi="Times New Roman" w:cs="Times New Roman"/>
                <w:sz w:val="24"/>
                <w:szCs w:val="24"/>
              </w:rPr>
              <w:t>daļ</w:t>
            </w:r>
            <w:r w:rsidRPr="00235AD3">
              <w:rPr>
                <w:rFonts w:ascii="Times New Roman" w:hAnsi="Times New Roman" w:cs="Times New Roman"/>
                <w:sz w:val="24"/>
                <w:szCs w:val="24"/>
              </w:rPr>
              <w:t>a</w:t>
            </w:r>
            <w:r w:rsidR="00E959AE" w:rsidRPr="00235AD3">
              <w:rPr>
                <w:rFonts w:ascii="Times New Roman" w:hAnsi="Times New Roman" w:cs="Times New Roman"/>
                <w:sz w:val="24"/>
                <w:szCs w:val="24"/>
              </w:rPr>
              <w:t>, kā arī likuma 27.</w:t>
            </w:r>
            <w:r w:rsidR="00F57F59" w:rsidRPr="00235AD3">
              <w:rPr>
                <w:rFonts w:ascii="Times New Roman" w:hAnsi="Times New Roman" w:cs="Times New Roman"/>
                <w:sz w:val="24"/>
                <w:szCs w:val="24"/>
              </w:rPr>
              <w:t> </w:t>
            </w:r>
            <w:r w:rsidR="00E959AE" w:rsidRPr="00235AD3">
              <w:rPr>
                <w:rFonts w:ascii="Times New Roman" w:hAnsi="Times New Roman" w:cs="Times New Roman"/>
                <w:sz w:val="24"/>
                <w:szCs w:val="24"/>
              </w:rPr>
              <w:t>pants ir jāpapildina ar 12.</w:t>
            </w:r>
            <w:r w:rsidR="00E959AE" w:rsidRPr="00235AD3">
              <w:rPr>
                <w:rFonts w:ascii="Times New Roman" w:hAnsi="Times New Roman" w:cs="Times New Roman"/>
                <w:sz w:val="24"/>
                <w:szCs w:val="24"/>
                <w:vertAlign w:val="superscript"/>
              </w:rPr>
              <w:t>2</w:t>
            </w:r>
            <w:r w:rsidR="00F57F59" w:rsidRPr="00235AD3">
              <w:rPr>
                <w:rFonts w:ascii="Times New Roman" w:hAnsi="Times New Roman" w:cs="Times New Roman"/>
                <w:sz w:val="24"/>
                <w:szCs w:val="24"/>
                <w:vertAlign w:val="superscript"/>
              </w:rPr>
              <w:t> </w:t>
            </w:r>
            <w:r w:rsidR="00E959AE" w:rsidRPr="00235AD3">
              <w:rPr>
                <w:rFonts w:ascii="Times New Roman" w:hAnsi="Times New Roman" w:cs="Times New Roman"/>
                <w:sz w:val="24"/>
                <w:szCs w:val="24"/>
              </w:rPr>
              <w:t>daļu, kas paredz, ka</w:t>
            </w:r>
            <w:r w:rsidR="008035FB" w:rsidRPr="00235AD3">
              <w:rPr>
                <w:rFonts w:ascii="Times New Roman" w:hAnsi="Times New Roman" w:cs="Times New Roman"/>
                <w:sz w:val="24"/>
                <w:szCs w:val="24"/>
              </w:rPr>
              <w:t xml:space="preserve"> šā panta</w:t>
            </w:r>
            <w:r w:rsidR="00E959AE" w:rsidRPr="00235AD3">
              <w:rPr>
                <w:rFonts w:ascii="Times New Roman" w:hAnsi="Times New Roman" w:cs="Times New Roman"/>
                <w:sz w:val="24"/>
                <w:szCs w:val="24"/>
              </w:rPr>
              <w:t xml:space="preserve"> </w:t>
            </w:r>
            <w:r w:rsidR="008B461F" w:rsidRPr="00235AD3">
              <w:rPr>
                <w:rFonts w:ascii="Times New Roman" w:hAnsi="Times New Roman" w:cs="Times New Roman"/>
                <w:sz w:val="24"/>
                <w:szCs w:val="24"/>
              </w:rPr>
              <w:t>divpadsmitajā</w:t>
            </w:r>
            <w:r w:rsidR="008035FB" w:rsidRPr="00235AD3">
              <w:rPr>
                <w:rFonts w:ascii="Times New Roman" w:hAnsi="Times New Roman" w:cs="Times New Roman"/>
                <w:sz w:val="24"/>
                <w:szCs w:val="24"/>
              </w:rPr>
              <w:t xml:space="preserve"> un 12.</w:t>
            </w:r>
            <w:r w:rsidR="008035FB" w:rsidRPr="00235AD3">
              <w:rPr>
                <w:rFonts w:ascii="Times New Roman" w:hAnsi="Times New Roman" w:cs="Times New Roman"/>
                <w:sz w:val="24"/>
                <w:szCs w:val="24"/>
                <w:vertAlign w:val="superscript"/>
              </w:rPr>
              <w:t>1</w:t>
            </w:r>
            <w:r w:rsidR="008B461F" w:rsidRPr="00235AD3">
              <w:rPr>
                <w:rFonts w:ascii="Times New Roman" w:hAnsi="Times New Roman" w:cs="Times New Roman"/>
                <w:sz w:val="24"/>
                <w:szCs w:val="24"/>
                <w:vertAlign w:val="superscript"/>
              </w:rPr>
              <w:t> </w:t>
            </w:r>
            <w:r w:rsidR="008035FB" w:rsidRPr="00235AD3">
              <w:rPr>
                <w:rFonts w:ascii="Times New Roman" w:hAnsi="Times New Roman" w:cs="Times New Roman"/>
                <w:sz w:val="24"/>
                <w:szCs w:val="24"/>
              </w:rPr>
              <w:t>daļā noteiktajos gadījumos akcīzes nodokli neatmaksā, nepārskaita turpmākajiem akcīzes nodokļa maksājumiem vai nodokļu parāda segšanai, ja akcīzes nodokļa maksātājs nav sedzis šā panta astotajā un devītajā daļā minētos izdevumus</w:t>
            </w:r>
            <w:r w:rsidR="00674BC9" w:rsidRPr="00235AD3">
              <w:rPr>
                <w:rFonts w:ascii="Times New Roman" w:hAnsi="Times New Roman" w:cs="Times New Roman"/>
                <w:sz w:val="24"/>
                <w:szCs w:val="24"/>
              </w:rPr>
              <w:t>.</w:t>
            </w:r>
            <w:r w:rsidR="00A065EE" w:rsidRPr="00235AD3">
              <w:rPr>
                <w:rFonts w:ascii="Times New Roman" w:hAnsi="Times New Roman" w:cs="Times New Roman"/>
                <w:sz w:val="24"/>
                <w:szCs w:val="24"/>
              </w:rPr>
              <w:t xml:space="preserve"> </w:t>
            </w:r>
          </w:p>
          <w:p w14:paraId="19050710" w14:textId="26EC2E6B" w:rsidR="00E6419A" w:rsidRPr="00235AD3" w:rsidRDefault="00E6419A" w:rsidP="007D4E4E">
            <w:pPr>
              <w:tabs>
                <w:tab w:val="left" w:pos="250"/>
              </w:tabs>
              <w:spacing w:after="0" w:line="240" w:lineRule="auto"/>
              <w:ind w:left="117" w:firstLine="275"/>
              <w:jc w:val="both"/>
              <w:rPr>
                <w:rFonts w:ascii="Times New Roman" w:hAnsi="Times New Roman" w:cs="Times New Roman"/>
                <w:sz w:val="24"/>
                <w:szCs w:val="24"/>
              </w:rPr>
            </w:pPr>
          </w:p>
          <w:p w14:paraId="4E6CCD4D" w14:textId="77777777" w:rsidR="00153132" w:rsidRPr="00207BD3" w:rsidRDefault="003D7756" w:rsidP="00153132">
            <w:pPr>
              <w:pStyle w:val="ListParagraph"/>
              <w:numPr>
                <w:ilvl w:val="0"/>
                <w:numId w:val="22"/>
              </w:numPr>
              <w:tabs>
                <w:tab w:val="left" w:pos="250"/>
              </w:tabs>
              <w:ind w:left="117" w:firstLine="275"/>
              <w:jc w:val="both"/>
            </w:pPr>
            <w:r w:rsidRPr="00235AD3">
              <w:t xml:space="preserve"> </w:t>
            </w:r>
            <w:r w:rsidR="00153132" w:rsidRPr="00207BD3">
              <w:t>Pašlaik likuma 27.panta trešajā daļā ir noteikts, ka ar akcīzes nodokļa markām nemarķē alkoholiskos dzērienus un tabakas izstrādājumus, kurus uzglabā, pārvieto vai realizē vai piegādā, piemērojot atlikto nodokļa maksāšanu, kurus fiziskā persona saņem personīgam patēriņam no valstīm, kas nav dalībvalsts un kurus fiziskā persona ieved personīgajā bagāžā un kuru daudzums pārsniedz likuma 21.pantā noteikto vai kurus fiziskā persona saskaņā ar šā likuma 26.pantu ieved vai saņem personīgam patēriņam no citas dalībvalsts. Ar 2021.gada 1.juliju paredzēts marķēt ar akcīzes nodokļa markām elektroniskajās smēķēšanas ierīcēs izmantojamo šķidrumu, elektroniskajās smēķēšanas ierīcēs izmantojamā šķidruma sagatavošanas sastāvdaļas un tabakas aizstājējproduktus. Līdz ar to līdzīgus nosacījumus par nemarķēšanu ar akcīzes nodokļa markām ir nepieciešams noteikt attiecībā uz elektroniskajās smēķēšanas ierīcēs izmantojamo šķidrumu, elektroniskajās smēķēšanas ierīcēs izmantojamā šķidruma sagatavošanas sastāvdaļām un tabakas aizstājējproduktiem likumā 27.panta trešajā daļā.</w:t>
            </w:r>
          </w:p>
          <w:p w14:paraId="6FB21C44" w14:textId="77777777" w:rsidR="00C04A6B" w:rsidRPr="00235AD3" w:rsidRDefault="00C04A6B" w:rsidP="007D4E4E">
            <w:pPr>
              <w:tabs>
                <w:tab w:val="left" w:pos="250"/>
              </w:tabs>
              <w:spacing w:after="0" w:line="240" w:lineRule="auto"/>
              <w:ind w:left="117" w:firstLine="275"/>
              <w:jc w:val="both"/>
              <w:rPr>
                <w:rFonts w:ascii="Times New Roman" w:hAnsi="Times New Roman" w:cs="Times New Roman"/>
                <w:sz w:val="24"/>
                <w:szCs w:val="24"/>
              </w:rPr>
            </w:pPr>
          </w:p>
          <w:p w14:paraId="47F6407C" w14:textId="0F0A7E82" w:rsidR="00C3037C" w:rsidRPr="00235AD3" w:rsidRDefault="00E14605" w:rsidP="00E14605">
            <w:pPr>
              <w:pStyle w:val="ListParagraph"/>
              <w:numPr>
                <w:ilvl w:val="0"/>
                <w:numId w:val="22"/>
              </w:numPr>
              <w:tabs>
                <w:tab w:val="left" w:pos="250"/>
              </w:tabs>
              <w:ind w:left="117" w:firstLine="275"/>
              <w:jc w:val="both"/>
            </w:pPr>
            <w:r w:rsidRPr="00235AD3">
              <w:t xml:space="preserve"> </w:t>
            </w:r>
            <w:r w:rsidR="0086660D" w:rsidRPr="00235AD3">
              <w:t>P</w:t>
            </w:r>
            <w:r w:rsidR="00C04A6B" w:rsidRPr="00235AD3">
              <w:t>aredzēts, ka likumprojektā ietvertās normas stājas spēkā 2021.</w:t>
            </w:r>
            <w:r w:rsidR="00F57F59" w:rsidRPr="00235AD3">
              <w:t> </w:t>
            </w:r>
            <w:r w:rsidR="00C04A6B" w:rsidRPr="00235AD3">
              <w:t>gada 1.</w:t>
            </w:r>
            <w:r w:rsidR="00F57F59" w:rsidRPr="00235AD3">
              <w:t> </w:t>
            </w:r>
            <w:r w:rsidR="00C04A6B" w:rsidRPr="00235AD3">
              <w:t>jūlijā</w:t>
            </w:r>
            <w:r w:rsidR="0086660D" w:rsidRPr="00235AD3">
              <w:t xml:space="preserve">. </w:t>
            </w:r>
            <w:r w:rsidR="00CC4C50" w:rsidRPr="00235AD3">
              <w:t>Nepieciešams noteikt konkrēt</w:t>
            </w:r>
            <w:r w:rsidR="005B0F23" w:rsidRPr="00235AD3">
              <w:t xml:space="preserve">u spēkā stāšanās </w:t>
            </w:r>
            <w:r w:rsidR="00CC4C50" w:rsidRPr="00235AD3">
              <w:t>datumu</w:t>
            </w:r>
            <w:r w:rsidR="005B0F23" w:rsidRPr="00235AD3">
              <w:t xml:space="preserve"> likumprojektā ietvertām normām</w:t>
            </w:r>
            <w:r w:rsidR="00CC4C50" w:rsidRPr="00235AD3">
              <w:t xml:space="preserve">, jo </w:t>
            </w:r>
            <w:r w:rsidR="005B0F23" w:rsidRPr="00235AD3">
              <w:t>tās ir</w:t>
            </w:r>
            <w:r w:rsidR="00CC4C50" w:rsidRPr="00235AD3">
              <w:t xml:space="preserve"> saistītas ar akcīzes nodokļa taksācijas periodu, kas atbilstoši likuma 23.</w:t>
            </w:r>
            <w:r w:rsidR="00F57F59" w:rsidRPr="00235AD3">
              <w:t> </w:t>
            </w:r>
            <w:r w:rsidR="00CC4C50" w:rsidRPr="00235AD3">
              <w:t>panta pirmajai daļai apstiprinātam noliktavas turētājam un reģistrētam saņēmējam ir viens kalendāra mēnesi, kā arī ir nepieciešams veikt atbilstošas izmaiņas Valsts ieņēmumu dienesta inform</w:t>
            </w:r>
            <w:r w:rsidR="0095287D" w:rsidRPr="00235AD3">
              <w:t>ācijas</w:t>
            </w:r>
            <w:r w:rsidR="00CC4C50" w:rsidRPr="00235AD3">
              <w:t xml:space="preserve"> sistēmās.</w:t>
            </w:r>
          </w:p>
          <w:p w14:paraId="29DF1C34" w14:textId="77777777" w:rsidR="00587B1C" w:rsidRPr="00235AD3" w:rsidRDefault="00587B1C" w:rsidP="00587B1C">
            <w:pPr>
              <w:pStyle w:val="ListParagraph"/>
            </w:pPr>
          </w:p>
          <w:p w14:paraId="4989E987" w14:textId="6EE2985A" w:rsidR="00D2401A" w:rsidRPr="00235AD3" w:rsidRDefault="00587B1C" w:rsidP="00540601">
            <w:pPr>
              <w:pStyle w:val="ListParagraph"/>
              <w:numPr>
                <w:ilvl w:val="0"/>
                <w:numId w:val="22"/>
              </w:numPr>
              <w:tabs>
                <w:tab w:val="left" w:pos="250"/>
              </w:tabs>
              <w:ind w:left="106" w:firstLine="142"/>
              <w:jc w:val="both"/>
            </w:pPr>
            <w:r w:rsidRPr="00235AD3">
              <w:lastRenderedPageBreak/>
              <w:t xml:space="preserve">Pašlaik saskaņā ar likumā noteikto, personām, kas veic komercdarbību ar tabakas izstrādājumiem ir jāveic inventarizācija par uzskaitē esošajiem minētajiem produktiem, kas ir laisti brīvam apgrozījumam vai nodoti patēriņam pēc stāvokļa noteiktajā datumā, kad notiek akcīzes nodokļa likmju maiņa. Tādējādi nepieciešams likumā noteikt līdzīgus nosacījumus arī elektroniskajās </w:t>
            </w:r>
            <w:r w:rsidR="00147621" w:rsidRPr="00235AD3">
              <w:t>smēķēšanas ierīcēs</w:t>
            </w:r>
            <w:r w:rsidRPr="00235AD3">
              <w:t xml:space="preserve"> izmantojamam šķidrumam, elektroniskajās </w:t>
            </w:r>
            <w:r w:rsidR="00147621" w:rsidRPr="00235AD3">
              <w:t>smēķēšanas ierīcēs</w:t>
            </w:r>
            <w:r w:rsidRPr="00235AD3">
              <w:t xml:space="preserve"> izmantoj</w:t>
            </w:r>
            <w:r w:rsidR="00147621" w:rsidRPr="00235AD3">
              <w:t>amā šķidruma sagatavošanas sastā</w:t>
            </w:r>
            <w:r w:rsidRPr="00235AD3">
              <w:t xml:space="preserve">vdaļām un tabakas aizstājējproduktiem. Tas nozīmē, ka dienā, kad tiks paaugstināta akcīzes nodokļa likme elektroniskajās </w:t>
            </w:r>
            <w:r w:rsidR="00A27ABF" w:rsidRPr="00235AD3">
              <w:t>smēķēšanas ierīcēs</w:t>
            </w:r>
            <w:r w:rsidRPr="00235AD3">
              <w:t xml:space="preserve"> izmantojamam šķidrumam, elektroniskajās </w:t>
            </w:r>
            <w:r w:rsidR="00A27ABF" w:rsidRPr="00235AD3">
              <w:t>smēķēšanas ierīcēs</w:t>
            </w:r>
            <w:r w:rsidRPr="00235AD3">
              <w:t xml:space="preserve"> izmantojamā šķidruma sagatavošanas sast</w:t>
            </w:r>
            <w:r w:rsidR="00735A3C" w:rsidRPr="00235AD3">
              <w:t>ā</w:t>
            </w:r>
            <w:r w:rsidRPr="00235AD3">
              <w:t>vdaļām un tabakas aizstājējproduktiem, komersantiem būs jāveic inventarizācija par uzskaitē esošajiem minētajiem produktiem un jāaprēķina budžetā maksājamā akcīzes nodokļa starpības summa starp iepriekšējo un jauno akcīzes nodokļa likmi, kā arī jāiemaksā to valsts budžetā.</w:t>
            </w:r>
          </w:p>
        </w:tc>
      </w:tr>
      <w:tr w:rsidR="0038587F" w:rsidRPr="00235AD3" w14:paraId="662F5F2D" w14:textId="77777777" w:rsidTr="00BC6935">
        <w:tc>
          <w:tcPr>
            <w:tcW w:w="338" w:type="pct"/>
            <w:tcBorders>
              <w:top w:val="outset" w:sz="6" w:space="0" w:color="414142"/>
              <w:left w:val="outset" w:sz="6" w:space="0" w:color="414142"/>
              <w:bottom w:val="outset" w:sz="6" w:space="0" w:color="414142"/>
              <w:right w:val="outset" w:sz="6" w:space="0" w:color="414142"/>
            </w:tcBorders>
            <w:hideMark/>
          </w:tcPr>
          <w:p w14:paraId="42E29702" w14:textId="77777777" w:rsidR="0038587F" w:rsidRPr="00235AD3"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lastRenderedPageBreak/>
              <w:t>3.</w:t>
            </w:r>
          </w:p>
        </w:tc>
        <w:tc>
          <w:tcPr>
            <w:tcW w:w="1573" w:type="pct"/>
            <w:tcBorders>
              <w:top w:val="outset" w:sz="6" w:space="0" w:color="414142"/>
              <w:left w:val="outset" w:sz="6" w:space="0" w:color="414142"/>
              <w:bottom w:val="outset" w:sz="6" w:space="0" w:color="414142"/>
              <w:right w:val="outset" w:sz="6" w:space="0" w:color="414142"/>
            </w:tcBorders>
            <w:hideMark/>
          </w:tcPr>
          <w:p w14:paraId="09C806BD" w14:textId="77777777" w:rsidR="0038587F" w:rsidRPr="00235AD3" w:rsidRDefault="0038587F" w:rsidP="0038587F">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Projekta izstrādē iesaistītās institūcijas un publiskas personas kapitālsabiedrības</w:t>
            </w:r>
          </w:p>
        </w:tc>
        <w:tc>
          <w:tcPr>
            <w:tcW w:w="3088" w:type="pct"/>
            <w:tcBorders>
              <w:top w:val="outset" w:sz="6" w:space="0" w:color="414142"/>
              <w:left w:val="outset" w:sz="6" w:space="0" w:color="414142"/>
              <w:bottom w:val="outset" w:sz="6" w:space="0" w:color="414142"/>
              <w:right w:val="outset" w:sz="6" w:space="0" w:color="414142"/>
            </w:tcBorders>
            <w:hideMark/>
          </w:tcPr>
          <w:p w14:paraId="59B7406C" w14:textId="77777777" w:rsidR="0038587F" w:rsidRPr="00235AD3" w:rsidRDefault="005C5F58" w:rsidP="0095326C">
            <w:pPr>
              <w:pStyle w:val="CommentText"/>
              <w:jc w:val="both"/>
              <w:rPr>
                <w:sz w:val="24"/>
                <w:szCs w:val="24"/>
              </w:rPr>
            </w:pPr>
            <w:r w:rsidRPr="00235AD3">
              <w:rPr>
                <w:sz w:val="24"/>
                <w:szCs w:val="24"/>
              </w:rPr>
              <w:t>Finanšu ministrija</w:t>
            </w:r>
            <w:r w:rsidR="0095326C" w:rsidRPr="00235AD3">
              <w:rPr>
                <w:sz w:val="24"/>
                <w:szCs w:val="24"/>
              </w:rPr>
              <w:t xml:space="preserve"> </w:t>
            </w:r>
            <w:r w:rsidR="00314D44" w:rsidRPr="00235AD3">
              <w:rPr>
                <w:sz w:val="24"/>
                <w:szCs w:val="24"/>
              </w:rPr>
              <w:t xml:space="preserve">un </w:t>
            </w:r>
            <w:r w:rsidR="00DB24C6" w:rsidRPr="00235AD3">
              <w:rPr>
                <w:sz w:val="24"/>
                <w:szCs w:val="24"/>
              </w:rPr>
              <w:t>Valsts ieņēmumu dienests</w:t>
            </w:r>
            <w:r w:rsidR="0066605C" w:rsidRPr="00235AD3">
              <w:rPr>
                <w:sz w:val="24"/>
                <w:szCs w:val="24"/>
              </w:rPr>
              <w:t>.</w:t>
            </w:r>
          </w:p>
        </w:tc>
      </w:tr>
      <w:tr w:rsidR="00341B12" w:rsidRPr="00235AD3" w14:paraId="2A8DCA24" w14:textId="77777777" w:rsidTr="00BC6935">
        <w:tc>
          <w:tcPr>
            <w:tcW w:w="338" w:type="pct"/>
            <w:tcBorders>
              <w:top w:val="outset" w:sz="6" w:space="0" w:color="414142"/>
              <w:left w:val="outset" w:sz="6" w:space="0" w:color="414142"/>
              <w:bottom w:val="outset" w:sz="6" w:space="0" w:color="414142"/>
              <w:right w:val="outset" w:sz="6" w:space="0" w:color="414142"/>
            </w:tcBorders>
            <w:hideMark/>
          </w:tcPr>
          <w:p w14:paraId="4263296C" w14:textId="77777777" w:rsidR="0038587F" w:rsidRPr="00235AD3"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4.</w:t>
            </w:r>
          </w:p>
        </w:tc>
        <w:tc>
          <w:tcPr>
            <w:tcW w:w="1573" w:type="pct"/>
            <w:tcBorders>
              <w:top w:val="outset" w:sz="6" w:space="0" w:color="414142"/>
              <w:left w:val="outset" w:sz="6" w:space="0" w:color="414142"/>
              <w:bottom w:val="outset" w:sz="6" w:space="0" w:color="414142"/>
              <w:right w:val="outset" w:sz="6" w:space="0" w:color="414142"/>
            </w:tcBorders>
            <w:hideMark/>
          </w:tcPr>
          <w:p w14:paraId="7138F989" w14:textId="77777777" w:rsidR="0038587F" w:rsidRPr="00235AD3" w:rsidRDefault="0038587F" w:rsidP="0038587F">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Cita informācija</w:t>
            </w:r>
          </w:p>
        </w:tc>
        <w:tc>
          <w:tcPr>
            <w:tcW w:w="3088" w:type="pct"/>
            <w:tcBorders>
              <w:top w:val="outset" w:sz="6" w:space="0" w:color="414142"/>
              <w:left w:val="outset" w:sz="6" w:space="0" w:color="414142"/>
              <w:bottom w:val="outset" w:sz="6" w:space="0" w:color="414142"/>
              <w:right w:val="outset" w:sz="6" w:space="0" w:color="414142"/>
            </w:tcBorders>
            <w:hideMark/>
          </w:tcPr>
          <w:p w14:paraId="31C9ECCA" w14:textId="77777777" w:rsidR="0038587F" w:rsidRPr="00235AD3" w:rsidRDefault="00CE5C10" w:rsidP="00947ACC">
            <w:pPr>
              <w:pStyle w:val="CommentText"/>
              <w:ind w:firstLine="13"/>
              <w:jc w:val="both"/>
              <w:rPr>
                <w:sz w:val="24"/>
                <w:szCs w:val="24"/>
              </w:rPr>
            </w:pPr>
            <w:r w:rsidRPr="00235AD3">
              <w:rPr>
                <w:sz w:val="24"/>
                <w:szCs w:val="24"/>
              </w:rPr>
              <w:t>Nav.</w:t>
            </w:r>
          </w:p>
        </w:tc>
      </w:tr>
    </w:tbl>
    <w:p w14:paraId="1C9088DE" w14:textId="77777777" w:rsidR="00543AA6" w:rsidRPr="00235AD3" w:rsidRDefault="00543AA6" w:rsidP="00543AA6">
      <w:pPr>
        <w:spacing w:after="0" w:line="240" w:lineRule="auto"/>
        <w:rPr>
          <w:rFonts w:ascii="Times New Roman" w:eastAsia="Times New Roman" w:hAnsi="Times New Roman" w:cs="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3055"/>
        <w:gridCol w:w="5493"/>
      </w:tblGrid>
      <w:tr w:rsidR="00543AA6" w:rsidRPr="00235AD3" w14:paraId="6A3A9D7B" w14:textId="77777777"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FDF728E" w14:textId="77777777" w:rsidR="00543AA6" w:rsidRPr="00235AD3"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35AD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235AD3" w14:paraId="4D50F13D" w14:textId="77777777" w:rsidTr="000A2CD9">
        <w:tc>
          <w:tcPr>
            <w:tcW w:w="341" w:type="pct"/>
            <w:tcBorders>
              <w:top w:val="outset" w:sz="6" w:space="0" w:color="414142"/>
              <w:left w:val="outset" w:sz="6" w:space="0" w:color="414142"/>
              <w:bottom w:val="outset" w:sz="6" w:space="0" w:color="414142"/>
              <w:right w:val="single" w:sz="4" w:space="0" w:color="auto"/>
            </w:tcBorders>
            <w:hideMark/>
          </w:tcPr>
          <w:p w14:paraId="65B8671A" w14:textId="77777777" w:rsidR="00117DB1" w:rsidRPr="00235AD3"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235AD3">
              <w:rPr>
                <w:rFonts w:ascii="Times New Roman" w:eastAsia="Times New Roman" w:hAnsi="Times New Roman" w:cs="Times New Roman"/>
                <w:color w:val="414142"/>
                <w:sz w:val="24"/>
                <w:szCs w:val="24"/>
                <w:lang w:eastAsia="lv-LV"/>
              </w:rPr>
              <w:t>1.</w:t>
            </w:r>
          </w:p>
        </w:tc>
        <w:tc>
          <w:tcPr>
            <w:tcW w:w="1665" w:type="pct"/>
            <w:tcBorders>
              <w:top w:val="single" w:sz="4" w:space="0" w:color="auto"/>
              <w:left w:val="single" w:sz="4" w:space="0" w:color="auto"/>
              <w:bottom w:val="single" w:sz="4" w:space="0" w:color="auto"/>
              <w:right w:val="single" w:sz="4" w:space="0" w:color="auto"/>
            </w:tcBorders>
            <w:hideMark/>
          </w:tcPr>
          <w:p w14:paraId="6E582E1A" w14:textId="77777777" w:rsidR="00117DB1" w:rsidRPr="00235AD3" w:rsidRDefault="00117DB1" w:rsidP="00117DB1">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Sabiedrības mērķgrupas, kuras tiesiskais regulējums ietekmē vai varētu ietekmēt</w:t>
            </w:r>
          </w:p>
        </w:tc>
        <w:tc>
          <w:tcPr>
            <w:tcW w:w="2994" w:type="pct"/>
            <w:tcBorders>
              <w:top w:val="outset" w:sz="6" w:space="0" w:color="414142"/>
              <w:left w:val="single" w:sz="4" w:space="0" w:color="auto"/>
              <w:bottom w:val="outset" w:sz="6" w:space="0" w:color="414142"/>
              <w:right w:val="outset" w:sz="6" w:space="0" w:color="414142"/>
            </w:tcBorders>
            <w:hideMark/>
          </w:tcPr>
          <w:p w14:paraId="01C3BDB1" w14:textId="10F4D1BE" w:rsidR="00117DB1" w:rsidRPr="00235AD3" w:rsidRDefault="0034258F" w:rsidP="00003BAF">
            <w:pPr>
              <w:spacing w:after="0" w:line="240" w:lineRule="auto"/>
              <w:ind w:right="113" w:firstLine="396"/>
              <w:jc w:val="both"/>
              <w:rPr>
                <w:rFonts w:ascii="Times New Roman" w:hAnsi="Times New Roman" w:cs="Times New Roman"/>
                <w:sz w:val="24"/>
                <w:szCs w:val="24"/>
              </w:rPr>
            </w:pPr>
            <w:r w:rsidRPr="00235AD3">
              <w:rPr>
                <w:rFonts w:ascii="Times New Roman" w:eastAsia="Times New Roman" w:hAnsi="Times New Roman" w:cs="Times New Roman"/>
                <w:sz w:val="24"/>
                <w:szCs w:val="24"/>
                <w:lang w:eastAsia="lv-LV"/>
              </w:rPr>
              <w:t>Likumprojekta pieņem</w:t>
            </w:r>
            <w:r w:rsidR="0095326C" w:rsidRPr="00235AD3">
              <w:rPr>
                <w:rFonts w:ascii="Times New Roman" w:eastAsia="Times New Roman" w:hAnsi="Times New Roman" w:cs="Times New Roman"/>
                <w:sz w:val="24"/>
                <w:szCs w:val="24"/>
                <w:lang w:eastAsia="lv-LV"/>
              </w:rPr>
              <w:t xml:space="preserve">šana attiecas uz personām, </w:t>
            </w:r>
            <w:r w:rsidR="00693C24" w:rsidRPr="00235AD3">
              <w:rPr>
                <w:rFonts w:ascii="Times New Roman" w:eastAsia="Times New Roman" w:hAnsi="Times New Roman" w:cs="Times New Roman"/>
                <w:sz w:val="24"/>
                <w:szCs w:val="24"/>
                <w:lang w:eastAsia="lv-LV"/>
              </w:rPr>
              <w:t>kas veic darbības</w:t>
            </w:r>
            <w:r w:rsidR="007F39B5" w:rsidRPr="00235AD3">
              <w:rPr>
                <w:rFonts w:ascii="Times New Roman" w:eastAsia="Times New Roman" w:hAnsi="Times New Roman" w:cs="Times New Roman"/>
                <w:sz w:val="24"/>
                <w:szCs w:val="24"/>
                <w:lang w:eastAsia="lv-LV"/>
              </w:rPr>
              <w:t xml:space="preserve"> ar elektroniskajās </w:t>
            </w:r>
            <w:r w:rsidR="00486DAE" w:rsidRPr="00235AD3">
              <w:rPr>
                <w:rFonts w:ascii="Times New Roman" w:eastAsia="Times New Roman" w:hAnsi="Times New Roman" w:cs="Times New Roman"/>
                <w:sz w:val="24"/>
                <w:szCs w:val="24"/>
                <w:lang w:eastAsia="lv-LV"/>
              </w:rPr>
              <w:t>smēķēšanas ierīcēs</w:t>
            </w:r>
            <w:r w:rsidR="007F39B5" w:rsidRPr="00235AD3">
              <w:rPr>
                <w:rFonts w:ascii="Times New Roman" w:eastAsia="Times New Roman" w:hAnsi="Times New Roman" w:cs="Times New Roman"/>
                <w:sz w:val="24"/>
                <w:szCs w:val="24"/>
                <w:lang w:eastAsia="lv-LV"/>
              </w:rPr>
              <w:t xml:space="preserve"> izmantojamajiem šķidrumiem,</w:t>
            </w:r>
            <w:r w:rsidR="003159CB" w:rsidRPr="00235AD3">
              <w:rPr>
                <w:rFonts w:ascii="Times New Roman" w:eastAsia="Times New Roman" w:hAnsi="Times New Roman" w:cs="Times New Roman"/>
                <w:sz w:val="24"/>
                <w:szCs w:val="24"/>
                <w:lang w:eastAsia="lv-LV"/>
              </w:rPr>
              <w:t xml:space="preserve"> to sastāvdaļām un tabakas aizstājējproduktiem, </w:t>
            </w:r>
            <w:r w:rsidR="00EC729D" w:rsidRPr="00235AD3">
              <w:rPr>
                <w:rFonts w:ascii="Times New Roman" w:eastAsia="Times New Roman" w:hAnsi="Times New Roman" w:cs="Times New Roman"/>
                <w:sz w:val="24"/>
                <w:szCs w:val="24"/>
                <w:lang w:eastAsia="lv-LV"/>
              </w:rPr>
              <w:t>bezalkoholiskajiem dzērieniem</w:t>
            </w:r>
            <w:r w:rsidR="00EC729D" w:rsidRPr="008D152E">
              <w:rPr>
                <w:rFonts w:ascii="Times New Roman" w:eastAsia="Times New Roman" w:hAnsi="Times New Roman" w:cs="Times New Roman"/>
                <w:sz w:val="24"/>
                <w:szCs w:val="24"/>
                <w:lang w:eastAsia="lv-LV"/>
              </w:rPr>
              <w:t xml:space="preserve">, kafiju, </w:t>
            </w:r>
            <w:r w:rsidR="00693C24" w:rsidRPr="008D152E">
              <w:rPr>
                <w:rFonts w:ascii="Times New Roman" w:eastAsia="Times New Roman" w:hAnsi="Times New Roman" w:cs="Times New Roman"/>
                <w:sz w:val="24"/>
                <w:szCs w:val="24"/>
                <w:lang w:eastAsia="lv-LV"/>
              </w:rPr>
              <w:t>ar akcīzes nodokli marķējamām akcīzes precēm</w:t>
            </w:r>
            <w:r w:rsidR="007538B5" w:rsidRPr="008D152E">
              <w:rPr>
                <w:rFonts w:ascii="Times New Roman" w:eastAsia="Times New Roman" w:hAnsi="Times New Roman" w:cs="Times New Roman"/>
                <w:sz w:val="24"/>
                <w:szCs w:val="24"/>
                <w:lang w:eastAsia="lv-LV"/>
              </w:rPr>
              <w:t>, ražo alu p</w:t>
            </w:r>
            <w:r w:rsidR="00235E3F" w:rsidRPr="008D152E">
              <w:rPr>
                <w:rFonts w:ascii="Times New Roman" w:eastAsia="Times New Roman" w:hAnsi="Times New Roman" w:cs="Times New Roman"/>
                <w:sz w:val="24"/>
                <w:szCs w:val="24"/>
                <w:lang w:eastAsia="lv-LV"/>
              </w:rPr>
              <w:t>atstāvīgā mazajā alus darītavā, veic darbības ar dab</w:t>
            </w:r>
            <w:r w:rsidR="00577277" w:rsidRPr="008D152E">
              <w:rPr>
                <w:rFonts w:ascii="Times New Roman" w:eastAsia="Times New Roman" w:hAnsi="Times New Roman" w:cs="Times New Roman"/>
                <w:sz w:val="24"/>
                <w:szCs w:val="24"/>
                <w:lang w:eastAsia="lv-LV"/>
              </w:rPr>
              <w:t>a</w:t>
            </w:r>
            <w:r w:rsidR="00E96C39" w:rsidRPr="008D152E">
              <w:rPr>
                <w:rFonts w:ascii="Times New Roman" w:eastAsia="Times New Roman" w:hAnsi="Times New Roman" w:cs="Times New Roman"/>
                <w:sz w:val="24"/>
                <w:szCs w:val="24"/>
                <w:lang w:eastAsia="lv-LV"/>
              </w:rPr>
              <w:t>sgāzi un</w:t>
            </w:r>
            <w:r w:rsidR="00235E3F" w:rsidRPr="008D152E">
              <w:rPr>
                <w:rFonts w:ascii="Times New Roman" w:eastAsia="Times New Roman" w:hAnsi="Times New Roman" w:cs="Times New Roman"/>
                <w:sz w:val="24"/>
                <w:szCs w:val="24"/>
                <w:lang w:eastAsia="lv-LV"/>
              </w:rPr>
              <w:t xml:space="preserve"> </w:t>
            </w:r>
            <w:r w:rsidR="00E96C39" w:rsidRPr="008D152E">
              <w:rPr>
                <w:rFonts w:ascii="Times New Roman" w:eastAsia="Times New Roman" w:hAnsi="Times New Roman" w:cs="Times New Roman"/>
                <w:sz w:val="24"/>
                <w:szCs w:val="24"/>
                <w:lang w:eastAsia="lv-LV"/>
              </w:rPr>
              <w:t>eļļas atkritumiem</w:t>
            </w:r>
            <w:r w:rsidR="007F39B5" w:rsidRPr="008D152E">
              <w:rPr>
                <w:rFonts w:ascii="Times New Roman" w:eastAsia="Times New Roman" w:hAnsi="Times New Roman" w:cs="Times New Roman"/>
                <w:sz w:val="24"/>
                <w:szCs w:val="24"/>
                <w:lang w:eastAsia="lv-LV"/>
              </w:rPr>
              <w:t>.</w:t>
            </w:r>
            <w:r w:rsidR="00EF7222" w:rsidRPr="008D152E">
              <w:rPr>
                <w:rFonts w:ascii="Times New Roman" w:eastAsia="Times New Roman" w:hAnsi="Times New Roman" w:cs="Times New Roman"/>
                <w:sz w:val="24"/>
                <w:szCs w:val="24"/>
                <w:lang w:eastAsia="lv-LV"/>
              </w:rPr>
              <w:t xml:space="preserve"> Likumprojekts attiecas arī uz </w:t>
            </w:r>
            <w:r w:rsidR="00003BAF" w:rsidRPr="008D152E">
              <w:rPr>
                <w:rFonts w:ascii="Times New Roman" w:eastAsia="Times New Roman" w:hAnsi="Times New Roman" w:cs="Times New Roman"/>
                <w:sz w:val="24"/>
                <w:szCs w:val="24"/>
                <w:lang w:eastAsia="lv-LV"/>
              </w:rPr>
              <w:t>jebkuras tādas dalībvalsts bruņotajiem spēkiem, kas nav dalībvalsts, kurā akcīzes nodoklis ir iekasējams, ja šādi spēki piedalās aizsardzības pasākumā, ko veic, lai īstenotu Savienības darbību saskaņā ar kopējo drošības un aizsardzības politiku.</w:t>
            </w:r>
          </w:p>
        </w:tc>
      </w:tr>
      <w:tr w:rsidR="00543AA6" w:rsidRPr="00235AD3" w14:paraId="139A9051"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35438502" w14:textId="77777777" w:rsidR="00543AA6" w:rsidRPr="00235AD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2.</w:t>
            </w:r>
          </w:p>
        </w:tc>
        <w:tc>
          <w:tcPr>
            <w:tcW w:w="1665" w:type="pct"/>
            <w:tcBorders>
              <w:top w:val="outset" w:sz="6" w:space="0" w:color="414142"/>
              <w:left w:val="outset" w:sz="6" w:space="0" w:color="414142"/>
              <w:bottom w:val="outset" w:sz="6" w:space="0" w:color="414142"/>
              <w:right w:val="outset" w:sz="6" w:space="0" w:color="414142"/>
            </w:tcBorders>
            <w:hideMark/>
          </w:tcPr>
          <w:p w14:paraId="7A527205" w14:textId="77777777" w:rsidR="009B0004" w:rsidRPr="00235AD3" w:rsidRDefault="00543AA6" w:rsidP="00993C84">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Tiesiskā regulējuma ietekme uz tautsaimniecību un administratīvo slogu</w:t>
            </w:r>
          </w:p>
          <w:p w14:paraId="47ED10EB" w14:textId="77777777" w:rsidR="009B0004" w:rsidRPr="00235AD3" w:rsidRDefault="009B0004" w:rsidP="009B0004">
            <w:pPr>
              <w:rPr>
                <w:rFonts w:ascii="Times New Roman" w:eastAsia="Times New Roman" w:hAnsi="Times New Roman" w:cs="Times New Roman"/>
                <w:sz w:val="24"/>
                <w:szCs w:val="24"/>
                <w:lang w:eastAsia="lv-LV"/>
              </w:rPr>
            </w:pPr>
          </w:p>
          <w:p w14:paraId="6CAEDECF" w14:textId="77777777" w:rsidR="00543AA6" w:rsidRPr="00235AD3" w:rsidRDefault="00543AA6" w:rsidP="009B0004">
            <w:pPr>
              <w:ind w:firstLine="720"/>
              <w:rPr>
                <w:rFonts w:ascii="Times New Roman" w:eastAsia="Times New Roman" w:hAnsi="Times New Roman" w:cs="Times New Roman"/>
                <w:sz w:val="24"/>
                <w:szCs w:val="24"/>
                <w:lang w:eastAsia="lv-LV"/>
              </w:rPr>
            </w:pPr>
          </w:p>
        </w:tc>
        <w:tc>
          <w:tcPr>
            <w:tcW w:w="2994" w:type="pct"/>
            <w:tcBorders>
              <w:top w:val="outset" w:sz="6" w:space="0" w:color="414142"/>
              <w:left w:val="outset" w:sz="6" w:space="0" w:color="414142"/>
              <w:bottom w:val="outset" w:sz="6" w:space="0" w:color="414142"/>
              <w:right w:val="outset" w:sz="6" w:space="0" w:color="414142"/>
            </w:tcBorders>
            <w:hideMark/>
          </w:tcPr>
          <w:p w14:paraId="0BA6AA6E" w14:textId="0C422467" w:rsidR="00D10CB0" w:rsidRPr="00235AD3" w:rsidRDefault="00D10CB0" w:rsidP="00D10CB0">
            <w:pPr>
              <w:spacing w:after="0" w:line="240" w:lineRule="auto"/>
              <w:ind w:firstLine="392"/>
              <w:jc w:val="both"/>
              <w:rPr>
                <w:rFonts w:ascii="Times New Roman" w:hAnsi="Times New Roman" w:cs="Times New Roman"/>
                <w:sz w:val="24"/>
                <w:szCs w:val="24"/>
              </w:rPr>
            </w:pPr>
            <w:r w:rsidRPr="00235AD3">
              <w:rPr>
                <w:rFonts w:ascii="Times New Roman" w:hAnsi="Times New Roman" w:cs="Times New Roman"/>
                <w:sz w:val="24"/>
                <w:szCs w:val="24"/>
              </w:rPr>
              <w:t xml:space="preserve">Likumprojekts paredz akcīzes nodokļa atbrīvojuma piemērošanu elektroniskajās </w:t>
            </w:r>
            <w:r w:rsidR="00BD709A" w:rsidRPr="00235AD3">
              <w:rPr>
                <w:rFonts w:ascii="Times New Roman" w:hAnsi="Times New Roman" w:cs="Times New Roman"/>
                <w:sz w:val="24"/>
                <w:szCs w:val="24"/>
              </w:rPr>
              <w:t>smē</w:t>
            </w:r>
            <w:r w:rsidR="00434E35" w:rsidRPr="00235AD3">
              <w:rPr>
                <w:rFonts w:ascii="Times New Roman" w:hAnsi="Times New Roman" w:cs="Times New Roman"/>
                <w:sz w:val="24"/>
                <w:szCs w:val="24"/>
              </w:rPr>
              <w:t>ķē</w:t>
            </w:r>
            <w:r w:rsidR="00BD709A" w:rsidRPr="00235AD3">
              <w:rPr>
                <w:rFonts w:ascii="Times New Roman" w:hAnsi="Times New Roman" w:cs="Times New Roman"/>
                <w:sz w:val="24"/>
                <w:szCs w:val="24"/>
              </w:rPr>
              <w:t xml:space="preserve">šanas ierīcēs </w:t>
            </w:r>
            <w:r w:rsidRPr="00235AD3">
              <w:rPr>
                <w:rFonts w:ascii="Times New Roman" w:hAnsi="Times New Roman" w:cs="Times New Roman"/>
                <w:sz w:val="24"/>
                <w:szCs w:val="24"/>
              </w:rPr>
              <w:t>izmantojamiem šķidrumiem</w:t>
            </w:r>
            <w:r w:rsidR="003159CB" w:rsidRPr="00235AD3">
              <w:rPr>
                <w:rFonts w:ascii="Times New Roman" w:hAnsi="Times New Roman" w:cs="Times New Roman"/>
                <w:sz w:val="24"/>
                <w:szCs w:val="24"/>
              </w:rPr>
              <w:t>,</w:t>
            </w:r>
            <w:r w:rsidR="003159CB" w:rsidRPr="00235AD3">
              <w:rPr>
                <w:rFonts w:ascii="Times New Roman" w:eastAsia="Times New Roman" w:hAnsi="Times New Roman" w:cs="Times New Roman"/>
                <w:sz w:val="24"/>
                <w:szCs w:val="24"/>
                <w:lang w:eastAsia="lv-LV"/>
              </w:rPr>
              <w:t xml:space="preserve"> </w:t>
            </w:r>
            <w:r w:rsidR="003159CB" w:rsidRPr="00235AD3">
              <w:rPr>
                <w:rFonts w:ascii="Times New Roman" w:hAnsi="Times New Roman" w:cs="Times New Roman"/>
                <w:sz w:val="24"/>
                <w:szCs w:val="24"/>
              </w:rPr>
              <w:t>to sastāvdaļām</w:t>
            </w:r>
            <w:r w:rsidR="00DA577F" w:rsidRPr="00235AD3">
              <w:rPr>
                <w:rFonts w:ascii="Times New Roman" w:hAnsi="Times New Roman" w:cs="Times New Roman"/>
                <w:sz w:val="24"/>
                <w:szCs w:val="24"/>
              </w:rPr>
              <w:t xml:space="preserve"> un tabakas aizstājējproduktiem</w:t>
            </w:r>
            <w:r w:rsidRPr="00235AD3">
              <w:rPr>
                <w:rFonts w:ascii="Times New Roman" w:hAnsi="Times New Roman" w:cs="Times New Roman"/>
                <w:sz w:val="24"/>
                <w:szCs w:val="24"/>
              </w:rPr>
              <w:t xml:space="preserve"> līdzīgi kā kafijai un bezalkoholiskajiem dzērieniem. Līdz ar to tiks nodrošināta vienāda pieeja akcīzes nodokļa atbrīvojuma piemērošanā neharmonizētajām akcīzes precēm.</w:t>
            </w:r>
          </w:p>
          <w:p w14:paraId="13E501ED" w14:textId="051BBEAD" w:rsidR="00535905" w:rsidRPr="00235AD3" w:rsidRDefault="00535905" w:rsidP="00D10CB0">
            <w:pPr>
              <w:spacing w:after="0" w:line="240" w:lineRule="auto"/>
              <w:ind w:firstLine="392"/>
              <w:jc w:val="both"/>
              <w:rPr>
                <w:rFonts w:ascii="Times New Roman" w:hAnsi="Times New Roman" w:cs="Times New Roman"/>
                <w:sz w:val="24"/>
                <w:szCs w:val="24"/>
              </w:rPr>
            </w:pPr>
            <w:r w:rsidRPr="00235AD3">
              <w:rPr>
                <w:rFonts w:ascii="Times New Roman" w:hAnsi="Times New Roman" w:cs="Times New Roman"/>
                <w:sz w:val="24"/>
                <w:szCs w:val="24"/>
              </w:rPr>
              <w:lastRenderedPageBreak/>
              <w:t xml:space="preserve">Likumprojekts paredz </w:t>
            </w:r>
            <w:r w:rsidR="001B5971" w:rsidRPr="00235AD3">
              <w:rPr>
                <w:rFonts w:ascii="Times New Roman" w:hAnsi="Times New Roman" w:cs="Times New Roman"/>
                <w:sz w:val="24"/>
                <w:szCs w:val="24"/>
              </w:rPr>
              <w:t xml:space="preserve">mazināt administratīvo un finansiālo slogu uzņēmumiem </w:t>
            </w:r>
            <w:r w:rsidR="00D10CB0" w:rsidRPr="00235AD3">
              <w:rPr>
                <w:rFonts w:ascii="Times New Roman" w:hAnsi="Times New Roman" w:cs="Times New Roman"/>
                <w:sz w:val="24"/>
                <w:szCs w:val="24"/>
              </w:rPr>
              <w:t>darbībām ar akcīzes nodokļa markām marķējamām akcīzes precēm</w:t>
            </w:r>
            <w:r w:rsidRPr="00235AD3">
              <w:rPr>
                <w:rFonts w:ascii="Times New Roman" w:hAnsi="Times New Roman" w:cs="Times New Roman"/>
                <w:sz w:val="24"/>
                <w:szCs w:val="24"/>
              </w:rPr>
              <w:t>:</w:t>
            </w:r>
          </w:p>
          <w:p w14:paraId="53878AE8" w14:textId="77777777" w:rsidR="00685BBD" w:rsidRPr="00235AD3" w:rsidRDefault="00535905" w:rsidP="00685BBD">
            <w:pPr>
              <w:spacing w:after="0" w:line="240" w:lineRule="auto"/>
              <w:ind w:firstLine="392"/>
              <w:jc w:val="both"/>
              <w:rPr>
                <w:rFonts w:ascii="Times New Roman" w:hAnsi="Times New Roman" w:cs="Times New Roman"/>
                <w:sz w:val="24"/>
                <w:szCs w:val="24"/>
              </w:rPr>
            </w:pPr>
            <w:r w:rsidRPr="00235AD3">
              <w:rPr>
                <w:rFonts w:ascii="Times New Roman" w:hAnsi="Times New Roman" w:cs="Times New Roman"/>
                <w:sz w:val="24"/>
                <w:szCs w:val="24"/>
              </w:rPr>
              <w:t xml:space="preserve">- </w:t>
            </w:r>
            <w:r w:rsidR="00685BBD" w:rsidRPr="00235AD3">
              <w:rPr>
                <w:rFonts w:ascii="Times New Roman" w:hAnsi="Times New Roman" w:cs="Times New Roman"/>
                <w:sz w:val="24"/>
                <w:szCs w:val="24"/>
              </w:rPr>
              <w:t>atcelt akcīzes nodokļa samaksas termiņu 180 dienas par saņemtajām akcīzes nodokļa markām, tādējādi maksājot akcīzes nodokli pēc faktiski marķēto preču vienību skaita, kas nodotas patēriņam vai laistas brīvā apgrozībā;</w:t>
            </w:r>
          </w:p>
          <w:p w14:paraId="11E8CDC3" w14:textId="77777777" w:rsidR="00685BBD" w:rsidRPr="00235AD3" w:rsidRDefault="00685BBD" w:rsidP="00685BBD">
            <w:pPr>
              <w:spacing w:after="0" w:line="240" w:lineRule="auto"/>
              <w:ind w:firstLine="392"/>
              <w:jc w:val="both"/>
              <w:rPr>
                <w:rFonts w:ascii="Times New Roman" w:hAnsi="Times New Roman" w:cs="Times New Roman"/>
                <w:sz w:val="24"/>
                <w:szCs w:val="24"/>
              </w:rPr>
            </w:pPr>
            <w:r w:rsidRPr="00235AD3">
              <w:rPr>
                <w:rFonts w:ascii="Times New Roman" w:hAnsi="Times New Roman" w:cs="Times New Roman"/>
                <w:sz w:val="24"/>
                <w:szCs w:val="24"/>
              </w:rPr>
              <w:t>- paredz iespēju iznīcināt akcīzes nodokļa markas, nenoņemot tās no akcīzes preču iepakojuma</w:t>
            </w:r>
            <w:r w:rsidR="00E65F2A" w:rsidRPr="00235AD3">
              <w:rPr>
                <w:rFonts w:ascii="Times New Roman" w:hAnsi="Times New Roman" w:cs="Times New Roman"/>
                <w:sz w:val="24"/>
                <w:szCs w:val="24"/>
              </w:rPr>
              <w:t>, un šajā gadījumā saņemt atpakaļ samaksāto akcīzes nodokli.</w:t>
            </w:r>
          </w:p>
          <w:p w14:paraId="2B2A5F66" w14:textId="77777777" w:rsidR="000B00F2" w:rsidRPr="00235AD3" w:rsidRDefault="00D30BA4" w:rsidP="001F7DAE">
            <w:pPr>
              <w:spacing w:line="240" w:lineRule="auto"/>
              <w:ind w:firstLine="392"/>
              <w:jc w:val="both"/>
              <w:rPr>
                <w:rFonts w:ascii="Times New Roman" w:hAnsi="Times New Roman" w:cs="Times New Roman"/>
                <w:sz w:val="24"/>
                <w:szCs w:val="24"/>
              </w:rPr>
            </w:pPr>
            <w:r w:rsidRPr="00235AD3">
              <w:rPr>
                <w:rFonts w:ascii="Times New Roman" w:hAnsi="Times New Roman" w:cs="Times New Roman"/>
                <w:sz w:val="24"/>
                <w:szCs w:val="24"/>
              </w:rPr>
              <w:t>Tādējādi tiks ietaupīti uzņēmumu līdzekļi</w:t>
            </w:r>
            <w:r w:rsidR="0014715C" w:rsidRPr="00235AD3">
              <w:rPr>
                <w:rFonts w:ascii="Times New Roman" w:hAnsi="Times New Roman" w:cs="Times New Roman"/>
                <w:sz w:val="24"/>
                <w:szCs w:val="24"/>
              </w:rPr>
              <w:t xml:space="preserve"> un laiks</w:t>
            </w:r>
            <w:r w:rsidRPr="00235AD3">
              <w:rPr>
                <w:rFonts w:ascii="Times New Roman" w:hAnsi="Times New Roman" w:cs="Times New Roman"/>
                <w:sz w:val="24"/>
                <w:szCs w:val="24"/>
              </w:rPr>
              <w:t>.</w:t>
            </w:r>
          </w:p>
        </w:tc>
      </w:tr>
      <w:tr w:rsidR="00543AA6" w:rsidRPr="00235AD3" w14:paraId="0C829763"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2B9F391C" w14:textId="77777777" w:rsidR="00543AA6" w:rsidRPr="00235AD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lastRenderedPageBreak/>
              <w:t>3.</w:t>
            </w:r>
          </w:p>
        </w:tc>
        <w:tc>
          <w:tcPr>
            <w:tcW w:w="1665" w:type="pct"/>
            <w:tcBorders>
              <w:top w:val="outset" w:sz="6" w:space="0" w:color="414142"/>
              <w:left w:val="outset" w:sz="6" w:space="0" w:color="414142"/>
              <w:bottom w:val="outset" w:sz="6" w:space="0" w:color="414142"/>
              <w:right w:val="outset" w:sz="6" w:space="0" w:color="414142"/>
            </w:tcBorders>
            <w:hideMark/>
          </w:tcPr>
          <w:p w14:paraId="165EBE2B" w14:textId="77777777" w:rsidR="00543AA6" w:rsidRPr="00235AD3" w:rsidRDefault="00543AA6" w:rsidP="00993C84">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Administratīvo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4BB226AD" w14:textId="77777777" w:rsidR="00543AA6" w:rsidRPr="00235AD3" w:rsidRDefault="008057B9" w:rsidP="008057B9">
            <w:pPr>
              <w:spacing w:after="0" w:line="240" w:lineRule="auto"/>
              <w:ind w:right="119"/>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Projekts šo jomu neskar.</w:t>
            </w:r>
          </w:p>
        </w:tc>
      </w:tr>
      <w:tr w:rsidR="00543AA6" w:rsidRPr="00235AD3" w14:paraId="3D60CBAB"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08F670F5" w14:textId="77777777" w:rsidR="00543AA6" w:rsidRPr="00235AD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71581F1F" w14:textId="77777777" w:rsidR="00543AA6" w:rsidRPr="00235AD3" w:rsidRDefault="00543AA6" w:rsidP="00993C84">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Atbilstības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5CAEEA56" w14:textId="77777777" w:rsidR="00543AA6" w:rsidRPr="00235AD3" w:rsidRDefault="0069728C" w:rsidP="00993C84">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Projekts šo jomu neskar.</w:t>
            </w:r>
          </w:p>
        </w:tc>
      </w:tr>
      <w:tr w:rsidR="00543AA6" w:rsidRPr="00235AD3" w14:paraId="01412FFE" w14:textId="77777777" w:rsidTr="00F909CA">
        <w:tc>
          <w:tcPr>
            <w:tcW w:w="341" w:type="pct"/>
            <w:tcBorders>
              <w:top w:val="outset" w:sz="6" w:space="0" w:color="414142"/>
              <w:left w:val="outset" w:sz="6" w:space="0" w:color="414142"/>
              <w:bottom w:val="outset" w:sz="6" w:space="0" w:color="414142"/>
              <w:right w:val="outset" w:sz="6" w:space="0" w:color="414142"/>
            </w:tcBorders>
            <w:hideMark/>
          </w:tcPr>
          <w:p w14:paraId="45724493" w14:textId="77777777" w:rsidR="00543AA6" w:rsidRPr="00235AD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5.</w:t>
            </w:r>
          </w:p>
        </w:tc>
        <w:tc>
          <w:tcPr>
            <w:tcW w:w="1665" w:type="pct"/>
            <w:tcBorders>
              <w:top w:val="outset" w:sz="6" w:space="0" w:color="414142"/>
              <w:left w:val="outset" w:sz="6" w:space="0" w:color="414142"/>
              <w:bottom w:val="outset" w:sz="6" w:space="0" w:color="414142"/>
              <w:right w:val="outset" w:sz="6" w:space="0" w:color="414142"/>
            </w:tcBorders>
            <w:hideMark/>
          </w:tcPr>
          <w:p w14:paraId="4BBD92FE" w14:textId="77777777" w:rsidR="00543AA6" w:rsidRPr="00235AD3" w:rsidRDefault="00543AA6" w:rsidP="00993C84">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42BD0113" w14:textId="77777777" w:rsidR="00CC4728" w:rsidRPr="00235AD3" w:rsidRDefault="00CC4728" w:rsidP="00CC4728">
            <w:pPr>
              <w:spacing w:after="0" w:line="240" w:lineRule="auto"/>
              <w:ind w:firstLine="392"/>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 Pēc </w:t>
            </w:r>
            <w:r w:rsidR="0054716F" w:rsidRPr="00235AD3">
              <w:rPr>
                <w:rFonts w:ascii="Times New Roman" w:eastAsia="Times New Roman" w:hAnsi="Times New Roman" w:cs="Times New Roman"/>
                <w:sz w:val="24"/>
                <w:szCs w:val="24"/>
                <w:lang w:eastAsia="lv-LV"/>
              </w:rPr>
              <w:t xml:space="preserve">TIRNA </w:t>
            </w:r>
            <w:r w:rsidRPr="00235AD3">
              <w:rPr>
                <w:rFonts w:ascii="Times New Roman" w:eastAsia="Times New Roman" w:hAnsi="Times New Roman" w:cs="Times New Roman"/>
                <w:sz w:val="24"/>
                <w:szCs w:val="24"/>
                <w:lang w:eastAsia="lv-LV"/>
              </w:rPr>
              <w:t>sniegtās informācijas akcīzes nodokļa marku noņemšana no cigarešu paciņā</w:t>
            </w:r>
            <w:r w:rsidR="000C25BF" w:rsidRPr="00235AD3">
              <w:rPr>
                <w:rFonts w:ascii="Times New Roman" w:eastAsia="Times New Roman" w:hAnsi="Times New Roman" w:cs="Times New Roman"/>
                <w:sz w:val="24"/>
                <w:szCs w:val="24"/>
                <w:lang w:eastAsia="lv-LV"/>
              </w:rPr>
              <w:t>m pirms iznīcināšanas maksā ~ 0,</w:t>
            </w:r>
            <w:r w:rsidRPr="00235AD3">
              <w:rPr>
                <w:rFonts w:ascii="Times New Roman" w:eastAsia="Times New Roman" w:hAnsi="Times New Roman" w:cs="Times New Roman"/>
                <w:sz w:val="24"/>
                <w:szCs w:val="24"/>
                <w:lang w:eastAsia="lv-LV"/>
              </w:rPr>
              <w:t xml:space="preserve">14 EUR par paciņu, attiecīgi ~ 142 EUR par 1000 markām (noņemot vairāk kā 100 000 marku). Jo mazāks marku skaits, jo attiecīgi lielākas izmaksas par katras markas noņemšanu. </w:t>
            </w:r>
          </w:p>
          <w:p w14:paraId="67DF17D5" w14:textId="77777777" w:rsidR="00CC4728" w:rsidRPr="00235AD3" w:rsidRDefault="00CC4728" w:rsidP="00CC4728">
            <w:pPr>
              <w:spacing w:after="0" w:line="240" w:lineRule="auto"/>
              <w:ind w:firstLine="392"/>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Izmaksas saistībā ar akcīzes nodokļa samaksas termiņu 180 dienas rodas divos veidos:</w:t>
            </w:r>
          </w:p>
          <w:p w14:paraId="74A22FBA" w14:textId="77777777" w:rsidR="00CC4728" w:rsidRPr="00235AD3" w:rsidRDefault="00CC4728" w:rsidP="00CC4728">
            <w:pPr>
              <w:spacing w:after="0" w:line="240" w:lineRule="auto"/>
              <w:ind w:firstLine="392"/>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 1) ja akcīzes nodokļa markas atrodas rūpnīcā un preces vēl nav marķētas, pienākot 180 dienu termiņam šīs akcīzes nodokļa markas tiek iznīcinātas.  Izmaksas 2</w:t>
            </w:r>
            <w:r w:rsidR="000C25BF" w:rsidRPr="00235AD3">
              <w:rPr>
                <w:rFonts w:ascii="Times New Roman" w:eastAsia="Times New Roman" w:hAnsi="Times New Roman" w:cs="Times New Roman"/>
                <w:sz w:val="24"/>
                <w:szCs w:val="24"/>
                <w:lang w:eastAsia="lv-LV"/>
              </w:rPr>
              <w:t>,</w:t>
            </w:r>
            <w:r w:rsidRPr="00235AD3">
              <w:rPr>
                <w:rFonts w:ascii="Times New Roman" w:eastAsia="Times New Roman" w:hAnsi="Times New Roman" w:cs="Times New Roman"/>
                <w:sz w:val="24"/>
                <w:szCs w:val="24"/>
                <w:lang w:eastAsia="lv-LV"/>
              </w:rPr>
              <w:t>30 EUR par 1000 markām (cigaretēm);</w:t>
            </w:r>
          </w:p>
          <w:p w14:paraId="0D0DDB40" w14:textId="77777777" w:rsidR="00CC4728" w:rsidRPr="00235AD3" w:rsidRDefault="00CC4728" w:rsidP="00CC4728">
            <w:pPr>
              <w:spacing w:after="0" w:line="240" w:lineRule="auto"/>
              <w:ind w:firstLine="392"/>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 2) ja preces jau ir marķētas ar akcīzes nodokļa markām, taču pienākot 180 dienu termiņam,  preces vēl nevar nodot patēriņam, tiek maksāts akcīzes nodoklis. Šajā gadījumā veidojas būtiski “iesaldētie” līdzekļi, kas  šobrīd ir vairāku miljonu EUR apmērā.</w:t>
            </w:r>
          </w:p>
          <w:p w14:paraId="67A0D048" w14:textId="77777777" w:rsidR="0054716F" w:rsidRPr="00235AD3" w:rsidRDefault="00CC4728" w:rsidP="0054716F">
            <w:pPr>
              <w:spacing w:after="0" w:line="240" w:lineRule="auto"/>
              <w:ind w:firstLine="392"/>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Izmaksas cigaretēm un cigarellām būtiski neatšķiras</w:t>
            </w:r>
            <w:r w:rsidR="006A48B8" w:rsidRPr="00235AD3">
              <w:rPr>
                <w:rFonts w:ascii="Times New Roman" w:eastAsia="Times New Roman" w:hAnsi="Times New Roman" w:cs="Times New Roman"/>
                <w:sz w:val="24"/>
                <w:szCs w:val="24"/>
                <w:lang w:eastAsia="lv-LV"/>
              </w:rPr>
              <w:t>.</w:t>
            </w:r>
          </w:p>
          <w:p w14:paraId="1F63568A" w14:textId="77777777" w:rsidR="007B6AF8" w:rsidRPr="00235AD3" w:rsidRDefault="0054716F" w:rsidP="0054716F">
            <w:pPr>
              <w:spacing w:after="0" w:line="240" w:lineRule="auto"/>
              <w:ind w:firstLine="392"/>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Pēc LANA sniegtās inform</w:t>
            </w:r>
            <w:r w:rsidR="007B6AF8" w:rsidRPr="00235AD3">
              <w:rPr>
                <w:rFonts w:ascii="Times New Roman" w:eastAsia="Times New Roman" w:hAnsi="Times New Roman" w:cs="Times New Roman"/>
                <w:sz w:val="24"/>
                <w:szCs w:val="24"/>
                <w:lang w:eastAsia="lv-LV"/>
              </w:rPr>
              <w:t>ācijas, ja:</w:t>
            </w:r>
          </w:p>
          <w:p w14:paraId="40FBB3B1" w14:textId="650E0092" w:rsidR="0054716F" w:rsidRPr="00235AD3" w:rsidRDefault="007B6AF8" w:rsidP="0054716F">
            <w:pPr>
              <w:spacing w:after="0" w:line="240" w:lineRule="auto"/>
              <w:ind w:firstLine="392"/>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1) tiks atcelts akcīzes nodokļa samaksas termiņš 180 dienas par saņemtajām akcīzes nodokļa markām</w:t>
            </w:r>
            <w:r w:rsidR="00020350" w:rsidRPr="00235AD3">
              <w:rPr>
                <w:rFonts w:ascii="Times New Roman" w:eastAsia="Times New Roman" w:hAnsi="Times New Roman" w:cs="Times New Roman"/>
                <w:sz w:val="24"/>
                <w:szCs w:val="24"/>
                <w:lang w:eastAsia="lv-LV"/>
              </w:rPr>
              <w:t xml:space="preserve"> par alkoholiskajiem dzērieniem</w:t>
            </w:r>
            <w:r w:rsidRPr="00235AD3">
              <w:rPr>
                <w:rFonts w:ascii="Times New Roman" w:eastAsia="Times New Roman" w:hAnsi="Times New Roman" w:cs="Times New Roman"/>
                <w:sz w:val="24"/>
                <w:szCs w:val="24"/>
                <w:lang w:eastAsia="lv-LV"/>
              </w:rPr>
              <w:t xml:space="preserve">, uzņēmumiem samazināsies izmaksas no 0 līdz </w:t>
            </w:r>
            <w:r w:rsidR="00020350" w:rsidRPr="00235AD3">
              <w:rPr>
                <w:rFonts w:ascii="Times New Roman" w:eastAsia="Times New Roman" w:hAnsi="Times New Roman" w:cs="Times New Roman"/>
                <w:sz w:val="24"/>
                <w:szCs w:val="24"/>
                <w:lang w:eastAsia="lv-LV"/>
              </w:rPr>
              <w:t>92</w:t>
            </w:r>
            <w:r w:rsidR="005C1BBD"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tūkst</w:t>
            </w:r>
            <w:r w:rsidR="005C1BBD"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EUR gadā atkarībā no uzņēmumu lieluma un alkoholisko dzērienu apgrozījuma, par kur</w:t>
            </w:r>
            <w:r w:rsidR="002C51FA" w:rsidRPr="00235AD3">
              <w:rPr>
                <w:rFonts w:ascii="Times New Roman" w:eastAsia="Times New Roman" w:hAnsi="Times New Roman" w:cs="Times New Roman"/>
                <w:sz w:val="24"/>
                <w:szCs w:val="24"/>
                <w:lang w:eastAsia="lv-LV"/>
              </w:rPr>
              <w:t>ie</w:t>
            </w:r>
            <w:r w:rsidRPr="00235AD3">
              <w:rPr>
                <w:rFonts w:ascii="Times New Roman" w:eastAsia="Times New Roman" w:hAnsi="Times New Roman" w:cs="Times New Roman"/>
                <w:sz w:val="24"/>
                <w:szCs w:val="24"/>
                <w:lang w:eastAsia="lv-LV"/>
              </w:rPr>
              <w:t xml:space="preserve">m tika pasūtītas </w:t>
            </w:r>
            <w:r w:rsidR="00020350" w:rsidRPr="00235AD3">
              <w:rPr>
                <w:rFonts w:ascii="Times New Roman" w:eastAsia="Times New Roman" w:hAnsi="Times New Roman" w:cs="Times New Roman"/>
                <w:sz w:val="24"/>
                <w:szCs w:val="24"/>
                <w:lang w:eastAsia="lv-LV"/>
              </w:rPr>
              <w:t xml:space="preserve">un saņemtas </w:t>
            </w:r>
            <w:r w:rsidRPr="00235AD3">
              <w:rPr>
                <w:rFonts w:ascii="Times New Roman" w:eastAsia="Times New Roman" w:hAnsi="Times New Roman" w:cs="Times New Roman"/>
                <w:sz w:val="24"/>
                <w:szCs w:val="24"/>
                <w:lang w:eastAsia="lv-LV"/>
              </w:rPr>
              <w:t>akcīzes nodokļa markas</w:t>
            </w:r>
            <w:r w:rsidR="005C1BBD" w:rsidRPr="00235AD3">
              <w:rPr>
                <w:rFonts w:ascii="Times New Roman" w:eastAsia="Times New Roman" w:hAnsi="Times New Roman" w:cs="Times New Roman"/>
                <w:sz w:val="24"/>
                <w:szCs w:val="24"/>
                <w:lang w:eastAsia="lv-LV"/>
              </w:rPr>
              <w:t>. Ja akcīzes nodokļa markas ir saņemtas, bet vēl nav uzlīmētas</w:t>
            </w:r>
            <w:r w:rsidR="00020350" w:rsidRPr="00235AD3">
              <w:rPr>
                <w:rFonts w:ascii="Times New Roman" w:eastAsia="Times New Roman" w:hAnsi="Times New Roman" w:cs="Times New Roman"/>
                <w:sz w:val="24"/>
                <w:szCs w:val="24"/>
                <w:lang w:eastAsia="lv-LV"/>
              </w:rPr>
              <w:t xml:space="preserve"> uz alkoholiskajiem dzērieniem</w:t>
            </w:r>
            <w:r w:rsidR="005C1BBD" w:rsidRPr="00235AD3">
              <w:rPr>
                <w:rFonts w:ascii="Times New Roman" w:eastAsia="Times New Roman" w:hAnsi="Times New Roman" w:cs="Times New Roman"/>
                <w:sz w:val="24"/>
                <w:szCs w:val="24"/>
                <w:lang w:eastAsia="lv-LV"/>
              </w:rPr>
              <w:t>, tad atgriešanas izmaksas varētu būt 4,60</w:t>
            </w:r>
            <w:r w:rsidR="00020350" w:rsidRPr="00235AD3">
              <w:rPr>
                <w:rFonts w:ascii="Times New Roman" w:eastAsia="Times New Roman" w:hAnsi="Times New Roman" w:cs="Times New Roman"/>
                <w:sz w:val="24"/>
                <w:szCs w:val="24"/>
                <w:lang w:eastAsia="lv-LV"/>
              </w:rPr>
              <w:t> </w:t>
            </w:r>
            <w:r w:rsidR="005C1BBD" w:rsidRPr="00235AD3">
              <w:rPr>
                <w:rFonts w:ascii="Times New Roman" w:eastAsia="Times New Roman" w:hAnsi="Times New Roman" w:cs="Times New Roman"/>
                <w:sz w:val="24"/>
                <w:szCs w:val="24"/>
                <w:lang w:eastAsia="lv-LV"/>
              </w:rPr>
              <w:t xml:space="preserve">EUR par 1000 </w:t>
            </w:r>
            <w:r w:rsidR="0001107B" w:rsidRPr="00235AD3">
              <w:rPr>
                <w:rFonts w:ascii="Times New Roman" w:eastAsia="Times New Roman" w:hAnsi="Times New Roman" w:cs="Times New Roman"/>
                <w:sz w:val="24"/>
                <w:szCs w:val="24"/>
                <w:lang w:eastAsia="lv-LV"/>
              </w:rPr>
              <w:t xml:space="preserve">akcīzes nodokļa </w:t>
            </w:r>
            <w:r w:rsidR="005C1BBD" w:rsidRPr="00235AD3">
              <w:rPr>
                <w:rFonts w:ascii="Times New Roman" w:eastAsia="Times New Roman" w:hAnsi="Times New Roman" w:cs="Times New Roman"/>
                <w:sz w:val="24"/>
                <w:szCs w:val="24"/>
                <w:lang w:eastAsia="lv-LV"/>
              </w:rPr>
              <w:t xml:space="preserve">markām. </w:t>
            </w:r>
            <w:r w:rsidR="00020350" w:rsidRPr="00235AD3">
              <w:rPr>
                <w:rFonts w:ascii="Times New Roman" w:eastAsia="Times New Roman" w:hAnsi="Times New Roman" w:cs="Times New Roman"/>
                <w:sz w:val="24"/>
                <w:szCs w:val="24"/>
                <w:lang w:eastAsia="lv-LV"/>
              </w:rPr>
              <w:t>Izmaksu ietekme nav tiem u</w:t>
            </w:r>
            <w:r w:rsidR="005C1BBD" w:rsidRPr="00235AD3">
              <w:rPr>
                <w:rFonts w:ascii="Times New Roman" w:eastAsia="Times New Roman" w:hAnsi="Times New Roman" w:cs="Times New Roman"/>
                <w:sz w:val="24"/>
                <w:szCs w:val="24"/>
                <w:lang w:eastAsia="lv-LV"/>
              </w:rPr>
              <w:t xml:space="preserve">zņēmumiem, kas akcīzes preču noliktavā neglabā ar akcīzes nodokļa markām </w:t>
            </w:r>
            <w:r w:rsidR="005C1BBD" w:rsidRPr="00235AD3">
              <w:rPr>
                <w:rFonts w:ascii="Times New Roman" w:eastAsia="Times New Roman" w:hAnsi="Times New Roman" w:cs="Times New Roman"/>
                <w:sz w:val="24"/>
                <w:szCs w:val="24"/>
                <w:lang w:eastAsia="lv-LV"/>
              </w:rPr>
              <w:lastRenderedPageBreak/>
              <w:t>samarķētus alkoholiskos dzērienus</w:t>
            </w:r>
            <w:r w:rsidR="00020350" w:rsidRPr="00235AD3">
              <w:rPr>
                <w:rFonts w:ascii="Times New Roman" w:eastAsia="Times New Roman" w:hAnsi="Times New Roman" w:cs="Times New Roman"/>
                <w:sz w:val="24"/>
                <w:szCs w:val="24"/>
                <w:lang w:eastAsia="lv-LV"/>
              </w:rPr>
              <w:t xml:space="preserve"> 180 dienas un ilgāk no akcīzes nodokļa marku saņemšanas dienas</w:t>
            </w:r>
            <w:r w:rsidRPr="00235AD3">
              <w:rPr>
                <w:rFonts w:ascii="Times New Roman" w:eastAsia="Times New Roman" w:hAnsi="Times New Roman" w:cs="Times New Roman"/>
                <w:sz w:val="24"/>
                <w:szCs w:val="24"/>
                <w:lang w:eastAsia="lv-LV"/>
              </w:rPr>
              <w:t>;</w:t>
            </w:r>
          </w:p>
          <w:p w14:paraId="132952B0" w14:textId="77777777" w:rsidR="007B6AF8" w:rsidRPr="00235AD3" w:rsidRDefault="007B6AF8" w:rsidP="0054716F">
            <w:pPr>
              <w:spacing w:after="0" w:line="240" w:lineRule="auto"/>
              <w:ind w:firstLine="392"/>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2)</w:t>
            </w:r>
            <w:r w:rsidR="00CA4F6B" w:rsidRPr="00235AD3">
              <w:rPr>
                <w:rFonts w:ascii="Times New Roman" w:eastAsia="Times New Roman" w:hAnsi="Times New Roman" w:cs="Times New Roman"/>
                <w:sz w:val="24"/>
                <w:szCs w:val="24"/>
                <w:lang w:eastAsia="lv-LV"/>
              </w:rPr>
              <w:t xml:space="preserve"> tiks </w:t>
            </w:r>
            <w:r w:rsidR="00CA4F6B" w:rsidRPr="00235AD3">
              <w:rPr>
                <w:rFonts w:ascii="Times New Roman" w:hAnsi="Times New Roman" w:cs="Times New Roman"/>
                <w:sz w:val="24"/>
                <w:szCs w:val="24"/>
              </w:rPr>
              <w:t xml:space="preserve">paredzēta iespēja iznīcināt akcīzes nodokļa markas, nenoņemot tās no alkoholisko dzērienu iepakojuma, </w:t>
            </w:r>
            <w:r w:rsidR="0001107B" w:rsidRPr="00235AD3">
              <w:rPr>
                <w:rFonts w:ascii="Times New Roman" w:hAnsi="Times New Roman" w:cs="Times New Roman"/>
                <w:sz w:val="24"/>
                <w:szCs w:val="24"/>
              </w:rPr>
              <w:t>izmaksas</w:t>
            </w:r>
            <w:r w:rsidR="00216FF2" w:rsidRPr="00235AD3">
              <w:rPr>
                <w:rFonts w:ascii="Times New Roman" w:hAnsi="Times New Roman" w:cs="Times New Roman"/>
                <w:sz w:val="24"/>
                <w:szCs w:val="24"/>
              </w:rPr>
              <w:t xml:space="preserve"> </w:t>
            </w:r>
            <w:r w:rsidR="000C25BF" w:rsidRPr="00235AD3">
              <w:rPr>
                <w:rFonts w:ascii="Times New Roman" w:hAnsi="Times New Roman" w:cs="Times New Roman"/>
                <w:sz w:val="24"/>
                <w:szCs w:val="24"/>
              </w:rPr>
              <w:t xml:space="preserve">varētu samazināties </w:t>
            </w:r>
            <w:r w:rsidR="0001107B" w:rsidRPr="00235AD3">
              <w:rPr>
                <w:rFonts w:ascii="Times New Roman" w:hAnsi="Times New Roman" w:cs="Times New Roman"/>
                <w:sz w:val="24"/>
                <w:szCs w:val="24"/>
              </w:rPr>
              <w:t xml:space="preserve">aptuveni </w:t>
            </w:r>
            <w:r w:rsidR="00216FF2" w:rsidRPr="00235AD3">
              <w:rPr>
                <w:rFonts w:ascii="Times New Roman" w:hAnsi="Times New Roman" w:cs="Times New Roman"/>
                <w:sz w:val="24"/>
                <w:szCs w:val="24"/>
              </w:rPr>
              <w:t xml:space="preserve">par </w:t>
            </w:r>
            <w:r w:rsidR="0001107B" w:rsidRPr="00235AD3">
              <w:rPr>
                <w:rFonts w:ascii="Times New Roman" w:hAnsi="Times New Roman" w:cs="Times New Roman"/>
                <w:sz w:val="24"/>
                <w:szCs w:val="24"/>
              </w:rPr>
              <w:t>50 EUR par 1000 akcīzes nodokļa markām.</w:t>
            </w:r>
            <w:r w:rsidRPr="00235AD3">
              <w:rPr>
                <w:rFonts w:ascii="Times New Roman" w:eastAsia="Times New Roman" w:hAnsi="Times New Roman" w:cs="Times New Roman"/>
                <w:sz w:val="24"/>
                <w:szCs w:val="24"/>
                <w:lang w:eastAsia="lv-LV"/>
              </w:rPr>
              <w:t xml:space="preserve"> </w:t>
            </w:r>
          </w:p>
          <w:p w14:paraId="3355E50F" w14:textId="77777777" w:rsidR="0054716F" w:rsidRPr="00235AD3" w:rsidRDefault="0054716F" w:rsidP="00CC4728">
            <w:pPr>
              <w:spacing w:after="0" w:line="240" w:lineRule="auto"/>
              <w:ind w:firstLine="392"/>
              <w:jc w:val="both"/>
              <w:rPr>
                <w:rFonts w:ascii="Times New Roman" w:eastAsia="Times New Roman" w:hAnsi="Times New Roman" w:cs="Times New Roman"/>
                <w:sz w:val="24"/>
                <w:szCs w:val="24"/>
                <w:lang w:eastAsia="lv-LV"/>
              </w:rPr>
            </w:pPr>
          </w:p>
        </w:tc>
      </w:tr>
    </w:tbl>
    <w:p w14:paraId="3CDAD7F3" w14:textId="77777777" w:rsidR="00543AA6" w:rsidRPr="00235AD3" w:rsidRDefault="00543AA6" w:rsidP="00543AA6">
      <w:pPr>
        <w:spacing w:after="0" w:line="240" w:lineRule="auto"/>
        <w:rPr>
          <w:rFonts w:ascii="Times New Roman" w:eastAsia="Times New Roman" w:hAnsi="Times New Roman" w:cs="Times New Roman"/>
          <w:sz w:val="24"/>
          <w:szCs w:val="24"/>
          <w:lang w:eastAsia="lv-LV"/>
        </w:rPr>
      </w:pPr>
    </w:p>
    <w:p w14:paraId="329B535B" w14:textId="77777777" w:rsidR="00100490" w:rsidRPr="00235AD3" w:rsidRDefault="00100490" w:rsidP="00543AA6">
      <w:pPr>
        <w:spacing w:after="0" w:line="240" w:lineRule="auto"/>
        <w:rPr>
          <w:rFonts w:ascii="Times New Roman" w:eastAsia="Times New Roman" w:hAnsi="Times New Roman" w:cs="Times New Roman"/>
          <w:sz w:val="24"/>
          <w:szCs w:val="24"/>
          <w:lang w:eastAsia="lv-LV"/>
        </w:rPr>
      </w:pPr>
    </w:p>
    <w:tbl>
      <w:tblPr>
        <w:tblStyle w:val="TableGrid"/>
        <w:tblW w:w="5000" w:type="pct"/>
        <w:tblLayout w:type="fixed"/>
        <w:tblCellMar>
          <w:left w:w="57" w:type="dxa"/>
          <w:right w:w="57" w:type="dxa"/>
        </w:tblCellMar>
        <w:tblLook w:val="04A0" w:firstRow="1" w:lastRow="0" w:firstColumn="1" w:lastColumn="0" w:noHBand="0" w:noVBand="1"/>
      </w:tblPr>
      <w:tblGrid>
        <w:gridCol w:w="1647"/>
        <w:gridCol w:w="960"/>
        <w:gridCol w:w="1098"/>
        <w:gridCol w:w="1235"/>
        <w:gridCol w:w="963"/>
        <w:gridCol w:w="1235"/>
        <w:gridCol w:w="963"/>
        <w:gridCol w:w="978"/>
        <w:gridCol w:w="28"/>
      </w:tblGrid>
      <w:tr w:rsidR="00F05D71" w:rsidRPr="00235AD3" w14:paraId="34F63CCF" w14:textId="77777777" w:rsidTr="00A26CB1">
        <w:trPr>
          <w:trHeight w:val="267"/>
        </w:trPr>
        <w:tc>
          <w:tcPr>
            <w:tcW w:w="9396" w:type="dxa"/>
            <w:gridSpan w:val="9"/>
            <w:hideMark/>
          </w:tcPr>
          <w:p w14:paraId="0BD99358" w14:textId="77777777" w:rsidR="00F05D71" w:rsidRPr="00235AD3" w:rsidRDefault="00F05D71" w:rsidP="00ED0B96">
            <w:pPr>
              <w:rPr>
                <w:rFonts w:eastAsia="Times New Roman" w:cs="Times New Roman"/>
                <w:b/>
                <w:bCs/>
                <w:iCs/>
                <w:sz w:val="24"/>
                <w:szCs w:val="24"/>
                <w:lang w:eastAsia="lv-LV"/>
              </w:rPr>
            </w:pPr>
            <w:r w:rsidRPr="00235AD3">
              <w:rPr>
                <w:rFonts w:eastAsia="Times New Roman" w:cs="Times New Roman"/>
                <w:b/>
                <w:bCs/>
                <w:iCs/>
                <w:sz w:val="24"/>
                <w:szCs w:val="24"/>
                <w:lang w:eastAsia="lv-LV"/>
              </w:rPr>
              <w:t>III. Tiesību akta projekta ietekme uz valsts budžetu un pašvaldību budžetiem</w:t>
            </w:r>
          </w:p>
        </w:tc>
      </w:tr>
      <w:tr w:rsidR="00F05D71" w:rsidRPr="00235AD3" w14:paraId="7641D69C" w14:textId="77777777" w:rsidTr="00A26CB1">
        <w:trPr>
          <w:gridAfter w:val="1"/>
          <w:wAfter w:w="29" w:type="dxa"/>
          <w:trHeight w:val="252"/>
        </w:trPr>
        <w:tc>
          <w:tcPr>
            <w:tcW w:w="1700" w:type="dxa"/>
            <w:vMerge w:val="restart"/>
          </w:tcPr>
          <w:p w14:paraId="6587A09F" w14:textId="77777777" w:rsidR="00F05D71" w:rsidRPr="00235AD3" w:rsidRDefault="00F05D71" w:rsidP="00ED0B96">
            <w:pPr>
              <w:rPr>
                <w:rFonts w:eastAsia="Times New Roman" w:cs="Times New Roman"/>
                <w:bCs/>
                <w:iCs/>
                <w:sz w:val="24"/>
                <w:szCs w:val="24"/>
                <w:lang w:eastAsia="lv-LV"/>
              </w:rPr>
            </w:pPr>
            <w:r w:rsidRPr="00235AD3">
              <w:rPr>
                <w:rFonts w:eastAsia="Times New Roman" w:cs="Times New Roman"/>
                <w:bCs/>
                <w:iCs/>
                <w:sz w:val="24"/>
                <w:szCs w:val="24"/>
                <w:lang w:eastAsia="lv-LV"/>
              </w:rPr>
              <w:t>Rādītāji</w:t>
            </w:r>
          </w:p>
        </w:tc>
        <w:tc>
          <w:tcPr>
            <w:tcW w:w="2123" w:type="dxa"/>
            <w:gridSpan w:val="2"/>
            <w:vMerge w:val="restart"/>
            <w:hideMark/>
          </w:tcPr>
          <w:p w14:paraId="1F29E249" w14:textId="05B10A82" w:rsidR="00F05D71" w:rsidRPr="00235AD3" w:rsidRDefault="00F05D71" w:rsidP="00364D16">
            <w:pPr>
              <w:jc w:val="center"/>
              <w:rPr>
                <w:rFonts w:eastAsia="Times New Roman" w:cs="Times New Roman"/>
                <w:b/>
                <w:bCs/>
                <w:iCs/>
                <w:sz w:val="24"/>
                <w:szCs w:val="24"/>
                <w:lang w:eastAsia="lv-LV"/>
              </w:rPr>
            </w:pPr>
            <w:r w:rsidRPr="00235AD3">
              <w:rPr>
                <w:rFonts w:eastAsia="Times New Roman" w:cs="Times New Roman"/>
                <w:b/>
                <w:bCs/>
                <w:iCs/>
                <w:sz w:val="24"/>
                <w:szCs w:val="24"/>
                <w:lang w:eastAsia="lv-LV"/>
              </w:rPr>
              <w:t>20</w:t>
            </w:r>
            <w:r w:rsidR="001F1FD5" w:rsidRPr="00235AD3">
              <w:rPr>
                <w:rFonts w:eastAsia="Times New Roman" w:cs="Times New Roman"/>
                <w:b/>
                <w:bCs/>
                <w:iCs/>
                <w:sz w:val="24"/>
                <w:szCs w:val="24"/>
                <w:lang w:eastAsia="lv-LV"/>
              </w:rPr>
              <w:t>21</w:t>
            </w:r>
          </w:p>
        </w:tc>
        <w:tc>
          <w:tcPr>
            <w:tcW w:w="5544" w:type="dxa"/>
            <w:gridSpan w:val="5"/>
            <w:hideMark/>
          </w:tcPr>
          <w:p w14:paraId="24DABAED" w14:textId="77777777" w:rsidR="00F05D71" w:rsidRPr="00235AD3" w:rsidRDefault="00F05D71" w:rsidP="00ED0B96">
            <w:pPr>
              <w:rPr>
                <w:rFonts w:eastAsia="Times New Roman" w:cs="Times New Roman"/>
                <w:iCs/>
                <w:sz w:val="24"/>
                <w:szCs w:val="24"/>
                <w:lang w:eastAsia="lv-LV"/>
              </w:rPr>
            </w:pPr>
            <w:r w:rsidRPr="00235AD3">
              <w:rPr>
                <w:rFonts w:eastAsia="Times New Roman" w:cs="Times New Roman"/>
                <w:iCs/>
                <w:sz w:val="24"/>
                <w:szCs w:val="24"/>
                <w:lang w:eastAsia="lv-LV"/>
              </w:rPr>
              <w:t>Turpmākie trīs gadi (</w:t>
            </w:r>
            <w:proofErr w:type="spellStart"/>
            <w:r w:rsidRPr="00235AD3">
              <w:rPr>
                <w:rFonts w:eastAsia="Times New Roman" w:cs="Times New Roman"/>
                <w:i/>
                <w:iCs/>
                <w:sz w:val="24"/>
                <w:szCs w:val="24"/>
                <w:lang w:eastAsia="lv-LV"/>
              </w:rPr>
              <w:t>euro</w:t>
            </w:r>
            <w:proofErr w:type="spellEnd"/>
            <w:r w:rsidRPr="00235AD3">
              <w:rPr>
                <w:rFonts w:eastAsia="Times New Roman" w:cs="Times New Roman"/>
                <w:iCs/>
                <w:sz w:val="24"/>
                <w:szCs w:val="24"/>
                <w:lang w:eastAsia="lv-LV"/>
              </w:rPr>
              <w:t>)</w:t>
            </w:r>
          </w:p>
        </w:tc>
      </w:tr>
      <w:tr w:rsidR="00F05D71" w:rsidRPr="00235AD3" w14:paraId="0E0D9643" w14:textId="77777777" w:rsidTr="00A26CB1">
        <w:trPr>
          <w:gridAfter w:val="1"/>
          <w:wAfter w:w="29" w:type="dxa"/>
          <w:trHeight w:val="282"/>
        </w:trPr>
        <w:tc>
          <w:tcPr>
            <w:tcW w:w="1700" w:type="dxa"/>
            <w:vMerge/>
            <w:hideMark/>
          </w:tcPr>
          <w:p w14:paraId="56D30792" w14:textId="77777777" w:rsidR="00F05D71" w:rsidRPr="00235AD3" w:rsidRDefault="00F05D71" w:rsidP="00ED0B96">
            <w:pPr>
              <w:rPr>
                <w:rFonts w:eastAsia="Times New Roman" w:cs="Times New Roman"/>
                <w:bCs/>
                <w:iCs/>
                <w:sz w:val="24"/>
                <w:szCs w:val="24"/>
                <w:lang w:eastAsia="lv-LV"/>
              </w:rPr>
            </w:pPr>
          </w:p>
        </w:tc>
        <w:tc>
          <w:tcPr>
            <w:tcW w:w="2123" w:type="dxa"/>
            <w:gridSpan w:val="2"/>
            <w:vMerge/>
            <w:hideMark/>
          </w:tcPr>
          <w:p w14:paraId="78D65144" w14:textId="77777777" w:rsidR="00F05D71" w:rsidRPr="00235AD3" w:rsidRDefault="00F05D71" w:rsidP="00ED0B96">
            <w:pPr>
              <w:rPr>
                <w:rFonts w:eastAsia="Times New Roman" w:cs="Times New Roman"/>
                <w:bCs/>
                <w:iCs/>
                <w:sz w:val="24"/>
                <w:szCs w:val="24"/>
                <w:lang w:eastAsia="lv-LV"/>
              </w:rPr>
            </w:pPr>
          </w:p>
        </w:tc>
        <w:tc>
          <w:tcPr>
            <w:tcW w:w="2268" w:type="dxa"/>
            <w:gridSpan w:val="2"/>
            <w:hideMark/>
          </w:tcPr>
          <w:p w14:paraId="50F886C0" w14:textId="274A91F5" w:rsidR="00F05D71" w:rsidRPr="00235AD3" w:rsidRDefault="00F05D71" w:rsidP="001F1FD5">
            <w:pPr>
              <w:jc w:val="center"/>
              <w:rPr>
                <w:rFonts w:eastAsia="Times New Roman" w:cs="Times New Roman"/>
                <w:b/>
                <w:bCs/>
                <w:iCs/>
                <w:sz w:val="24"/>
                <w:szCs w:val="24"/>
                <w:lang w:eastAsia="lv-LV"/>
              </w:rPr>
            </w:pPr>
            <w:r w:rsidRPr="00235AD3">
              <w:rPr>
                <w:rFonts w:eastAsia="Times New Roman" w:cs="Times New Roman"/>
                <w:b/>
                <w:bCs/>
                <w:iCs/>
                <w:sz w:val="24"/>
                <w:szCs w:val="24"/>
                <w:lang w:eastAsia="lv-LV"/>
              </w:rPr>
              <w:t>20</w:t>
            </w:r>
            <w:r w:rsidR="00364D16" w:rsidRPr="00235AD3">
              <w:rPr>
                <w:rFonts w:eastAsia="Times New Roman" w:cs="Times New Roman"/>
                <w:b/>
                <w:bCs/>
                <w:iCs/>
                <w:sz w:val="24"/>
                <w:szCs w:val="24"/>
                <w:lang w:eastAsia="lv-LV"/>
              </w:rPr>
              <w:t>2</w:t>
            </w:r>
            <w:r w:rsidR="001F1FD5" w:rsidRPr="00235AD3">
              <w:rPr>
                <w:rFonts w:eastAsia="Times New Roman" w:cs="Times New Roman"/>
                <w:b/>
                <w:bCs/>
                <w:iCs/>
                <w:sz w:val="24"/>
                <w:szCs w:val="24"/>
                <w:lang w:eastAsia="lv-LV"/>
              </w:rPr>
              <w:t>2</w:t>
            </w:r>
          </w:p>
        </w:tc>
        <w:tc>
          <w:tcPr>
            <w:tcW w:w="2268" w:type="dxa"/>
            <w:gridSpan w:val="2"/>
            <w:hideMark/>
          </w:tcPr>
          <w:p w14:paraId="69566710" w14:textId="04FACC4F" w:rsidR="00F05D71" w:rsidRPr="00235AD3" w:rsidRDefault="00F05D71" w:rsidP="001F1FD5">
            <w:pPr>
              <w:jc w:val="center"/>
              <w:rPr>
                <w:rFonts w:eastAsia="Times New Roman" w:cs="Times New Roman"/>
                <w:b/>
                <w:bCs/>
                <w:iCs/>
                <w:sz w:val="24"/>
                <w:szCs w:val="24"/>
                <w:lang w:eastAsia="lv-LV"/>
              </w:rPr>
            </w:pPr>
            <w:r w:rsidRPr="00235AD3">
              <w:rPr>
                <w:rFonts w:eastAsia="Times New Roman" w:cs="Times New Roman"/>
                <w:b/>
                <w:bCs/>
                <w:iCs/>
                <w:sz w:val="24"/>
                <w:szCs w:val="24"/>
                <w:lang w:eastAsia="lv-LV"/>
              </w:rPr>
              <w:t>202</w:t>
            </w:r>
            <w:r w:rsidR="001F1FD5" w:rsidRPr="00235AD3">
              <w:rPr>
                <w:rFonts w:eastAsia="Times New Roman" w:cs="Times New Roman"/>
                <w:b/>
                <w:bCs/>
                <w:iCs/>
                <w:sz w:val="24"/>
                <w:szCs w:val="24"/>
                <w:lang w:eastAsia="lv-LV"/>
              </w:rPr>
              <w:t>3</w:t>
            </w:r>
          </w:p>
        </w:tc>
        <w:tc>
          <w:tcPr>
            <w:tcW w:w="1008" w:type="dxa"/>
            <w:hideMark/>
          </w:tcPr>
          <w:p w14:paraId="32BCBF8F" w14:textId="542B7272" w:rsidR="00F05D71" w:rsidRPr="00235AD3" w:rsidRDefault="00F05D71" w:rsidP="001F1FD5">
            <w:pPr>
              <w:jc w:val="center"/>
              <w:rPr>
                <w:rFonts w:eastAsia="Times New Roman" w:cs="Times New Roman"/>
                <w:b/>
                <w:bCs/>
                <w:iCs/>
                <w:sz w:val="24"/>
                <w:szCs w:val="24"/>
                <w:lang w:eastAsia="lv-LV"/>
              </w:rPr>
            </w:pPr>
            <w:r w:rsidRPr="00235AD3">
              <w:rPr>
                <w:rFonts w:eastAsia="Times New Roman" w:cs="Times New Roman"/>
                <w:b/>
                <w:bCs/>
                <w:iCs/>
                <w:sz w:val="24"/>
                <w:szCs w:val="24"/>
                <w:lang w:eastAsia="lv-LV"/>
              </w:rPr>
              <w:t>202</w:t>
            </w:r>
            <w:r w:rsidR="001F1FD5" w:rsidRPr="00235AD3">
              <w:rPr>
                <w:rFonts w:eastAsia="Times New Roman" w:cs="Times New Roman"/>
                <w:b/>
                <w:bCs/>
                <w:iCs/>
                <w:sz w:val="24"/>
                <w:szCs w:val="24"/>
                <w:lang w:eastAsia="lv-LV"/>
              </w:rPr>
              <w:t>4</w:t>
            </w:r>
          </w:p>
        </w:tc>
      </w:tr>
      <w:tr w:rsidR="00F05D71" w:rsidRPr="00235AD3" w14:paraId="3ABD14EA" w14:textId="77777777" w:rsidTr="00A26CB1">
        <w:trPr>
          <w:gridAfter w:val="1"/>
          <w:wAfter w:w="29" w:type="dxa"/>
          <w:trHeight w:val="2363"/>
        </w:trPr>
        <w:tc>
          <w:tcPr>
            <w:tcW w:w="1700" w:type="dxa"/>
            <w:vMerge/>
            <w:hideMark/>
          </w:tcPr>
          <w:p w14:paraId="3A4A3C7E" w14:textId="77777777" w:rsidR="00F05D71" w:rsidRPr="00235AD3" w:rsidRDefault="00F05D71" w:rsidP="00ED0B96">
            <w:pPr>
              <w:rPr>
                <w:rFonts w:eastAsia="Times New Roman" w:cs="Times New Roman"/>
                <w:b/>
                <w:bCs/>
                <w:iCs/>
                <w:sz w:val="24"/>
                <w:szCs w:val="24"/>
                <w:lang w:eastAsia="lv-LV"/>
              </w:rPr>
            </w:pPr>
          </w:p>
        </w:tc>
        <w:tc>
          <w:tcPr>
            <w:tcW w:w="990" w:type="dxa"/>
            <w:hideMark/>
          </w:tcPr>
          <w:p w14:paraId="4CFF716F" w14:textId="77777777" w:rsidR="00F05D71" w:rsidRPr="00235AD3" w:rsidRDefault="00F05D71" w:rsidP="00ED0B96">
            <w:pPr>
              <w:rPr>
                <w:rFonts w:eastAsia="Times New Roman" w:cs="Times New Roman"/>
                <w:iCs/>
                <w:sz w:val="24"/>
                <w:szCs w:val="24"/>
                <w:lang w:eastAsia="lv-LV"/>
              </w:rPr>
            </w:pPr>
            <w:r w:rsidRPr="00235AD3">
              <w:rPr>
                <w:rFonts w:eastAsia="Times New Roman" w:cs="Times New Roman"/>
                <w:iCs/>
                <w:sz w:val="24"/>
                <w:szCs w:val="24"/>
                <w:lang w:eastAsia="lv-LV"/>
              </w:rPr>
              <w:t>saskaņā ar valsts budžetu kārtējam gadam</w:t>
            </w:r>
          </w:p>
        </w:tc>
        <w:tc>
          <w:tcPr>
            <w:tcW w:w="1133" w:type="dxa"/>
            <w:hideMark/>
          </w:tcPr>
          <w:p w14:paraId="7EAF89FC" w14:textId="77777777" w:rsidR="00F05D71" w:rsidRPr="00235AD3" w:rsidRDefault="00F05D71" w:rsidP="00ED0B96">
            <w:pPr>
              <w:rPr>
                <w:rFonts w:eastAsia="Times New Roman" w:cs="Times New Roman"/>
                <w:iCs/>
                <w:sz w:val="24"/>
                <w:szCs w:val="24"/>
                <w:lang w:eastAsia="lv-LV"/>
              </w:rPr>
            </w:pPr>
            <w:r w:rsidRPr="00235AD3">
              <w:rPr>
                <w:rFonts w:eastAsia="Times New Roman" w:cs="Times New Roman"/>
                <w:iCs/>
                <w:sz w:val="24"/>
                <w:szCs w:val="24"/>
                <w:lang w:eastAsia="lv-LV"/>
              </w:rPr>
              <w:t>Izmaiņas kārtējā gadā, salīdzinot ar valsts budžetu kārtējam gadam</w:t>
            </w:r>
          </w:p>
        </w:tc>
        <w:tc>
          <w:tcPr>
            <w:tcW w:w="1275" w:type="dxa"/>
            <w:hideMark/>
          </w:tcPr>
          <w:p w14:paraId="2F4D8082" w14:textId="77777777" w:rsidR="00F05D71" w:rsidRPr="00235AD3" w:rsidRDefault="00F05D71" w:rsidP="00ED0B96">
            <w:pPr>
              <w:rPr>
                <w:rFonts w:eastAsia="Times New Roman" w:cs="Times New Roman"/>
                <w:iCs/>
                <w:sz w:val="24"/>
                <w:szCs w:val="24"/>
                <w:lang w:eastAsia="lv-LV"/>
              </w:rPr>
            </w:pPr>
            <w:r w:rsidRPr="00235AD3">
              <w:rPr>
                <w:rFonts w:eastAsia="Times New Roman" w:cs="Times New Roman"/>
                <w:iCs/>
                <w:sz w:val="24"/>
                <w:szCs w:val="24"/>
                <w:lang w:eastAsia="lv-LV"/>
              </w:rPr>
              <w:t>saskaņā ar vidēja termiņa budžeta ietvaru</w:t>
            </w:r>
          </w:p>
        </w:tc>
        <w:tc>
          <w:tcPr>
            <w:tcW w:w="993" w:type="dxa"/>
            <w:hideMark/>
          </w:tcPr>
          <w:p w14:paraId="4B47CDB9" w14:textId="534A194F" w:rsidR="00F05D71" w:rsidRPr="00235AD3" w:rsidRDefault="00F05D71" w:rsidP="00D032CD">
            <w:pPr>
              <w:rPr>
                <w:rFonts w:eastAsia="Times New Roman" w:cs="Times New Roman"/>
                <w:iCs/>
                <w:sz w:val="24"/>
                <w:szCs w:val="24"/>
                <w:lang w:eastAsia="lv-LV"/>
              </w:rPr>
            </w:pPr>
            <w:r w:rsidRPr="00235AD3">
              <w:rPr>
                <w:rFonts w:eastAsia="Times New Roman" w:cs="Times New Roman"/>
                <w:iCs/>
                <w:sz w:val="24"/>
                <w:szCs w:val="24"/>
                <w:lang w:eastAsia="lv-LV"/>
              </w:rPr>
              <w:t>izmaiņas, salīdzinot ar vidēja termiņa budžeta ietvaru 20</w:t>
            </w:r>
            <w:r w:rsidR="00D032CD" w:rsidRPr="00235AD3">
              <w:rPr>
                <w:rFonts w:eastAsia="Times New Roman" w:cs="Times New Roman"/>
                <w:iCs/>
                <w:sz w:val="24"/>
                <w:szCs w:val="24"/>
                <w:lang w:eastAsia="lv-LV"/>
              </w:rPr>
              <w:t>21</w:t>
            </w:r>
            <w:r w:rsidRPr="00235AD3">
              <w:rPr>
                <w:rFonts w:eastAsia="Times New Roman" w:cs="Times New Roman"/>
                <w:iCs/>
                <w:sz w:val="24"/>
                <w:szCs w:val="24"/>
                <w:lang w:eastAsia="lv-LV"/>
              </w:rPr>
              <w:t>.g.</w:t>
            </w:r>
          </w:p>
        </w:tc>
        <w:tc>
          <w:tcPr>
            <w:tcW w:w="1275" w:type="dxa"/>
            <w:hideMark/>
          </w:tcPr>
          <w:p w14:paraId="1CAC0B86" w14:textId="77777777" w:rsidR="00F05D71" w:rsidRPr="00235AD3" w:rsidRDefault="00F05D71" w:rsidP="00ED0B96">
            <w:pPr>
              <w:rPr>
                <w:rFonts w:eastAsia="Times New Roman" w:cs="Times New Roman"/>
                <w:iCs/>
                <w:sz w:val="24"/>
                <w:szCs w:val="24"/>
                <w:lang w:eastAsia="lv-LV"/>
              </w:rPr>
            </w:pPr>
            <w:r w:rsidRPr="00235AD3">
              <w:rPr>
                <w:rFonts w:eastAsia="Times New Roman" w:cs="Times New Roman"/>
                <w:iCs/>
                <w:sz w:val="24"/>
                <w:szCs w:val="24"/>
                <w:lang w:eastAsia="lv-LV"/>
              </w:rPr>
              <w:t>saskaņā ar vidēja termiņa budžeta ietvaru</w:t>
            </w:r>
          </w:p>
        </w:tc>
        <w:tc>
          <w:tcPr>
            <w:tcW w:w="993" w:type="dxa"/>
            <w:hideMark/>
          </w:tcPr>
          <w:p w14:paraId="0F42DAF1" w14:textId="77777777" w:rsidR="00F05D71" w:rsidRPr="00235AD3" w:rsidRDefault="00F05D71" w:rsidP="00ED0B96">
            <w:pPr>
              <w:rPr>
                <w:rFonts w:eastAsia="Times New Roman" w:cs="Times New Roman"/>
                <w:iCs/>
                <w:sz w:val="24"/>
                <w:szCs w:val="24"/>
                <w:lang w:eastAsia="lv-LV"/>
              </w:rPr>
            </w:pPr>
            <w:r w:rsidRPr="00235AD3">
              <w:rPr>
                <w:rFonts w:eastAsia="Times New Roman" w:cs="Times New Roman"/>
                <w:iCs/>
                <w:sz w:val="24"/>
                <w:szCs w:val="24"/>
                <w:lang w:eastAsia="lv-LV"/>
              </w:rPr>
              <w:t xml:space="preserve">izmaiņas, salīdzinot ar vidēja termiņa budžeta ietvaru </w:t>
            </w:r>
          </w:p>
          <w:p w14:paraId="12D5F910" w14:textId="5CB9DD70" w:rsidR="00F05D71" w:rsidRPr="00235AD3" w:rsidRDefault="00F05D71" w:rsidP="00D032CD">
            <w:pPr>
              <w:rPr>
                <w:rFonts w:eastAsia="Times New Roman" w:cs="Times New Roman"/>
                <w:iCs/>
                <w:sz w:val="24"/>
                <w:szCs w:val="24"/>
                <w:lang w:eastAsia="lv-LV"/>
              </w:rPr>
            </w:pPr>
            <w:r w:rsidRPr="00235AD3">
              <w:rPr>
                <w:rFonts w:eastAsia="Times New Roman" w:cs="Times New Roman"/>
                <w:iCs/>
                <w:sz w:val="24"/>
                <w:szCs w:val="24"/>
                <w:lang w:eastAsia="lv-LV"/>
              </w:rPr>
              <w:t>202</w:t>
            </w:r>
            <w:r w:rsidR="00D032CD" w:rsidRPr="00235AD3">
              <w:rPr>
                <w:rFonts w:eastAsia="Times New Roman" w:cs="Times New Roman"/>
                <w:iCs/>
                <w:sz w:val="24"/>
                <w:szCs w:val="24"/>
                <w:lang w:eastAsia="lv-LV"/>
              </w:rPr>
              <w:t>2</w:t>
            </w:r>
            <w:r w:rsidRPr="00235AD3">
              <w:rPr>
                <w:rFonts w:eastAsia="Times New Roman" w:cs="Times New Roman"/>
                <w:iCs/>
                <w:sz w:val="24"/>
                <w:szCs w:val="24"/>
                <w:lang w:eastAsia="lv-LV"/>
              </w:rPr>
              <w:t>.g.</w:t>
            </w:r>
          </w:p>
        </w:tc>
        <w:tc>
          <w:tcPr>
            <w:tcW w:w="1008" w:type="dxa"/>
            <w:hideMark/>
          </w:tcPr>
          <w:p w14:paraId="35C0A66B" w14:textId="6171078C" w:rsidR="00F05D71" w:rsidRPr="00235AD3" w:rsidRDefault="00F05D71" w:rsidP="00D032CD">
            <w:pPr>
              <w:rPr>
                <w:rFonts w:eastAsia="Times New Roman" w:cs="Times New Roman"/>
                <w:iCs/>
                <w:sz w:val="24"/>
                <w:szCs w:val="24"/>
                <w:lang w:eastAsia="lv-LV"/>
              </w:rPr>
            </w:pPr>
            <w:r w:rsidRPr="00235AD3">
              <w:rPr>
                <w:rFonts w:eastAsia="Times New Roman" w:cs="Times New Roman"/>
                <w:iCs/>
                <w:sz w:val="24"/>
                <w:szCs w:val="24"/>
                <w:lang w:eastAsia="lv-LV"/>
              </w:rPr>
              <w:t xml:space="preserve">izmaiņas, salīdzinot ar vidēja termiņa budžeta ietvaru </w:t>
            </w:r>
            <w:r w:rsidRPr="00235AD3">
              <w:rPr>
                <w:rFonts w:eastAsia="Times New Roman" w:cs="Times New Roman"/>
                <w:iCs/>
                <w:sz w:val="24"/>
                <w:szCs w:val="24"/>
                <w:lang w:eastAsia="lv-LV"/>
              </w:rPr>
              <w:br/>
              <w:t>202</w:t>
            </w:r>
            <w:r w:rsidR="00D032CD" w:rsidRPr="00235AD3">
              <w:rPr>
                <w:rFonts w:eastAsia="Times New Roman" w:cs="Times New Roman"/>
                <w:iCs/>
                <w:sz w:val="24"/>
                <w:szCs w:val="24"/>
                <w:lang w:eastAsia="lv-LV"/>
              </w:rPr>
              <w:t>2</w:t>
            </w:r>
            <w:r w:rsidRPr="00235AD3">
              <w:rPr>
                <w:rFonts w:eastAsia="Times New Roman" w:cs="Times New Roman"/>
                <w:iCs/>
                <w:sz w:val="24"/>
                <w:szCs w:val="24"/>
                <w:lang w:eastAsia="lv-LV"/>
              </w:rPr>
              <w:t>.g.</w:t>
            </w:r>
          </w:p>
        </w:tc>
      </w:tr>
      <w:tr w:rsidR="00F05D71" w:rsidRPr="00235AD3" w14:paraId="32D61572" w14:textId="77777777" w:rsidTr="00A26CB1">
        <w:trPr>
          <w:gridAfter w:val="1"/>
          <w:wAfter w:w="29" w:type="dxa"/>
          <w:trHeight w:val="252"/>
        </w:trPr>
        <w:tc>
          <w:tcPr>
            <w:tcW w:w="1700" w:type="dxa"/>
            <w:hideMark/>
          </w:tcPr>
          <w:p w14:paraId="02D817C6" w14:textId="77777777" w:rsidR="00F05D71" w:rsidRPr="00235AD3" w:rsidRDefault="00F05D71" w:rsidP="000D169E">
            <w:pPr>
              <w:jc w:val="center"/>
              <w:rPr>
                <w:rFonts w:eastAsia="Times New Roman" w:cs="Times New Roman"/>
                <w:iCs/>
                <w:sz w:val="24"/>
                <w:szCs w:val="24"/>
                <w:lang w:eastAsia="lv-LV"/>
              </w:rPr>
            </w:pPr>
            <w:r w:rsidRPr="00235AD3">
              <w:rPr>
                <w:rFonts w:eastAsia="Times New Roman" w:cs="Times New Roman"/>
                <w:iCs/>
                <w:sz w:val="24"/>
                <w:szCs w:val="24"/>
                <w:lang w:eastAsia="lv-LV"/>
              </w:rPr>
              <w:t>1</w:t>
            </w:r>
          </w:p>
        </w:tc>
        <w:tc>
          <w:tcPr>
            <w:tcW w:w="990" w:type="dxa"/>
            <w:hideMark/>
          </w:tcPr>
          <w:p w14:paraId="3714B456" w14:textId="77777777" w:rsidR="00F05D71" w:rsidRPr="00235AD3" w:rsidRDefault="00F05D71" w:rsidP="000D169E">
            <w:pPr>
              <w:jc w:val="center"/>
              <w:rPr>
                <w:rFonts w:eastAsia="Times New Roman" w:cs="Times New Roman"/>
                <w:iCs/>
                <w:sz w:val="24"/>
                <w:szCs w:val="24"/>
                <w:lang w:eastAsia="lv-LV"/>
              </w:rPr>
            </w:pPr>
            <w:r w:rsidRPr="00235AD3">
              <w:rPr>
                <w:rFonts w:eastAsia="Times New Roman" w:cs="Times New Roman"/>
                <w:iCs/>
                <w:sz w:val="24"/>
                <w:szCs w:val="24"/>
                <w:lang w:eastAsia="lv-LV"/>
              </w:rPr>
              <w:t>2</w:t>
            </w:r>
          </w:p>
        </w:tc>
        <w:tc>
          <w:tcPr>
            <w:tcW w:w="1133" w:type="dxa"/>
            <w:hideMark/>
          </w:tcPr>
          <w:p w14:paraId="305723EF" w14:textId="77777777" w:rsidR="00F05D71" w:rsidRPr="00235AD3" w:rsidRDefault="00F05D71" w:rsidP="000D169E">
            <w:pPr>
              <w:jc w:val="center"/>
              <w:rPr>
                <w:rFonts w:eastAsia="Times New Roman" w:cs="Times New Roman"/>
                <w:iCs/>
                <w:sz w:val="24"/>
                <w:szCs w:val="24"/>
                <w:lang w:eastAsia="lv-LV"/>
              </w:rPr>
            </w:pPr>
            <w:r w:rsidRPr="00235AD3">
              <w:rPr>
                <w:rFonts w:eastAsia="Times New Roman" w:cs="Times New Roman"/>
                <w:iCs/>
                <w:sz w:val="24"/>
                <w:szCs w:val="24"/>
                <w:lang w:eastAsia="lv-LV"/>
              </w:rPr>
              <w:t>3</w:t>
            </w:r>
          </w:p>
        </w:tc>
        <w:tc>
          <w:tcPr>
            <w:tcW w:w="1275" w:type="dxa"/>
            <w:hideMark/>
          </w:tcPr>
          <w:p w14:paraId="1A0A4664" w14:textId="77777777" w:rsidR="00F05D71" w:rsidRPr="00235AD3" w:rsidRDefault="00F05D71" w:rsidP="000D169E">
            <w:pPr>
              <w:jc w:val="center"/>
              <w:rPr>
                <w:rFonts w:eastAsia="Times New Roman" w:cs="Times New Roman"/>
                <w:iCs/>
                <w:sz w:val="24"/>
                <w:szCs w:val="24"/>
                <w:lang w:eastAsia="lv-LV"/>
              </w:rPr>
            </w:pPr>
            <w:r w:rsidRPr="00235AD3">
              <w:rPr>
                <w:rFonts w:eastAsia="Times New Roman" w:cs="Times New Roman"/>
                <w:iCs/>
                <w:sz w:val="24"/>
                <w:szCs w:val="24"/>
                <w:lang w:eastAsia="lv-LV"/>
              </w:rPr>
              <w:t>4</w:t>
            </w:r>
          </w:p>
        </w:tc>
        <w:tc>
          <w:tcPr>
            <w:tcW w:w="993" w:type="dxa"/>
            <w:hideMark/>
          </w:tcPr>
          <w:p w14:paraId="173B3782" w14:textId="77777777" w:rsidR="00F05D71" w:rsidRPr="00235AD3" w:rsidRDefault="00F05D71" w:rsidP="000D169E">
            <w:pPr>
              <w:jc w:val="center"/>
              <w:rPr>
                <w:rFonts w:eastAsia="Times New Roman" w:cs="Times New Roman"/>
                <w:iCs/>
                <w:sz w:val="24"/>
                <w:szCs w:val="24"/>
                <w:lang w:eastAsia="lv-LV"/>
              </w:rPr>
            </w:pPr>
            <w:r w:rsidRPr="00235AD3">
              <w:rPr>
                <w:rFonts w:eastAsia="Times New Roman" w:cs="Times New Roman"/>
                <w:iCs/>
                <w:sz w:val="24"/>
                <w:szCs w:val="24"/>
                <w:lang w:eastAsia="lv-LV"/>
              </w:rPr>
              <w:t>5</w:t>
            </w:r>
          </w:p>
        </w:tc>
        <w:tc>
          <w:tcPr>
            <w:tcW w:w="1275" w:type="dxa"/>
            <w:hideMark/>
          </w:tcPr>
          <w:p w14:paraId="55CD2D26" w14:textId="77777777" w:rsidR="00F05D71" w:rsidRPr="00235AD3" w:rsidRDefault="00F05D71" w:rsidP="000D169E">
            <w:pPr>
              <w:jc w:val="center"/>
              <w:rPr>
                <w:rFonts w:eastAsia="Times New Roman" w:cs="Times New Roman"/>
                <w:iCs/>
                <w:sz w:val="24"/>
                <w:szCs w:val="24"/>
                <w:lang w:eastAsia="lv-LV"/>
              </w:rPr>
            </w:pPr>
            <w:r w:rsidRPr="00235AD3">
              <w:rPr>
                <w:rFonts w:eastAsia="Times New Roman" w:cs="Times New Roman"/>
                <w:iCs/>
                <w:sz w:val="24"/>
                <w:szCs w:val="24"/>
                <w:lang w:eastAsia="lv-LV"/>
              </w:rPr>
              <w:t>6</w:t>
            </w:r>
          </w:p>
        </w:tc>
        <w:tc>
          <w:tcPr>
            <w:tcW w:w="993" w:type="dxa"/>
            <w:hideMark/>
          </w:tcPr>
          <w:p w14:paraId="3B49EA1D" w14:textId="77777777" w:rsidR="00F05D71" w:rsidRPr="00235AD3" w:rsidRDefault="00F05D71" w:rsidP="000D169E">
            <w:pPr>
              <w:jc w:val="center"/>
              <w:rPr>
                <w:rFonts w:eastAsia="Times New Roman" w:cs="Times New Roman"/>
                <w:iCs/>
                <w:sz w:val="24"/>
                <w:szCs w:val="24"/>
                <w:lang w:eastAsia="lv-LV"/>
              </w:rPr>
            </w:pPr>
            <w:r w:rsidRPr="00235AD3">
              <w:rPr>
                <w:rFonts w:eastAsia="Times New Roman" w:cs="Times New Roman"/>
                <w:iCs/>
                <w:sz w:val="24"/>
                <w:szCs w:val="24"/>
                <w:lang w:eastAsia="lv-LV"/>
              </w:rPr>
              <w:t>7</w:t>
            </w:r>
          </w:p>
        </w:tc>
        <w:tc>
          <w:tcPr>
            <w:tcW w:w="1008" w:type="dxa"/>
            <w:hideMark/>
          </w:tcPr>
          <w:p w14:paraId="1DA7362D" w14:textId="77777777" w:rsidR="00F05D71" w:rsidRPr="00235AD3" w:rsidRDefault="00F05D71" w:rsidP="000D169E">
            <w:pPr>
              <w:jc w:val="center"/>
              <w:rPr>
                <w:rFonts w:eastAsia="Times New Roman" w:cs="Times New Roman"/>
                <w:iCs/>
                <w:sz w:val="24"/>
                <w:szCs w:val="24"/>
                <w:lang w:eastAsia="lv-LV"/>
              </w:rPr>
            </w:pPr>
            <w:r w:rsidRPr="00235AD3">
              <w:rPr>
                <w:rFonts w:eastAsia="Times New Roman" w:cs="Times New Roman"/>
                <w:iCs/>
                <w:sz w:val="24"/>
                <w:szCs w:val="24"/>
                <w:lang w:eastAsia="lv-LV"/>
              </w:rPr>
              <w:t>8</w:t>
            </w:r>
          </w:p>
        </w:tc>
      </w:tr>
      <w:tr w:rsidR="00F05D71" w:rsidRPr="00235AD3" w14:paraId="3003CCF8" w14:textId="77777777" w:rsidTr="00A26CB1">
        <w:trPr>
          <w:gridAfter w:val="1"/>
          <w:wAfter w:w="29" w:type="dxa"/>
          <w:trHeight w:val="520"/>
        </w:trPr>
        <w:tc>
          <w:tcPr>
            <w:tcW w:w="1700" w:type="dxa"/>
            <w:hideMark/>
          </w:tcPr>
          <w:p w14:paraId="5A0179A0" w14:textId="77777777" w:rsidR="00F05D71" w:rsidRPr="00235AD3" w:rsidRDefault="00F05D71" w:rsidP="00ED0B96">
            <w:pPr>
              <w:rPr>
                <w:rFonts w:eastAsia="Times New Roman" w:cs="Times New Roman"/>
                <w:iCs/>
                <w:sz w:val="24"/>
                <w:szCs w:val="24"/>
                <w:lang w:eastAsia="lv-LV"/>
              </w:rPr>
            </w:pPr>
            <w:r w:rsidRPr="00235AD3">
              <w:rPr>
                <w:rFonts w:eastAsia="Times New Roman" w:cs="Times New Roman"/>
                <w:iCs/>
                <w:sz w:val="24"/>
                <w:szCs w:val="24"/>
                <w:lang w:eastAsia="lv-LV"/>
              </w:rPr>
              <w:t>1. Budžeta ieņēmumi</w:t>
            </w:r>
          </w:p>
        </w:tc>
        <w:tc>
          <w:tcPr>
            <w:tcW w:w="990" w:type="dxa"/>
          </w:tcPr>
          <w:p w14:paraId="05A3C658"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133" w:type="dxa"/>
          </w:tcPr>
          <w:p w14:paraId="76FCE1ED"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5E7437A2"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2B87297B"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7B4F0F2C"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230613BB"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008" w:type="dxa"/>
          </w:tcPr>
          <w:p w14:paraId="3B2FB371" w14:textId="77777777" w:rsidR="00F05D71" w:rsidRPr="00235AD3" w:rsidRDefault="00F05D71" w:rsidP="00F05D71">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r>
      <w:tr w:rsidR="002B5F64" w:rsidRPr="00235AD3" w14:paraId="0ABA1077" w14:textId="77777777" w:rsidTr="00A26CB1">
        <w:trPr>
          <w:gridAfter w:val="1"/>
          <w:wAfter w:w="29" w:type="dxa"/>
          <w:trHeight w:val="1828"/>
        </w:trPr>
        <w:tc>
          <w:tcPr>
            <w:tcW w:w="1700" w:type="dxa"/>
            <w:hideMark/>
          </w:tcPr>
          <w:p w14:paraId="1CDB148C" w14:textId="77777777" w:rsidR="002B5F64" w:rsidRPr="00235AD3" w:rsidRDefault="002B5F64" w:rsidP="002B5F64">
            <w:pPr>
              <w:rPr>
                <w:rFonts w:eastAsia="Times New Roman" w:cs="Times New Roman"/>
                <w:iCs/>
                <w:sz w:val="24"/>
                <w:szCs w:val="24"/>
                <w:lang w:eastAsia="lv-LV"/>
              </w:rPr>
            </w:pPr>
            <w:r w:rsidRPr="00235AD3">
              <w:rPr>
                <w:rFonts w:eastAsia="Times New Roman" w:cs="Times New Roman"/>
                <w:iCs/>
                <w:sz w:val="24"/>
                <w:szCs w:val="24"/>
                <w:lang w:eastAsia="lv-LV"/>
              </w:rPr>
              <w:t>1.1. valsts pamatbudžets, tai skaitā ieņēmumi no maksas pakalpojumiem un citi pašu ieņēmumi, t.sk.,</w:t>
            </w:r>
          </w:p>
        </w:tc>
        <w:tc>
          <w:tcPr>
            <w:tcW w:w="990" w:type="dxa"/>
          </w:tcPr>
          <w:p w14:paraId="1BAFF928" w14:textId="40289844"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133" w:type="dxa"/>
          </w:tcPr>
          <w:p w14:paraId="48F63325" w14:textId="706637D4"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2814F473" w14:textId="1C78A10D"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46F2A9BB" w14:textId="5AC72BE4"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66664F7C" w14:textId="25EB9E33"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7E043F1B" w14:textId="5B20D23B"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008" w:type="dxa"/>
          </w:tcPr>
          <w:p w14:paraId="03F5E0B4" w14:textId="152E1B1F"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r>
      <w:tr w:rsidR="002B5F64" w:rsidRPr="00235AD3" w14:paraId="3DDAC3E5" w14:textId="77777777" w:rsidTr="00A26CB1">
        <w:trPr>
          <w:gridAfter w:val="1"/>
          <w:wAfter w:w="29" w:type="dxa"/>
          <w:trHeight w:val="1828"/>
        </w:trPr>
        <w:tc>
          <w:tcPr>
            <w:tcW w:w="1700" w:type="dxa"/>
          </w:tcPr>
          <w:p w14:paraId="1F166C1D" w14:textId="77777777" w:rsidR="002B5F64" w:rsidRPr="00235AD3" w:rsidRDefault="002B5F64" w:rsidP="002B5F64">
            <w:pPr>
              <w:rPr>
                <w:rFonts w:eastAsia="Times New Roman" w:cs="Times New Roman"/>
                <w:iCs/>
                <w:sz w:val="24"/>
                <w:szCs w:val="24"/>
                <w:lang w:eastAsia="lv-LV"/>
              </w:rPr>
            </w:pPr>
            <w:r w:rsidRPr="00235AD3">
              <w:rPr>
                <w:rFonts w:eastAsia="Times New Roman" w:cs="Times New Roman"/>
                <w:iCs/>
                <w:sz w:val="24"/>
                <w:szCs w:val="24"/>
                <w:lang w:eastAsia="lv-LV"/>
              </w:rPr>
              <w:t>no akcīzes nodokļa</w:t>
            </w:r>
          </w:p>
        </w:tc>
        <w:tc>
          <w:tcPr>
            <w:tcW w:w="990" w:type="dxa"/>
          </w:tcPr>
          <w:p w14:paraId="3A3E67EE" w14:textId="19F072C4"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133" w:type="dxa"/>
          </w:tcPr>
          <w:p w14:paraId="0725F5AC" w14:textId="2A9E5366"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564E83A7" w14:textId="6524093A" w:rsidR="002B5F64" w:rsidRPr="00235AD3" w:rsidRDefault="002B5F64" w:rsidP="002B5F64">
            <w:pPr>
              <w:jc w:val="center"/>
              <w:rPr>
                <w:rFonts w:cs="Times New Roman"/>
                <w:sz w:val="24"/>
                <w:szCs w:val="24"/>
              </w:rPr>
            </w:pPr>
            <w:r w:rsidRPr="00235AD3">
              <w:rPr>
                <w:rFonts w:eastAsia="Times New Roman" w:cs="Times New Roman"/>
                <w:iCs/>
                <w:sz w:val="24"/>
                <w:szCs w:val="24"/>
                <w:lang w:eastAsia="lv-LV"/>
              </w:rPr>
              <w:t>0</w:t>
            </w:r>
          </w:p>
        </w:tc>
        <w:tc>
          <w:tcPr>
            <w:tcW w:w="993" w:type="dxa"/>
          </w:tcPr>
          <w:p w14:paraId="1D1D720A" w14:textId="6379C0C2"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0DACB158" w14:textId="71851C25" w:rsidR="002B5F64" w:rsidRPr="00235AD3" w:rsidRDefault="002B5F64" w:rsidP="002B5F64">
            <w:pPr>
              <w:jc w:val="center"/>
              <w:rPr>
                <w:rFonts w:cs="Times New Roman"/>
                <w:sz w:val="24"/>
                <w:szCs w:val="24"/>
              </w:rPr>
            </w:pPr>
            <w:r w:rsidRPr="00235AD3">
              <w:rPr>
                <w:rFonts w:eastAsia="Times New Roman" w:cs="Times New Roman"/>
                <w:iCs/>
                <w:sz w:val="24"/>
                <w:szCs w:val="24"/>
                <w:lang w:eastAsia="lv-LV"/>
              </w:rPr>
              <w:t>0</w:t>
            </w:r>
          </w:p>
        </w:tc>
        <w:tc>
          <w:tcPr>
            <w:tcW w:w="993" w:type="dxa"/>
          </w:tcPr>
          <w:p w14:paraId="351C29ED" w14:textId="7A51A21A"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008" w:type="dxa"/>
          </w:tcPr>
          <w:p w14:paraId="14814257" w14:textId="1EA5B8E1"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r>
      <w:tr w:rsidR="002B5F64" w:rsidRPr="00235AD3" w14:paraId="0C511679" w14:textId="77777777" w:rsidTr="00A26CB1">
        <w:trPr>
          <w:gridAfter w:val="1"/>
          <w:wAfter w:w="29" w:type="dxa"/>
          <w:trHeight w:val="1828"/>
        </w:trPr>
        <w:tc>
          <w:tcPr>
            <w:tcW w:w="1700" w:type="dxa"/>
          </w:tcPr>
          <w:p w14:paraId="0C99FC31" w14:textId="77777777" w:rsidR="002B5F64" w:rsidRPr="00235AD3" w:rsidRDefault="002B5F64" w:rsidP="002B5F64">
            <w:pPr>
              <w:rPr>
                <w:rFonts w:eastAsia="Times New Roman" w:cs="Times New Roman"/>
                <w:iCs/>
                <w:sz w:val="24"/>
                <w:szCs w:val="24"/>
                <w:lang w:eastAsia="lv-LV"/>
              </w:rPr>
            </w:pPr>
            <w:r w:rsidRPr="00235AD3">
              <w:rPr>
                <w:rFonts w:eastAsia="Times New Roman" w:cs="Times New Roman"/>
                <w:iCs/>
                <w:sz w:val="24"/>
                <w:szCs w:val="24"/>
                <w:lang w:eastAsia="lv-LV"/>
              </w:rPr>
              <w:t>no pievienotās vērtības nodokļa</w:t>
            </w:r>
          </w:p>
        </w:tc>
        <w:tc>
          <w:tcPr>
            <w:tcW w:w="990" w:type="dxa"/>
          </w:tcPr>
          <w:p w14:paraId="0A6C88AB" w14:textId="56B2551F"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133" w:type="dxa"/>
          </w:tcPr>
          <w:p w14:paraId="00C3C9B0" w14:textId="127867BF"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721D15F0" w14:textId="3030C9ED" w:rsidR="002B5F64" w:rsidRPr="00235AD3" w:rsidRDefault="002B5F64" w:rsidP="002B5F64">
            <w:pPr>
              <w:jc w:val="center"/>
              <w:rPr>
                <w:rFonts w:cs="Times New Roman"/>
                <w:sz w:val="24"/>
                <w:szCs w:val="24"/>
              </w:rPr>
            </w:pPr>
            <w:r w:rsidRPr="00235AD3">
              <w:rPr>
                <w:rFonts w:eastAsia="Times New Roman" w:cs="Times New Roman"/>
                <w:iCs/>
                <w:sz w:val="24"/>
                <w:szCs w:val="24"/>
                <w:lang w:eastAsia="lv-LV"/>
              </w:rPr>
              <w:t>0</w:t>
            </w:r>
          </w:p>
        </w:tc>
        <w:tc>
          <w:tcPr>
            <w:tcW w:w="993" w:type="dxa"/>
          </w:tcPr>
          <w:p w14:paraId="60DF9072" w14:textId="5ABF6422"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7BB55F52" w14:textId="7B7160C9" w:rsidR="002B5F64" w:rsidRPr="00235AD3" w:rsidRDefault="002B5F64" w:rsidP="002B5F64">
            <w:pPr>
              <w:jc w:val="center"/>
              <w:rPr>
                <w:rFonts w:cs="Times New Roman"/>
                <w:sz w:val="24"/>
                <w:szCs w:val="24"/>
              </w:rPr>
            </w:pPr>
            <w:r w:rsidRPr="00235AD3">
              <w:rPr>
                <w:rFonts w:eastAsia="Times New Roman" w:cs="Times New Roman"/>
                <w:iCs/>
                <w:sz w:val="24"/>
                <w:szCs w:val="24"/>
                <w:lang w:eastAsia="lv-LV"/>
              </w:rPr>
              <w:t>0</w:t>
            </w:r>
          </w:p>
        </w:tc>
        <w:tc>
          <w:tcPr>
            <w:tcW w:w="993" w:type="dxa"/>
          </w:tcPr>
          <w:p w14:paraId="7816BAEE" w14:textId="479B0990"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008" w:type="dxa"/>
          </w:tcPr>
          <w:p w14:paraId="1B0E3D44" w14:textId="21CAAD9C"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r>
      <w:tr w:rsidR="002B5F64" w:rsidRPr="00235AD3" w14:paraId="4FBC88FA" w14:textId="77777777" w:rsidTr="00A26CB1">
        <w:trPr>
          <w:gridAfter w:val="1"/>
          <w:wAfter w:w="29" w:type="dxa"/>
          <w:trHeight w:val="520"/>
        </w:trPr>
        <w:tc>
          <w:tcPr>
            <w:tcW w:w="1700" w:type="dxa"/>
            <w:hideMark/>
          </w:tcPr>
          <w:p w14:paraId="1DD7DF59" w14:textId="77777777" w:rsidR="002B5F64" w:rsidRPr="00235AD3" w:rsidRDefault="002B5F64" w:rsidP="002B5F64">
            <w:pPr>
              <w:rPr>
                <w:rFonts w:eastAsia="Times New Roman" w:cs="Times New Roman"/>
                <w:iCs/>
                <w:sz w:val="24"/>
                <w:szCs w:val="24"/>
                <w:lang w:eastAsia="lv-LV"/>
              </w:rPr>
            </w:pPr>
            <w:r w:rsidRPr="00235AD3">
              <w:rPr>
                <w:rFonts w:eastAsia="Times New Roman" w:cs="Times New Roman"/>
                <w:iCs/>
                <w:sz w:val="24"/>
                <w:szCs w:val="24"/>
                <w:lang w:eastAsia="lv-LV"/>
              </w:rPr>
              <w:t>1.2. valsts speciālais budžets</w:t>
            </w:r>
          </w:p>
        </w:tc>
        <w:tc>
          <w:tcPr>
            <w:tcW w:w="990" w:type="dxa"/>
          </w:tcPr>
          <w:p w14:paraId="7DA0266E" w14:textId="3FE25A37"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133" w:type="dxa"/>
          </w:tcPr>
          <w:p w14:paraId="03EF46A5" w14:textId="69ABC6D2"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0D75E503" w14:textId="7DF75421"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7EDF58FC" w14:textId="14638122"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5965C4E4" w14:textId="485DB4AA"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303F36B8" w14:textId="4DE8CA41"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008" w:type="dxa"/>
          </w:tcPr>
          <w:p w14:paraId="04230D29" w14:textId="76A3FA0C"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r>
      <w:tr w:rsidR="002B5F64" w:rsidRPr="00235AD3" w14:paraId="5745E339" w14:textId="77777777" w:rsidTr="00A26CB1">
        <w:trPr>
          <w:gridAfter w:val="1"/>
          <w:wAfter w:w="29" w:type="dxa"/>
          <w:trHeight w:val="520"/>
        </w:trPr>
        <w:tc>
          <w:tcPr>
            <w:tcW w:w="1700" w:type="dxa"/>
            <w:hideMark/>
          </w:tcPr>
          <w:p w14:paraId="0EDFC9AC" w14:textId="77777777" w:rsidR="002B5F64" w:rsidRPr="00235AD3" w:rsidRDefault="002B5F64" w:rsidP="002B5F64">
            <w:pPr>
              <w:rPr>
                <w:rFonts w:eastAsia="Times New Roman" w:cs="Times New Roman"/>
                <w:iCs/>
                <w:sz w:val="24"/>
                <w:szCs w:val="24"/>
                <w:lang w:eastAsia="lv-LV"/>
              </w:rPr>
            </w:pPr>
            <w:r w:rsidRPr="00235AD3">
              <w:rPr>
                <w:rFonts w:eastAsia="Times New Roman" w:cs="Times New Roman"/>
                <w:iCs/>
                <w:sz w:val="24"/>
                <w:szCs w:val="24"/>
                <w:lang w:eastAsia="lv-LV"/>
              </w:rPr>
              <w:lastRenderedPageBreak/>
              <w:t>1.3. pašvaldību budžets, t.sk.,</w:t>
            </w:r>
          </w:p>
        </w:tc>
        <w:tc>
          <w:tcPr>
            <w:tcW w:w="990" w:type="dxa"/>
          </w:tcPr>
          <w:p w14:paraId="3A487FB6" w14:textId="63C351F8"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133" w:type="dxa"/>
          </w:tcPr>
          <w:p w14:paraId="0A5833C0" w14:textId="572C920D"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74C5FCED" w14:textId="63EBD955"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6A85086E" w14:textId="69FD7F32"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0CA15961" w14:textId="3D05A1E4"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24EE838E" w14:textId="1C2083EB"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008" w:type="dxa"/>
          </w:tcPr>
          <w:p w14:paraId="6D39A398" w14:textId="26718AEA"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r>
      <w:tr w:rsidR="00F05D71" w:rsidRPr="00235AD3" w14:paraId="4D54BED6" w14:textId="77777777" w:rsidTr="00A26CB1">
        <w:trPr>
          <w:gridAfter w:val="1"/>
          <w:wAfter w:w="29" w:type="dxa"/>
          <w:trHeight w:val="520"/>
        </w:trPr>
        <w:tc>
          <w:tcPr>
            <w:tcW w:w="1700" w:type="dxa"/>
            <w:hideMark/>
          </w:tcPr>
          <w:p w14:paraId="2F2AD5DA" w14:textId="77777777" w:rsidR="00F05D71" w:rsidRPr="00235AD3" w:rsidRDefault="00F05D71" w:rsidP="00ED0B96">
            <w:pPr>
              <w:rPr>
                <w:rFonts w:eastAsia="Times New Roman" w:cs="Times New Roman"/>
                <w:iCs/>
                <w:sz w:val="24"/>
                <w:szCs w:val="24"/>
                <w:lang w:eastAsia="lv-LV"/>
              </w:rPr>
            </w:pPr>
            <w:r w:rsidRPr="00235AD3">
              <w:rPr>
                <w:rFonts w:eastAsia="Times New Roman" w:cs="Times New Roman"/>
                <w:iCs/>
                <w:sz w:val="24"/>
                <w:szCs w:val="24"/>
                <w:lang w:eastAsia="lv-LV"/>
              </w:rPr>
              <w:t>2. Budžeta izdevumi</w:t>
            </w:r>
          </w:p>
        </w:tc>
        <w:tc>
          <w:tcPr>
            <w:tcW w:w="990" w:type="dxa"/>
          </w:tcPr>
          <w:p w14:paraId="195AE55D"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133" w:type="dxa"/>
          </w:tcPr>
          <w:p w14:paraId="4F1DDA1B" w14:textId="5B0FC261" w:rsidR="00F05D71" w:rsidRPr="00235AD3" w:rsidRDefault="009D6267" w:rsidP="009F663C">
            <w:pPr>
              <w:jc w:val="center"/>
              <w:rPr>
                <w:rFonts w:eastAsia="Times New Roman" w:cs="Times New Roman"/>
                <w:iCs/>
                <w:sz w:val="24"/>
                <w:szCs w:val="24"/>
                <w:lang w:eastAsia="lv-LV"/>
              </w:rPr>
            </w:pPr>
            <w:r w:rsidRPr="00235AD3">
              <w:rPr>
                <w:rFonts w:eastAsia="Times New Roman" w:cs="Times New Roman"/>
                <w:iCs/>
                <w:sz w:val="24"/>
                <w:szCs w:val="24"/>
                <w:lang w:eastAsia="lv-LV"/>
              </w:rPr>
              <w:t>125178</w:t>
            </w:r>
          </w:p>
        </w:tc>
        <w:tc>
          <w:tcPr>
            <w:tcW w:w="1275" w:type="dxa"/>
          </w:tcPr>
          <w:p w14:paraId="474515ED"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4066EFF4"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481028B9"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2EF72D2E"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008" w:type="dxa"/>
          </w:tcPr>
          <w:p w14:paraId="5B8D0DBC"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r>
      <w:tr w:rsidR="002B5F64" w:rsidRPr="00235AD3" w14:paraId="14E6DF46" w14:textId="77777777" w:rsidTr="00A26CB1">
        <w:trPr>
          <w:gridAfter w:val="1"/>
          <w:wAfter w:w="29" w:type="dxa"/>
          <w:trHeight w:val="520"/>
        </w:trPr>
        <w:tc>
          <w:tcPr>
            <w:tcW w:w="1700" w:type="dxa"/>
            <w:hideMark/>
          </w:tcPr>
          <w:p w14:paraId="4729F3E7" w14:textId="77777777" w:rsidR="002B5F64" w:rsidRPr="00235AD3" w:rsidRDefault="002B5F64" w:rsidP="002B5F64">
            <w:pPr>
              <w:rPr>
                <w:rFonts w:eastAsia="Times New Roman" w:cs="Times New Roman"/>
                <w:iCs/>
                <w:sz w:val="24"/>
                <w:szCs w:val="24"/>
                <w:lang w:eastAsia="lv-LV"/>
              </w:rPr>
            </w:pPr>
            <w:r w:rsidRPr="00235AD3">
              <w:rPr>
                <w:rFonts w:eastAsia="Times New Roman" w:cs="Times New Roman"/>
                <w:iCs/>
                <w:sz w:val="24"/>
                <w:szCs w:val="24"/>
                <w:lang w:eastAsia="lv-LV"/>
              </w:rPr>
              <w:t>2.1. valsts pamatbudžets</w:t>
            </w:r>
          </w:p>
        </w:tc>
        <w:tc>
          <w:tcPr>
            <w:tcW w:w="990" w:type="dxa"/>
          </w:tcPr>
          <w:p w14:paraId="2F7ECECB" w14:textId="24B987F4"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133" w:type="dxa"/>
          </w:tcPr>
          <w:p w14:paraId="2ED00E79" w14:textId="15A73991" w:rsidR="002B5F64" w:rsidRPr="00235AD3" w:rsidRDefault="009D6267" w:rsidP="009F663C">
            <w:pPr>
              <w:jc w:val="center"/>
              <w:rPr>
                <w:rFonts w:eastAsia="Times New Roman" w:cs="Times New Roman"/>
                <w:iCs/>
                <w:sz w:val="24"/>
                <w:szCs w:val="24"/>
                <w:lang w:eastAsia="lv-LV"/>
              </w:rPr>
            </w:pPr>
            <w:r w:rsidRPr="00235AD3">
              <w:rPr>
                <w:rFonts w:eastAsia="Times New Roman" w:cs="Times New Roman"/>
                <w:iCs/>
                <w:sz w:val="24"/>
                <w:szCs w:val="24"/>
                <w:lang w:eastAsia="lv-LV"/>
              </w:rPr>
              <w:t>125178</w:t>
            </w:r>
          </w:p>
        </w:tc>
        <w:tc>
          <w:tcPr>
            <w:tcW w:w="1275" w:type="dxa"/>
          </w:tcPr>
          <w:p w14:paraId="7EC811CB" w14:textId="5514472C"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5C5F90C8" w14:textId="05FB5567"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59422232" w14:textId="160811E8"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5926B453" w14:textId="4EA3C1AE"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008" w:type="dxa"/>
          </w:tcPr>
          <w:p w14:paraId="3CE0BE07" w14:textId="7B4A063A"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r>
      <w:tr w:rsidR="002B5F64" w:rsidRPr="00235AD3" w14:paraId="3924F9EB" w14:textId="77777777" w:rsidTr="00A26CB1">
        <w:trPr>
          <w:gridAfter w:val="1"/>
          <w:wAfter w:w="29" w:type="dxa"/>
          <w:trHeight w:val="520"/>
        </w:trPr>
        <w:tc>
          <w:tcPr>
            <w:tcW w:w="1700" w:type="dxa"/>
            <w:hideMark/>
          </w:tcPr>
          <w:p w14:paraId="781033E7" w14:textId="77777777" w:rsidR="002B5F64" w:rsidRPr="00235AD3" w:rsidRDefault="002B5F64" w:rsidP="002B5F64">
            <w:pPr>
              <w:rPr>
                <w:rFonts w:eastAsia="Times New Roman" w:cs="Times New Roman"/>
                <w:iCs/>
                <w:sz w:val="24"/>
                <w:szCs w:val="24"/>
                <w:lang w:eastAsia="lv-LV"/>
              </w:rPr>
            </w:pPr>
            <w:r w:rsidRPr="00235AD3">
              <w:rPr>
                <w:rFonts w:eastAsia="Times New Roman" w:cs="Times New Roman"/>
                <w:iCs/>
                <w:sz w:val="24"/>
                <w:szCs w:val="24"/>
                <w:lang w:eastAsia="lv-LV"/>
              </w:rPr>
              <w:t>2.2. valsts speciālais budžets</w:t>
            </w:r>
          </w:p>
        </w:tc>
        <w:tc>
          <w:tcPr>
            <w:tcW w:w="990" w:type="dxa"/>
          </w:tcPr>
          <w:p w14:paraId="20A41CF5" w14:textId="6A8965B7"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133" w:type="dxa"/>
          </w:tcPr>
          <w:p w14:paraId="52F7962E" w14:textId="341004A8"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7F493EDF" w14:textId="658F7F70"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37FDDAE3" w14:textId="4D18E6CB"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20C30345" w14:textId="4F5AE44B"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74612882" w14:textId="6CF4F652"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008" w:type="dxa"/>
          </w:tcPr>
          <w:p w14:paraId="4E5BF724" w14:textId="0C9AA945"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r>
      <w:tr w:rsidR="002B5F64" w:rsidRPr="00235AD3" w14:paraId="782F4E4F" w14:textId="77777777" w:rsidTr="00A26CB1">
        <w:trPr>
          <w:gridAfter w:val="1"/>
          <w:wAfter w:w="29" w:type="dxa"/>
          <w:trHeight w:val="520"/>
        </w:trPr>
        <w:tc>
          <w:tcPr>
            <w:tcW w:w="1700" w:type="dxa"/>
            <w:hideMark/>
          </w:tcPr>
          <w:p w14:paraId="5A947E0B" w14:textId="77777777" w:rsidR="002B5F64" w:rsidRPr="00235AD3" w:rsidRDefault="002B5F64" w:rsidP="002B5F64">
            <w:pPr>
              <w:rPr>
                <w:rFonts w:eastAsia="Times New Roman" w:cs="Times New Roman"/>
                <w:iCs/>
                <w:sz w:val="24"/>
                <w:szCs w:val="24"/>
                <w:lang w:eastAsia="lv-LV"/>
              </w:rPr>
            </w:pPr>
            <w:r w:rsidRPr="00235AD3">
              <w:rPr>
                <w:rFonts w:eastAsia="Times New Roman" w:cs="Times New Roman"/>
                <w:iCs/>
                <w:sz w:val="24"/>
                <w:szCs w:val="24"/>
                <w:lang w:eastAsia="lv-LV"/>
              </w:rPr>
              <w:t>2.3. pašvaldību budžets</w:t>
            </w:r>
          </w:p>
        </w:tc>
        <w:tc>
          <w:tcPr>
            <w:tcW w:w="990" w:type="dxa"/>
          </w:tcPr>
          <w:p w14:paraId="0DB44564" w14:textId="37378267"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133" w:type="dxa"/>
          </w:tcPr>
          <w:p w14:paraId="57D6B530" w14:textId="67927BC3"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62F1E48D" w14:textId="79A2D994"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74D9E78F" w14:textId="7781F8A0"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66956031" w14:textId="502C07B0"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0B9832C3" w14:textId="442FC4A0"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008" w:type="dxa"/>
          </w:tcPr>
          <w:p w14:paraId="68E01916" w14:textId="77971838"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r>
      <w:tr w:rsidR="00F05D71" w:rsidRPr="00235AD3" w14:paraId="6BA4F605" w14:textId="77777777" w:rsidTr="00A26CB1">
        <w:trPr>
          <w:gridAfter w:val="1"/>
          <w:wAfter w:w="29" w:type="dxa"/>
          <w:trHeight w:val="520"/>
        </w:trPr>
        <w:tc>
          <w:tcPr>
            <w:tcW w:w="1700" w:type="dxa"/>
            <w:hideMark/>
          </w:tcPr>
          <w:p w14:paraId="49DC2D6D" w14:textId="77777777" w:rsidR="00F05D71" w:rsidRPr="00235AD3" w:rsidRDefault="00F05D71" w:rsidP="00ED0B96">
            <w:pPr>
              <w:rPr>
                <w:rFonts w:eastAsia="Times New Roman" w:cs="Times New Roman"/>
                <w:iCs/>
                <w:sz w:val="24"/>
                <w:szCs w:val="24"/>
                <w:lang w:eastAsia="lv-LV"/>
              </w:rPr>
            </w:pPr>
            <w:r w:rsidRPr="00235AD3">
              <w:rPr>
                <w:rFonts w:eastAsia="Times New Roman" w:cs="Times New Roman"/>
                <w:iCs/>
                <w:sz w:val="24"/>
                <w:szCs w:val="24"/>
                <w:lang w:eastAsia="lv-LV"/>
              </w:rPr>
              <w:t>3. Finansiālā ietekme</w:t>
            </w:r>
          </w:p>
        </w:tc>
        <w:tc>
          <w:tcPr>
            <w:tcW w:w="990" w:type="dxa"/>
          </w:tcPr>
          <w:p w14:paraId="1EC78AD6"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133" w:type="dxa"/>
          </w:tcPr>
          <w:p w14:paraId="6825FE38" w14:textId="030A1E73" w:rsidR="00F05D71" w:rsidRPr="00235AD3" w:rsidRDefault="00A94CC3" w:rsidP="009F663C">
            <w:pPr>
              <w:jc w:val="center"/>
              <w:rPr>
                <w:rFonts w:eastAsia="Times New Roman" w:cs="Times New Roman"/>
                <w:iCs/>
                <w:sz w:val="24"/>
                <w:szCs w:val="24"/>
                <w:lang w:eastAsia="lv-LV"/>
              </w:rPr>
            </w:pPr>
            <w:r w:rsidRPr="00235AD3">
              <w:rPr>
                <w:rFonts w:eastAsia="Times New Roman" w:cs="Times New Roman"/>
                <w:iCs/>
                <w:sz w:val="24"/>
                <w:szCs w:val="24"/>
                <w:lang w:eastAsia="lv-LV"/>
              </w:rPr>
              <w:t>-</w:t>
            </w:r>
            <w:r w:rsidR="009D6267" w:rsidRPr="00235AD3">
              <w:rPr>
                <w:rFonts w:eastAsia="Times New Roman" w:cs="Times New Roman"/>
                <w:iCs/>
                <w:sz w:val="24"/>
                <w:szCs w:val="24"/>
                <w:lang w:eastAsia="lv-LV"/>
              </w:rPr>
              <w:t>125178</w:t>
            </w:r>
          </w:p>
        </w:tc>
        <w:tc>
          <w:tcPr>
            <w:tcW w:w="1275" w:type="dxa"/>
          </w:tcPr>
          <w:p w14:paraId="14969951"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70846C46"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233AADF2"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1D2FE1C7"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008" w:type="dxa"/>
          </w:tcPr>
          <w:p w14:paraId="50F53FFF" w14:textId="77777777" w:rsidR="00F05D71" w:rsidRPr="00235AD3" w:rsidRDefault="00F05D71" w:rsidP="00F05D71">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r>
      <w:tr w:rsidR="002B5F64" w:rsidRPr="00235AD3" w14:paraId="2D28CF69" w14:textId="77777777" w:rsidTr="00A26CB1">
        <w:trPr>
          <w:gridAfter w:val="1"/>
          <w:wAfter w:w="29" w:type="dxa"/>
          <w:trHeight w:val="520"/>
        </w:trPr>
        <w:tc>
          <w:tcPr>
            <w:tcW w:w="1700" w:type="dxa"/>
            <w:hideMark/>
          </w:tcPr>
          <w:p w14:paraId="327F1C99" w14:textId="77777777" w:rsidR="002B5F64" w:rsidRPr="00235AD3" w:rsidRDefault="002B5F64" w:rsidP="002B5F64">
            <w:pPr>
              <w:rPr>
                <w:rFonts w:eastAsia="Times New Roman" w:cs="Times New Roman"/>
                <w:iCs/>
                <w:sz w:val="24"/>
                <w:szCs w:val="24"/>
                <w:lang w:eastAsia="lv-LV"/>
              </w:rPr>
            </w:pPr>
            <w:r w:rsidRPr="00235AD3">
              <w:rPr>
                <w:rFonts w:eastAsia="Times New Roman" w:cs="Times New Roman"/>
                <w:iCs/>
                <w:sz w:val="24"/>
                <w:szCs w:val="24"/>
                <w:lang w:eastAsia="lv-LV"/>
              </w:rPr>
              <w:t>3.1. valsts pamatbudžets</w:t>
            </w:r>
          </w:p>
        </w:tc>
        <w:tc>
          <w:tcPr>
            <w:tcW w:w="990" w:type="dxa"/>
          </w:tcPr>
          <w:p w14:paraId="5178D9F2" w14:textId="4E77BACB"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133" w:type="dxa"/>
          </w:tcPr>
          <w:p w14:paraId="244DF3E1" w14:textId="0619CB2B" w:rsidR="002B5F64" w:rsidRPr="00235AD3" w:rsidRDefault="00A94CC3" w:rsidP="009F663C">
            <w:pPr>
              <w:jc w:val="center"/>
              <w:rPr>
                <w:rFonts w:eastAsia="Times New Roman" w:cs="Times New Roman"/>
                <w:iCs/>
                <w:sz w:val="24"/>
                <w:szCs w:val="24"/>
                <w:lang w:eastAsia="lv-LV"/>
              </w:rPr>
            </w:pPr>
            <w:r w:rsidRPr="00235AD3">
              <w:rPr>
                <w:rFonts w:eastAsia="Times New Roman" w:cs="Times New Roman"/>
                <w:iCs/>
                <w:sz w:val="24"/>
                <w:szCs w:val="24"/>
                <w:lang w:eastAsia="lv-LV"/>
              </w:rPr>
              <w:t>-</w:t>
            </w:r>
            <w:r w:rsidR="009D6267" w:rsidRPr="00235AD3">
              <w:rPr>
                <w:rFonts w:eastAsia="Times New Roman" w:cs="Times New Roman"/>
                <w:iCs/>
                <w:sz w:val="24"/>
                <w:szCs w:val="24"/>
                <w:lang w:eastAsia="lv-LV"/>
              </w:rPr>
              <w:t>125178</w:t>
            </w:r>
          </w:p>
        </w:tc>
        <w:tc>
          <w:tcPr>
            <w:tcW w:w="1275" w:type="dxa"/>
          </w:tcPr>
          <w:p w14:paraId="5D91C5D8" w14:textId="2FD63FDA"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3C5FD7C5" w14:textId="495C4E69"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43E57469" w14:textId="7538DF2B"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54AFC3CC" w14:textId="21D66A56"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008" w:type="dxa"/>
          </w:tcPr>
          <w:p w14:paraId="75F75946" w14:textId="39BA2681"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r>
      <w:tr w:rsidR="002B5F64" w:rsidRPr="00235AD3" w14:paraId="0AA80557" w14:textId="77777777" w:rsidTr="00A26CB1">
        <w:trPr>
          <w:gridAfter w:val="1"/>
          <w:wAfter w:w="29" w:type="dxa"/>
          <w:trHeight w:val="505"/>
        </w:trPr>
        <w:tc>
          <w:tcPr>
            <w:tcW w:w="1700" w:type="dxa"/>
            <w:hideMark/>
          </w:tcPr>
          <w:p w14:paraId="11A9C816" w14:textId="77777777" w:rsidR="002B5F64" w:rsidRPr="00235AD3" w:rsidRDefault="002B5F64" w:rsidP="002B5F64">
            <w:pPr>
              <w:rPr>
                <w:rFonts w:eastAsia="Times New Roman" w:cs="Times New Roman"/>
                <w:iCs/>
                <w:sz w:val="24"/>
                <w:szCs w:val="24"/>
                <w:lang w:eastAsia="lv-LV"/>
              </w:rPr>
            </w:pPr>
            <w:r w:rsidRPr="00235AD3">
              <w:rPr>
                <w:rFonts w:eastAsia="Times New Roman" w:cs="Times New Roman"/>
                <w:iCs/>
                <w:sz w:val="24"/>
                <w:szCs w:val="24"/>
                <w:lang w:eastAsia="lv-LV"/>
              </w:rPr>
              <w:t>3.2. speciālais budžets</w:t>
            </w:r>
          </w:p>
        </w:tc>
        <w:tc>
          <w:tcPr>
            <w:tcW w:w="990" w:type="dxa"/>
          </w:tcPr>
          <w:p w14:paraId="396DBEC5" w14:textId="75B5B3CE"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133" w:type="dxa"/>
          </w:tcPr>
          <w:p w14:paraId="423C700C" w14:textId="56BFE7FC"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23A34617" w14:textId="1B339C05"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49C4B001" w14:textId="25F52DC1"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19A0F36D" w14:textId="49E918F5"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4EA76700" w14:textId="0E6F52A9"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008" w:type="dxa"/>
          </w:tcPr>
          <w:p w14:paraId="07275301" w14:textId="5FC2E733"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r>
      <w:tr w:rsidR="002B5F64" w:rsidRPr="00235AD3" w14:paraId="0EBC1257" w14:textId="77777777" w:rsidTr="00A26CB1">
        <w:trPr>
          <w:gridAfter w:val="1"/>
          <w:wAfter w:w="29" w:type="dxa"/>
          <w:trHeight w:val="520"/>
        </w:trPr>
        <w:tc>
          <w:tcPr>
            <w:tcW w:w="1700" w:type="dxa"/>
            <w:hideMark/>
          </w:tcPr>
          <w:p w14:paraId="6AE18204" w14:textId="77777777" w:rsidR="002B5F64" w:rsidRPr="00235AD3" w:rsidRDefault="002B5F64" w:rsidP="002B5F64">
            <w:pPr>
              <w:rPr>
                <w:rFonts w:eastAsia="Times New Roman" w:cs="Times New Roman"/>
                <w:iCs/>
                <w:sz w:val="24"/>
                <w:szCs w:val="24"/>
                <w:lang w:eastAsia="lv-LV"/>
              </w:rPr>
            </w:pPr>
            <w:r w:rsidRPr="00235AD3">
              <w:rPr>
                <w:rFonts w:eastAsia="Times New Roman" w:cs="Times New Roman"/>
                <w:iCs/>
                <w:sz w:val="24"/>
                <w:szCs w:val="24"/>
                <w:lang w:eastAsia="lv-LV"/>
              </w:rPr>
              <w:t>3.3. pašvaldību budžets</w:t>
            </w:r>
          </w:p>
        </w:tc>
        <w:tc>
          <w:tcPr>
            <w:tcW w:w="990" w:type="dxa"/>
          </w:tcPr>
          <w:p w14:paraId="6845C21F" w14:textId="6E8104AE"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133" w:type="dxa"/>
          </w:tcPr>
          <w:p w14:paraId="5735040A" w14:textId="669D8803"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27E8D93D" w14:textId="4477BE38"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2AE2B854" w14:textId="40C95019"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56C626B6" w14:textId="06129C30"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993" w:type="dxa"/>
          </w:tcPr>
          <w:p w14:paraId="0AC7F6CD" w14:textId="12FE8D65"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008" w:type="dxa"/>
          </w:tcPr>
          <w:p w14:paraId="3453D26B" w14:textId="4A8318C2" w:rsidR="002B5F64" w:rsidRPr="00235AD3" w:rsidRDefault="002B5F64" w:rsidP="002B5F64">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r>
      <w:tr w:rsidR="00F05D71" w:rsidRPr="00235AD3" w14:paraId="4D45E991" w14:textId="77777777" w:rsidTr="00A26CB1">
        <w:trPr>
          <w:gridAfter w:val="1"/>
          <w:wAfter w:w="29" w:type="dxa"/>
          <w:trHeight w:val="520"/>
        </w:trPr>
        <w:tc>
          <w:tcPr>
            <w:tcW w:w="1700" w:type="dxa"/>
            <w:hideMark/>
          </w:tcPr>
          <w:p w14:paraId="6018414F" w14:textId="77777777" w:rsidR="00F05D71" w:rsidRPr="00235AD3" w:rsidRDefault="00F05D71" w:rsidP="00ED0B96">
            <w:pPr>
              <w:rPr>
                <w:rFonts w:eastAsia="Times New Roman" w:cs="Times New Roman"/>
                <w:iCs/>
                <w:sz w:val="24"/>
                <w:szCs w:val="24"/>
                <w:lang w:eastAsia="lv-LV"/>
              </w:rPr>
            </w:pPr>
            <w:r w:rsidRPr="00235AD3">
              <w:rPr>
                <w:rFonts w:eastAsia="Times New Roman" w:cs="Times New Roman"/>
                <w:iCs/>
                <w:sz w:val="24"/>
                <w:szCs w:val="24"/>
                <w:lang w:eastAsia="lv-LV"/>
              </w:rPr>
              <w:t>4. Finanšu līdzekļi papildu izdevumu finansēšanai (kompensējošu izdevumu samazinājumu norāda ar "+" zīmi)</w:t>
            </w:r>
          </w:p>
        </w:tc>
        <w:tc>
          <w:tcPr>
            <w:tcW w:w="990" w:type="dxa"/>
          </w:tcPr>
          <w:p w14:paraId="1D8E6C43" w14:textId="43E46DD3" w:rsidR="00F05D71" w:rsidRPr="00235AD3" w:rsidRDefault="00A94CC3"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X</w:t>
            </w:r>
          </w:p>
        </w:tc>
        <w:tc>
          <w:tcPr>
            <w:tcW w:w="1133" w:type="dxa"/>
          </w:tcPr>
          <w:p w14:paraId="7BDC03C7" w14:textId="175A2C88" w:rsidR="00F05D71" w:rsidRPr="00235AD3" w:rsidRDefault="00A26CB1" w:rsidP="009F663C">
            <w:pPr>
              <w:jc w:val="center"/>
              <w:rPr>
                <w:rFonts w:eastAsia="Times New Roman" w:cs="Times New Roman"/>
                <w:iCs/>
                <w:sz w:val="24"/>
                <w:szCs w:val="24"/>
                <w:lang w:eastAsia="lv-LV"/>
              </w:rPr>
            </w:pPr>
            <w:r w:rsidRPr="00235AD3">
              <w:rPr>
                <w:rFonts w:eastAsia="Times New Roman" w:cs="Times New Roman"/>
                <w:iCs/>
                <w:sz w:val="24"/>
                <w:szCs w:val="24"/>
                <w:lang w:eastAsia="lv-LV"/>
              </w:rPr>
              <w:t>+</w:t>
            </w:r>
            <w:r w:rsidR="009D6267" w:rsidRPr="00235AD3">
              <w:rPr>
                <w:rFonts w:eastAsia="Times New Roman" w:cs="Times New Roman"/>
                <w:iCs/>
                <w:sz w:val="24"/>
                <w:szCs w:val="24"/>
                <w:lang w:eastAsia="lv-LV"/>
              </w:rPr>
              <w:t>125178</w:t>
            </w:r>
          </w:p>
        </w:tc>
        <w:tc>
          <w:tcPr>
            <w:tcW w:w="1275" w:type="dxa"/>
          </w:tcPr>
          <w:p w14:paraId="4289E766" w14:textId="5A207DFD" w:rsidR="00F05D71" w:rsidRPr="00235AD3" w:rsidRDefault="00A94CC3"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X</w:t>
            </w:r>
          </w:p>
        </w:tc>
        <w:tc>
          <w:tcPr>
            <w:tcW w:w="993" w:type="dxa"/>
          </w:tcPr>
          <w:p w14:paraId="3F7F0281"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tcPr>
          <w:p w14:paraId="068FEF86" w14:textId="2B8E2ABA" w:rsidR="00F05D71" w:rsidRPr="00235AD3" w:rsidRDefault="00A94CC3"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X</w:t>
            </w:r>
          </w:p>
        </w:tc>
        <w:tc>
          <w:tcPr>
            <w:tcW w:w="993" w:type="dxa"/>
          </w:tcPr>
          <w:p w14:paraId="5AE4A74B"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008" w:type="dxa"/>
          </w:tcPr>
          <w:p w14:paraId="10F2CA41" w14:textId="77777777" w:rsidR="00F05D71" w:rsidRPr="00235AD3" w:rsidRDefault="00F05D71"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r>
      <w:tr w:rsidR="00A94CC3" w:rsidRPr="00235AD3" w14:paraId="665CAD9A" w14:textId="77777777" w:rsidTr="00A26CB1">
        <w:trPr>
          <w:gridAfter w:val="1"/>
          <w:wAfter w:w="29" w:type="dxa"/>
          <w:trHeight w:val="520"/>
        </w:trPr>
        <w:tc>
          <w:tcPr>
            <w:tcW w:w="1700" w:type="dxa"/>
            <w:hideMark/>
          </w:tcPr>
          <w:p w14:paraId="0E1E443C" w14:textId="77777777" w:rsidR="00A94CC3" w:rsidRPr="00235AD3" w:rsidRDefault="00A94CC3" w:rsidP="00ED0B96">
            <w:pPr>
              <w:rPr>
                <w:rFonts w:eastAsia="Times New Roman" w:cs="Times New Roman"/>
                <w:iCs/>
                <w:sz w:val="24"/>
                <w:szCs w:val="24"/>
                <w:lang w:eastAsia="lv-LV"/>
              </w:rPr>
            </w:pPr>
            <w:r w:rsidRPr="00235AD3">
              <w:rPr>
                <w:rFonts w:eastAsia="Times New Roman" w:cs="Times New Roman"/>
                <w:iCs/>
                <w:sz w:val="24"/>
                <w:szCs w:val="24"/>
                <w:lang w:eastAsia="lv-LV"/>
              </w:rPr>
              <w:t>5. Precizēta finansiālā ietekme</w:t>
            </w:r>
          </w:p>
        </w:tc>
        <w:tc>
          <w:tcPr>
            <w:tcW w:w="990" w:type="dxa"/>
            <w:vMerge w:val="restart"/>
          </w:tcPr>
          <w:p w14:paraId="3A2C5C22" w14:textId="0809F6EB" w:rsidR="00A94CC3" w:rsidRPr="00235AD3" w:rsidRDefault="00A94CC3" w:rsidP="00A94CC3">
            <w:pPr>
              <w:jc w:val="center"/>
              <w:rPr>
                <w:rFonts w:eastAsia="Times New Roman" w:cs="Times New Roman"/>
                <w:iCs/>
                <w:sz w:val="24"/>
                <w:szCs w:val="24"/>
                <w:lang w:eastAsia="lv-LV"/>
              </w:rPr>
            </w:pPr>
            <w:r w:rsidRPr="00235AD3">
              <w:rPr>
                <w:rFonts w:eastAsia="Times New Roman" w:cs="Times New Roman"/>
                <w:iCs/>
                <w:sz w:val="24"/>
                <w:szCs w:val="24"/>
                <w:lang w:eastAsia="lv-LV"/>
              </w:rPr>
              <w:t>X</w:t>
            </w:r>
          </w:p>
        </w:tc>
        <w:tc>
          <w:tcPr>
            <w:tcW w:w="1133" w:type="dxa"/>
          </w:tcPr>
          <w:p w14:paraId="52D74FE1" w14:textId="77777777" w:rsidR="00A94CC3" w:rsidRPr="00235AD3" w:rsidRDefault="00A94CC3"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vMerge w:val="restart"/>
          </w:tcPr>
          <w:p w14:paraId="2920482D" w14:textId="01524494" w:rsidR="00A94CC3" w:rsidRPr="00235AD3" w:rsidRDefault="00A94CC3"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X</w:t>
            </w:r>
          </w:p>
        </w:tc>
        <w:tc>
          <w:tcPr>
            <w:tcW w:w="993" w:type="dxa"/>
          </w:tcPr>
          <w:p w14:paraId="567DAD3B" w14:textId="77777777" w:rsidR="00A94CC3" w:rsidRPr="00235AD3" w:rsidRDefault="00A94CC3"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vMerge w:val="restart"/>
          </w:tcPr>
          <w:p w14:paraId="2E6B83D5" w14:textId="4C1DA5E0" w:rsidR="00A94CC3" w:rsidRPr="00235AD3" w:rsidRDefault="00A94CC3"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X</w:t>
            </w:r>
          </w:p>
        </w:tc>
        <w:tc>
          <w:tcPr>
            <w:tcW w:w="993" w:type="dxa"/>
          </w:tcPr>
          <w:p w14:paraId="6DAD3C39" w14:textId="77777777" w:rsidR="00A94CC3" w:rsidRPr="00235AD3" w:rsidRDefault="00A94CC3"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008" w:type="dxa"/>
          </w:tcPr>
          <w:p w14:paraId="29EC393D" w14:textId="77777777" w:rsidR="00A94CC3" w:rsidRPr="00235AD3" w:rsidRDefault="00A94CC3" w:rsidP="00ED0B96">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r>
      <w:tr w:rsidR="00A94CC3" w:rsidRPr="00235AD3" w14:paraId="2A9FAF4E" w14:textId="77777777" w:rsidTr="00A26CB1">
        <w:trPr>
          <w:gridAfter w:val="1"/>
          <w:wAfter w:w="29" w:type="dxa"/>
          <w:trHeight w:val="520"/>
        </w:trPr>
        <w:tc>
          <w:tcPr>
            <w:tcW w:w="1700" w:type="dxa"/>
            <w:hideMark/>
          </w:tcPr>
          <w:p w14:paraId="0C7CE1FD" w14:textId="77777777" w:rsidR="00A94CC3" w:rsidRPr="00235AD3" w:rsidRDefault="00A94CC3" w:rsidP="00A94CC3">
            <w:pPr>
              <w:rPr>
                <w:rFonts w:eastAsia="Times New Roman" w:cs="Times New Roman"/>
                <w:iCs/>
                <w:sz w:val="24"/>
                <w:szCs w:val="24"/>
                <w:lang w:eastAsia="lv-LV"/>
              </w:rPr>
            </w:pPr>
            <w:r w:rsidRPr="00235AD3">
              <w:rPr>
                <w:rFonts w:eastAsia="Times New Roman" w:cs="Times New Roman"/>
                <w:iCs/>
                <w:sz w:val="24"/>
                <w:szCs w:val="24"/>
                <w:lang w:eastAsia="lv-LV"/>
              </w:rPr>
              <w:t>5.1. valsts pamatbudžets</w:t>
            </w:r>
          </w:p>
        </w:tc>
        <w:tc>
          <w:tcPr>
            <w:tcW w:w="990" w:type="dxa"/>
            <w:vMerge/>
          </w:tcPr>
          <w:p w14:paraId="2DF64FBF" w14:textId="7C5CF4DE" w:rsidR="00A94CC3" w:rsidRPr="00235AD3" w:rsidRDefault="00A94CC3" w:rsidP="00A94CC3">
            <w:pPr>
              <w:jc w:val="center"/>
              <w:rPr>
                <w:rFonts w:eastAsia="Times New Roman" w:cs="Times New Roman"/>
                <w:iCs/>
                <w:sz w:val="24"/>
                <w:szCs w:val="24"/>
                <w:lang w:eastAsia="lv-LV"/>
              </w:rPr>
            </w:pPr>
          </w:p>
        </w:tc>
        <w:tc>
          <w:tcPr>
            <w:tcW w:w="1133" w:type="dxa"/>
          </w:tcPr>
          <w:p w14:paraId="5D5E2C00" w14:textId="5717526F" w:rsidR="00A94CC3" w:rsidRPr="00235AD3" w:rsidRDefault="00A94CC3" w:rsidP="00A94CC3">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vMerge/>
          </w:tcPr>
          <w:p w14:paraId="00CADF22" w14:textId="29178553" w:rsidR="00A94CC3" w:rsidRPr="00235AD3" w:rsidRDefault="00A94CC3" w:rsidP="00A94CC3">
            <w:pPr>
              <w:jc w:val="center"/>
              <w:rPr>
                <w:rFonts w:eastAsia="Times New Roman" w:cs="Times New Roman"/>
                <w:iCs/>
                <w:sz w:val="24"/>
                <w:szCs w:val="24"/>
                <w:lang w:eastAsia="lv-LV"/>
              </w:rPr>
            </w:pPr>
          </w:p>
        </w:tc>
        <w:tc>
          <w:tcPr>
            <w:tcW w:w="993" w:type="dxa"/>
          </w:tcPr>
          <w:p w14:paraId="01DEDABF" w14:textId="1D4C7C73" w:rsidR="00A94CC3" w:rsidRPr="00235AD3" w:rsidRDefault="00A94CC3" w:rsidP="00A94CC3">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vMerge/>
          </w:tcPr>
          <w:p w14:paraId="5D7A7820" w14:textId="4620353F" w:rsidR="00A94CC3" w:rsidRPr="00235AD3" w:rsidRDefault="00A94CC3" w:rsidP="00A94CC3">
            <w:pPr>
              <w:jc w:val="center"/>
              <w:rPr>
                <w:rFonts w:eastAsia="Times New Roman" w:cs="Times New Roman"/>
                <w:iCs/>
                <w:sz w:val="24"/>
                <w:szCs w:val="24"/>
                <w:lang w:eastAsia="lv-LV"/>
              </w:rPr>
            </w:pPr>
          </w:p>
        </w:tc>
        <w:tc>
          <w:tcPr>
            <w:tcW w:w="993" w:type="dxa"/>
          </w:tcPr>
          <w:p w14:paraId="3E5F4571" w14:textId="62CA8121" w:rsidR="00A94CC3" w:rsidRPr="00235AD3" w:rsidRDefault="00A94CC3" w:rsidP="00A94CC3">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008" w:type="dxa"/>
          </w:tcPr>
          <w:p w14:paraId="67F7DB29" w14:textId="0DC8B651" w:rsidR="00A94CC3" w:rsidRPr="00235AD3" w:rsidRDefault="00A94CC3" w:rsidP="00A94CC3">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r>
      <w:tr w:rsidR="00A94CC3" w:rsidRPr="00235AD3" w14:paraId="41809EF0" w14:textId="77777777" w:rsidTr="00A26CB1">
        <w:trPr>
          <w:gridAfter w:val="1"/>
          <w:wAfter w:w="29" w:type="dxa"/>
          <w:trHeight w:val="520"/>
        </w:trPr>
        <w:tc>
          <w:tcPr>
            <w:tcW w:w="1700" w:type="dxa"/>
            <w:hideMark/>
          </w:tcPr>
          <w:p w14:paraId="4B14FD08" w14:textId="77777777" w:rsidR="00A94CC3" w:rsidRPr="00235AD3" w:rsidRDefault="00A94CC3" w:rsidP="00A94CC3">
            <w:pPr>
              <w:rPr>
                <w:rFonts w:eastAsia="Times New Roman" w:cs="Times New Roman"/>
                <w:iCs/>
                <w:sz w:val="24"/>
                <w:szCs w:val="24"/>
                <w:lang w:eastAsia="lv-LV"/>
              </w:rPr>
            </w:pPr>
            <w:r w:rsidRPr="00235AD3">
              <w:rPr>
                <w:rFonts w:eastAsia="Times New Roman" w:cs="Times New Roman"/>
                <w:iCs/>
                <w:sz w:val="24"/>
                <w:szCs w:val="24"/>
                <w:lang w:eastAsia="lv-LV"/>
              </w:rPr>
              <w:t>5.2. speciālais budžets</w:t>
            </w:r>
          </w:p>
        </w:tc>
        <w:tc>
          <w:tcPr>
            <w:tcW w:w="990" w:type="dxa"/>
            <w:vMerge/>
          </w:tcPr>
          <w:p w14:paraId="7F3BF07F" w14:textId="101F98B4" w:rsidR="00A94CC3" w:rsidRPr="00235AD3" w:rsidRDefault="00A94CC3" w:rsidP="00A94CC3">
            <w:pPr>
              <w:jc w:val="center"/>
              <w:rPr>
                <w:rFonts w:eastAsia="Times New Roman" w:cs="Times New Roman"/>
                <w:iCs/>
                <w:sz w:val="24"/>
                <w:szCs w:val="24"/>
                <w:lang w:eastAsia="lv-LV"/>
              </w:rPr>
            </w:pPr>
          </w:p>
        </w:tc>
        <w:tc>
          <w:tcPr>
            <w:tcW w:w="1133" w:type="dxa"/>
          </w:tcPr>
          <w:p w14:paraId="39863B1D" w14:textId="6ACC4C7D" w:rsidR="00A94CC3" w:rsidRPr="00235AD3" w:rsidRDefault="00A94CC3" w:rsidP="00A94CC3">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vMerge/>
          </w:tcPr>
          <w:p w14:paraId="6D968E7D" w14:textId="06627708" w:rsidR="00A94CC3" w:rsidRPr="00235AD3" w:rsidRDefault="00A94CC3" w:rsidP="00A94CC3">
            <w:pPr>
              <w:jc w:val="center"/>
              <w:rPr>
                <w:rFonts w:eastAsia="Times New Roman" w:cs="Times New Roman"/>
                <w:iCs/>
                <w:sz w:val="24"/>
                <w:szCs w:val="24"/>
                <w:lang w:eastAsia="lv-LV"/>
              </w:rPr>
            </w:pPr>
          </w:p>
        </w:tc>
        <w:tc>
          <w:tcPr>
            <w:tcW w:w="993" w:type="dxa"/>
          </w:tcPr>
          <w:p w14:paraId="43E55223" w14:textId="0BC90C9E" w:rsidR="00A94CC3" w:rsidRPr="00235AD3" w:rsidRDefault="00A94CC3" w:rsidP="00A94CC3">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vMerge/>
          </w:tcPr>
          <w:p w14:paraId="4F8CE4F3" w14:textId="5CA78834" w:rsidR="00A94CC3" w:rsidRPr="00235AD3" w:rsidRDefault="00A94CC3" w:rsidP="00A94CC3">
            <w:pPr>
              <w:jc w:val="center"/>
              <w:rPr>
                <w:rFonts w:eastAsia="Times New Roman" w:cs="Times New Roman"/>
                <w:iCs/>
                <w:sz w:val="24"/>
                <w:szCs w:val="24"/>
                <w:lang w:eastAsia="lv-LV"/>
              </w:rPr>
            </w:pPr>
          </w:p>
        </w:tc>
        <w:tc>
          <w:tcPr>
            <w:tcW w:w="993" w:type="dxa"/>
          </w:tcPr>
          <w:p w14:paraId="6B382F1E" w14:textId="7F2DDC9F" w:rsidR="00A94CC3" w:rsidRPr="00235AD3" w:rsidRDefault="00A94CC3" w:rsidP="00A94CC3">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008" w:type="dxa"/>
          </w:tcPr>
          <w:p w14:paraId="657480DE" w14:textId="1D75CA3B" w:rsidR="00A94CC3" w:rsidRPr="00235AD3" w:rsidRDefault="00A94CC3" w:rsidP="00A94CC3">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r>
      <w:tr w:rsidR="00A94CC3" w:rsidRPr="00235AD3" w14:paraId="24C6BDB4" w14:textId="77777777" w:rsidTr="00A26CB1">
        <w:trPr>
          <w:gridAfter w:val="1"/>
          <w:wAfter w:w="29" w:type="dxa"/>
          <w:trHeight w:val="520"/>
        </w:trPr>
        <w:tc>
          <w:tcPr>
            <w:tcW w:w="1700" w:type="dxa"/>
            <w:hideMark/>
          </w:tcPr>
          <w:p w14:paraId="7E5E324D" w14:textId="77777777" w:rsidR="00A94CC3" w:rsidRPr="00235AD3" w:rsidRDefault="00A94CC3" w:rsidP="00A94CC3">
            <w:pPr>
              <w:rPr>
                <w:rFonts w:eastAsia="Times New Roman" w:cs="Times New Roman"/>
                <w:iCs/>
                <w:sz w:val="24"/>
                <w:szCs w:val="24"/>
                <w:lang w:eastAsia="lv-LV"/>
              </w:rPr>
            </w:pPr>
            <w:r w:rsidRPr="00235AD3">
              <w:rPr>
                <w:rFonts w:eastAsia="Times New Roman" w:cs="Times New Roman"/>
                <w:iCs/>
                <w:sz w:val="24"/>
                <w:szCs w:val="24"/>
                <w:lang w:eastAsia="lv-LV"/>
              </w:rPr>
              <w:t>5.3. pašvaldību budžets</w:t>
            </w:r>
          </w:p>
        </w:tc>
        <w:tc>
          <w:tcPr>
            <w:tcW w:w="990" w:type="dxa"/>
            <w:vMerge/>
          </w:tcPr>
          <w:p w14:paraId="7EBCC15C" w14:textId="085E88A6" w:rsidR="00A94CC3" w:rsidRPr="00235AD3" w:rsidRDefault="00A94CC3" w:rsidP="00A94CC3">
            <w:pPr>
              <w:jc w:val="center"/>
              <w:rPr>
                <w:rFonts w:eastAsia="Times New Roman" w:cs="Times New Roman"/>
                <w:iCs/>
                <w:sz w:val="24"/>
                <w:szCs w:val="24"/>
                <w:lang w:eastAsia="lv-LV"/>
              </w:rPr>
            </w:pPr>
          </w:p>
        </w:tc>
        <w:tc>
          <w:tcPr>
            <w:tcW w:w="1133" w:type="dxa"/>
          </w:tcPr>
          <w:p w14:paraId="2A52DD56" w14:textId="2DF5F47C" w:rsidR="00A94CC3" w:rsidRPr="00235AD3" w:rsidRDefault="00A94CC3" w:rsidP="00A94CC3">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vMerge/>
          </w:tcPr>
          <w:p w14:paraId="4801E9E8" w14:textId="0A7D1206" w:rsidR="00A94CC3" w:rsidRPr="00235AD3" w:rsidRDefault="00A94CC3" w:rsidP="00A94CC3">
            <w:pPr>
              <w:jc w:val="center"/>
              <w:rPr>
                <w:rFonts w:eastAsia="Times New Roman" w:cs="Times New Roman"/>
                <w:iCs/>
                <w:sz w:val="24"/>
                <w:szCs w:val="24"/>
                <w:lang w:eastAsia="lv-LV"/>
              </w:rPr>
            </w:pPr>
          </w:p>
        </w:tc>
        <w:tc>
          <w:tcPr>
            <w:tcW w:w="993" w:type="dxa"/>
          </w:tcPr>
          <w:p w14:paraId="0C7755EE" w14:textId="56316B84" w:rsidR="00A94CC3" w:rsidRPr="00235AD3" w:rsidRDefault="00A94CC3" w:rsidP="00A94CC3">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275" w:type="dxa"/>
            <w:vMerge/>
          </w:tcPr>
          <w:p w14:paraId="59284D79" w14:textId="22212D53" w:rsidR="00A94CC3" w:rsidRPr="00235AD3" w:rsidRDefault="00A94CC3" w:rsidP="00A94CC3">
            <w:pPr>
              <w:jc w:val="center"/>
              <w:rPr>
                <w:rFonts w:eastAsia="Times New Roman" w:cs="Times New Roman"/>
                <w:iCs/>
                <w:sz w:val="24"/>
                <w:szCs w:val="24"/>
                <w:lang w:eastAsia="lv-LV"/>
              </w:rPr>
            </w:pPr>
          </w:p>
        </w:tc>
        <w:tc>
          <w:tcPr>
            <w:tcW w:w="993" w:type="dxa"/>
          </w:tcPr>
          <w:p w14:paraId="7A30F5C4" w14:textId="4E416031" w:rsidR="00A94CC3" w:rsidRPr="00235AD3" w:rsidRDefault="00A94CC3" w:rsidP="00A94CC3">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c>
          <w:tcPr>
            <w:tcW w:w="1008" w:type="dxa"/>
          </w:tcPr>
          <w:p w14:paraId="4351661A" w14:textId="3D14068D" w:rsidR="00A94CC3" w:rsidRPr="00235AD3" w:rsidRDefault="00A94CC3" w:rsidP="00A94CC3">
            <w:pPr>
              <w:jc w:val="center"/>
              <w:rPr>
                <w:rFonts w:eastAsia="Times New Roman" w:cs="Times New Roman"/>
                <w:iCs/>
                <w:sz w:val="24"/>
                <w:szCs w:val="24"/>
                <w:lang w:eastAsia="lv-LV"/>
              </w:rPr>
            </w:pPr>
            <w:r w:rsidRPr="00235AD3">
              <w:rPr>
                <w:rFonts w:eastAsia="Times New Roman" w:cs="Times New Roman"/>
                <w:iCs/>
                <w:sz w:val="24"/>
                <w:szCs w:val="24"/>
                <w:lang w:eastAsia="lv-LV"/>
              </w:rPr>
              <w:t>0</w:t>
            </w:r>
          </w:p>
        </w:tc>
      </w:tr>
      <w:tr w:rsidR="00A94CC3" w:rsidRPr="00235AD3" w14:paraId="57DBC97F" w14:textId="77777777" w:rsidTr="00AB2409">
        <w:trPr>
          <w:trHeight w:val="983"/>
        </w:trPr>
        <w:tc>
          <w:tcPr>
            <w:tcW w:w="1700" w:type="dxa"/>
            <w:hideMark/>
          </w:tcPr>
          <w:p w14:paraId="77685617" w14:textId="77777777" w:rsidR="00A94CC3" w:rsidRPr="00235AD3" w:rsidRDefault="00A94CC3" w:rsidP="00ED0B96">
            <w:pPr>
              <w:rPr>
                <w:rFonts w:eastAsia="Times New Roman" w:cs="Times New Roman"/>
                <w:iCs/>
                <w:sz w:val="24"/>
                <w:szCs w:val="24"/>
                <w:lang w:eastAsia="lv-LV"/>
              </w:rPr>
            </w:pPr>
            <w:r w:rsidRPr="00235AD3">
              <w:rPr>
                <w:rFonts w:eastAsia="Times New Roman" w:cs="Times New Roman"/>
                <w:iCs/>
                <w:sz w:val="24"/>
                <w:szCs w:val="24"/>
                <w:lang w:eastAsia="lv-LV"/>
              </w:rPr>
              <w:t>6. Detalizēts ieņēmumu un izdevumu aprēķins (ja nepieciešams, detalizētu ieņēmumu un izdevumu aprēķinu var pievienot anotācijas pielikumā)</w:t>
            </w:r>
          </w:p>
        </w:tc>
        <w:tc>
          <w:tcPr>
            <w:tcW w:w="7696" w:type="dxa"/>
            <w:gridSpan w:val="8"/>
            <w:vMerge w:val="restart"/>
          </w:tcPr>
          <w:p w14:paraId="0534DBAA" w14:textId="769E0A1F" w:rsidR="00A94CC3" w:rsidRPr="00235AD3" w:rsidRDefault="00A94CC3" w:rsidP="009D6267">
            <w:pPr>
              <w:jc w:val="both"/>
              <w:rPr>
                <w:rFonts w:eastAsia="Times New Roman" w:cs="Times New Roman"/>
                <w:iCs/>
                <w:sz w:val="24"/>
                <w:szCs w:val="24"/>
                <w:lang w:eastAsia="lv-LV"/>
              </w:rPr>
            </w:pPr>
          </w:p>
        </w:tc>
      </w:tr>
      <w:tr w:rsidR="00A94CC3" w:rsidRPr="00235AD3" w14:paraId="76BC1E10" w14:textId="77777777" w:rsidTr="00A26CB1">
        <w:trPr>
          <w:trHeight w:val="817"/>
        </w:trPr>
        <w:tc>
          <w:tcPr>
            <w:tcW w:w="1700" w:type="dxa"/>
            <w:hideMark/>
          </w:tcPr>
          <w:p w14:paraId="25CDE494" w14:textId="77777777" w:rsidR="00A94CC3" w:rsidRPr="00235AD3" w:rsidRDefault="00A94CC3" w:rsidP="00ED0B96">
            <w:pPr>
              <w:rPr>
                <w:rFonts w:eastAsia="Times New Roman" w:cs="Times New Roman"/>
                <w:iCs/>
                <w:sz w:val="24"/>
                <w:szCs w:val="24"/>
                <w:lang w:eastAsia="lv-LV"/>
              </w:rPr>
            </w:pPr>
            <w:r w:rsidRPr="00235AD3">
              <w:rPr>
                <w:rFonts w:eastAsia="Times New Roman" w:cs="Times New Roman"/>
                <w:iCs/>
                <w:sz w:val="24"/>
                <w:szCs w:val="24"/>
                <w:lang w:eastAsia="lv-LV"/>
              </w:rPr>
              <w:lastRenderedPageBreak/>
              <w:t>6.1. detalizēts ieņēmumu aprēķins</w:t>
            </w:r>
          </w:p>
        </w:tc>
        <w:tc>
          <w:tcPr>
            <w:tcW w:w="7696" w:type="dxa"/>
            <w:gridSpan w:val="8"/>
            <w:vMerge/>
          </w:tcPr>
          <w:p w14:paraId="2325A874" w14:textId="77777777" w:rsidR="00A94CC3" w:rsidRPr="00235AD3" w:rsidRDefault="00A94CC3" w:rsidP="00ED0B96">
            <w:pPr>
              <w:rPr>
                <w:rFonts w:eastAsia="Times New Roman" w:cs="Times New Roman"/>
                <w:iCs/>
                <w:sz w:val="24"/>
                <w:szCs w:val="24"/>
                <w:lang w:eastAsia="lv-LV"/>
              </w:rPr>
            </w:pPr>
          </w:p>
        </w:tc>
      </w:tr>
      <w:tr w:rsidR="00A94CC3" w:rsidRPr="00235AD3" w14:paraId="5AFF65AD" w14:textId="77777777" w:rsidTr="00A26CB1">
        <w:trPr>
          <w:trHeight w:val="550"/>
        </w:trPr>
        <w:tc>
          <w:tcPr>
            <w:tcW w:w="1700" w:type="dxa"/>
            <w:hideMark/>
          </w:tcPr>
          <w:p w14:paraId="29DA474C" w14:textId="77777777" w:rsidR="00A94CC3" w:rsidRPr="00235AD3" w:rsidRDefault="00A94CC3" w:rsidP="00ED0B96">
            <w:pPr>
              <w:rPr>
                <w:rFonts w:eastAsia="Times New Roman" w:cs="Times New Roman"/>
                <w:iCs/>
                <w:sz w:val="24"/>
                <w:szCs w:val="24"/>
                <w:lang w:eastAsia="lv-LV"/>
              </w:rPr>
            </w:pPr>
            <w:r w:rsidRPr="00235AD3">
              <w:rPr>
                <w:rFonts w:eastAsia="Times New Roman" w:cs="Times New Roman"/>
                <w:iCs/>
                <w:sz w:val="24"/>
                <w:szCs w:val="24"/>
                <w:lang w:eastAsia="lv-LV"/>
              </w:rPr>
              <w:t>6.2. detalizēts izdevumu aprēķins</w:t>
            </w:r>
          </w:p>
        </w:tc>
        <w:tc>
          <w:tcPr>
            <w:tcW w:w="7696" w:type="dxa"/>
            <w:gridSpan w:val="8"/>
            <w:vMerge/>
          </w:tcPr>
          <w:p w14:paraId="53721794" w14:textId="77777777" w:rsidR="00A94CC3" w:rsidRPr="00235AD3" w:rsidRDefault="00A94CC3" w:rsidP="00ED0B96">
            <w:pPr>
              <w:rPr>
                <w:rFonts w:eastAsia="Times New Roman" w:cs="Times New Roman"/>
                <w:iCs/>
                <w:sz w:val="24"/>
                <w:szCs w:val="24"/>
                <w:lang w:eastAsia="lv-LV"/>
              </w:rPr>
            </w:pPr>
          </w:p>
        </w:tc>
      </w:tr>
      <w:tr w:rsidR="00F05D71" w:rsidRPr="00235AD3" w14:paraId="332D18F1" w14:textId="77777777" w:rsidTr="00A26CB1">
        <w:trPr>
          <w:trHeight w:val="535"/>
        </w:trPr>
        <w:tc>
          <w:tcPr>
            <w:tcW w:w="1700" w:type="dxa"/>
            <w:hideMark/>
          </w:tcPr>
          <w:p w14:paraId="12EC80AE" w14:textId="77777777" w:rsidR="00F05D71" w:rsidRPr="00235AD3" w:rsidRDefault="00F05D71" w:rsidP="00ED0B96">
            <w:pPr>
              <w:rPr>
                <w:rFonts w:eastAsia="Times New Roman" w:cs="Times New Roman"/>
                <w:iCs/>
                <w:sz w:val="24"/>
                <w:szCs w:val="24"/>
                <w:lang w:eastAsia="lv-LV"/>
              </w:rPr>
            </w:pPr>
            <w:r w:rsidRPr="00235AD3">
              <w:rPr>
                <w:rFonts w:eastAsia="Times New Roman" w:cs="Times New Roman"/>
                <w:iCs/>
                <w:sz w:val="24"/>
                <w:szCs w:val="24"/>
                <w:lang w:eastAsia="lv-LV"/>
              </w:rPr>
              <w:t>7. Amata vietu skaita izmaiņas</w:t>
            </w:r>
          </w:p>
        </w:tc>
        <w:tc>
          <w:tcPr>
            <w:tcW w:w="7696" w:type="dxa"/>
            <w:gridSpan w:val="8"/>
          </w:tcPr>
          <w:p w14:paraId="16115D18" w14:textId="77777777" w:rsidR="00F05D71" w:rsidRPr="00235AD3" w:rsidRDefault="00F05D71" w:rsidP="00ED0B96">
            <w:pPr>
              <w:jc w:val="both"/>
              <w:rPr>
                <w:rFonts w:eastAsia="Times New Roman" w:cs="Times New Roman"/>
                <w:iCs/>
                <w:sz w:val="24"/>
                <w:szCs w:val="24"/>
                <w:lang w:eastAsia="lv-LV"/>
              </w:rPr>
            </w:pPr>
            <w:r w:rsidRPr="00235AD3">
              <w:rPr>
                <w:rFonts w:eastAsia="Times New Roman" w:cs="Times New Roman"/>
                <w:iCs/>
                <w:sz w:val="24"/>
                <w:szCs w:val="24"/>
                <w:lang w:eastAsia="lv-LV"/>
              </w:rPr>
              <w:t>Nav.</w:t>
            </w:r>
          </w:p>
        </w:tc>
      </w:tr>
      <w:tr w:rsidR="00F05D71" w:rsidRPr="00235AD3" w14:paraId="375B587D" w14:textId="77777777" w:rsidTr="00A26CB1">
        <w:trPr>
          <w:trHeight w:val="267"/>
        </w:trPr>
        <w:tc>
          <w:tcPr>
            <w:tcW w:w="1700" w:type="dxa"/>
            <w:hideMark/>
          </w:tcPr>
          <w:p w14:paraId="6422AA5E" w14:textId="77777777" w:rsidR="00F05D71" w:rsidRPr="00235AD3" w:rsidRDefault="00F05D71" w:rsidP="00ED0B96">
            <w:pPr>
              <w:rPr>
                <w:rFonts w:eastAsia="Times New Roman" w:cs="Times New Roman"/>
                <w:iCs/>
                <w:sz w:val="24"/>
                <w:szCs w:val="24"/>
                <w:lang w:eastAsia="lv-LV"/>
              </w:rPr>
            </w:pPr>
            <w:r w:rsidRPr="00235AD3">
              <w:rPr>
                <w:rFonts w:eastAsia="Times New Roman" w:cs="Times New Roman"/>
                <w:iCs/>
                <w:sz w:val="24"/>
                <w:szCs w:val="24"/>
                <w:lang w:eastAsia="lv-LV"/>
              </w:rPr>
              <w:t>8. Cita informācija</w:t>
            </w:r>
          </w:p>
        </w:tc>
        <w:tc>
          <w:tcPr>
            <w:tcW w:w="7696" w:type="dxa"/>
            <w:gridSpan w:val="8"/>
          </w:tcPr>
          <w:p w14:paraId="20EEC9AB" w14:textId="77777777" w:rsidR="00144B0B" w:rsidRPr="00235AD3" w:rsidRDefault="00F40518" w:rsidP="00C04AC2">
            <w:pPr>
              <w:jc w:val="both"/>
              <w:rPr>
                <w:rFonts w:cs="Times New Roman"/>
                <w:sz w:val="24"/>
                <w:szCs w:val="24"/>
              </w:rPr>
            </w:pPr>
            <w:r w:rsidRPr="00235AD3">
              <w:rPr>
                <w:rFonts w:cs="Times New Roman"/>
                <w:sz w:val="24"/>
                <w:szCs w:val="24"/>
              </w:rPr>
              <w:t xml:space="preserve">1. </w:t>
            </w:r>
            <w:r w:rsidR="00F05D71" w:rsidRPr="00235AD3">
              <w:rPr>
                <w:rFonts w:cs="Times New Roman"/>
                <w:sz w:val="24"/>
                <w:szCs w:val="24"/>
              </w:rPr>
              <w:t xml:space="preserve">Atbilstoši Valsts ieņēmumu dienesta sniegtajai informācijai </w:t>
            </w:r>
            <w:r w:rsidR="00C04AC2" w:rsidRPr="00235AD3">
              <w:rPr>
                <w:rFonts w:cs="Times New Roman"/>
                <w:sz w:val="24"/>
                <w:szCs w:val="24"/>
              </w:rPr>
              <w:t>par atdotajām akcīzes nodokļa markām:</w:t>
            </w:r>
            <w:r w:rsidR="00144B0B" w:rsidRPr="00235AD3">
              <w:rPr>
                <w:rFonts w:cs="Times New Roman"/>
                <w:sz w:val="24"/>
                <w:szCs w:val="24"/>
              </w:rPr>
              <w:t xml:space="preserve"> </w:t>
            </w:r>
          </w:p>
          <w:p w14:paraId="03BB5FB8" w14:textId="77777777" w:rsidR="00C04AC2" w:rsidRPr="00235AD3" w:rsidRDefault="00144B0B" w:rsidP="00144B0B">
            <w:pPr>
              <w:pStyle w:val="ListParagraph"/>
              <w:numPr>
                <w:ilvl w:val="0"/>
                <w:numId w:val="19"/>
              </w:numPr>
              <w:jc w:val="both"/>
            </w:pPr>
            <w:r w:rsidRPr="00235AD3">
              <w:t>alkoholiskie dzērieni:</w:t>
            </w:r>
          </w:p>
          <w:p w14:paraId="4653CAF8" w14:textId="417442F3" w:rsidR="00F05D71" w:rsidRPr="00235AD3" w:rsidRDefault="00C04AC2" w:rsidP="00FB70E3">
            <w:pPr>
              <w:pStyle w:val="ListParagraph"/>
              <w:numPr>
                <w:ilvl w:val="0"/>
                <w:numId w:val="18"/>
              </w:numPr>
              <w:ind w:left="0" w:firstLine="360"/>
              <w:jc w:val="both"/>
            </w:pPr>
            <w:r w:rsidRPr="00235AD3">
              <w:t>2019.</w:t>
            </w:r>
            <w:r w:rsidR="00F57F59" w:rsidRPr="00235AD3">
              <w:t> </w:t>
            </w:r>
            <w:r w:rsidRPr="00235AD3">
              <w:t xml:space="preserve">gadā </w:t>
            </w:r>
            <w:r w:rsidR="001508C5" w:rsidRPr="00235AD3">
              <w:t xml:space="preserve">18 akcīzes nodokļa maksātāji atdeva </w:t>
            </w:r>
            <w:r w:rsidRPr="00235AD3">
              <w:t>65</w:t>
            </w:r>
            <w:r w:rsidR="00FB70E3" w:rsidRPr="00235AD3">
              <w:t> </w:t>
            </w:r>
            <w:r w:rsidRPr="00235AD3">
              <w:t xml:space="preserve">912 akcīzes nodokļa markas, par kurām </w:t>
            </w:r>
            <w:r w:rsidR="00FB70E3" w:rsidRPr="00235AD3">
              <w:t xml:space="preserve">aprēķinātais akcīzes nodoklis </w:t>
            </w:r>
            <w:r w:rsidRPr="00235AD3">
              <w:t>tika atmaksāts vai novirzīts nodokļu parādu segšanai 141</w:t>
            </w:r>
            <w:r w:rsidR="00FB70E3" w:rsidRPr="00235AD3">
              <w:t> </w:t>
            </w:r>
            <w:r w:rsidRPr="00235AD3">
              <w:t>419 EUR</w:t>
            </w:r>
            <w:r w:rsidR="00FB70E3" w:rsidRPr="00235AD3">
              <w:t xml:space="preserve"> apmērā</w:t>
            </w:r>
            <w:r w:rsidRPr="00235AD3">
              <w:t>. Visvairāk markas tika atgrieztas par pārējiem alkoholiskajiem dzērieniem, kas veido</w:t>
            </w:r>
            <w:r w:rsidR="00FB70E3" w:rsidRPr="00235AD3">
              <w:t>ja</w:t>
            </w:r>
            <w:r w:rsidRPr="00235AD3">
              <w:t xml:space="preserve"> 67,7% no kopējā atdot</w:t>
            </w:r>
            <w:r w:rsidR="00FB70E3" w:rsidRPr="00235AD3">
              <w:t>o</w:t>
            </w:r>
            <w:r w:rsidRPr="00235AD3">
              <w:t xml:space="preserve"> alkoholisko dzērienu akcīzes nodokļa marku skaita un aprēķinātais akcīzes nodokļa apmērs par tām veidoja 87,6% no kopējā</w:t>
            </w:r>
            <w:r w:rsidR="00FB70E3" w:rsidRPr="00235AD3">
              <w:t xml:space="preserve"> aprēķinātā akcīzes nodokļa par atdotajām alkoholisko dzērienu akcīzes nodokļa markām. Otro lielāko grupu veidoja vīni – tika atdotas 12,9% no kopējā atdoto alkoholisko dzērienu akcīzes nodokļa marku skaita un aprēķinātais akcīzes nodokļa apmērs par tām veidoja 5,8% no kopējā aprēķinātā akcīzes nodokļa par atdotajām alkoholisko dzērienu akcīzes nodokļa markām</w:t>
            </w:r>
            <w:r w:rsidR="000C6DD7" w:rsidRPr="00235AD3">
              <w:t>.</w:t>
            </w:r>
            <w:r w:rsidR="00A319FE" w:rsidRPr="00235AD3">
              <w:t xml:space="preserve"> Vislielākais aprēķinātais akcīzes nodoklis v</w:t>
            </w:r>
            <w:r w:rsidR="000C6DD7" w:rsidRPr="00235AD3">
              <w:t xml:space="preserve">idēji par vienu </w:t>
            </w:r>
            <w:r w:rsidR="00094485" w:rsidRPr="00235AD3">
              <w:t xml:space="preserve">atdoto </w:t>
            </w:r>
            <w:r w:rsidR="000C6DD7" w:rsidRPr="00235AD3">
              <w:t xml:space="preserve">akcīzes nodokļa marku bija par pārējiem alkoholiskajiem dzērieniem – 2,77 </w:t>
            </w:r>
            <w:r w:rsidR="00A319FE" w:rsidRPr="00235AD3">
              <w:t xml:space="preserve">EUR, savukārt vismazākais </w:t>
            </w:r>
            <w:r w:rsidR="0095260D" w:rsidRPr="00235AD3">
              <w:t xml:space="preserve">bija </w:t>
            </w:r>
            <w:r w:rsidR="00A319FE" w:rsidRPr="00235AD3">
              <w:t xml:space="preserve">par starpproduktiem ar absolūtā spirta saturu līdz </w:t>
            </w:r>
            <w:r w:rsidR="0095260D" w:rsidRPr="00235AD3">
              <w:t xml:space="preserve">15 </w:t>
            </w:r>
            <w:proofErr w:type="spellStart"/>
            <w:r w:rsidR="0095260D" w:rsidRPr="00235AD3">
              <w:t>tilp</w:t>
            </w:r>
            <w:proofErr w:type="spellEnd"/>
            <w:r w:rsidR="0095260D" w:rsidRPr="00235AD3">
              <w:t>.% (ieskaitot) – 0,55 EUR</w:t>
            </w:r>
            <w:r w:rsidR="00FB70E3" w:rsidRPr="00235AD3">
              <w:t>;</w:t>
            </w:r>
          </w:p>
          <w:p w14:paraId="179E5D9E" w14:textId="6A95F82E" w:rsidR="0095260D" w:rsidRPr="00235AD3" w:rsidRDefault="00FB70E3" w:rsidP="0095260D">
            <w:pPr>
              <w:pStyle w:val="ListParagraph"/>
              <w:numPr>
                <w:ilvl w:val="0"/>
                <w:numId w:val="18"/>
              </w:numPr>
              <w:ind w:left="0" w:firstLine="360"/>
              <w:jc w:val="both"/>
            </w:pPr>
            <w:r w:rsidRPr="00235AD3">
              <w:t>2018.</w:t>
            </w:r>
            <w:r w:rsidR="00F57F59" w:rsidRPr="00235AD3">
              <w:t> </w:t>
            </w:r>
            <w:r w:rsidRPr="00235AD3">
              <w:t xml:space="preserve">gadā </w:t>
            </w:r>
            <w:r w:rsidR="00853E40" w:rsidRPr="00235AD3">
              <w:t>1</w:t>
            </w:r>
            <w:r w:rsidR="001508C5" w:rsidRPr="00235AD3">
              <w:t xml:space="preserve">6 akcīzes </w:t>
            </w:r>
            <w:r w:rsidR="00853E40" w:rsidRPr="00235AD3">
              <w:t>nodok</w:t>
            </w:r>
            <w:r w:rsidR="001508C5" w:rsidRPr="00235AD3">
              <w:t>ļa</w:t>
            </w:r>
            <w:r w:rsidR="00853E40" w:rsidRPr="00235AD3">
              <w:t xml:space="preserve"> maksātāji atdeva </w:t>
            </w:r>
            <w:r w:rsidRPr="00235AD3">
              <w:t xml:space="preserve">31 332 akcīzes nodokļa markas, par kurām aprēķinātais akcīzes nodoklis tika atmaksāts vai novirzīts nodokļu parādu segšanai </w:t>
            </w:r>
            <w:r w:rsidR="00076359" w:rsidRPr="00235AD3">
              <w:t>48 667</w:t>
            </w:r>
            <w:r w:rsidRPr="00235AD3">
              <w:t xml:space="preserve"> EUR apmērā.</w:t>
            </w:r>
            <w:r w:rsidR="00076359" w:rsidRPr="00235AD3">
              <w:rPr>
                <w:rFonts w:eastAsiaTheme="minorHAnsi"/>
                <w:lang w:eastAsia="en-US"/>
              </w:rPr>
              <w:t xml:space="preserve"> </w:t>
            </w:r>
            <w:r w:rsidR="00076359" w:rsidRPr="00235AD3">
              <w:t>Visvairāk markas tika atgrieztas par raudzētajiem dzērieniem ar absolūtā spirta saturu virs 6 </w:t>
            </w:r>
            <w:proofErr w:type="spellStart"/>
            <w:r w:rsidR="00076359" w:rsidRPr="00235AD3">
              <w:t>tilp</w:t>
            </w:r>
            <w:proofErr w:type="spellEnd"/>
            <w:r w:rsidR="00076359" w:rsidRPr="00235AD3">
              <w:t>. %, kas veidoja 46,8%</w:t>
            </w:r>
            <w:r w:rsidR="00076359" w:rsidRPr="00235AD3">
              <w:rPr>
                <w:rFonts w:eastAsiaTheme="minorHAnsi"/>
                <w:lang w:eastAsia="en-US"/>
              </w:rPr>
              <w:t xml:space="preserve"> </w:t>
            </w:r>
            <w:r w:rsidR="00076359" w:rsidRPr="00235AD3">
              <w:t>no kopējā atdoto alkoholisko dzērienu akcīzes nodokļa marku skaita, taču</w:t>
            </w:r>
            <w:r w:rsidR="00076359" w:rsidRPr="00235AD3">
              <w:rPr>
                <w:rFonts w:eastAsiaTheme="minorHAnsi"/>
                <w:lang w:eastAsia="en-US"/>
              </w:rPr>
              <w:t xml:space="preserve"> </w:t>
            </w:r>
            <w:r w:rsidR="00076359" w:rsidRPr="00235AD3">
              <w:t>aprēķinātais akcīzes nodokļa apmērs par tām veidoja 20,3% no kopējā aprēķinātā akcīzes nodokļa par atdotajām alkoholisko dzērienu akcīzes nodokļa markām, kas bija</w:t>
            </w:r>
            <w:r w:rsidR="0095260D" w:rsidRPr="00235AD3">
              <w:t xml:space="preserve"> otrais </w:t>
            </w:r>
            <w:r w:rsidR="00076359" w:rsidRPr="00235AD3">
              <w:t xml:space="preserve">lielākais rādītājs. </w:t>
            </w:r>
            <w:r w:rsidR="009B1022" w:rsidRPr="00235AD3">
              <w:t>Otro lielāko grupu atdoto</w:t>
            </w:r>
            <w:r w:rsidR="00144B0B" w:rsidRPr="00235AD3">
              <w:t xml:space="preserve"> akcīzes nodokļa marku skaita ziņā veidoja pārējie alkoholiskie dzērieni – 33,3% no kopējā atdoto alkoholisko dzērienu akcīzes nodokļa marku skaita, taču aprēķinātais akcīzes nodokļa apmērs par tām bija vislielākais – 72,1% no kopējā aprēķinātā akcīzes nodokļa par atdotajām alkoholisko dzērienu akcīzes nodokļa markām</w:t>
            </w:r>
            <w:r w:rsidR="0095260D" w:rsidRPr="00235AD3">
              <w:t xml:space="preserve">. Vislielākais aprēķinātais akcīzes nodoklis vidēji par vienu </w:t>
            </w:r>
            <w:r w:rsidR="00094485" w:rsidRPr="00235AD3">
              <w:t xml:space="preserve">atdoto </w:t>
            </w:r>
            <w:r w:rsidR="0095260D" w:rsidRPr="00235AD3">
              <w:t>akcīzes nodokļa marku bija par pārējiem alkoholiskajiem dzērieniem – 3,37 EUR, savukārt vismazākais bija par raudzētajiem dzērieniem ar absolūtā spirta saturu līdz 6 </w:t>
            </w:r>
            <w:proofErr w:type="spellStart"/>
            <w:r w:rsidR="0095260D" w:rsidRPr="00235AD3">
              <w:t>tilp</w:t>
            </w:r>
            <w:proofErr w:type="spellEnd"/>
            <w:r w:rsidR="0095260D" w:rsidRPr="00235AD3">
              <w:t>.% (ieskaitot) – 0,</w:t>
            </w:r>
            <w:r w:rsidR="00094485" w:rsidRPr="00235AD3">
              <w:t>32</w:t>
            </w:r>
            <w:r w:rsidR="0095260D" w:rsidRPr="00235AD3">
              <w:t xml:space="preserve"> EUR;</w:t>
            </w:r>
          </w:p>
          <w:p w14:paraId="317A41DA" w14:textId="3CD2A318" w:rsidR="00094485" w:rsidRPr="00235AD3" w:rsidRDefault="00144B0B" w:rsidP="00094485">
            <w:pPr>
              <w:pStyle w:val="ListParagraph"/>
              <w:numPr>
                <w:ilvl w:val="0"/>
                <w:numId w:val="18"/>
              </w:numPr>
              <w:ind w:left="0" w:firstLine="360"/>
              <w:jc w:val="both"/>
            </w:pPr>
            <w:r w:rsidRPr="00235AD3">
              <w:t>2017.</w:t>
            </w:r>
            <w:r w:rsidR="00F57F59" w:rsidRPr="00235AD3">
              <w:t> </w:t>
            </w:r>
            <w:r w:rsidRPr="00235AD3">
              <w:t xml:space="preserve">gadā </w:t>
            </w:r>
            <w:r w:rsidR="001508C5" w:rsidRPr="00235AD3">
              <w:t>22 akcīzes nodokļa maksātāji atdeva</w:t>
            </w:r>
            <w:r w:rsidRPr="00235AD3">
              <w:t xml:space="preserve"> 471 924 akcīzes nodokļa markas</w:t>
            </w:r>
            <w:r w:rsidR="00ED0B96" w:rsidRPr="00235AD3">
              <w:t xml:space="preserve">, par kurām aprēķinātais akcīzes nodoklis tika atmaksāts vai novirzīts nodokļu parādu segšanai 199 838 EUR apmērā. Visvairāk markas tika atgrieztas par starpproduktiem ar absolūtā spirta saturu līdz 15 </w:t>
            </w:r>
            <w:proofErr w:type="spellStart"/>
            <w:r w:rsidR="00ED0B96" w:rsidRPr="00235AD3">
              <w:t>tilp</w:t>
            </w:r>
            <w:proofErr w:type="spellEnd"/>
            <w:r w:rsidR="00ED0B96" w:rsidRPr="00235AD3">
              <w:t xml:space="preserve">.% (ieskaitot), kas veidoja 46,7% no kopējā atdoto alkoholisko dzērienu akcīzes nodokļa marku skaita, taču aprēķinātais akcīzes nodokļa apmērs par tām bija trešais lielākais jeb  23,7% no kopējā aprēķinātā akcīzes nodokļa par </w:t>
            </w:r>
            <w:r w:rsidR="00ED0B96" w:rsidRPr="00235AD3">
              <w:lastRenderedPageBreak/>
              <w:t>atdotajām alkoholisko dzērienu akcīzes nodokļa markām</w:t>
            </w:r>
            <w:r w:rsidR="009B1022" w:rsidRPr="00235AD3">
              <w:t>.</w:t>
            </w:r>
            <w:r w:rsidR="009B1022" w:rsidRPr="00235AD3">
              <w:rPr>
                <w:rFonts w:eastAsiaTheme="minorHAnsi"/>
                <w:lang w:eastAsia="en-US"/>
              </w:rPr>
              <w:t xml:space="preserve"> </w:t>
            </w:r>
            <w:r w:rsidR="009B1022" w:rsidRPr="00235AD3">
              <w:t>Otro lielāko grupu atdoto akcīzes nodokļa marku skaita ziņā veidoja raudzētie dzērieni ar absolūtā spirta saturu līdz 6 </w:t>
            </w:r>
            <w:proofErr w:type="spellStart"/>
            <w:r w:rsidR="009B1022" w:rsidRPr="00235AD3">
              <w:t>tilp</w:t>
            </w:r>
            <w:proofErr w:type="spellEnd"/>
            <w:r w:rsidR="009B1022" w:rsidRPr="00235AD3">
              <w:t>.% - 33,2%</w:t>
            </w:r>
            <w:r w:rsidR="009B1022" w:rsidRPr="00235AD3">
              <w:rPr>
                <w:rFonts w:eastAsiaTheme="minorHAnsi"/>
                <w:lang w:eastAsia="en-US"/>
              </w:rPr>
              <w:t xml:space="preserve"> </w:t>
            </w:r>
            <w:r w:rsidR="009B1022" w:rsidRPr="00235AD3">
              <w:t>no kopējā atdoto alkoholisko dzērienu akcīzes nodokļa marku skaita, taču aprēķinātais akcīzes nodokļa apmērs par tām bija otrais lielākais jeb 27,5% no kopējā aprēķinātā akcīzes nodokļa par atdotajām alkoholisko dzērienu akcīzes nodokļa markām.</w:t>
            </w:r>
            <w:r w:rsidR="00C32092" w:rsidRPr="00235AD3">
              <w:t xml:space="preserve"> </w:t>
            </w:r>
            <w:r w:rsidR="009B1022" w:rsidRPr="00235AD3">
              <w:t>Trešo lielāko grupu atdoto akcīzes nodokļa marku skaita ziņā veidoja pārējie alkoholiskie dzērieni – 17,1% no kopējā atdoto alkoholisko dzērienu akcīzes nodokļa marku skaita, taču aprēķinātais akcīzes nodokļa apmērs par tām bija vislielākais – 43,9% no kopējā aprēķinātā akcīzes nodokļa par atdotajām alkoholisko dzērienu akcīzes nodokļa markām.</w:t>
            </w:r>
            <w:r w:rsidR="00094485" w:rsidRPr="00235AD3">
              <w:t xml:space="preserve"> Vislielākais aprēķinātais akcīzes nodoklis vidēji par vienu atdoto akcīzes nodokļa marku bija par pārējiem alkoholiskajiem dzērieniem un vīnu – attiecīgi 1,09 EUR un 1,08 EUR, savukārt vismazākais bija par starpproduktiem ar absolūtā spirta saturu līdz 15 </w:t>
            </w:r>
            <w:proofErr w:type="spellStart"/>
            <w:r w:rsidR="00094485" w:rsidRPr="00235AD3">
              <w:t>tilp</w:t>
            </w:r>
            <w:proofErr w:type="spellEnd"/>
            <w:r w:rsidR="00094485" w:rsidRPr="00235AD3">
              <w:t>.% (ieskaitot) – 0,21 EUR.</w:t>
            </w:r>
          </w:p>
          <w:p w14:paraId="3A3D1EAA" w14:textId="77777777" w:rsidR="00ED0B96" w:rsidRPr="00235AD3" w:rsidRDefault="00104708" w:rsidP="00ED0B96">
            <w:pPr>
              <w:pStyle w:val="ListParagraph"/>
              <w:ind w:left="87" w:firstLine="273"/>
              <w:jc w:val="both"/>
            </w:pPr>
            <w:r w:rsidRPr="00235AD3">
              <w:t>Aprēķināto akcīzes nodokli vidēji par vienu atdoto akcīzes nodokļa marku ietekmē alkoholiskā dzēriena veids, akcīzes nodokļa likme un alkoholiskā dzēriena iepakojuma lielums (tilpums), jo akcīzes nodokļa marku piestiprina pie alkoholiskā dzēriena iepakojuma.</w:t>
            </w:r>
          </w:p>
          <w:p w14:paraId="55CE2AC3" w14:textId="77777777" w:rsidR="00144B0B" w:rsidRPr="00235AD3" w:rsidRDefault="00144B0B" w:rsidP="00144B0B">
            <w:pPr>
              <w:pStyle w:val="ListParagraph"/>
              <w:numPr>
                <w:ilvl w:val="0"/>
                <w:numId w:val="19"/>
              </w:numPr>
              <w:jc w:val="both"/>
            </w:pPr>
            <w:r w:rsidRPr="00235AD3">
              <w:t>tabakas izstrādājumi:</w:t>
            </w:r>
          </w:p>
          <w:p w14:paraId="614B4DDC" w14:textId="50E08DCA" w:rsidR="001E7C36" w:rsidRPr="00235AD3" w:rsidRDefault="009E3DCC" w:rsidP="009E3DCC">
            <w:pPr>
              <w:pStyle w:val="ListParagraph"/>
              <w:numPr>
                <w:ilvl w:val="0"/>
                <w:numId w:val="18"/>
              </w:numPr>
              <w:ind w:left="87" w:firstLine="273"/>
              <w:jc w:val="both"/>
            </w:pPr>
            <w:r w:rsidRPr="00235AD3">
              <w:t>2019.</w:t>
            </w:r>
            <w:r w:rsidR="00F57F59" w:rsidRPr="00235AD3">
              <w:t> </w:t>
            </w:r>
            <w:r w:rsidRPr="00235AD3">
              <w:t xml:space="preserve">gadā 4 akcīzes nodokļa maksātāji atdeva 20 982 akcīzes nodokļa markas, par kurām aprēķinātais akcīzes nodoklis tika atmaksāts vai novirzīts nodokļu parādu segšanai 60 765 EUR apmērā. </w:t>
            </w:r>
            <w:r w:rsidR="00980F7E" w:rsidRPr="00235AD3">
              <w:t xml:space="preserve">Aptuveni 1/3 jeb 33,8% no atdotajām tabakas izstrādājumu akcīzes nodokļa markām bija citā Eiropas Savienības dalībvalstī iznīcinātās akcīzes nodokļa markas. </w:t>
            </w:r>
            <w:r w:rsidRPr="00235AD3">
              <w:t>Visvairāk markas tika atdotas par cigaretēm –</w:t>
            </w:r>
            <w:r w:rsidR="009422B8" w:rsidRPr="00235AD3">
              <w:t xml:space="preserve"> 96% no kopējā atdoto tabakas izstrādājumu  akcīzes nodokļa marku skaita un arī aprēķinātais akcīzes nodokļa apmērs bija vislielākais -</w:t>
            </w:r>
            <w:r w:rsidR="00980F7E" w:rsidRPr="00235AD3">
              <w:t xml:space="preserve"> </w:t>
            </w:r>
            <w:r w:rsidR="009422B8" w:rsidRPr="00235AD3">
              <w:t>97,1% no kopējā aprēķinātā akcīzes nodokļa par atdotajām tabakas izstrādājumu akcīzes nodokļa markām.</w:t>
            </w:r>
            <w:r w:rsidR="00980F7E" w:rsidRPr="00235AD3">
              <w:rPr>
                <w:rFonts w:eastAsiaTheme="minorHAnsi"/>
                <w:lang w:eastAsia="en-US"/>
              </w:rPr>
              <w:t xml:space="preserve"> A</w:t>
            </w:r>
            <w:r w:rsidR="00980F7E" w:rsidRPr="00235AD3">
              <w:t>prēķinātais akcīzes nodoklis vidēji par vienu atdoto akcīzes nodokļa marku par cigaretēm bija 2,93 EUR, savukārt smalki sagriezto smēķējamo tabaku cigarešu uztīšanai bija 2,15 EUR</w:t>
            </w:r>
            <w:r w:rsidR="001E7C36" w:rsidRPr="00235AD3">
              <w:t>;</w:t>
            </w:r>
          </w:p>
          <w:p w14:paraId="20F6D4A7" w14:textId="2CDE1951" w:rsidR="00C1231A" w:rsidRPr="00235AD3" w:rsidRDefault="001E7C36" w:rsidP="009E3DCC">
            <w:pPr>
              <w:pStyle w:val="ListParagraph"/>
              <w:numPr>
                <w:ilvl w:val="0"/>
                <w:numId w:val="18"/>
              </w:numPr>
              <w:ind w:left="87" w:firstLine="273"/>
              <w:jc w:val="both"/>
            </w:pPr>
            <w:r w:rsidRPr="00235AD3">
              <w:t>2018.</w:t>
            </w:r>
            <w:r w:rsidR="00F57F59" w:rsidRPr="00235AD3">
              <w:t> </w:t>
            </w:r>
            <w:r w:rsidRPr="00235AD3">
              <w:t xml:space="preserve">gadā 6 akcīzes nodokļa maksātāji atdeva 283 232 akcīzes nodokļa markas, par kurām aprēķinātais akcīzes nodoklis tika atmaksāts vai novirzīts nodokļu parādu segšanai </w:t>
            </w:r>
            <w:r w:rsidR="00C1231A" w:rsidRPr="00235AD3">
              <w:t>569 251</w:t>
            </w:r>
            <w:r w:rsidRPr="00235AD3">
              <w:t xml:space="preserve"> EUR apmērā. Aptuveni </w:t>
            </w:r>
            <w:r w:rsidR="00C1231A" w:rsidRPr="00235AD3">
              <w:t>8,5</w:t>
            </w:r>
            <w:r w:rsidRPr="00235AD3">
              <w:t>% no atdotajām tabakas izstrādājumu akcīzes nodokļa markām bija citā Eiropas Savienības dalībvalstī iznīcinātās akcīzes nodokļa markas. Visvairāk markas tika atdotas par cigaretēm – 96</w:t>
            </w:r>
            <w:r w:rsidR="00C1231A" w:rsidRPr="00235AD3">
              <w:t>,5</w:t>
            </w:r>
            <w:r w:rsidRPr="00235AD3">
              <w:t xml:space="preserve">% no kopējā atdoto tabakas izstrādājumu  akcīzes nodokļa marku skaita un arī aprēķinātais akcīzes nodokļa apmērs bija vislielākais </w:t>
            </w:r>
            <w:r w:rsidR="00C1231A" w:rsidRPr="00235AD3">
              <w:t>–</w:t>
            </w:r>
            <w:r w:rsidRPr="00235AD3">
              <w:t xml:space="preserve"> </w:t>
            </w:r>
            <w:r w:rsidR="00C1231A" w:rsidRPr="00235AD3">
              <w:t>95,8</w:t>
            </w:r>
            <w:r w:rsidRPr="00235AD3">
              <w:t xml:space="preserve">% no kopējā aprēķinātā akcīzes nodokļa par atdotajām tabakas izstrādājumu akcīzes nodokļa markām. Aprēķinātais akcīzes nodoklis vidēji par vienu atdoto akcīzes nodokļa marku par cigaretēm bija </w:t>
            </w:r>
            <w:r w:rsidR="00C1231A" w:rsidRPr="00235AD3">
              <w:t>1,99</w:t>
            </w:r>
            <w:r w:rsidRPr="00235AD3">
              <w:t xml:space="preserve"> EUR, savukārt </w:t>
            </w:r>
            <w:r w:rsidR="00C1231A" w:rsidRPr="00235AD3">
              <w:t xml:space="preserve">par citu </w:t>
            </w:r>
            <w:r w:rsidRPr="00235AD3">
              <w:t>smēķējamo tabaku bija 2,</w:t>
            </w:r>
            <w:r w:rsidR="00C1231A" w:rsidRPr="00235AD3">
              <w:t>89</w:t>
            </w:r>
            <w:r w:rsidRPr="00235AD3">
              <w:t> EUR</w:t>
            </w:r>
            <w:r w:rsidR="00C1231A" w:rsidRPr="00235AD3">
              <w:t>;</w:t>
            </w:r>
          </w:p>
          <w:p w14:paraId="3848DB71" w14:textId="796CB686" w:rsidR="00861102" w:rsidRPr="00235AD3" w:rsidRDefault="00C1231A" w:rsidP="009E3DCC">
            <w:pPr>
              <w:pStyle w:val="ListParagraph"/>
              <w:numPr>
                <w:ilvl w:val="0"/>
                <w:numId w:val="18"/>
              </w:numPr>
              <w:ind w:left="87" w:firstLine="273"/>
              <w:jc w:val="both"/>
            </w:pPr>
            <w:r w:rsidRPr="00235AD3">
              <w:t>2017.</w:t>
            </w:r>
            <w:r w:rsidR="00F57F59" w:rsidRPr="00235AD3">
              <w:t> </w:t>
            </w:r>
            <w:r w:rsidRPr="00235AD3">
              <w:t>gadā 5 akcīzes nodokļa maksātāji atdeva 304 154 akcīzes nodokļa markas, par kurām aprēķinātais akcīzes nodoklis tika atmaksāts vai novirzīts nodokļu parādu segšanai 564 8</w:t>
            </w:r>
            <w:r w:rsidR="00A64B71" w:rsidRPr="00235AD3">
              <w:t>90</w:t>
            </w:r>
            <w:r w:rsidRPr="00235AD3">
              <w:t xml:space="preserve"> EUR apmērā. Aptuveni </w:t>
            </w:r>
            <w:r w:rsidR="00FD3D65" w:rsidRPr="00235AD3">
              <w:t>3,2</w:t>
            </w:r>
            <w:r w:rsidRPr="00235AD3">
              <w:t xml:space="preserve">% no atdotajām tabakas izstrādājumu akcīzes nodokļa markām bija citā Eiropas Savienības dalībvalstī iznīcinātās akcīzes nodokļa markas. Visvairāk markas tika atdotas par cigaretēm – </w:t>
            </w:r>
            <w:r w:rsidR="00FD3D65" w:rsidRPr="00235AD3">
              <w:t>97,8</w:t>
            </w:r>
            <w:r w:rsidRPr="00235AD3">
              <w:t xml:space="preserve">% no kopējā atdoto tabakas izstrādājumu  akcīzes nodokļa marku skaita un arī aprēķinātais akcīzes nodokļa apmērs </w:t>
            </w:r>
            <w:r w:rsidRPr="00235AD3">
              <w:lastRenderedPageBreak/>
              <w:t xml:space="preserve">bija vislielākais </w:t>
            </w:r>
            <w:r w:rsidR="00FD3D65" w:rsidRPr="00235AD3">
              <w:t>–</w:t>
            </w:r>
            <w:r w:rsidRPr="00235AD3">
              <w:t xml:space="preserve"> 9</w:t>
            </w:r>
            <w:r w:rsidR="00FD3D65" w:rsidRPr="00235AD3">
              <w:t>8,8</w:t>
            </w:r>
            <w:r w:rsidRPr="00235AD3">
              <w:t xml:space="preserve">% no kopējā aprēķinātā akcīzes nodokļa par atdotajām tabakas izstrādājumu akcīzes nodokļa markām. Aprēķinātais akcīzes nodoklis vidēji par vienu atdoto akcīzes nodokļa marku par cigaretēm bija </w:t>
            </w:r>
            <w:r w:rsidR="00FD3D65" w:rsidRPr="00235AD3">
              <w:t>1,88</w:t>
            </w:r>
            <w:r w:rsidRPr="00235AD3">
              <w:t xml:space="preserve"> EUR, savukārt </w:t>
            </w:r>
            <w:r w:rsidR="00FD3D65" w:rsidRPr="00235AD3">
              <w:t>par citu</w:t>
            </w:r>
            <w:r w:rsidRPr="00235AD3">
              <w:t xml:space="preserve"> smēķējamo tabaku bija </w:t>
            </w:r>
            <w:r w:rsidR="00FD3D65" w:rsidRPr="00235AD3">
              <w:t>8,61</w:t>
            </w:r>
            <w:r w:rsidRPr="00235AD3">
              <w:t> EUR</w:t>
            </w:r>
            <w:r w:rsidR="00980F7E" w:rsidRPr="00235AD3">
              <w:t>.</w:t>
            </w:r>
          </w:p>
          <w:p w14:paraId="5E17508C" w14:textId="77777777" w:rsidR="00861102" w:rsidRPr="00235AD3" w:rsidRDefault="00861102" w:rsidP="00861102">
            <w:pPr>
              <w:jc w:val="both"/>
              <w:rPr>
                <w:rFonts w:cs="Times New Roman"/>
                <w:sz w:val="24"/>
                <w:szCs w:val="24"/>
              </w:rPr>
            </w:pPr>
          </w:p>
          <w:p w14:paraId="3F79E42D" w14:textId="77777777" w:rsidR="00861102" w:rsidRPr="00235AD3" w:rsidRDefault="00861102" w:rsidP="00861102">
            <w:pPr>
              <w:jc w:val="both"/>
              <w:rPr>
                <w:rFonts w:cs="Times New Roman"/>
                <w:sz w:val="24"/>
                <w:szCs w:val="24"/>
              </w:rPr>
            </w:pPr>
            <w:r w:rsidRPr="00235AD3">
              <w:rPr>
                <w:rFonts w:cs="Times New Roman"/>
                <w:sz w:val="24"/>
                <w:szCs w:val="24"/>
              </w:rPr>
              <w:t>Paredzot iespēju iznīcināt akcīzes nodokļa markas, nenoņemot tās no akcīzes preču iepakojuma, un šajā gadījumā saņemt atpakaļ samaksāto akcīzes nodokli, varētu palielināties aprēķinātais akcīzes nodokļa apmērs, kas tiks atmaksāts vai novirzīts nodokļu parādu segšanai.</w:t>
            </w:r>
          </w:p>
          <w:p w14:paraId="4233599B" w14:textId="77777777" w:rsidR="003F5558" w:rsidRPr="00235AD3" w:rsidRDefault="003F5558" w:rsidP="00861102">
            <w:pPr>
              <w:jc w:val="both"/>
              <w:rPr>
                <w:rFonts w:cs="Times New Roman"/>
                <w:sz w:val="24"/>
                <w:szCs w:val="24"/>
              </w:rPr>
            </w:pPr>
          </w:p>
          <w:p w14:paraId="47015F2F" w14:textId="2796ED4E" w:rsidR="003F5558" w:rsidRPr="00235AD3" w:rsidRDefault="00F40518" w:rsidP="003F5558">
            <w:pPr>
              <w:jc w:val="both"/>
              <w:rPr>
                <w:rFonts w:cs="Times New Roman"/>
                <w:sz w:val="24"/>
                <w:szCs w:val="24"/>
              </w:rPr>
            </w:pPr>
            <w:r w:rsidRPr="00235AD3">
              <w:rPr>
                <w:rFonts w:cs="Times New Roman"/>
                <w:sz w:val="24"/>
                <w:szCs w:val="24"/>
              </w:rPr>
              <w:t>2. Saistībā ar likumprojektā ietvertajām normām n</w:t>
            </w:r>
            <w:r w:rsidR="003F5558" w:rsidRPr="00235AD3">
              <w:rPr>
                <w:rFonts w:cs="Times New Roman"/>
                <w:sz w:val="24"/>
                <w:szCs w:val="24"/>
              </w:rPr>
              <w:t>epieciešamo izmaiņu veikšanai V</w:t>
            </w:r>
            <w:r w:rsidRPr="00235AD3">
              <w:rPr>
                <w:rFonts w:cs="Times New Roman"/>
                <w:sz w:val="24"/>
                <w:szCs w:val="24"/>
              </w:rPr>
              <w:t>alsts ieņēmumu dienesta</w:t>
            </w:r>
            <w:r w:rsidR="003F5558" w:rsidRPr="00235AD3">
              <w:rPr>
                <w:rFonts w:cs="Times New Roman"/>
                <w:sz w:val="24"/>
                <w:szCs w:val="24"/>
              </w:rPr>
              <w:t xml:space="preserve"> informācijas sistēmā 202</w:t>
            </w:r>
            <w:r w:rsidR="001F1FD5" w:rsidRPr="00235AD3">
              <w:rPr>
                <w:rFonts w:cs="Times New Roman"/>
                <w:sz w:val="24"/>
                <w:szCs w:val="24"/>
              </w:rPr>
              <w:t>1</w:t>
            </w:r>
            <w:r w:rsidR="003F5558" w:rsidRPr="00235AD3">
              <w:rPr>
                <w:rFonts w:cs="Times New Roman"/>
                <w:sz w:val="24"/>
                <w:szCs w:val="24"/>
              </w:rPr>
              <w:t>.</w:t>
            </w:r>
            <w:r w:rsidR="00F57F59" w:rsidRPr="00235AD3">
              <w:rPr>
                <w:rFonts w:cs="Times New Roman"/>
                <w:sz w:val="24"/>
                <w:szCs w:val="24"/>
              </w:rPr>
              <w:t> </w:t>
            </w:r>
            <w:r w:rsidR="003F5558" w:rsidRPr="00235AD3">
              <w:rPr>
                <w:rFonts w:cs="Times New Roman"/>
                <w:sz w:val="24"/>
                <w:szCs w:val="24"/>
              </w:rPr>
              <w:t xml:space="preserve">gadā ir nepieciešams finansējums </w:t>
            </w:r>
            <w:r w:rsidR="009D6267" w:rsidRPr="00235AD3">
              <w:rPr>
                <w:rFonts w:eastAsia="Times New Roman" w:cs="Times New Roman"/>
                <w:iCs/>
                <w:sz w:val="24"/>
                <w:szCs w:val="24"/>
                <w:lang w:eastAsia="lv-LV"/>
              </w:rPr>
              <w:t xml:space="preserve">125 178 EUR </w:t>
            </w:r>
            <w:r w:rsidR="003F5558" w:rsidRPr="00235AD3">
              <w:rPr>
                <w:rFonts w:cs="Times New Roman"/>
                <w:sz w:val="24"/>
                <w:szCs w:val="24"/>
              </w:rPr>
              <w:t>apmērā, tai skaitā:</w:t>
            </w:r>
          </w:p>
          <w:p w14:paraId="1AAD59AE" w14:textId="3B2D3CB3" w:rsidR="003F5558" w:rsidRPr="00235AD3" w:rsidRDefault="003F5558" w:rsidP="003F5558">
            <w:pPr>
              <w:numPr>
                <w:ilvl w:val="0"/>
                <w:numId w:val="20"/>
              </w:numPr>
              <w:jc w:val="both"/>
              <w:rPr>
                <w:rFonts w:cs="Times New Roman"/>
                <w:sz w:val="24"/>
                <w:szCs w:val="24"/>
              </w:rPr>
            </w:pPr>
            <w:r w:rsidRPr="00235AD3">
              <w:rPr>
                <w:rFonts w:cs="Times New Roman"/>
                <w:sz w:val="24"/>
                <w:szCs w:val="24"/>
              </w:rPr>
              <w:t>Nodokļu informācijas s</w:t>
            </w:r>
            <w:r w:rsidR="00DD6E7A" w:rsidRPr="00235AD3">
              <w:rPr>
                <w:rFonts w:cs="Times New Roman"/>
                <w:sz w:val="24"/>
                <w:szCs w:val="24"/>
              </w:rPr>
              <w:t xml:space="preserve">istēmā (NIS) – </w:t>
            </w:r>
            <w:r w:rsidR="009D6267" w:rsidRPr="00235AD3">
              <w:rPr>
                <w:rFonts w:eastAsia="Times New Roman" w:cs="Times New Roman"/>
                <w:iCs/>
                <w:sz w:val="24"/>
                <w:szCs w:val="24"/>
                <w:lang w:eastAsia="lv-LV"/>
              </w:rPr>
              <w:t xml:space="preserve">27 270 </w:t>
            </w:r>
            <w:r w:rsidR="009D6267" w:rsidRPr="00235AD3">
              <w:rPr>
                <w:rFonts w:cs="Times New Roman"/>
                <w:sz w:val="24"/>
                <w:szCs w:val="24"/>
              </w:rPr>
              <w:t> </w:t>
            </w:r>
            <w:r w:rsidRPr="00235AD3">
              <w:rPr>
                <w:rFonts w:cs="Times New Roman"/>
                <w:sz w:val="24"/>
                <w:szCs w:val="24"/>
              </w:rPr>
              <w:t>EUR;</w:t>
            </w:r>
          </w:p>
          <w:p w14:paraId="07562641" w14:textId="15F586A0" w:rsidR="0019365E" w:rsidRPr="00235AD3" w:rsidRDefault="003F5558" w:rsidP="003F5558">
            <w:pPr>
              <w:numPr>
                <w:ilvl w:val="0"/>
                <w:numId w:val="20"/>
              </w:numPr>
              <w:jc w:val="both"/>
              <w:rPr>
                <w:rFonts w:cs="Times New Roman"/>
                <w:sz w:val="24"/>
                <w:szCs w:val="24"/>
              </w:rPr>
            </w:pPr>
            <w:r w:rsidRPr="00235AD3">
              <w:rPr>
                <w:rFonts w:cs="Times New Roman"/>
                <w:sz w:val="24"/>
                <w:szCs w:val="24"/>
              </w:rPr>
              <w:t xml:space="preserve">Elektroniskās deklarēšanas sistēmā (EDS) – </w:t>
            </w:r>
            <w:r w:rsidR="009D6267" w:rsidRPr="00235AD3">
              <w:rPr>
                <w:rFonts w:eastAsia="Times New Roman" w:cs="Times New Roman"/>
                <w:iCs/>
                <w:sz w:val="24"/>
                <w:szCs w:val="24"/>
                <w:lang w:eastAsia="lv-LV"/>
              </w:rPr>
              <w:t>56 049</w:t>
            </w:r>
            <w:r w:rsidRPr="00235AD3">
              <w:rPr>
                <w:rFonts w:cs="Times New Roman"/>
                <w:sz w:val="24"/>
                <w:szCs w:val="24"/>
              </w:rPr>
              <w:t>EUR;</w:t>
            </w:r>
          </w:p>
          <w:p w14:paraId="0B122C5C" w14:textId="77777777" w:rsidR="009F663C" w:rsidRPr="00235AD3" w:rsidRDefault="003F5558" w:rsidP="00861102">
            <w:pPr>
              <w:numPr>
                <w:ilvl w:val="0"/>
                <w:numId w:val="20"/>
              </w:numPr>
              <w:jc w:val="both"/>
              <w:rPr>
                <w:rFonts w:cs="Times New Roman"/>
                <w:sz w:val="24"/>
                <w:szCs w:val="24"/>
              </w:rPr>
            </w:pPr>
            <w:r w:rsidRPr="00235AD3">
              <w:rPr>
                <w:rFonts w:cs="Times New Roman"/>
                <w:sz w:val="24"/>
                <w:szCs w:val="24"/>
              </w:rPr>
              <w:t xml:space="preserve">Datu noliktavas sistēmā (DNS) – </w:t>
            </w:r>
            <w:r w:rsidR="009D6267" w:rsidRPr="00235AD3">
              <w:rPr>
                <w:rFonts w:eastAsia="Times New Roman" w:cs="Times New Roman"/>
                <w:iCs/>
                <w:sz w:val="24"/>
                <w:szCs w:val="24"/>
                <w:lang w:eastAsia="lv-LV"/>
              </w:rPr>
              <w:t xml:space="preserve">27 256 </w:t>
            </w:r>
            <w:r w:rsidR="009D6267" w:rsidRPr="00235AD3">
              <w:rPr>
                <w:rFonts w:cs="Times New Roman"/>
                <w:sz w:val="24"/>
                <w:szCs w:val="24"/>
              </w:rPr>
              <w:t> </w:t>
            </w:r>
            <w:r w:rsidRPr="00235AD3">
              <w:rPr>
                <w:rFonts w:cs="Times New Roman"/>
                <w:sz w:val="24"/>
                <w:szCs w:val="24"/>
              </w:rPr>
              <w:t>EUR</w:t>
            </w:r>
            <w:r w:rsidR="00DD6E7A" w:rsidRPr="00235AD3">
              <w:rPr>
                <w:rFonts w:cs="Times New Roman"/>
                <w:sz w:val="24"/>
                <w:szCs w:val="24"/>
              </w:rPr>
              <w:t>;</w:t>
            </w:r>
          </w:p>
          <w:p w14:paraId="274664FA" w14:textId="77777777" w:rsidR="009F663C" w:rsidRPr="00235AD3" w:rsidRDefault="00DD6E7A" w:rsidP="00861102">
            <w:pPr>
              <w:numPr>
                <w:ilvl w:val="0"/>
                <w:numId w:val="20"/>
              </w:numPr>
              <w:jc w:val="both"/>
              <w:rPr>
                <w:rFonts w:cs="Times New Roman"/>
                <w:sz w:val="24"/>
                <w:szCs w:val="24"/>
              </w:rPr>
            </w:pPr>
            <w:r w:rsidRPr="00235AD3">
              <w:rPr>
                <w:rFonts w:cs="Times New Roman"/>
                <w:sz w:val="24"/>
                <w:szCs w:val="24"/>
              </w:rPr>
              <w:t xml:space="preserve">Maksājumu administrēšanas informācijas sistēmā (MAIS) – </w:t>
            </w:r>
            <w:r w:rsidR="009F663C" w:rsidRPr="00235AD3">
              <w:rPr>
                <w:rFonts w:eastAsia="Times New Roman" w:cs="Times New Roman"/>
                <w:iCs/>
                <w:sz w:val="24"/>
                <w:szCs w:val="24"/>
                <w:lang w:eastAsia="lv-LV"/>
              </w:rPr>
              <w:t>14 </w:t>
            </w:r>
            <w:r w:rsidR="009D6267" w:rsidRPr="00235AD3">
              <w:rPr>
                <w:rFonts w:eastAsia="Times New Roman" w:cs="Times New Roman"/>
                <w:iCs/>
                <w:sz w:val="24"/>
                <w:szCs w:val="24"/>
                <w:lang w:eastAsia="lv-LV"/>
              </w:rPr>
              <w:t xml:space="preserve">603 </w:t>
            </w:r>
            <w:r w:rsidR="009D6267" w:rsidRPr="00235AD3">
              <w:rPr>
                <w:rFonts w:cs="Times New Roman"/>
                <w:sz w:val="24"/>
                <w:szCs w:val="24"/>
              </w:rPr>
              <w:t> </w:t>
            </w:r>
            <w:r w:rsidRPr="00235AD3">
              <w:rPr>
                <w:rFonts w:cs="Times New Roman"/>
                <w:sz w:val="24"/>
                <w:szCs w:val="24"/>
              </w:rPr>
              <w:t>EUR</w:t>
            </w:r>
            <w:r w:rsidR="003F5558" w:rsidRPr="00235AD3">
              <w:rPr>
                <w:rFonts w:cs="Times New Roman"/>
                <w:sz w:val="24"/>
                <w:szCs w:val="24"/>
              </w:rPr>
              <w:t>.</w:t>
            </w:r>
            <w:r w:rsidR="009F663C" w:rsidRPr="00235AD3">
              <w:rPr>
                <w:rFonts w:cs="Times New Roman"/>
                <w:sz w:val="24"/>
                <w:szCs w:val="24"/>
              </w:rPr>
              <w:t xml:space="preserve"> </w:t>
            </w:r>
          </w:p>
          <w:p w14:paraId="7FF98CA4" w14:textId="751E5240" w:rsidR="003F5558" w:rsidRPr="00696182" w:rsidRDefault="0098504B" w:rsidP="009F663C">
            <w:pPr>
              <w:jc w:val="both"/>
              <w:rPr>
                <w:rFonts w:cs="Times New Roman"/>
                <w:sz w:val="24"/>
                <w:szCs w:val="24"/>
              </w:rPr>
            </w:pPr>
            <w:r w:rsidRPr="00235AD3">
              <w:rPr>
                <w:rFonts w:cs="Times New Roman"/>
                <w:sz w:val="24"/>
                <w:szCs w:val="24"/>
              </w:rPr>
              <w:t>202</w:t>
            </w:r>
            <w:r w:rsidR="001F1FD5" w:rsidRPr="00235AD3">
              <w:rPr>
                <w:rFonts w:cs="Times New Roman"/>
                <w:sz w:val="24"/>
                <w:szCs w:val="24"/>
              </w:rPr>
              <w:t>1</w:t>
            </w:r>
            <w:r w:rsidRPr="00235AD3">
              <w:rPr>
                <w:rFonts w:cs="Times New Roman"/>
                <w:sz w:val="24"/>
                <w:szCs w:val="24"/>
              </w:rPr>
              <w:t>.</w:t>
            </w:r>
            <w:r w:rsidR="00F57F59" w:rsidRPr="00235AD3">
              <w:rPr>
                <w:rFonts w:cs="Times New Roman"/>
                <w:sz w:val="24"/>
                <w:szCs w:val="24"/>
              </w:rPr>
              <w:t> </w:t>
            </w:r>
            <w:r w:rsidRPr="00235AD3">
              <w:rPr>
                <w:rFonts w:cs="Times New Roman"/>
                <w:sz w:val="24"/>
                <w:szCs w:val="24"/>
              </w:rPr>
              <w:t xml:space="preserve">gadā nepieciešamo izmaiņu veikšanai Valsts ieņēmumu dienesta informācijas sistēmās nepieciešamais finansējums </w:t>
            </w:r>
            <w:r w:rsidR="009D6267" w:rsidRPr="00235AD3">
              <w:rPr>
                <w:rFonts w:eastAsia="Times New Roman" w:cs="Times New Roman"/>
                <w:iCs/>
                <w:sz w:val="24"/>
                <w:szCs w:val="24"/>
                <w:lang w:eastAsia="lv-LV"/>
              </w:rPr>
              <w:t>125</w:t>
            </w:r>
            <w:r w:rsidR="009F663C" w:rsidRPr="00235AD3">
              <w:rPr>
                <w:rFonts w:eastAsia="Times New Roman" w:cs="Times New Roman"/>
                <w:iCs/>
                <w:sz w:val="24"/>
                <w:szCs w:val="24"/>
                <w:lang w:eastAsia="lv-LV"/>
              </w:rPr>
              <w:t> </w:t>
            </w:r>
            <w:r w:rsidR="009D6267" w:rsidRPr="00235AD3">
              <w:rPr>
                <w:rFonts w:eastAsia="Times New Roman" w:cs="Times New Roman"/>
                <w:iCs/>
                <w:sz w:val="24"/>
                <w:szCs w:val="24"/>
                <w:lang w:eastAsia="lv-LV"/>
              </w:rPr>
              <w:t>178</w:t>
            </w:r>
            <w:r w:rsidR="009F663C" w:rsidRPr="00235AD3">
              <w:rPr>
                <w:rFonts w:eastAsia="Times New Roman" w:cs="Times New Roman"/>
                <w:iCs/>
                <w:sz w:val="24"/>
                <w:szCs w:val="24"/>
                <w:lang w:eastAsia="lv-LV"/>
              </w:rPr>
              <w:t xml:space="preserve"> </w:t>
            </w:r>
            <w:r w:rsidRPr="00235AD3">
              <w:rPr>
                <w:rFonts w:cs="Times New Roman"/>
                <w:sz w:val="24"/>
                <w:szCs w:val="24"/>
              </w:rPr>
              <w:t xml:space="preserve">EUR apmērā tiks nodrošināts Finanšu ministrijas budžeta </w:t>
            </w:r>
            <w:r w:rsidR="00A94CC3" w:rsidRPr="00235AD3">
              <w:rPr>
                <w:rFonts w:cs="Times New Roman"/>
                <w:sz w:val="24"/>
                <w:szCs w:val="24"/>
              </w:rPr>
              <w:t xml:space="preserve">programmā </w:t>
            </w:r>
            <w:r w:rsidRPr="00235AD3">
              <w:rPr>
                <w:rFonts w:cs="Times New Roman"/>
                <w:sz w:val="24"/>
                <w:szCs w:val="24"/>
              </w:rPr>
              <w:t xml:space="preserve">33.00.00 “Valsts </w:t>
            </w:r>
            <w:r w:rsidRPr="00696182">
              <w:rPr>
                <w:rFonts w:cs="Times New Roman"/>
                <w:sz w:val="24"/>
                <w:szCs w:val="24"/>
              </w:rPr>
              <w:t>ieņēmumu un muitas politikas nodrošināšana” piešķirtā finansējuma ietvaros.</w:t>
            </w:r>
          </w:p>
          <w:p w14:paraId="38A79B30" w14:textId="03B3ED5C" w:rsidR="00C37095" w:rsidRPr="00696182" w:rsidRDefault="00C37095" w:rsidP="00861102">
            <w:pPr>
              <w:jc w:val="both"/>
              <w:rPr>
                <w:rFonts w:cs="Times New Roman"/>
                <w:sz w:val="24"/>
                <w:szCs w:val="24"/>
              </w:rPr>
            </w:pPr>
          </w:p>
          <w:p w14:paraId="239572A1" w14:textId="36B4C3D5" w:rsidR="003F5558" w:rsidRPr="00235AD3" w:rsidRDefault="00C37095" w:rsidP="00696182">
            <w:pPr>
              <w:jc w:val="both"/>
              <w:rPr>
                <w:rFonts w:cs="Times New Roman"/>
                <w:sz w:val="24"/>
                <w:szCs w:val="24"/>
              </w:rPr>
            </w:pPr>
            <w:r w:rsidRPr="00696182">
              <w:rPr>
                <w:rFonts w:cs="Times New Roman"/>
                <w:sz w:val="24"/>
                <w:szCs w:val="24"/>
              </w:rPr>
              <w:t xml:space="preserve">3. </w:t>
            </w:r>
            <w:r w:rsidR="007E338F" w:rsidRPr="00696182">
              <w:rPr>
                <w:rFonts w:cs="Times New Roman"/>
                <w:sz w:val="24"/>
                <w:szCs w:val="24"/>
              </w:rPr>
              <w:t>Ieņēmumi no akcīzes nodokļa tiek ieskaitīti attiecīgās Eiropas Savienības dalībvalsts budžetā. Līdz ar to akcīzes nodokļa atbrīvojuma piemērošana samazinās attiecīgās dalībvalsts, t.sk. Latvijas valsts budžeta ieņēmumus no akcīzes nodokļa. Līdz šim Latvijā nav bijuši izvietoti nevienas Eiropas Savienības dalībvalsts bruņotie spēki, kas būtu saistīti ar aizsardzības pasākumiem Eiropas Savienības darbības īstenošanai saskaņā ar Kopējo drošības un aizsardzības politiku, kā arī pagaidām šādi pasākumi Latvijā netiek plānoti, līdz ar to šobrīd nav iespējams prognozēt Eiropas Savienības dalībvalstu bruņotajiem spēkiem piemērojamā atbrīvojuma no akcīzes nodokļa ietekme uz valsts budžetu.</w:t>
            </w:r>
            <w:r w:rsidRPr="00235AD3">
              <w:rPr>
                <w:rFonts w:cs="Times New Roman"/>
                <w:b/>
                <w:sz w:val="24"/>
                <w:szCs w:val="24"/>
              </w:rPr>
              <w:t xml:space="preserve"> </w:t>
            </w:r>
          </w:p>
        </w:tc>
      </w:tr>
    </w:tbl>
    <w:p w14:paraId="465E909F" w14:textId="77777777" w:rsidR="00F05D71" w:rsidRPr="00235AD3" w:rsidRDefault="00F05D71" w:rsidP="00543AA6">
      <w:pPr>
        <w:spacing w:after="0" w:line="240" w:lineRule="auto"/>
        <w:rPr>
          <w:rFonts w:ascii="Times New Roman" w:eastAsia="Times New Roman" w:hAnsi="Times New Roman" w:cs="Times New Roman"/>
          <w:sz w:val="24"/>
          <w:szCs w:val="24"/>
          <w:lang w:eastAsia="lv-LV"/>
        </w:rPr>
      </w:pPr>
    </w:p>
    <w:p w14:paraId="34DEFC1A" w14:textId="77777777" w:rsidR="00F05D71" w:rsidRPr="00235AD3" w:rsidRDefault="00F05D71" w:rsidP="00543AA6">
      <w:pPr>
        <w:spacing w:after="0" w:line="240" w:lineRule="auto"/>
        <w:rPr>
          <w:rFonts w:ascii="Times New Roman" w:eastAsia="Times New Roman" w:hAnsi="Times New Roman" w:cs="Times New Roman"/>
          <w:sz w:val="24"/>
          <w:szCs w:val="24"/>
          <w:lang w:eastAsia="lv-LV"/>
        </w:rPr>
      </w:pPr>
    </w:p>
    <w:tbl>
      <w:tblPr>
        <w:tblW w:w="506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6"/>
        <w:gridCol w:w="5960"/>
      </w:tblGrid>
      <w:tr w:rsidR="00543AA6" w:rsidRPr="00235AD3" w14:paraId="148A16FA" w14:textId="77777777" w:rsidTr="0010049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7A5134" w14:textId="77777777" w:rsidR="00543AA6" w:rsidRPr="00235AD3" w:rsidRDefault="00543AA6" w:rsidP="00993C8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235AD3">
              <w:rPr>
                <w:rFonts w:ascii="Times New Roman" w:eastAsia="Times New Roman" w:hAnsi="Times New Roman" w:cs="Times New Roman"/>
                <w:b/>
                <w:bCs/>
                <w:sz w:val="24"/>
                <w:szCs w:val="24"/>
                <w:lang w:eastAsia="lv-LV"/>
              </w:rPr>
              <w:t>IV. Tiesību akta projekta ietekme uz spēkā esošo tiesību normu sistēmu</w:t>
            </w:r>
          </w:p>
        </w:tc>
      </w:tr>
      <w:tr w:rsidR="00100490" w:rsidRPr="00235AD3" w14:paraId="5ED9AF49" w14:textId="77777777" w:rsidTr="006915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10A03B8E" w14:textId="77777777" w:rsidR="00100490" w:rsidRPr="00235AD3" w:rsidRDefault="00100490" w:rsidP="0069728C">
            <w:pPr>
              <w:pStyle w:val="naiskr"/>
            </w:pPr>
            <w:r w:rsidRPr="00235AD3">
              <w:t>1.</w:t>
            </w:r>
          </w:p>
        </w:tc>
        <w:tc>
          <w:tcPr>
            <w:tcW w:w="1539" w:type="pct"/>
          </w:tcPr>
          <w:p w14:paraId="6E197C0B" w14:textId="55B7AFA7" w:rsidR="00461E42" w:rsidRPr="00235AD3" w:rsidRDefault="00100490" w:rsidP="0069728C">
            <w:pPr>
              <w:pStyle w:val="naiskr"/>
            </w:pPr>
            <w:r w:rsidRPr="00235AD3">
              <w:rPr>
                <w:iCs/>
              </w:rPr>
              <w:t>Saistītie tiesību aktu projekti</w:t>
            </w:r>
          </w:p>
          <w:p w14:paraId="3FF12FCE" w14:textId="77777777" w:rsidR="00461E42" w:rsidRPr="00235AD3" w:rsidRDefault="00461E42" w:rsidP="00461E42">
            <w:pPr>
              <w:rPr>
                <w:rFonts w:ascii="Times New Roman" w:hAnsi="Times New Roman" w:cs="Times New Roman"/>
                <w:lang w:eastAsia="lv-LV"/>
              </w:rPr>
            </w:pPr>
          </w:p>
          <w:p w14:paraId="4D2A14DB" w14:textId="77777777" w:rsidR="00461E42" w:rsidRPr="00235AD3" w:rsidRDefault="00461E42" w:rsidP="00461E42">
            <w:pPr>
              <w:rPr>
                <w:rFonts w:ascii="Times New Roman" w:hAnsi="Times New Roman" w:cs="Times New Roman"/>
                <w:lang w:eastAsia="lv-LV"/>
              </w:rPr>
            </w:pPr>
          </w:p>
          <w:p w14:paraId="53AF5B90" w14:textId="77777777" w:rsidR="00461E42" w:rsidRPr="00235AD3" w:rsidRDefault="00461E42" w:rsidP="00461E42">
            <w:pPr>
              <w:rPr>
                <w:rFonts w:ascii="Times New Roman" w:hAnsi="Times New Roman" w:cs="Times New Roman"/>
                <w:lang w:eastAsia="lv-LV"/>
              </w:rPr>
            </w:pPr>
          </w:p>
          <w:p w14:paraId="258C12E6" w14:textId="77777777" w:rsidR="00461E42" w:rsidRPr="00235AD3" w:rsidRDefault="00461E42" w:rsidP="00461E42">
            <w:pPr>
              <w:rPr>
                <w:rFonts w:ascii="Times New Roman" w:hAnsi="Times New Roman" w:cs="Times New Roman"/>
                <w:lang w:eastAsia="lv-LV"/>
              </w:rPr>
            </w:pPr>
          </w:p>
          <w:p w14:paraId="50748772" w14:textId="77777777" w:rsidR="00461E42" w:rsidRPr="00235AD3" w:rsidRDefault="00461E42" w:rsidP="00461E42">
            <w:pPr>
              <w:rPr>
                <w:rFonts w:ascii="Times New Roman" w:hAnsi="Times New Roman" w:cs="Times New Roman"/>
                <w:lang w:eastAsia="lv-LV"/>
              </w:rPr>
            </w:pPr>
          </w:p>
          <w:p w14:paraId="525D0400" w14:textId="77777777" w:rsidR="00461E42" w:rsidRPr="00235AD3" w:rsidRDefault="00461E42" w:rsidP="00461E42">
            <w:pPr>
              <w:rPr>
                <w:rFonts w:ascii="Times New Roman" w:hAnsi="Times New Roman" w:cs="Times New Roman"/>
                <w:lang w:eastAsia="lv-LV"/>
              </w:rPr>
            </w:pPr>
          </w:p>
          <w:p w14:paraId="2B71529D" w14:textId="77777777" w:rsidR="00461E42" w:rsidRPr="00235AD3" w:rsidRDefault="00461E42" w:rsidP="00461E42">
            <w:pPr>
              <w:rPr>
                <w:rFonts w:ascii="Times New Roman" w:hAnsi="Times New Roman" w:cs="Times New Roman"/>
                <w:lang w:eastAsia="lv-LV"/>
              </w:rPr>
            </w:pPr>
          </w:p>
          <w:p w14:paraId="4EA1E225" w14:textId="77777777" w:rsidR="00461E42" w:rsidRPr="00235AD3" w:rsidRDefault="00461E42" w:rsidP="00461E42">
            <w:pPr>
              <w:rPr>
                <w:rFonts w:ascii="Times New Roman" w:hAnsi="Times New Roman" w:cs="Times New Roman"/>
                <w:lang w:eastAsia="lv-LV"/>
              </w:rPr>
            </w:pPr>
          </w:p>
          <w:p w14:paraId="0BA1945B" w14:textId="77777777" w:rsidR="00461E42" w:rsidRPr="00235AD3" w:rsidRDefault="00461E42" w:rsidP="00461E42">
            <w:pPr>
              <w:rPr>
                <w:rFonts w:ascii="Times New Roman" w:hAnsi="Times New Roman" w:cs="Times New Roman"/>
                <w:lang w:eastAsia="lv-LV"/>
              </w:rPr>
            </w:pPr>
          </w:p>
          <w:p w14:paraId="363E586E" w14:textId="77777777" w:rsidR="00461E42" w:rsidRPr="00235AD3" w:rsidRDefault="00461E42" w:rsidP="00461E42">
            <w:pPr>
              <w:rPr>
                <w:rFonts w:ascii="Times New Roman" w:hAnsi="Times New Roman" w:cs="Times New Roman"/>
                <w:lang w:eastAsia="lv-LV"/>
              </w:rPr>
            </w:pPr>
          </w:p>
          <w:p w14:paraId="167ED616" w14:textId="77777777" w:rsidR="00461E42" w:rsidRPr="00235AD3" w:rsidRDefault="00461E42" w:rsidP="00461E42">
            <w:pPr>
              <w:rPr>
                <w:rFonts w:ascii="Times New Roman" w:hAnsi="Times New Roman" w:cs="Times New Roman"/>
                <w:lang w:eastAsia="lv-LV"/>
              </w:rPr>
            </w:pPr>
          </w:p>
          <w:p w14:paraId="48288D15" w14:textId="77777777" w:rsidR="00461E42" w:rsidRPr="00235AD3" w:rsidRDefault="00461E42" w:rsidP="00461E42">
            <w:pPr>
              <w:rPr>
                <w:rFonts w:ascii="Times New Roman" w:hAnsi="Times New Roman" w:cs="Times New Roman"/>
                <w:lang w:eastAsia="lv-LV"/>
              </w:rPr>
            </w:pPr>
          </w:p>
          <w:p w14:paraId="1CCBED58" w14:textId="77777777" w:rsidR="00461E42" w:rsidRPr="00235AD3" w:rsidRDefault="00461E42" w:rsidP="00461E42">
            <w:pPr>
              <w:rPr>
                <w:rFonts w:ascii="Times New Roman" w:hAnsi="Times New Roman" w:cs="Times New Roman"/>
                <w:lang w:eastAsia="lv-LV"/>
              </w:rPr>
            </w:pPr>
          </w:p>
          <w:p w14:paraId="48F70B75" w14:textId="77777777" w:rsidR="00461E42" w:rsidRPr="00235AD3" w:rsidRDefault="00461E42" w:rsidP="00461E42">
            <w:pPr>
              <w:rPr>
                <w:rFonts w:ascii="Times New Roman" w:hAnsi="Times New Roman" w:cs="Times New Roman"/>
                <w:lang w:eastAsia="lv-LV"/>
              </w:rPr>
            </w:pPr>
          </w:p>
          <w:p w14:paraId="57C3B5CA" w14:textId="77777777" w:rsidR="00461E42" w:rsidRPr="00235AD3" w:rsidRDefault="00461E42" w:rsidP="00461E42">
            <w:pPr>
              <w:rPr>
                <w:rFonts w:ascii="Times New Roman" w:hAnsi="Times New Roman" w:cs="Times New Roman"/>
                <w:lang w:eastAsia="lv-LV"/>
              </w:rPr>
            </w:pPr>
          </w:p>
          <w:p w14:paraId="51E2CE06" w14:textId="77777777" w:rsidR="00461E42" w:rsidRPr="00235AD3" w:rsidRDefault="00461E42" w:rsidP="00461E42">
            <w:pPr>
              <w:rPr>
                <w:rFonts w:ascii="Times New Roman" w:hAnsi="Times New Roman" w:cs="Times New Roman"/>
                <w:lang w:eastAsia="lv-LV"/>
              </w:rPr>
            </w:pPr>
          </w:p>
          <w:p w14:paraId="6914EB38" w14:textId="77777777" w:rsidR="00461E42" w:rsidRPr="00235AD3" w:rsidRDefault="00461E42" w:rsidP="00461E42">
            <w:pPr>
              <w:rPr>
                <w:rFonts w:ascii="Times New Roman" w:hAnsi="Times New Roman" w:cs="Times New Roman"/>
                <w:lang w:eastAsia="lv-LV"/>
              </w:rPr>
            </w:pPr>
          </w:p>
          <w:p w14:paraId="63776863" w14:textId="77777777" w:rsidR="00461E42" w:rsidRPr="00235AD3" w:rsidRDefault="00461E42" w:rsidP="00461E42">
            <w:pPr>
              <w:rPr>
                <w:rFonts w:ascii="Times New Roman" w:hAnsi="Times New Roman" w:cs="Times New Roman"/>
                <w:lang w:eastAsia="lv-LV"/>
              </w:rPr>
            </w:pPr>
          </w:p>
          <w:p w14:paraId="6C35238B" w14:textId="77777777" w:rsidR="00461E42" w:rsidRPr="00235AD3" w:rsidRDefault="00461E42" w:rsidP="00461E42">
            <w:pPr>
              <w:rPr>
                <w:rFonts w:ascii="Times New Roman" w:hAnsi="Times New Roman" w:cs="Times New Roman"/>
                <w:lang w:eastAsia="lv-LV"/>
              </w:rPr>
            </w:pPr>
          </w:p>
          <w:p w14:paraId="484E3139" w14:textId="77777777" w:rsidR="00461E42" w:rsidRPr="00235AD3" w:rsidRDefault="00461E42" w:rsidP="00461E42">
            <w:pPr>
              <w:rPr>
                <w:rFonts w:ascii="Times New Roman" w:hAnsi="Times New Roman" w:cs="Times New Roman"/>
                <w:lang w:eastAsia="lv-LV"/>
              </w:rPr>
            </w:pPr>
          </w:p>
          <w:p w14:paraId="2F47A2E7" w14:textId="77777777" w:rsidR="00461E42" w:rsidRPr="00235AD3" w:rsidRDefault="00461E42" w:rsidP="00461E42">
            <w:pPr>
              <w:rPr>
                <w:rFonts w:ascii="Times New Roman" w:hAnsi="Times New Roman" w:cs="Times New Roman"/>
                <w:lang w:eastAsia="lv-LV"/>
              </w:rPr>
            </w:pPr>
          </w:p>
          <w:p w14:paraId="624446B0" w14:textId="77777777" w:rsidR="00461E42" w:rsidRPr="00235AD3" w:rsidRDefault="00461E42" w:rsidP="00461E42">
            <w:pPr>
              <w:rPr>
                <w:rFonts w:ascii="Times New Roman" w:hAnsi="Times New Roman" w:cs="Times New Roman"/>
                <w:lang w:eastAsia="lv-LV"/>
              </w:rPr>
            </w:pPr>
          </w:p>
          <w:p w14:paraId="16CFB072" w14:textId="77777777" w:rsidR="00461E42" w:rsidRPr="00235AD3" w:rsidRDefault="00461E42" w:rsidP="00461E42">
            <w:pPr>
              <w:ind w:firstLine="720"/>
              <w:rPr>
                <w:rFonts w:ascii="Times New Roman" w:hAnsi="Times New Roman" w:cs="Times New Roman"/>
                <w:lang w:eastAsia="lv-LV"/>
              </w:rPr>
            </w:pPr>
          </w:p>
          <w:p w14:paraId="02DA723D" w14:textId="7058B975" w:rsidR="00100490" w:rsidRPr="00235AD3" w:rsidRDefault="00100490" w:rsidP="00461E42">
            <w:pPr>
              <w:rPr>
                <w:rFonts w:ascii="Times New Roman" w:hAnsi="Times New Roman" w:cs="Times New Roman"/>
                <w:lang w:eastAsia="lv-LV"/>
              </w:rPr>
            </w:pPr>
          </w:p>
        </w:tc>
        <w:tc>
          <w:tcPr>
            <w:tcW w:w="3234" w:type="pct"/>
          </w:tcPr>
          <w:p w14:paraId="62B89A72" w14:textId="6DA05A3D" w:rsidR="00832B4C" w:rsidRPr="00235AD3" w:rsidRDefault="00277C7E" w:rsidP="00AF2A53">
            <w:pPr>
              <w:pStyle w:val="ListParagraph"/>
              <w:ind w:left="0" w:firstLine="360"/>
              <w:jc w:val="both"/>
            </w:pPr>
            <w:r w:rsidRPr="00235AD3">
              <w:lastRenderedPageBreak/>
              <w:t>Saistībā ar likump</w:t>
            </w:r>
            <w:r w:rsidR="002B3881" w:rsidRPr="00235AD3">
              <w:t xml:space="preserve">rojekta virzību ir nepieciešams </w:t>
            </w:r>
            <w:r w:rsidRPr="00235AD3">
              <w:t>s</w:t>
            </w:r>
            <w:r w:rsidR="00D77A92" w:rsidRPr="00235AD3">
              <w:t>agatavot</w:t>
            </w:r>
            <w:r w:rsidR="00832B4C" w:rsidRPr="00235AD3">
              <w:t>:</w:t>
            </w:r>
          </w:p>
          <w:p w14:paraId="5F09E958" w14:textId="5D4DDCB1" w:rsidR="00ED1B83" w:rsidRPr="00235AD3" w:rsidRDefault="00EB223C" w:rsidP="00511610">
            <w:pPr>
              <w:pStyle w:val="ListParagraph"/>
              <w:numPr>
                <w:ilvl w:val="0"/>
                <w:numId w:val="14"/>
              </w:numPr>
              <w:ind w:left="0" w:firstLine="360"/>
              <w:jc w:val="both"/>
            </w:pPr>
            <w:r w:rsidRPr="00235AD3">
              <w:t xml:space="preserve">grozījumus </w:t>
            </w:r>
            <w:r w:rsidR="00ED1B83" w:rsidRPr="00235AD3">
              <w:t>Ministru kabineta 2015.</w:t>
            </w:r>
            <w:r w:rsidR="00F57F59" w:rsidRPr="00235AD3">
              <w:t> </w:t>
            </w:r>
            <w:r w:rsidR="00ED1B83" w:rsidRPr="00235AD3">
              <w:t>gada 12.</w:t>
            </w:r>
            <w:r w:rsidR="00F57F59" w:rsidRPr="00235AD3">
              <w:t> </w:t>
            </w:r>
            <w:r w:rsidR="00ED1B83" w:rsidRPr="00235AD3">
              <w:t>maija noteikumos Nr.</w:t>
            </w:r>
            <w:r w:rsidR="00F57F59" w:rsidRPr="00235AD3">
              <w:t> </w:t>
            </w:r>
            <w:r w:rsidR="00ED1B83" w:rsidRPr="00235AD3">
              <w:t>220 “Kārtība, kādā alkoholiskos dzērienus un tabakas izstrādājumus marķē ar akcīzes nodokļa markām”, ņemot vērā, ka</w:t>
            </w:r>
            <w:r w:rsidR="00986F6B" w:rsidRPr="00235AD3">
              <w:t xml:space="preserve"> tiek atcelta prasība 180 dienu laikā veikt akcīzes nodokļa samaksu par saņemtajām akcīzes nodokļa markām. Par Ministru kabineta noteikum</w:t>
            </w:r>
            <w:r w:rsidR="00273AF3" w:rsidRPr="00235AD3">
              <w:t>u projekta izstrādi ir atbildīga Finanšu ministrija (</w:t>
            </w:r>
            <w:r w:rsidR="00986F6B" w:rsidRPr="00235AD3">
              <w:t>Valsts ieņēmumu dienests</w:t>
            </w:r>
            <w:r w:rsidR="00273AF3" w:rsidRPr="00235AD3">
              <w:t>)</w:t>
            </w:r>
            <w:r w:rsidR="00986F6B" w:rsidRPr="00235AD3">
              <w:t>.</w:t>
            </w:r>
            <w:r w:rsidR="00A377D4" w:rsidRPr="00235AD3">
              <w:rPr>
                <w:rFonts w:eastAsiaTheme="minorHAnsi"/>
                <w:sz w:val="22"/>
                <w:szCs w:val="22"/>
                <w:lang w:eastAsia="en-US"/>
              </w:rPr>
              <w:t xml:space="preserve"> </w:t>
            </w:r>
            <w:r w:rsidR="00A377D4" w:rsidRPr="00235AD3">
              <w:t xml:space="preserve">Grozījumus minētajos Ministru kabineta noteikumos paredzēts veikt līdz </w:t>
            </w:r>
            <w:r w:rsidR="00232DB6" w:rsidRPr="00235AD3">
              <w:t>šā likuma spēkā stāšanās dienai.</w:t>
            </w:r>
          </w:p>
          <w:p w14:paraId="1A49BE52" w14:textId="0A97EA9B" w:rsidR="00986F6B" w:rsidRPr="00235AD3" w:rsidRDefault="00EB223C" w:rsidP="00511610">
            <w:pPr>
              <w:pStyle w:val="ListParagraph"/>
              <w:numPr>
                <w:ilvl w:val="0"/>
                <w:numId w:val="14"/>
              </w:numPr>
              <w:ind w:left="0" w:firstLine="360"/>
              <w:jc w:val="both"/>
            </w:pPr>
            <w:r w:rsidRPr="00235AD3">
              <w:t xml:space="preserve">grozījumus </w:t>
            </w:r>
            <w:r w:rsidR="00ED1B83" w:rsidRPr="00235AD3">
              <w:t>Ministru kabineta 2010.</w:t>
            </w:r>
            <w:r w:rsidR="00F57F59" w:rsidRPr="00235AD3">
              <w:t> </w:t>
            </w:r>
            <w:r w:rsidR="00ED1B83" w:rsidRPr="00235AD3">
              <w:t>gada 30.</w:t>
            </w:r>
            <w:r w:rsidR="00F57F59" w:rsidRPr="00235AD3">
              <w:t> </w:t>
            </w:r>
            <w:r w:rsidR="00ED1B83" w:rsidRPr="00235AD3">
              <w:t>marta noteikumos Nr.</w:t>
            </w:r>
            <w:r w:rsidR="00F57F59" w:rsidRPr="00235AD3">
              <w:t> </w:t>
            </w:r>
            <w:r w:rsidR="00ED1B83" w:rsidRPr="00235AD3">
              <w:t xml:space="preserve">300 “Noteikumi par akcīzes nodokļa </w:t>
            </w:r>
            <w:r w:rsidR="00ED1B83" w:rsidRPr="00235AD3">
              <w:lastRenderedPageBreak/>
              <w:t>deklarācijas veidlapām un to aizpildīšanas kārtību”</w:t>
            </w:r>
            <w:r w:rsidR="00065733" w:rsidRPr="00235AD3">
              <w:t>,</w:t>
            </w:r>
            <w:r w:rsidR="00986F6B" w:rsidRPr="00235AD3">
              <w:t xml:space="preserve"> ņemot vērā, ka tiek atcelta prasība 180 dienu laikā veikt akcīzes nodokļa samaksu par saņemtajām akcīzes nodokļa markām</w:t>
            </w:r>
            <w:r w:rsidR="00FE522F" w:rsidRPr="00235AD3">
              <w:t xml:space="preserve">. </w:t>
            </w:r>
            <w:r w:rsidR="00986F6B" w:rsidRPr="00235AD3">
              <w:t>Par Ministru kabineta noteikumu projekta izstrādi ir atbildīg</w:t>
            </w:r>
            <w:r w:rsidR="00273AF3" w:rsidRPr="00235AD3">
              <w:t>a Finanšu ministrija (</w:t>
            </w:r>
            <w:r w:rsidR="00986F6B" w:rsidRPr="00235AD3">
              <w:t>Valsts ieņēmumu dienests</w:t>
            </w:r>
            <w:r w:rsidR="00273AF3" w:rsidRPr="00235AD3">
              <w:t>)</w:t>
            </w:r>
            <w:r w:rsidR="00986F6B" w:rsidRPr="00235AD3">
              <w:t>.</w:t>
            </w:r>
            <w:r w:rsidR="00A377D4" w:rsidRPr="00235AD3">
              <w:rPr>
                <w:rFonts w:eastAsiaTheme="minorHAnsi"/>
                <w:sz w:val="22"/>
                <w:szCs w:val="22"/>
                <w:lang w:eastAsia="en-US"/>
              </w:rPr>
              <w:t xml:space="preserve"> </w:t>
            </w:r>
            <w:r w:rsidR="00A377D4" w:rsidRPr="00235AD3">
              <w:t xml:space="preserve">Grozījumus minētajos Ministru kabineta noteikumos paredzēts veikt līdz </w:t>
            </w:r>
            <w:r w:rsidR="00232DB6" w:rsidRPr="00235AD3">
              <w:t>šā likuma spēkā stāšanās dienai</w:t>
            </w:r>
            <w:r w:rsidR="00A377D4" w:rsidRPr="00235AD3">
              <w:t>.</w:t>
            </w:r>
          </w:p>
          <w:p w14:paraId="1A17121A" w14:textId="5D6203DD" w:rsidR="0020253B" w:rsidRPr="00235AD3" w:rsidRDefault="00EB223C" w:rsidP="00232DB6">
            <w:pPr>
              <w:pStyle w:val="ListParagraph"/>
              <w:numPr>
                <w:ilvl w:val="0"/>
                <w:numId w:val="14"/>
              </w:numPr>
              <w:ind w:left="0" w:firstLine="360"/>
              <w:jc w:val="both"/>
            </w:pPr>
            <w:r w:rsidRPr="00235AD3">
              <w:t xml:space="preserve">grozījumus </w:t>
            </w:r>
            <w:r w:rsidR="0020253B" w:rsidRPr="00235AD3">
              <w:t>Ministru kabineta 2010.</w:t>
            </w:r>
            <w:r w:rsidR="00F57F59" w:rsidRPr="00235AD3">
              <w:t> </w:t>
            </w:r>
            <w:r w:rsidR="0020253B" w:rsidRPr="00235AD3">
              <w:t>gada 30.</w:t>
            </w:r>
            <w:r w:rsidR="00F57F59" w:rsidRPr="00235AD3">
              <w:t> </w:t>
            </w:r>
            <w:r w:rsidR="0020253B" w:rsidRPr="00235AD3">
              <w:t>marta noteikum</w:t>
            </w:r>
            <w:r w:rsidR="00882B0D" w:rsidRPr="00235AD3">
              <w:t>os</w:t>
            </w:r>
            <w:r w:rsidR="0020253B" w:rsidRPr="00235AD3">
              <w:t xml:space="preserve"> Nr.310</w:t>
            </w:r>
            <w:r w:rsidR="00882B0D" w:rsidRPr="00235AD3">
              <w:t xml:space="preserve"> “</w:t>
            </w:r>
            <w:r w:rsidR="0020253B" w:rsidRPr="00235AD3">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rsidR="00882B0D" w:rsidRPr="00235AD3">
              <w:t>”</w:t>
            </w:r>
            <w:r w:rsidR="003012DA" w:rsidRPr="00235AD3">
              <w:t xml:space="preserve"> saistībā ar akcīzes nodokļa markām marķējamo akcīzes preču iznīcināšanu</w:t>
            </w:r>
            <w:r w:rsidR="00882B0D" w:rsidRPr="00235AD3">
              <w:t>. Par Ministru kabineta noteikumu projekta izstrādi ir atbildīga Finanšu ministrija</w:t>
            </w:r>
            <w:r w:rsidR="00A377D4" w:rsidRPr="00235AD3">
              <w:t xml:space="preserve">. Grozījumus minētajos Ministru kabineta noteikumos paredzēts veikt </w:t>
            </w:r>
            <w:r w:rsidR="00232DB6" w:rsidRPr="00235AD3">
              <w:t>līdz šā likuma spēkā stāšanās dienai</w:t>
            </w:r>
            <w:r w:rsidR="00882B0D" w:rsidRPr="00235AD3">
              <w:t>;</w:t>
            </w:r>
          </w:p>
          <w:p w14:paraId="021E3FC6" w14:textId="0E148CF0" w:rsidR="006F1DE0" w:rsidRPr="00235AD3" w:rsidRDefault="00EB223C" w:rsidP="00511610">
            <w:pPr>
              <w:pStyle w:val="ListParagraph"/>
              <w:numPr>
                <w:ilvl w:val="0"/>
                <w:numId w:val="14"/>
              </w:numPr>
              <w:ind w:left="0" w:firstLine="360"/>
              <w:jc w:val="both"/>
            </w:pPr>
            <w:r w:rsidRPr="00235AD3">
              <w:t xml:space="preserve">grozījumus </w:t>
            </w:r>
            <w:r w:rsidR="00832B4C" w:rsidRPr="00235AD3">
              <w:t>Ministru kabineta 2017.</w:t>
            </w:r>
            <w:r w:rsidR="00F57F59" w:rsidRPr="00235AD3">
              <w:t> </w:t>
            </w:r>
            <w:r w:rsidR="00832B4C" w:rsidRPr="00235AD3">
              <w:t>gada 4.</w:t>
            </w:r>
            <w:r w:rsidR="00F57F59" w:rsidRPr="00235AD3">
              <w:t> </w:t>
            </w:r>
            <w:r w:rsidR="00832B4C" w:rsidRPr="00235AD3">
              <w:t>aprīļa noteikumos Nr.</w:t>
            </w:r>
            <w:r w:rsidR="00F57F59" w:rsidRPr="00235AD3">
              <w:t> </w:t>
            </w:r>
            <w:r w:rsidR="00832B4C" w:rsidRPr="00235AD3">
              <w:t>199 “Noteikumi par dabasgāzes apriti un akcīzes nodokļa piemērošanas kārtību”</w:t>
            </w:r>
            <w:r w:rsidR="00CB63B5" w:rsidRPr="00235AD3">
              <w:t xml:space="preserve"> attiecībā uz dabasgāzi, kura tiek izmantota vienotā dabasgāzes pārvades un uzglabāšanas sistēmā un dabasgāzes sadales sistēmā dabasgāzes pārvades, uzglabāšanas vai sadales sistēmas tehnoloģisko vajadzību nodrošināšanai</w:t>
            </w:r>
            <w:r w:rsidR="009035F6" w:rsidRPr="00235AD3">
              <w:t>.</w:t>
            </w:r>
            <w:r w:rsidR="00B34189" w:rsidRPr="00235AD3">
              <w:t xml:space="preserve"> </w:t>
            </w:r>
            <w:r w:rsidR="00832B4C" w:rsidRPr="00235AD3">
              <w:t>Par Ministru kabineta noteikumu projekta izstrādi ir atbildīga Finanšu ministrija</w:t>
            </w:r>
            <w:r w:rsidR="00A377D4" w:rsidRPr="00235AD3">
              <w:t>.</w:t>
            </w:r>
            <w:r w:rsidR="00A377D4" w:rsidRPr="00235AD3">
              <w:rPr>
                <w:rFonts w:eastAsiaTheme="minorHAnsi"/>
                <w:sz w:val="22"/>
                <w:szCs w:val="22"/>
                <w:lang w:eastAsia="en-US"/>
              </w:rPr>
              <w:t xml:space="preserve"> </w:t>
            </w:r>
            <w:r w:rsidR="00A377D4" w:rsidRPr="00235AD3">
              <w:t xml:space="preserve">Grozījumus minētajos Ministru kabineta noteikumos paredzēts veikt </w:t>
            </w:r>
            <w:r w:rsidR="00232DB6" w:rsidRPr="00235AD3">
              <w:t>līdz šā likuma spēkā stāšanās dienai</w:t>
            </w:r>
            <w:r w:rsidR="00832B4C" w:rsidRPr="00235AD3">
              <w:t>;</w:t>
            </w:r>
          </w:p>
          <w:p w14:paraId="5D81379D" w14:textId="53651777" w:rsidR="00F4064C" w:rsidRPr="00235AD3" w:rsidRDefault="00B60D51" w:rsidP="00511610">
            <w:pPr>
              <w:pStyle w:val="ListParagraph"/>
              <w:numPr>
                <w:ilvl w:val="0"/>
                <w:numId w:val="14"/>
              </w:numPr>
              <w:ind w:left="0" w:firstLine="360"/>
              <w:jc w:val="both"/>
            </w:pPr>
            <w:r w:rsidRPr="00235AD3">
              <w:rPr>
                <w:bCs/>
              </w:rPr>
              <w:t xml:space="preserve">grozījumus </w:t>
            </w:r>
            <w:r w:rsidR="00AD6699" w:rsidRPr="00235AD3">
              <w:rPr>
                <w:bCs/>
              </w:rPr>
              <w:t xml:space="preserve">Ministru kabineta </w:t>
            </w:r>
            <w:r w:rsidR="00AD6699" w:rsidRPr="00235AD3">
              <w:t>2007.</w:t>
            </w:r>
            <w:r w:rsidR="00F57F59" w:rsidRPr="00235AD3">
              <w:t> </w:t>
            </w:r>
            <w:r w:rsidR="00AD6699" w:rsidRPr="00235AD3">
              <w:t>gada 31.</w:t>
            </w:r>
            <w:r w:rsidR="00F57F59" w:rsidRPr="00235AD3">
              <w:t> </w:t>
            </w:r>
            <w:r w:rsidR="00AD6699" w:rsidRPr="00235AD3">
              <w:t xml:space="preserve">jūlija </w:t>
            </w:r>
            <w:r w:rsidR="00AD6699" w:rsidRPr="00235AD3">
              <w:rPr>
                <w:bCs/>
              </w:rPr>
              <w:t>noteikumos Nr.</w:t>
            </w:r>
            <w:r w:rsidR="00F57F59" w:rsidRPr="00235AD3">
              <w:rPr>
                <w:bCs/>
              </w:rPr>
              <w:t> </w:t>
            </w:r>
            <w:r w:rsidR="00AD6699" w:rsidRPr="00235AD3">
              <w:rPr>
                <w:bCs/>
              </w:rPr>
              <w:t>525</w:t>
            </w:r>
            <w:r w:rsidR="00AD6699" w:rsidRPr="00235AD3">
              <w:t xml:space="preserve"> </w:t>
            </w:r>
            <w:r w:rsidR="00AD6699" w:rsidRPr="00235AD3">
              <w:rPr>
                <w:bCs/>
              </w:rPr>
              <w:t>“Kārtība, kādā atsevišķiem naftas produktiem piemēro samazinātu akcīzes nodokļa likmi vai atbrīvojumu no akcīzes nodokļa”, izslēdzot no t</w:t>
            </w:r>
            <w:r w:rsidR="00334F3E" w:rsidRPr="00235AD3">
              <w:rPr>
                <w:bCs/>
              </w:rPr>
              <w:t>iem</w:t>
            </w:r>
            <w:r w:rsidR="00AD6699" w:rsidRPr="00235AD3">
              <w:rPr>
                <w:bCs/>
              </w:rPr>
              <w:t xml:space="preserve"> normas par eļļas atkritumiem. Par Ministru kabineta noteikumu projekta izstrādi ir atbildīga Finanšu ministrija</w:t>
            </w:r>
            <w:r w:rsidR="00A377D4" w:rsidRPr="00235AD3">
              <w:rPr>
                <w:bCs/>
              </w:rPr>
              <w:t>.</w:t>
            </w:r>
            <w:r w:rsidR="00A377D4" w:rsidRPr="00235AD3">
              <w:rPr>
                <w:rFonts w:eastAsiaTheme="minorHAnsi"/>
                <w:sz w:val="22"/>
                <w:szCs w:val="22"/>
                <w:lang w:eastAsia="en-US"/>
              </w:rPr>
              <w:t xml:space="preserve"> </w:t>
            </w:r>
            <w:r w:rsidR="00A377D4" w:rsidRPr="00235AD3">
              <w:rPr>
                <w:bCs/>
              </w:rPr>
              <w:t xml:space="preserve">Grozījumus minētajos Ministru kabineta noteikumos paredzēts veikt </w:t>
            </w:r>
            <w:r w:rsidR="00232DB6" w:rsidRPr="00235AD3">
              <w:rPr>
                <w:bCs/>
              </w:rPr>
              <w:t>līdz šā likuma spēkā stāšanās dienai</w:t>
            </w:r>
            <w:r w:rsidR="00F37EAA" w:rsidRPr="00235AD3">
              <w:rPr>
                <w:bCs/>
              </w:rPr>
              <w:t>;</w:t>
            </w:r>
          </w:p>
          <w:p w14:paraId="550C292A" w14:textId="6C81A8BF" w:rsidR="00325CD3" w:rsidRPr="00235AD3" w:rsidRDefault="00AE4664" w:rsidP="005A5FAD">
            <w:pPr>
              <w:pStyle w:val="ListParagraph"/>
              <w:numPr>
                <w:ilvl w:val="0"/>
                <w:numId w:val="14"/>
              </w:numPr>
              <w:ind w:left="0" w:firstLine="360"/>
              <w:jc w:val="both"/>
            </w:pPr>
            <w:r w:rsidRPr="00235AD3">
              <w:t>grozījumus Ministru kabineta 2009.</w:t>
            </w:r>
            <w:r w:rsidR="00F57F59" w:rsidRPr="00235AD3">
              <w:t> </w:t>
            </w:r>
            <w:r w:rsidRPr="00235AD3">
              <w:t>gada 3.</w:t>
            </w:r>
            <w:r w:rsidR="00F57F59" w:rsidRPr="00235AD3">
              <w:t> </w:t>
            </w:r>
            <w:r w:rsidRPr="00235AD3">
              <w:t>marta noteikumos Nr.</w:t>
            </w:r>
            <w:r w:rsidR="00F57F59" w:rsidRPr="00235AD3">
              <w:t> </w:t>
            </w:r>
            <w:r w:rsidRPr="00235AD3">
              <w:t>211 “Spirta denaturēšanas un denaturētā spirta aprites kārtība”, papildinot noteikumos doto deleģējumu uzskaitījumu ar atsauci uz likuma 16.</w:t>
            </w:r>
            <w:r w:rsidR="00F57F59" w:rsidRPr="00235AD3">
              <w:t> </w:t>
            </w:r>
            <w:r w:rsidRPr="00235AD3">
              <w:t>panta 2.</w:t>
            </w:r>
            <w:r w:rsidRPr="00235AD3">
              <w:rPr>
                <w:vertAlign w:val="superscript"/>
              </w:rPr>
              <w:t>1</w:t>
            </w:r>
            <w:r w:rsidRPr="00235AD3">
              <w:t xml:space="preserve"> daļā doto deleģējumu Ministru kabinetam. </w:t>
            </w:r>
            <w:r w:rsidR="00325CD3" w:rsidRPr="00235AD3">
              <w:rPr>
                <w:bCs/>
              </w:rPr>
              <w:t>Par Ministru kabineta noteikumu projektu ir atbildīga Finanšu ministrija</w:t>
            </w:r>
            <w:r w:rsidR="00A377D4" w:rsidRPr="00235AD3">
              <w:rPr>
                <w:bCs/>
              </w:rPr>
              <w:t>.</w:t>
            </w:r>
            <w:r w:rsidR="00A377D4" w:rsidRPr="00235AD3">
              <w:rPr>
                <w:rFonts w:eastAsiaTheme="minorHAnsi"/>
                <w:sz w:val="22"/>
                <w:szCs w:val="22"/>
                <w:lang w:eastAsia="en-US"/>
              </w:rPr>
              <w:t xml:space="preserve"> </w:t>
            </w:r>
            <w:r w:rsidR="00A377D4" w:rsidRPr="00235AD3">
              <w:rPr>
                <w:bCs/>
              </w:rPr>
              <w:t>Ministru kabineta noteikumus paredzēts izstrādāt un pieņemt</w:t>
            </w:r>
            <w:r w:rsidR="00A706B4" w:rsidRPr="00235AD3">
              <w:rPr>
                <w:bCs/>
              </w:rPr>
              <w:t xml:space="preserve"> </w:t>
            </w:r>
            <w:r w:rsidR="00412F5D" w:rsidRPr="00235AD3">
              <w:rPr>
                <w:bCs/>
              </w:rPr>
              <w:t>līdz 2021.</w:t>
            </w:r>
            <w:r w:rsidR="00F57F59" w:rsidRPr="00235AD3">
              <w:rPr>
                <w:bCs/>
              </w:rPr>
              <w:t> </w:t>
            </w:r>
            <w:r w:rsidR="00412F5D" w:rsidRPr="00235AD3">
              <w:rPr>
                <w:bCs/>
              </w:rPr>
              <w:t>gada 31.</w:t>
            </w:r>
            <w:r w:rsidR="00F57F59" w:rsidRPr="00235AD3">
              <w:rPr>
                <w:bCs/>
              </w:rPr>
              <w:t> </w:t>
            </w:r>
            <w:r w:rsidR="00412F5D" w:rsidRPr="00235AD3">
              <w:rPr>
                <w:bCs/>
              </w:rPr>
              <w:t>decembrim</w:t>
            </w:r>
            <w:r w:rsidR="00664020" w:rsidRPr="00235AD3">
              <w:rPr>
                <w:bCs/>
              </w:rPr>
              <w:t>;</w:t>
            </w:r>
          </w:p>
          <w:p w14:paraId="413F7414" w14:textId="79CB285B" w:rsidR="00F37EAA" w:rsidRPr="00235AD3" w:rsidRDefault="00BF2A8D" w:rsidP="00511610">
            <w:pPr>
              <w:pStyle w:val="ListParagraph"/>
              <w:numPr>
                <w:ilvl w:val="0"/>
                <w:numId w:val="14"/>
              </w:numPr>
              <w:ind w:left="0" w:firstLine="360"/>
              <w:jc w:val="both"/>
            </w:pPr>
            <w:r w:rsidRPr="00235AD3">
              <w:t xml:space="preserve">grozījumus </w:t>
            </w:r>
            <w:r w:rsidR="00F4064C" w:rsidRPr="00235AD3">
              <w:t>Ministru kabineta 2011.</w:t>
            </w:r>
            <w:r w:rsidR="00F57F59" w:rsidRPr="00235AD3">
              <w:t> </w:t>
            </w:r>
            <w:r w:rsidR="00F4064C" w:rsidRPr="00235AD3">
              <w:t>gada 30.</w:t>
            </w:r>
            <w:r w:rsidR="00F57F59" w:rsidRPr="00235AD3">
              <w:t> </w:t>
            </w:r>
            <w:r w:rsidR="00F4064C" w:rsidRPr="00235AD3">
              <w:t>augusta noteikum</w:t>
            </w:r>
            <w:r w:rsidR="00B60D51" w:rsidRPr="00235AD3">
              <w:t>u</w:t>
            </w:r>
            <w:r w:rsidR="00F4064C" w:rsidRPr="00235AD3">
              <w:t>s Nr.</w:t>
            </w:r>
            <w:r w:rsidR="00F57F59" w:rsidRPr="00235AD3">
              <w:t> </w:t>
            </w:r>
            <w:r w:rsidR="00F4064C" w:rsidRPr="00235AD3">
              <w:t xml:space="preserve">684 “Kārtība, kādā atsevišķiem alkoholiskajiem dzērieniem piemēro akcīzes nodokļa atbrīvojumu”, </w:t>
            </w:r>
            <w:r w:rsidRPr="00235AD3">
              <w:t>papildinot noteikumos doto deleģējumu uzskaitījumu ar atsauci uz likuma 16.</w:t>
            </w:r>
            <w:r w:rsidR="00F57F59" w:rsidRPr="00235AD3">
              <w:t> </w:t>
            </w:r>
            <w:r w:rsidRPr="00235AD3">
              <w:t xml:space="preserve">panta </w:t>
            </w:r>
            <w:r w:rsidR="00090B96">
              <w:t>sestajā</w:t>
            </w:r>
            <w:r w:rsidRPr="00235AD3">
              <w:t> daļā doto deleģējumu Ministru kabinetam</w:t>
            </w:r>
            <w:r w:rsidR="00AD6699" w:rsidRPr="00235AD3">
              <w:rPr>
                <w:bCs/>
              </w:rPr>
              <w:t>.</w:t>
            </w:r>
            <w:r w:rsidR="00F37EAA" w:rsidRPr="00235AD3">
              <w:rPr>
                <w:bCs/>
              </w:rPr>
              <w:t xml:space="preserve"> Par Ministru kabineta </w:t>
            </w:r>
            <w:r w:rsidR="00F37EAA" w:rsidRPr="00235AD3">
              <w:rPr>
                <w:bCs/>
              </w:rPr>
              <w:lastRenderedPageBreak/>
              <w:t>noteikumu projektu ir atbildīga Finanšu ministrija</w:t>
            </w:r>
            <w:r w:rsidR="00CE27E6" w:rsidRPr="00235AD3">
              <w:rPr>
                <w:bCs/>
              </w:rPr>
              <w:t>.</w:t>
            </w:r>
            <w:r w:rsidR="00CE27E6" w:rsidRPr="00235AD3">
              <w:rPr>
                <w:rFonts w:eastAsiaTheme="minorHAnsi"/>
                <w:bCs/>
                <w:sz w:val="22"/>
                <w:szCs w:val="22"/>
                <w:lang w:eastAsia="en-US"/>
              </w:rPr>
              <w:t xml:space="preserve"> </w:t>
            </w:r>
            <w:r w:rsidR="00CE27E6" w:rsidRPr="00235AD3">
              <w:rPr>
                <w:bCs/>
              </w:rPr>
              <w:t xml:space="preserve">Ministru kabineta noteikumus paredzēts izstrādāt un pieņemt </w:t>
            </w:r>
            <w:r w:rsidR="00412F5D" w:rsidRPr="00235AD3">
              <w:rPr>
                <w:bCs/>
              </w:rPr>
              <w:t>līdz 2021.</w:t>
            </w:r>
            <w:r w:rsidR="00F57F59" w:rsidRPr="00235AD3">
              <w:rPr>
                <w:bCs/>
              </w:rPr>
              <w:t> </w:t>
            </w:r>
            <w:r w:rsidR="00412F5D" w:rsidRPr="00235AD3">
              <w:rPr>
                <w:bCs/>
              </w:rPr>
              <w:t>gada 31.</w:t>
            </w:r>
            <w:r w:rsidR="00F57F59" w:rsidRPr="00235AD3">
              <w:rPr>
                <w:bCs/>
              </w:rPr>
              <w:t> </w:t>
            </w:r>
            <w:r w:rsidR="00412F5D" w:rsidRPr="00235AD3">
              <w:rPr>
                <w:bCs/>
              </w:rPr>
              <w:t>decembrim</w:t>
            </w:r>
            <w:r w:rsidR="00F37EAA" w:rsidRPr="00235AD3">
              <w:rPr>
                <w:bCs/>
              </w:rPr>
              <w:t>;</w:t>
            </w:r>
          </w:p>
          <w:p w14:paraId="6BEB57DC" w14:textId="22F954A2" w:rsidR="0040680A" w:rsidRPr="0045361E" w:rsidRDefault="00EA76DF" w:rsidP="00511610">
            <w:pPr>
              <w:pStyle w:val="ListParagraph"/>
              <w:numPr>
                <w:ilvl w:val="0"/>
                <w:numId w:val="14"/>
              </w:numPr>
              <w:ind w:left="0" w:firstLine="360"/>
              <w:jc w:val="both"/>
            </w:pPr>
            <w:r w:rsidRPr="00235AD3">
              <w:t xml:space="preserve">grozījumus </w:t>
            </w:r>
            <w:r w:rsidR="00F4064C" w:rsidRPr="00235AD3">
              <w:t>Ministru kabineta 2004.</w:t>
            </w:r>
            <w:r w:rsidR="00F57F59" w:rsidRPr="00235AD3">
              <w:t> </w:t>
            </w:r>
            <w:r w:rsidR="00F4064C" w:rsidRPr="00235AD3">
              <w:t>gada 25.</w:t>
            </w:r>
            <w:r w:rsidR="00F57F59" w:rsidRPr="00235AD3">
              <w:t> </w:t>
            </w:r>
            <w:r w:rsidR="00F4064C" w:rsidRPr="00235AD3">
              <w:t>marta noteikumos Nr.</w:t>
            </w:r>
            <w:r w:rsidR="00F57F59" w:rsidRPr="00235AD3">
              <w:t> </w:t>
            </w:r>
            <w:r w:rsidR="00F4064C" w:rsidRPr="00235AD3">
              <w:t>173 “Kārtība, kādā no akcīzes nodokļa atbrīvo atsevišķus tabakas izstrādājumus”</w:t>
            </w:r>
            <w:r w:rsidR="00F37EAA" w:rsidRPr="00235AD3">
              <w:t>,</w:t>
            </w:r>
            <w:r w:rsidR="00F37EAA" w:rsidRPr="00235AD3">
              <w:rPr>
                <w:rFonts w:eastAsiaTheme="minorHAnsi"/>
                <w:lang w:eastAsia="en-US"/>
              </w:rPr>
              <w:t xml:space="preserve"> </w:t>
            </w:r>
            <w:r w:rsidR="00F37EAA" w:rsidRPr="00235AD3">
              <w:t>precizējot normas par akcīzes preču izn</w:t>
            </w:r>
            <w:r w:rsidR="007A4EB0" w:rsidRPr="00235AD3">
              <w:t>ī</w:t>
            </w:r>
            <w:r w:rsidR="00F37EAA" w:rsidRPr="00235AD3">
              <w:t>cināšanu</w:t>
            </w:r>
            <w:r w:rsidR="001A4507" w:rsidRPr="00235AD3">
              <w:t>, kā arī papildināt ar likuma 17.</w:t>
            </w:r>
            <w:r w:rsidR="00F57F59" w:rsidRPr="00235AD3">
              <w:t> </w:t>
            </w:r>
            <w:r w:rsidR="001A4507" w:rsidRPr="00235AD3">
              <w:t>panta 1.</w:t>
            </w:r>
            <w:r w:rsidR="001A4507" w:rsidRPr="00235AD3">
              <w:rPr>
                <w:vertAlign w:val="superscript"/>
              </w:rPr>
              <w:t>1</w:t>
            </w:r>
            <w:r w:rsidR="001A4507" w:rsidRPr="00235AD3">
              <w:t xml:space="preserve"> daļā</w:t>
            </w:r>
            <w:r w:rsidR="006F69DB">
              <w:t xml:space="preserve"> (par </w:t>
            </w:r>
            <w:r w:rsidR="006F69DB" w:rsidRPr="006F69DB">
              <w:t>nosacījum</w:t>
            </w:r>
            <w:r w:rsidR="006F69DB">
              <w:t>iem</w:t>
            </w:r>
            <w:r w:rsidR="006F69DB" w:rsidRPr="006F69DB">
              <w:t xml:space="preserve"> un kārtību, kādā Valsts ieņēmumu dienests izsniedz atļauju denaturēto tabakas izstrādājumu piegādei vai atsaka izsniegt atļauju denaturēto tabakas izstrādājumu piegādei, </w:t>
            </w:r>
            <w:r w:rsidR="006F69DB">
              <w:t>par</w:t>
            </w:r>
            <w:r w:rsidR="006F69DB" w:rsidRPr="006F69DB">
              <w:t xml:space="preserve"> nosacījum</w:t>
            </w:r>
            <w:r w:rsidR="006F69DB">
              <w:t>iem</w:t>
            </w:r>
            <w:r w:rsidR="006F69DB" w:rsidRPr="006F69DB">
              <w:t>, kādi tabakas izstrādājumi, ir uzskatāmi par denaturētiem</w:t>
            </w:r>
            <w:r w:rsidR="006F69DB">
              <w:t>)</w:t>
            </w:r>
            <w:r w:rsidR="001A4507" w:rsidRPr="00235AD3">
              <w:t xml:space="preserve"> </w:t>
            </w:r>
            <w:r w:rsidR="00A61416">
              <w:t>un 17</w:t>
            </w:r>
            <w:r w:rsidR="006F69DB">
              <w:t>.</w:t>
            </w:r>
            <w:r w:rsidR="00A61416" w:rsidRPr="00A61416">
              <w:rPr>
                <w:vertAlign w:val="superscript"/>
              </w:rPr>
              <w:t>1</w:t>
            </w:r>
            <w:r w:rsidR="006F69DB">
              <w:rPr>
                <w:vertAlign w:val="superscript"/>
              </w:rPr>
              <w:t> </w:t>
            </w:r>
            <w:r w:rsidR="00A61416">
              <w:t xml:space="preserve">panta </w:t>
            </w:r>
            <w:r w:rsidR="006F69DB">
              <w:t xml:space="preserve">otrajā daļā </w:t>
            </w:r>
            <w:r w:rsidR="00A61416">
              <w:t>(par</w:t>
            </w:r>
            <w:r w:rsidR="00A61416" w:rsidRPr="00A61416">
              <w:t xml:space="preserve"> akcīzes nodokļa atbrīvojumu </w:t>
            </w:r>
            <w:r w:rsidR="00A61416">
              <w:t xml:space="preserve">piemērošanu </w:t>
            </w:r>
            <w:r w:rsidR="00A61416" w:rsidRPr="00A61416">
              <w:t>elektroniskajās smēķēšanas ierīcēs izmantojamam šķidrumam, elektroniskajās smēķēšanas ierīcēs izmantojamā šķidruma sagatavošanas sastāvdaļām un tabakas aizstājējproduktiem</w:t>
            </w:r>
            <w:r w:rsidR="00A61416">
              <w:t>)</w:t>
            </w:r>
            <w:r w:rsidR="006F69DB">
              <w:t xml:space="preserve"> </w:t>
            </w:r>
            <w:r w:rsidR="006F69DB" w:rsidRPr="00235AD3">
              <w:t>doto deleģējumu Ministru kabinetam</w:t>
            </w:r>
            <w:r w:rsidR="006F69DB">
              <w:t>.</w:t>
            </w:r>
            <w:r w:rsidR="006F69DB" w:rsidRPr="00235AD3">
              <w:rPr>
                <w:bCs/>
              </w:rPr>
              <w:t xml:space="preserve"> </w:t>
            </w:r>
            <w:r w:rsidR="00F37EAA" w:rsidRPr="00235AD3">
              <w:rPr>
                <w:bCs/>
              </w:rPr>
              <w:t>Par Ministru kabineta noteikumu projektu ir atbildīga Finanšu ministrija</w:t>
            </w:r>
            <w:r w:rsidR="00F4064C" w:rsidRPr="00235AD3">
              <w:t>.</w:t>
            </w:r>
            <w:r w:rsidR="00CE27E6" w:rsidRPr="00235AD3">
              <w:t xml:space="preserve"> </w:t>
            </w:r>
            <w:r w:rsidR="00CE27E6" w:rsidRPr="00235AD3">
              <w:rPr>
                <w:bCs/>
              </w:rPr>
              <w:t xml:space="preserve">Grozījumus minētajos Ministru kabineta noteikumos paredzēts veikt </w:t>
            </w:r>
            <w:r w:rsidR="00232DB6" w:rsidRPr="00235AD3">
              <w:rPr>
                <w:bCs/>
              </w:rPr>
              <w:t xml:space="preserve">līdz </w:t>
            </w:r>
            <w:r w:rsidR="00412F5D" w:rsidRPr="0045361E">
              <w:rPr>
                <w:bCs/>
              </w:rPr>
              <w:t>2021.</w:t>
            </w:r>
            <w:r w:rsidR="00F57F59" w:rsidRPr="0045361E">
              <w:rPr>
                <w:bCs/>
              </w:rPr>
              <w:t> </w:t>
            </w:r>
            <w:r w:rsidR="00412F5D" w:rsidRPr="0045361E">
              <w:rPr>
                <w:bCs/>
              </w:rPr>
              <w:t>gada 31.</w:t>
            </w:r>
            <w:r w:rsidR="00F57F59" w:rsidRPr="0045361E">
              <w:rPr>
                <w:bCs/>
              </w:rPr>
              <w:t> </w:t>
            </w:r>
            <w:r w:rsidR="00412F5D" w:rsidRPr="0045361E">
              <w:rPr>
                <w:bCs/>
              </w:rPr>
              <w:t>decembrim</w:t>
            </w:r>
            <w:r w:rsidR="0040680A" w:rsidRPr="0045361E">
              <w:rPr>
                <w:bCs/>
              </w:rPr>
              <w:t>;</w:t>
            </w:r>
          </w:p>
          <w:p w14:paraId="3A54FF47" w14:textId="04FEEE90" w:rsidR="00C12D14" w:rsidRPr="0045361E" w:rsidRDefault="0040680A" w:rsidP="00511610">
            <w:pPr>
              <w:pStyle w:val="ListParagraph"/>
              <w:numPr>
                <w:ilvl w:val="0"/>
                <w:numId w:val="14"/>
              </w:numPr>
              <w:ind w:left="0" w:firstLine="360"/>
              <w:jc w:val="both"/>
            </w:pPr>
            <w:r w:rsidRPr="0045361E">
              <w:rPr>
                <w:bCs/>
              </w:rPr>
              <w:t>grozījumus Ministru kabineta 2012.</w:t>
            </w:r>
            <w:r w:rsidR="00F57F59" w:rsidRPr="0045361E">
              <w:rPr>
                <w:bCs/>
              </w:rPr>
              <w:t> </w:t>
            </w:r>
            <w:r w:rsidRPr="0045361E">
              <w:rPr>
                <w:bCs/>
              </w:rPr>
              <w:t>gada 18.</w:t>
            </w:r>
            <w:r w:rsidR="00F57F59" w:rsidRPr="0045361E">
              <w:rPr>
                <w:bCs/>
              </w:rPr>
              <w:t> </w:t>
            </w:r>
            <w:r w:rsidRPr="0045361E">
              <w:rPr>
                <w:bCs/>
              </w:rPr>
              <w:t>decembra noteikumu Nr.</w:t>
            </w:r>
            <w:r w:rsidR="00F57F59" w:rsidRPr="0045361E">
              <w:rPr>
                <w:bCs/>
              </w:rPr>
              <w:t> </w:t>
            </w:r>
            <w:r w:rsidRPr="0045361E">
              <w:rPr>
                <w:bCs/>
              </w:rPr>
              <w:t>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 un piemēro akcīzes nodokļa atbrīvojumu”, papildinot t</w:t>
            </w:r>
            <w:r w:rsidR="00A47802" w:rsidRPr="0045361E">
              <w:rPr>
                <w:bCs/>
              </w:rPr>
              <w:t>o</w:t>
            </w:r>
            <w:r w:rsidRPr="0045361E">
              <w:rPr>
                <w:bCs/>
              </w:rPr>
              <w:t xml:space="preserve">s ar normām par akcīzes nodokļa atmaksu </w:t>
            </w:r>
            <w:r w:rsidR="002E6B2A" w:rsidRPr="0045361E">
              <w:rPr>
                <w:bCs/>
              </w:rPr>
              <w:t>E</w:t>
            </w:r>
            <w:r w:rsidR="00E23EFB" w:rsidRPr="0045361E">
              <w:rPr>
                <w:bCs/>
              </w:rPr>
              <w:t>iropas Savienības</w:t>
            </w:r>
            <w:r w:rsidR="002E6B2A" w:rsidRPr="0045361E">
              <w:rPr>
                <w:bCs/>
              </w:rPr>
              <w:t xml:space="preserve"> dalībvalstu </w:t>
            </w:r>
            <w:proofErr w:type="spellStart"/>
            <w:r w:rsidR="002E6B2A" w:rsidRPr="0045361E">
              <w:rPr>
                <w:bCs/>
              </w:rPr>
              <w:t>broņotajiem</w:t>
            </w:r>
            <w:proofErr w:type="spellEnd"/>
            <w:r w:rsidR="002E6B2A" w:rsidRPr="0045361E">
              <w:rPr>
                <w:bCs/>
              </w:rPr>
              <w:t xml:space="preserve"> spēkiem </w:t>
            </w:r>
            <w:r w:rsidRPr="0045361E">
              <w:rPr>
                <w:bCs/>
              </w:rPr>
              <w:t>par Latvij</w:t>
            </w:r>
            <w:r w:rsidR="0040537F">
              <w:rPr>
                <w:bCs/>
              </w:rPr>
              <w:t>as Republikā</w:t>
            </w:r>
            <w:r w:rsidRPr="0045361E">
              <w:rPr>
                <w:bCs/>
              </w:rPr>
              <w:t xml:space="preserve"> (iekšzemē) iegādātajām akcīzes precēm, par kurām akcīzes nodoklis ir jau samaksāts</w:t>
            </w:r>
            <w:r w:rsidR="00232DB6" w:rsidRPr="0045361E">
              <w:rPr>
                <w:bCs/>
              </w:rPr>
              <w:t>.</w:t>
            </w:r>
            <w:r w:rsidR="00A47802" w:rsidRPr="0045361E">
              <w:rPr>
                <w:rFonts w:eastAsiaTheme="minorHAnsi"/>
                <w:lang w:eastAsia="en-US"/>
              </w:rPr>
              <w:t xml:space="preserve"> </w:t>
            </w:r>
            <w:r w:rsidR="00A47802" w:rsidRPr="0045361E">
              <w:rPr>
                <w:bCs/>
              </w:rPr>
              <w:t>Par Ministru kabineta noteikumu projektu ir atbildīga Finanšu ministrija. Grozījumus minētajos Ministru kabineta noteikumos paredzēts veikt līdz 2022.</w:t>
            </w:r>
            <w:r w:rsidR="00F57F59" w:rsidRPr="0045361E">
              <w:rPr>
                <w:bCs/>
              </w:rPr>
              <w:t> </w:t>
            </w:r>
            <w:r w:rsidR="00A47802" w:rsidRPr="0045361E">
              <w:rPr>
                <w:bCs/>
              </w:rPr>
              <w:t>gada 30.</w:t>
            </w:r>
            <w:r w:rsidR="00F57F59" w:rsidRPr="0045361E">
              <w:rPr>
                <w:bCs/>
              </w:rPr>
              <w:t> </w:t>
            </w:r>
            <w:r w:rsidR="00A47802" w:rsidRPr="0045361E">
              <w:rPr>
                <w:bCs/>
              </w:rPr>
              <w:t>jūnijam.</w:t>
            </w:r>
          </w:p>
          <w:p w14:paraId="0D8F9322" w14:textId="77777777" w:rsidR="007A65CE" w:rsidRPr="006375FF" w:rsidRDefault="00C12D14" w:rsidP="006F69DB">
            <w:pPr>
              <w:pStyle w:val="ListParagraph"/>
              <w:ind w:left="115" w:firstLine="245"/>
              <w:jc w:val="both"/>
            </w:pPr>
            <w:r w:rsidRPr="006375FF">
              <w:t>Papildus tam ir nepieciešams izstrādāt šādus Ministru kabineta noteikumus</w:t>
            </w:r>
            <w:r w:rsidR="007A65CE" w:rsidRPr="006375FF">
              <w:t>:</w:t>
            </w:r>
          </w:p>
          <w:p w14:paraId="38A9B4C5" w14:textId="3053BA52" w:rsidR="00A377D4" w:rsidRPr="006375FF" w:rsidRDefault="007A65CE" w:rsidP="006F69DB">
            <w:pPr>
              <w:pStyle w:val="ListParagraph"/>
              <w:ind w:left="115" w:firstLine="245"/>
              <w:jc w:val="both"/>
            </w:pPr>
            <w:r w:rsidRPr="006375FF">
              <w:t xml:space="preserve">1) </w:t>
            </w:r>
            <w:r w:rsidR="006C2085" w:rsidRPr="006375FF">
              <w:t>par</w:t>
            </w:r>
            <w:r w:rsidR="00C12D14" w:rsidRPr="006375FF">
              <w:t xml:space="preserve"> akcīzes nodokļa atbrīvojumu </w:t>
            </w:r>
            <w:r w:rsidR="006C2085" w:rsidRPr="006375FF">
              <w:t xml:space="preserve">piemērošanu </w:t>
            </w:r>
            <w:r w:rsidR="00C12D14" w:rsidRPr="006375FF">
              <w:t>bezalkoho</w:t>
            </w:r>
            <w:r w:rsidR="00A61416" w:rsidRPr="006375FF">
              <w:t>liskajiem dzērieniem un kafijai.</w:t>
            </w:r>
            <w:r w:rsidR="006F69DB" w:rsidRPr="006375FF">
              <w:t xml:space="preserve"> </w:t>
            </w:r>
            <w:r w:rsidR="003A27A7" w:rsidRPr="006375FF">
              <w:t>Par minēto Ministru kabineta noteikumu projekta izstrādi ir atbildīga Finanšu ministrija un tos ir</w:t>
            </w:r>
            <w:r w:rsidR="00A377D4" w:rsidRPr="006375FF">
              <w:t xml:space="preserve"> paredzēts izstrādāt </w:t>
            </w:r>
            <w:r w:rsidR="00CE27E6" w:rsidRPr="006375FF">
              <w:t xml:space="preserve">un pieņemt </w:t>
            </w:r>
            <w:r w:rsidR="00A377D4" w:rsidRPr="006375FF">
              <w:t xml:space="preserve">līdz </w:t>
            </w:r>
            <w:r w:rsidR="00AF45AF" w:rsidRPr="006375FF">
              <w:t>2021.</w:t>
            </w:r>
            <w:r w:rsidR="00F57F59" w:rsidRPr="006375FF">
              <w:t> </w:t>
            </w:r>
            <w:r w:rsidR="00AF45AF" w:rsidRPr="006375FF">
              <w:t>gada 31.</w:t>
            </w:r>
            <w:r w:rsidR="00F57F59" w:rsidRPr="006375FF">
              <w:t> </w:t>
            </w:r>
            <w:r w:rsidR="00AF45AF" w:rsidRPr="006375FF">
              <w:t>decembrim</w:t>
            </w:r>
            <w:r w:rsidR="008559A0" w:rsidRPr="006375FF">
              <w:t>;</w:t>
            </w:r>
            <w:r w:rsidR="00A377D4" w:rsidRPr="006375FF">
              <w:t xml:space="preserve"> </w:t>
            </w:r>
          </w:p>
          <w:p w14:paraId="6AA53470" w14:textId="3F6E0DED" w:rsidR="00FA44E2" w:rsidRPr="00235AD3" w:rsidRDefault="007A65CE" w:rsidP="001A07D2">
            <w:pPr>
              <w:spacing w:after="0" w:line="240" w:lineRule="auto"/>
              <w:ind w:firstLine="397"/>
              <w:jc w:val="both"/>
              <w:rPr>
                <w:rFonts w:ascii="Times New Roman" w:hAnsi="Times New Roman" w:cs="Times New Roman"/>
                <w:sz w:val="24"/>
                <w:szCs w:val="24"/>
              </w:rPr>
            </w:pPr>
            <w:r w:rsidRPr="006375FF">
              <w:rPr>
                <w:rFonts w:ascii="Times New Roman" w:hAnsi="Times New Roman" w:cs="Times New Roman"/>
                <w:sz w:val="24"/>
                <w:szCs w:val="24"/>
              </w:rPr>
              <w:t>2</w:t>
            </w:r>
            <w:r w:rsidR="008559A0" w:rsidRPr="006375FF">
              <w:rPr>
                <w:rFonts w:ascii="Times New Roman" w:hAnsi="Times New Roman" w:cs="Times New Roman"/>
                <w:sz w:val="24"/>
                <w:szCs w:val="24"/>
              </w:rPr>
              <w:t xml:space="preserve">) par sertifikātu, kas apliecina mazās alkoholisko dzērienu darītavas </w:t>
            </w:r>
            <w:r w:rsidR="00462402" w:rsidRPr="006375FF">
              <w:rPr>
                <w:rFonts w:ascii="Times New Roman" w:hAnsi="Times New Roman" w:cs="Times New Roman"/>
                <w:sz w:val="24"/>
                <w:szCs w:val="24"/>
              </w:rPr>
              <w:t>tiesības piemērot samazinātu akcīzes nodokļa likmi</w:t>
            </w:r>
            <w:r w:rsidR="008559A0" w:rsidRPr="006375FF">
              <w:rPr>
                <w:rFonts w:ascii="Times New Roman" w:hAnsi="Times New Roman" w:cs="Times New Roman"/>
                <w:sz w:val="24"/>
                <w:szCs w:val="24"/>
              </w:rPr>
              <w:t>. Par minēto Ministru kabineta noteikumu projekta izstrādi ir atbildīga Finanšu ministrija un tos ir paredzēts izstrādāt un pieņemt līdz 2021.</w:t>
            </w:r>
            <w:r w:rsidR="00F57F59" w:rsidRPr="006375FF">
              <w:rPr>
                <w:rFonts w:ascii="Times New Roman" w:hAnsi="Times New Roman" w:cs="Times New Roman"/>
                <w:sz w:val="24"/>
                <w:szCs w:val="24"/>
              </w:rPr>
              <w:t> </w:t>
            </w:r>
            <w:r w:rsidR="008559A0" w:rsidRPr="006375FF">
              <w:rPr>
                <w:rFonts w:ascii="Times New Roman" w:hAnsi="Times New Roman" w:cs="Times New Roman"/>
                <w:sz w:val="24"/>
                <w:szCs w:val="24"/>
              </w:rPr>
              <w:t>gada 31.</w:t>
            </w:r>
            <w:r w:rsidR="00F57F59" w:rsidRPr="006375FF">
              <w:rPr>
                <w:rFonts w:ascii="Times New Roman" w:hAnsi="Times New Roman" w:cs="Times New Roman"/>
                <w:sz w:val="24"/>
                <w:szCs w:val="24"/>
              </w:rPr>
              <w:t> </w:t>
            </w:r>
            <w:r w:rsidR="008559A0" w:rsidRPr="006375FF">
              <w:rPr>
                <w:rFonts w:ascii="Times New Roman" w:hAnsi="Times New Roman" w:cs="Times New Roman"/>
                <w:sz w:val="24"/>
                <w:szCs w:val="24"/>
              </w:rPr>
              <w:t>decembrim.</w:t>
            </w:r>
          </w:p>
        </w:tc>
      </w:tr>
      <w:tr w:rsidR="00100490" w:rsidRPr="00235AD3" w14:paraId="707799AA" w14:textId="77777777" w:rsidTr="006915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6026745C" w14:textId="77777777" w:rsidR="00100490" w:rsidRPr="00235AD3" w:rsidRDefault="00100490" w:rsidP="0069728C">
            <w:pPr>
              <w:snapToGrid w:val="0"/>
              <w:rPr>
                <w:rFonts w:ascii="Times New Roman" w:hAnsi="Times New Roman" w:cs="Times New Roman"/>
                <w:color w:val="000000"/>
                <w:sz w:val="24"/>
                <w:szCs w:val="24"/>
              </w:rPr>
            </w:pPr>
            <w:r w:rsidRPr="00235AD3">
              <w:rPr>
                <w:rFonts w:ascii="Times New Roman" w:hAnsi="Times New Roman" w:cs="Times New Roman"/>
                <w:color w:val="000000"/>
                <w:sz w:val="24"/>
                <w:szCs w:val="24"/>
              </w:rPr>
              <w:lastRenderedPageBreak/>
              <w:t>2.</w:t>
            </w:r>
          </w:p>
        </w:tc>
        <w:tc>
          <w:tcPr>
            <w:tcW w:w="1539" w:type="pct"/>
          </w:tcPr>
          <w:p w14:paraId="3E4ADC64" w14:textId="77777777" w:rsidR="00100490" w:rsidRPr="00235AD3" w:rsidRDefault="00100490" w:rsidP="0069728C">
            <w:pPr>
              <w:snapToGrid w:val="0"/>
              <w:rPr>
                <w:rFonts w:ascii="Times New Roman" w:hAnsi="Times New Roman" w:cs="Times New Roman"/>
                <w:color w:val="000000"/>
                <w:sz w:val="24"/>
                <w:szCs w:val="24"/>
              </w:rPr>
            </w:pPr>
            <w:r w:rsidRPr="00235AD3">
              <w:rPr>
                <w:rFonts w:ascii="Times New Roman" w:eastAsia="Times New Roman" w:hAnsi="Times New Roman" w:cs="Times New Roman"/>
                <w:iCs/>
                <w:sz w:val="24"/>
                <w:szCs w:val="24"/>
                <w:lang w:eastAsia="lv-LV"/>
              </w:rPr>
              <w:t>Atbildīgā institūcija</w:t>
            </w:r>
          </w:p>
        </w:tc>
        <w:tc>
          <w:tcPr>
            <w:tcW w:w="3234" w:type="pct"/>
          </w:tcPr>
          <w:p w14:paraId="67351CA5" w14:textId="2DEC7456" w:rsidR="00EA6E7C" w:rsidRPr="00235AD3" w:rsidRDefault="00053836" w:rsidP="00872785">
            <w:pPr>
              <w:snapToGrid w:val="0"/>
              <w:spacing w:after="0" w:line="240" w:lineRule="auto"/>
              <w:rPr>
                <w:rFonts w:ascii="Times New Roman" w:hAnsi="Times New Roman" w:cs="Times New Roman"/>
                <w:color w:val="000000"/>
                <w:sz w:val="24"/>
                <w:szCs w:val="24"/>
              </w:rPr>
            </w:pPr>
            <w:r w:rsidRPr="00235AD3">
              <w:rPr>
                <w:rFonts w:ascii="Times New Roman" w:hAnsi="Times New Roman" w:cs="Times New Roman"/>
                <w:color w:val="000000"/>
                <w:sz w:val="24"/>
                <w:szCs w:val="24"/>
              </w:rPr>
              <w:t xml:space="preserve">1) </w:t>
            </w:r>
            <w:r w:rsidR="006862F2" w:rsidRPr="00235AD3">
              <w:rPr>
                <w:rFonts w:ascii="Times New Roman" w:hAnsi="Times New Roman" w:cs="Times New Roman"/>
                <w:color w:val="000000"/>
                <w:sz w:val="24"/>
                <w:szCs w:val="24"/>
              </w:rPr>
              <w:t>Finanšu ministrija (</w:t>
            </w:r>
            <w:r w:rsidR="00EA6E7C" w:rsidRPr="00235AD3">
              <w:rPr>
                <w:rFonts w:ascii="Times New Roman" w:hAnsi="Times New Roman" w:cs="Times New Roman"/>
                <w:color w:val="000000"/>
                <w:sz w:val="24"/>
                <w:szCs w:val="24"/>
              </w:rPr>
              <w:t>Valsts ieņēmumu dienests</w:t>
            </w:r>
            <w:r w:rsidR="006862F2" w:rsidRPr="00235AD3">
              <w:rPr>
                <w:rFonts w:ascii="Times New Roman" w:hAnsi="Times New Roman" w:cs="Times New Roman"/>
                <w:color w:val="000000"/>
                <w:sz w:val="24"/>
                <w:szCs w:val="24"/>
              </w:rPr>
              <w:t>)</w:t>
            </w:r>
            <w:r w:rsidRPr="00235AD3">
              <w:rPr>
                <w:rFonts w:ascii="Times New Roman" w:hAnsi="Times New Roman" w:cs="Times New Roman"/>
                <w:color w:val="000000"/>
                <w:sz w:val="24"/>
                <w:szCs w:val="24"/>
              </w:rPr>
              <w:t>;</w:t>
            </w:r>
          </w:p>
          <w:p w14:paraId="7B98D116" w14:textId="2644637A" w:rsidR="00053836" w:rsidRPr="00235AD3" w:rsidRDefault="00053836" w:rsidP="00872785">
            <w:pPr>
              <w:snapToGrid w:val="0"/>
              <w:spacing w:after="0" w:line="240" w:lineRule="auto"/>
              <w:rPr>
                <w:rFonts w:ascii="Times New Roman" w:hAnsi="Times New Roman" w:cs="Times New Roman"/>
                <w:color w:val="000000"/>
                <w:sz w:val="24"/>
                <w:szCs w:val="24"/>
              </w:rPr>
            </w:pPr>
            <w:r w:rsidRPr="00235AD3">
              <w:rPr>
                <w:rFonts w:ascii="Times New Roman" w:hAnsi="Times New Roman" w:cs="Times New Roman"/>
                <w:color w:val="000000"/>
                <w:sz w:val="24"/>
                <w:szCs w:val="24"/>
              </w:rPr>
              <w:t xml:space="preserve">2) </w:t>
            </w:r>
            <w:r w:rsidR="006862F2" w:rsidRPr="00235AD3">
              <w:rPr>
                <w:rFonts w:ascii="Times New Roman" w:hAnsi="Times New Roman" w:cs="Times New Roman"/>
                <w:color w:val="000000"/>
                <w:sz w:val="24"/>
                <w:szCs w:val="24"/>
              </w:rPr>
              <w:t>Finanšu ministrija (</w:t>
            </w:r>
            <w:r w:rsidRPr="00235AD3">
              <w:rPr>
                <w:rFonts w:ascii="Times New Roman" w:hAnsi="Times New Roman" w:cs="Times New Roman"/>
                <w:color w:val="000000"/>
                <w:sz w:val="24"/>
                <w:szCs w:val="24"/>
              </w:rPr>
              <w:t>Valsts ieņēmumu dienests</w:t>
            </w:r>
            <w:r w:rsidR="006862F2" w:rsidRPr="00235AD3">
              <w:rPr>
                <w:rFonts w:ascii="Times New Roman" w:hAnsi="Times New Roman" w:cs="Times New Roman"/>
                <w:color w:val="000000"/>
                <w:sz w:val="24"/>
                <w:szCs w:val="24"/>
              </w:rPr>
              <w:t>)</w:t>
            </w:r>
            <w:r w:rsidRPr="00235AD3">
              <w:rPr>
                <w:rFonts w:ascii="Times New Roman" w:hAnsi="Times New Roman" w:cs="Times New Roman"/>
                <w:color w:val="000000"/>
                <w:sz w:val="24"/>
                <w:szCs w:val="24"/>
              </w:rPr>
              <w:t>;</w:t>
            </w:r>
          </w:p>
          <w:p w14:paraId="309A2F75" w14:textId="77777777" w:rsidR="00053836" w:rsidRPr="00235AD3" w:rsidRDefault="00053836" w:rsidP="00872785">
            <w:pPr>
              <w:snapToGrid w:val="0"/>
              <w:spacing w:after="0" w:line="240" w:lineRule="auto"/>
              <w:rPr>
                <w:rFonts w:ascii="Times New Roman" w:hAnsi="Times New Roman" w:cs="Times New Roman"/>
                <w:color w:val="000000"/>
                <w:sz w:val="24"/>
                <w:szCs w:val="24"/>
              </w:rPr>
            </w:pPr>
            <w:r w:rsidRPr="00235AD3">
              <w:rPr>
                <w:rFonts w:ascii="Times New Roman" w:hAnsi="Times New Roman" w:cs="Times New Roman"/>
                <w:color w:val="000000"/>
                <w:sz w:val="24"/>
                <w:szCs w:val="24"/>
              </w:rPr>
              <w:t>3) Finanšu ministrija;</w:t>
            </w:r>
          </w:p>
          <w:p w14:paraId="261B55BA" w14:textId="77777777" w:rsidR="005374F9" w:rsidRPr="00235AD3" w:rsidRDefault="00053836" w:rsidP="00872785">
            <w:pPr>
              <w:snapToGrid w:val="0"/>
              <w:spacing w:after="0" w:line="240" w:lineRule="auto"/>
              <w:rPr>
                <w:rFonts w:ascii="Times New Roman" w:hAnsi="Times New Roman" w:cs="Times New Roman"/>
                <w:color w:val="000000"/>
                <w:sz w:val="24"/>
                <w:szCs w:val="24"/>
              </w:rPr>
            </w:pPr>
            <w:r w:rsidRPr="00235AD3">
              <w:rPr>
                <w:rFonts w:ascii="Times New Roman" w:hAnsi="Times New Roman" w:cs="Times New Roman"/>
                <w:color w:val="000000"/>
                <w:sz w:val="24"/>
                <w:szCs w:val="24"/>
              </w:rPr>
              <w:t xml:space="preserve">4) Finanšu </w:t>
            </w:r>
            <w:r w:rsidR="005374F9" w:rsidRPr="00235AD3">
              <w:rPr>
                <w:rFonts w:ascii="Times New Roman" w:hAnsi="Times New Roman" w:cs="Times New Roman"/>
                <w:color w:val="000000"/>
                <w:sz w:val="24"/>
                <w:szCs w:val="24"/>
              </w:rPr>
              <w:t>ministrija;</w:t>
            </w:r>
          </w:p>
          <w:p w14:paraId="01B47938" w14:textId="77777777" w:rsidR="00F37EAA" w:rsidRPr="00235AD3" w:rsidRDefault="005374F9" w:rsidP="00872785">
            <w:pPr>
              <w:snapToGrid w:val="0"/>
              <w:spacing w:after="0" w:line="240" w:lineRule="auto"/>
              <w:rPr>
                <w:rFonts w:ascii="Times New Roman" w:hAnsi="Times New Roman" w:cs="Times New Roman"/>
                <w:color w:val="000000"/>
                <w:sz w:val="24"/>
                <w:szCs w:val="24"/>
              </w:rPr>
            </w:pPr>
            <w:r w:rsidRPr="00235AD3">
              <w:rPr>
                <w:rFonts w:ascii="Times New Roman" w:hAnsi="Times New Roman" w:cs="Times New Roman"/>
                <w:color w:val="000000"/>
                <w:sz w:val="24"/>
                <w:szCs w:val="24"/>
              </w:rPr>
              <w:t>5) F</w:t>
            </w:r>
            <w:r w:rsidR="00EB7EA5" w:rsidRPr="00235AD3">
              <w:rPr>
                <w:rFonts w:ascii="Times New Roman" w:hAnsi="Times New Roman" w:cs="Times New Roman"/>
                <w:color w:val="000000"/>
                <w:sz w:val="24"/>
                <w:szCs w:val="24"/>
              </w:rPr>
              <w:t>inanšu ministrija</w:t>
            </w:r>
            <w:r w:rsidR="00F37EAA" w:rsidRPr="00235AD3">
              <w:rPr>
                <w:rFonts w:ascii="Times New Roman" w:hAnsi="Times New Roman" w:cs="Times New Roman"/>
                <w:color w:val="000000"/>
                <w:sz w:val="24"/>
                <w:szCs w:val="24"/>
              </w:rPr>
              <w:t>;</w:t>
            </w:r>
          </w:p>
          <w:p w14:paraId="039B191D" w14:textId="77777777" w:rsidR="00F37EAA" w:rsidRPr="00235AD3" w:rsidRDefault="00F37EAA" w:rsidP="00872785">
            <w:pPr>
              <w:snapToGrid w:val="0"/>
              <w:spacing w:after="0" w:line="240" w:lineRule="auto"/>
              <w:rPr>
                <w:rFonts w:ascii="Times New Roman" w:hAnsi="Times New Roman" w:cs="Times New Roman"/>
                <w:color w:val="000000"/>
                <w:sz w:val="24"/>
                <w:szCs w:val="24"/>
              </w:rPr>
            </w:pPr>
            <w:r w:rsidRPr="00235AD3">
              <w:rPr>
                <w:rFonts w:ascii="Times New Roman" w:hAnsi="Times New Roman" w:cs="Times New Roman"/>
                <w:color w:val="000000"/>
                <w:sz w:val="24"/>
                <w:szCs w:val="24"/>
              </w:rPr>
              <w:t>6) Finanšu ministrija;</w:t>
            </w:r>
          </w:p>
          <w:p w14:paraId="2E13B00B" w14:textId="77777777" w:rsidR="00664020" w:rsidRPr="006375FF" w:rsidRDefault="00F37EAA" w:rsidP="00872785">
            <w:pPr>
              <w:snapToGrid w:val="0"/>
              <w:spacing w:after="0" w:line="240" w:lineRule="auto"/>
              <w:rPr>
                <w:rFonts w:ascii="Times New Roman" w:hAnsi="Times New Roman" w:cs="Times New Roman"/>
                <w:color w:val="000000"/>
                <w:sz w:val="24"/>
                <w:szCs w:val="24"/>
              </w:rPr>
            </w:pPr>
            <w:r w:rsidRPr="00235AD3">
              <w:rPr>
                <w:rFonts w:ascii="Times New Roman" w:hAnsi="Times New Roman" w:cs="Times New Roman"/>
                <w:color w:val="000000"/>
                <w:sz w:val="24"/>
                <w:szCs w:val="24"/>
              </w:rPr>
              <w:t xml:space="preserve">7) </w:t>
            </w:r>
            <w:r w:rsidRPr="006375FF">
              <w:rPr>
                <w:rFonts w:ascii="Times New Roman" w:hAnsi="Times New Roman" w:cs="Times New Roman"/>
                <w:color w:val="000000"/>
                <w:sz w:val="24"/>
                <w:szCs w:val="24"/>
              </w:rPr>
              <w:t>Finanšu ministrija</w:t>
            </w:r>
            <w:r w:rsidR="00664020" w:rsidRPr="006375FF">
              <w:rPr>
                <w:rFonts w:ascii="Times New Roman" w:hAnsi="Times New Roman" w:cs="Times New Roman"/>
                <w:color w:val="000000"/>
                <w:sz w:val="24"/>
                <w:szCs w:val="24"/>
              </w:rPr>
              <w:t>;</w:t>
            </w:r>
          </w:p>
          <w:p w14:paraId="1FE9CFE3" w14:textId="77777777" w:rsidR="00A47802" w:rsidRPr="006375FF" w:rsidRDefault="00664020" w:rsidP="00872785">
            <w:pPr>
              <w:snapToGrid w:val="0"/>
              <w:spacing w:after="0" w:line="240" w:lineRule="auto"/>
              <w:rPr>
                <w:rFonts w:ascii="Times New Roman" w:hAnsi="Times New Roman" w:cs="Times New Roman"/>
                <w:color w:val="000000"/>
                <w:sz w:val="24"/>
                <w:szCs w:val="24"/>
              </w:rPr>
            </w:pPr>
            <w:r w:rsidRPr="006375FF">
              <w:rPr>
                <w:rFonts w:ascii="Times New Roman" w:hAnsi="Times New Roman" w:cs="Times New Roman"/>
                <w:color w:val="000000"/>
                <w:sz w:val="24"/>
                <w:szCs w:val="24"/>
              </w:rPr>
              <w:t>8) Finanšu ministrija</w:t>
            </w:r>
            <w:r w:rsidR="00A47802" w:rsidRPr="006375FF">
              <w:rPr>
                <w:rFonts w:ascii="Times New Roman" w:hAnsi="Times New Roman" w:cs="Times New Roman"/>
                <w:color w:val="000000"/>
                <w:sz w:val="24"/>
                <w:szCs w:val="24"/>
              </w:rPr>
              <w:t>;</w:t>
            </w:r>
          </w:p>
          <w:p w14:paraId="701F10C0" w14:textId="23232AB0" w:rsidR="00F37EAA" w:rsidRPr="006375FF" w:rsidRDefault="00A47802" w:rsidP="00872785">
            <w:pPr>
              <w:snapToGrid w:val="0"/>
              <w:spacing w:after="0" w:line="240" w:lineRule="auto"/>
              <w:rPr>
                <w:rFonts w:ascii="Times New Roman" w:hAnsi="Times New Roman" w:cs="Times New Roman"/>
                <w:color w:val="000000"/>
                <w:sz w:val="24"/>
                <w:szCs w:val="24"/>
              </w:rPr>
            </w:pPr>
            <w:r w:rsidRPr="006375FF">
              <w:rPr>
                <w:rFonts w:ascii="Times New Roman" w:hAnsi="Times New Roman" w:cs="Times New Roman"/>
                <w:color w:val="000000"/>
                <w:sz w:val="24"/>
                <w:szCs w:val="24"/>
              </w:rPr>
              <w:t>9) Finanšu ministrija</w:t>
            </w:r>
            <w:r w:rsidR="00F37EAA" w:rsidRPr="006375FF">
              <w:rPr>
                <w:rFonts w:ascii="Times New Roman" w:hAnsi="Times New Roman" w:cs="Times New Roman"/>
                <w:color w:val="000000"/>
                <w:sz w:val="24"/>
                <w:szCs w:val="24"/>
              </w:rPr>
              <w:t>.</w:t>
            </w:r>
          </w:p>
          <w:p w14:paraId="72D294D1" w14:textId="77777777" w:rsidR="00C12D14" w:rsidRPr="006375FF" w:rsidRDefault="00697DBD" w:rsidP="00872785">
            <w:pPr>
              <w:snapToGrid w:val="0"/>
              <w:spacing w:after="0" w:line="240" w:lineRule="auto"/>
              <w:rPr>
                <w:rFonts w:ascii="Times New Roman" w:hAnsi="Times New Roman" w:cs="Times New Roman"/>
                <w:color w:val="000000"/>
                <w:sz w:val="24"/>
                <w:szCs w:val="24"/>
              </w:rPr>
            </w:pPr>
            <w:r w:rsidRPr="006375FF">
              <w:rPr>
                <w:rFonts w:ascii="Times New Roman" w:hAnsi="Times New Roman" w:cs="Times New Roman"/>
                <w:color w:val="000000"/>
                <w:sz w:val="24"/>
                <w:szCs w:val="24"/>
              </w:rPr>
              <w:t xml:space="preserve">Jaunu </w:t>
            </w:r>
            <w:r w:rsidR="00C12D14" w:rsidRPr="006375FF">
              <w:rPr>
                <w:rFonts w:ascii="Times New Roman" w:hAnsi="Times New Roman" w:cs="Times New Roman"/>
                <w:color w:val="000000"/>
                <w:sz w:val="24"/>
                <w:szCs w:val="24"/>
              </w:rPr>
              <w:t>Ministru kabineta noteikumu projektu izstrādi nodrošina:</w:t>
            </w:r>
          </w:p>
          <w:p w14:paraId="13A40965" w14:textId="2A605089" w:rsidR="00C12D14" w:rsidRPr="006375FF" w:rsidRDefault="00C12D14" w:rsidP="00872785">
            <w:pPr>
              <w:snapToGrid w:val="0"/>
              <w:spacing w:after="0" w:line="240" w:lineRule="auto"/>
              <w:rPr>
                <w:rFonts w:ascii="Times New Roman" w:hAnsi="Times New Roman" w:cs="Times New Roman"/>
                <w:color w:val="000000"/>
                <w:sz w:val="24"/>
                <w:szCs w:val="24"/>
              </w:rPr>
            </w:pPr>
            <w:r w:rsidRPr="006375FF">
              <w:rPr>
                <w:rFonts w:ascii="Times New Roman" w:hAnsi="Times New Roman" w:cs="Times New Roman"/>
                <w:color w:val="000000"/>
                <w:sz w:val="24"/>
                <w:szCs w:val="24"/>
              </w:rPr>
              <w:t xml:space="preserve">1) </w:t>
            </w:r>
            <w:r w:rsidR="006862F2" w:rsidRPr="006375FF">
              <w:rPr>
                <w:rFonts w:ascii="Times New Roman" w:hAnsi="Times New Roman" w:cs="Times New Roman"/>
                <w:color w:val="000000"/>
                <w:sz w:val="24"/>
                <w:szCs w:val="24"/>
              </w:rPr>
              <w:t>Finanšu ministrija</w:t>
            </w:r>
            <w:r w:rsidRPr="006375FF">
              <w:rPr>
                <w:rFonts w:ascii="Times New Roman" w:hAnsi="Times New Roman" w:cs="Times New Roman"/>
                <w:color w:val="000000"/>
                <w:sz w:val="24"/>
                <w:szCs w:val="24"/>
              </w:rPr>
              <w:t>;</w:t>
            </w:r>
          </w:p>
          <w:p w14:paraId="52DFD83E" w14:textId="553297E5" w:rsidR="00C12D14" w:rsidRPr="00235AD3" w:rsidRDefault="00FB5365" w:rsidP="006915C1">
            <w:pPr>
              <w:snapToGrid w:val="0"/>
              <w:spacing w:after="0" w:line="240" w:lineRule="auto"/>
              <w:rPr>
                <w:rFonts w:ascii="Times New Roman" w:hAnsi="Times New Roman" w:cs="Times New Roman"/>
                <w:color w:val="000000"/>
                <w:sz w:val="24"/>
                <w:szCs w:val="24"/>
              </w:rPr>
            </w:pPr>
            <w:r w:rsidRPr="006375FF">
              <w:rPr>
                <w:rFonts w:ascii="Times New Roman" w:hAnsi="Times New Roman" w:cs="Times New Roman"/>
                <w:color w:val="000000"/>
                <w:sz w:val="24"/>
                <w:szCs w:val="24"/>
              </w:rPr>
              <w:t>2</w:t>
            </w:r>
            <w:r w:rsidR="003A68CE" w:rsidRPr="006375FF">
              <w:rPr>
                <w:rFonts w:ascii="Times New Roman" w:hAnsi="Times New Roman" w:cs="Times New Roman"/>
                <w:color w:val="000000"/>
                <w:sz w:val="24"/>
                <w:szCs w:val="24"/>
              </w:rPr>
              <w:t>) Finanšu min</w:t>
            </w:r>
            <w:r w:rsidR="00473E1F" w:rsidRPr="006375FF">
              <w:rPr>
                <w:rFonts w:ascii="Times New Roman" w:hAnsi="Times New Roman" w:cs="Times New Roman"/>
                <w:color w:val="000000"/>
                <w:sz w:val="24"/>
                <w:szCs w:val="24"/>
              </w:rPr>
              <w:t>is</w:t>
            </w:r>
            <w:r w:rsidR="003A68CE" w:rsidRPr="006375FF">
              <w:rPr>
                <w:rFonts w:ascii="Times New Roman" w:hAnsi="Times New Roman" w:cs="Times New Roman"/>
                <w:color w:val="000000"/>
                <w:sz w:val="24"/>
                <w:szCs w:val="24"/>
              </w:rPr>
              <w:t>trija</w:t>
            </w:r>
            <w:r w:rsidR="00C12D14" w:rsidRPr="006375FF">
              <w:rPr>
                <w:rFonts w:ascii="Times New Roman" w:hAnsi="Times New Roman" w:cs="Times New Roman"/>
                <w:color w:val="000000"/>
                <w:sz w:val="24"/>
                <w:szCs w:val="24"/>
              </w:rPr>
              <w:t>.</w:t>
            </w:r>
          </w:p>
        </w:tc>
      </w:tr>
      <w:tr w:rsidR="00100490" w:rsidRPr="00235AD3" w14:paraId="71F2EC1E" w14:textId="77777777" w:rsidTr="006915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374EF21D" w14:textId="77777777" w:rsidR="00100490" w:rsidRPr="00235AD3" w:rsidRDefault="00100490" w:rsidP="0069728C">
            <w:pPr>
              <w:snapToGrid w:val="0"/>
              <w:rPr>
                <w:rFonts w:ascii="Times New Roman" w:hAnsi="Times New Roman" w:cs="Times New Roman"/>
                <w:color w:val="000000"/>
                <w:sz w:val="24"/>
                <w:szCs w:val="24"/>
              </w:rPr>
            </w:pPr>
            <w:r w:rsidRPr="00235AD3">
              <w:rPr>
                <w:rFonts w:ascii="Times New Roman" w:hAnsi="Times New Roman" w:cs="Times New Roman"/>
                <w:color w:val="000000"/>
                <w:sz w:val="24"/>
                <w:szCs w:val="24"/>
              </w:rPr>
              <w:t>3.</w:t>
            </w:r>
          </w:p>
        </w:tc>
        <w:tc>
          <w:tcPr>
            <w:tcW w:w="1539" w:type="pct"/>
          </w:tcPr>
          <w:p w14:paraId="6AAB16FA" w14:textId="77777777" w:rsidR="00100490" w:rsidRPr="00235AD3" w:rsidRDefault="00100490" w:rsidP="0069728C">
            <w:pPr>
              <w:snapToGrid w:val="0"/>
              <w:rPr>
                <w:rFonts w:ascii="Times New Roman" w:hAnsi="Times New Roman" w:cs="Times New Roman"/>
                <w:color w:val="000000"/>
                <w:sz w:val="24"/>
                <w:szCs w:val="24"/>
              </w:rPr>
            </w:pPr>
            <w:r w:rsidRPr="00235AD3">
              <w:rPr>
                <w:rFonts w:ascii="Times New Roman" w:hAnsi="Times New Roman" w:cs="Times New Roman"/>
                <w:sz w:val="24"/>
                <w:szCs w:val="24"/>
              </w:rPr>
              <w:t>Cita informācija</w:t>
            </w:r>
          </w:p>
        </w:tc>
        <w:tc>
          <w:tcPr>
            <w:tcW w:w="3234" w:type="pct"/>
          </w:tcPr>
          <w:p w14:paraId="409D69DC" w14:textId="77777777" w:rsidR="00100490" w:rsidRPr="00235AD3" w:rsidRDefault="00100490" w:rsidP="0069728C">
            <w:pPr>
              <w:ind w:right="112"/>
              <w:jc w:val="both"/>
              <w:rPr>
                <w:rFonts w:ascii="Times New Roman" w:hAnsi="Times New Roman" w:cs="Times New Roman"/>
                <w:sz w:val="24"/>
                <w:szCs w:val="24"/>
              </w:rPr>
            </w:pPr>
            <w:r w:rsidRPr="00235AD3">
              <w:rPr>
                <w:rFonts w:ascii="Times New Roman" w:hAnsi="Times New Roman" w:cs="Times New Roman"/>
                <w:sz w:val="24"/>
                <w:szCs w:val="24"/>
              </w:rPr>
              <w:t>Nav</w:t>
            </w:r>
            <w:r w:rsidR="0071341A" w:rsidRPr="00235AD3">
              <w:rPr>
                <w:rFonts w:ascii="Times New Roman" w:hAnsi="Times New Roman" w:cs="Times New Roman"/>
                <w:sz w:val="24"/>
                <w:szCs w:val="24"/>
              </w:rPr>
              <w:t>.</w:t>
            </w:r>
          </w:p>
        </w:tc>
      </w:tr>
    </w:tbl>
    <w:p w14:paraId="0F593AE1" w14:textId="77777777" w:rsidR="00100490" w:rsidRPr="00235AD3" w:rsidRDefault="00100490"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6"/>
        <w:gridCol w:w="3094"/>
        <w:gridCol w:w="5461"/>
      </w:tblGrid>
      <w:tr w:rsidR="00E85F1D" w:rsidRPr="00235AD3" w14:paraId="3416BC26" w14:textId="77777777" w:rsidTr="00E85F1D">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9D897" w14:textId="77777777" w:rsidR="00E85F1D" w:rsidRPr="00235AD3" w:rsidRDefault="00E85F1D" w:rsidP="00E85F1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235AD3">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E85F1D" w:rsidRPr="00235AD3" w14:paraId="68919B63" w14:textId="77777777" w:rsidTr="00E85F1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73CC67C" w14:textId="77777777" w:rsidR="00E85F1D" w:rsidRPr="00235AD3" w:rsidRDefault="00E85F1D" w:rsidP="00E85F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197643B" w14:textId="77777777" w:rsidR="00E85F1D" w:rsidRPr="00235AD3" w:rsidRDefault="00E85F1D" w:rsidP="00E85F1D">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45F09CC" w14:textId="77777777" w:rsidR="00190B9F" w:rsidRPr="006375FF" w:rsidRDefault="00190B9F" w:rsidP="00190B9F">
            <w:pPr>
              <w:jc w:val="both"/>
              <w:rPr>
                <w:rFonts w:ascii="Times New Roman" w:hAnsi="Times New Roman" w:cs="Times New Roman"/>
                <w:sz w:val="24"/>
              </w:rPr>
            </w:pPr>
            <w:r w:rsidRPr="00235AD3">
              <w:rPr>
                <w:rFonts w:ascii="Times New Roman" w:hAnsi="Times New Roman" w:cs="Times New Roman"/>
                <w:sz w:val="24"/>
              </w:rPr>
              <w:t xml:space="preserve">1) </w:t>
            </w:r>
            <w:r w:rsidR="00BF6ACE" w:rsidRPr="00235AD3">
              <w:rPr>
                <w:rFonts w:ascii="Times New Roman" w:hAnsi="Times New Roman" w:cs="Times New Roman"/>
                <w:sz w:val="24"/>
              </w:rPr>
              <w:t>Padomes 2020.</w:t>
            </w:r>
            <w:r w:rsidR="00F57F59" w:rsidRPr="00235AD3">
              <w:rPr>
                <w:rFonts w:ascii="Times New Roman" w:hAnsi="Times New Roman" w:cs="Times New Roman"/>
                <w:sz w:val="24"/>
              </w:rPr>
              <w:t> </w:t>
            </w:r>
            <w:r w:rsidR="00BF6ACE" w:rsidRPr="00235AD3">
              <w:rPr>
                <w:rFonts w:ascii="Times New Roman" w:hAnsi="Times New Roman" w:cs="Times New Roman"/>
                <w:sz w:val="24"/>
              </w:rPr>
              <w:t>gada 29.</w:t>
            </w:r>
            <w:r w:rsidR="00F57F59" w:rsidRPr="00235AD3">
              <w:rPr>
                <w:rFonts w:ascii="Times New Roman" w:hAnsi="Times New Roman" w:cs="Times New Roman"/>
                <w:sz w:val="24"/>
              </w:rPr>
              <w:t> </w:t>
            </w:r>
            <w:r w:rsidR="00BF6ACE" w:rsidRPr="00235AD3">
              <w:rPr>
                <w:rFonts w:ascii="Times New Roman" w:hAnsi="Times New Roman" w:cs="Times New Roman"/>
                <w:sz w:val="24"/>
              </w:rPr>
              <w:t>jūlija direktīva (ES) 2020/1151, ar ko groza Direktīvu 92/83/EEK par to, kā saskaņojams akcīzes nodoklis spirtam un alkoholiskajiem dzērieniem (direktīva 2020/1151/ES).</w:t>
            </w:r>
            <w:r w:rsidR="008629CC" w:rsidRPr="00235AD3">
              <w:rPr>
                <w:rFonts w:ascii="Times New Roman" w:hAnsi="Times New Roman" w:cs="Times New Roman"/>
                <w:sz w:val="24"/>
              </w:rPr>
              <w:t xml:space="preserve"> Direktīvā 2020/1151/ES noteiktās normas piemēro no 2022.gada 1.janvāra. Dalībvalstis līdz 2021.</w:t>
            </w:r>
            <w:r w:rsidR="00F57F59" w:rsidRPr="00235AD3">
              <w:rPr>
                <w:rFonts w:ascii="Times New Roman" w:hAnsi="Times New Roman" w:cs="Times New Roman"/>
                <w:sz w:val="24"/>
              </w:rPr>
              <w:t> </w:t>
            </w:r>
            <w:r w:rsidR="008629CC" w:rsidRPr="00235AD3">
              <w:rPr>
                <w:rFonts w:ascii="Times New Roman" w:hAnsi="Times New Roman" w:cs="Times New Roman"/>
                <w:sz w:val="24"/>
              </w:rPr>
              <w:t>gada 31.</w:t>
            </w:r>
            <w:r w:rsidR="00F57F59" w:rsidRPr="00235AD3">
              <w:rPr>
                <w:rFonts w:ascii="Times New Roman" w:hAnsi="Times New Roman" w:cs="Times New Roman"/>
                <w:sz w:val="24"/>
              </w:rPr>
              <w:t> </w:t>
            </w:r>
            <w:r w:rsidR="008629CC" w:rsidRPr="00235AD3">
              <w:rPr>
                <w:rFonts w:ascii="Times New Roman" w:hAnsi="Times New Roman" w:cs="Times New Roman"/>
                <w:sz w:val="24"/>
              </w:rPr>
              <w:t>decembrim pieņem un publicē normatīvos un administratīvos aktus</w:t>
            </w:r>
            <w:r w:rsidR="000A71FD" w:rsidRPr="00235AD3">
              <w:rPr>
                <w:rFonts w:ascii="Times New Roman" w:hAnsi="Times New Roman" w:cs="Times New Roman"/>
                <w:sz w:val="24"/>
              </w:rPr>
              <w:t xml:space="preserve">, kas vajadzīgi, lai izpildītu šīs </w:t>
            </w:r>
            <w:r w:rsidR="000A71FD" w:rsidRPr="006375FF">
              <w:rPr>
                <w:rFonts w:ascii="Times New Roman" w:hAnsi="Times New Roman" w:cs="Times New Roman"/>
                <w:sz w:val="24"/>
              </w:rPr>
              <w:t>direktīvas prasības.</w:t>
            </w:r>
          </w:p>
          <w:p w14:paraId="47ECF576" w14:textId="67158EAF" w:rsidR="004A1D40" w:rsidRPr="00235AD3" w:rsidRDefault="004A1D40" w:rsidP="001A07D2">
            <w:pPr>
              <w:spacing w:after="0" w:line="240" w:lineRule="auto"/>
              <w:jc w:val="both"/>
              <w:rPr>
                <w:rFonts w:ascii="Times New Roman" w:hAnsi="Times New Roman" w:cs="Times New Roman"/>
                <w:sz w:val="24"/>
              </w:rPr>
            </w:pPr>
            <w:r w:rsidRPr="006375FF">
              <w:rPr>
                <w:rFonts w:ascii="Times New Roman" w:hAnsi="Times New Roman" w:cs="Times New Roman"/>
                <w:sz w:val="24"/>
              </w:rPr>
              <w:t xml:space="preserve">2) Padomes 2019. gada 16. decembra direktīva (ES) 2019/2235, ar ko groza Direktīvu 2006/112/EK par kopējo pievienotās vērtības nodokļa sistēmu un Direktīvu 2008/118/EK par akcīzes nodokļa piemērošanas vispārējo režīmu attiecībā uz aizsardzības pasākumiem Savienības satvarā (direktīva 2019/2235/ES). Direktīvā 2019/2235/ES noteiktās normas piemēro no 2022.gada 1. jūlija. Dalībvalstis līdz 2022. gada 30. jūnijam pieņem un publicē normatīvos un administratīvos aktus, kas vajadzīgi, lai izpildītu šīs direktīvas </w:t>
            </w:r>
            <w:proofErr w:type="spellStart"/>
            <w:r w:rsidRPr="006375FF">
              <w:rPr>
                <w:rFonts w:ascii="Times New Roman" w:hAnsi="Times New Roman" w:cs="Times New Roman"/>
                <w:sz w:val="24"/>
              </w:rPr>
              <w:t>prass</w:t>
            </w:r>
            <w:proofErr w:type="spellEnd"/>
            <w:r w:rsidRPr="006375FF">
              <w:rPr>
                <w:rFonts w:ascii="Times New Roman" w:hAnsi="Times New Roman" w:cs="Times New Roman"/>
                <w:sz w:val="24"/>
              </w:rPr>
              <w:t>.</w:t>
            </w:r>
            <w:r w:rsidRPr="00235AD3">
              <w:rPr>
                <w:rFonts w:ascii="Times New Roman" w:hAnsi="Times New Roman" w:cs="Times New Roman"/>
                <w:b/>
                <w:sz w:val="24"/>
              </w:rPr>
              <w:t xml:space="preserve">  </w:t>
            </w:r>
          </w:p>
        </w:tc>
      </w:tr>
      <w:tr w:rsidR="00E85F1D" w:rsidRPr="00235AD3" w14:paraId="32F4198D" w14:textId="77777777" w:rsidTr="00E85F1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0317E8" w14:textId="77777777" w:rsidR="00E85F1D" w:rsidRPr="00235AD3" w:rsidRDefault="00E85F1D" w:rsidP="00E85F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2B8EB2F" w14:textId="77777777" w:rsidR="00E85F1D" w:rsidRPr="00235AD3" w:rsidRDefault="00E85F1D" w:rsidP="00E85F1D">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B2343FE" w14:textId="46BF0241" w:rsidR="00E85F1D" w:rsidRPr="00235AD3" w:rsidRDefault="005D44E5" w:rsidP="00C4115B">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Līgum</w:t>
            </w:r>
            <w:r w:rsidR="00C4115B" w:rsidRPr="00235AD3">
              <w:rPr>
                <w:rFonts w:ascii="Times New Roman" w:eastAsia="Times New Roman" w:hAnsi="Times New Roman" w:cs="Times New Roman"/>
                <w:sz w:val="24"/>
                <w:szCs w:val="24"/>
                <w:lang w:eastAsia="lv-LV"/>
              </w:rPr>
              <w:t>s</w:t>
            </w:r>
            <w:r w:rsidRPr="00235AD3">
              <w:rPr>
                <w:rFonts w:ascii="Times New Roman" w:eastAsia="Times New Roman" w:hAnsi="Times New Roman" w:cs="Times New Roman"/>
                <w:sz w:val="24"/>
                <w:szCs w:val="24"/>
                <w:lang w:eastAsia="lv-LV"/>
              </w:rPr>
              <w:t xml:space="preserve"> par Lielbritānijas un Ziemeļīrijas Apvienotās Karalistes izstāšanos no Eiropas Savienības un Eiropas At</w:t>
            </w:r>
            <w:r w:rsidR="00C4115B" w:rsidRPr="00235AD3">
              <w:rPr>
                <w:rFonts w:ascii="Times New Roman" w:eastAsia="Times New Roman" w:hAnsi="Times New Roman" w:cs="Times New Roman"/>
                <w:sz w:val="24"/>
                <w:szCs w:val="24"/>
                <w:lang w:eastAsia="lv-LV"/>
              </w:rPr>
              <w:t>omenerģijas kopienas (</w:t>
            </w:r>
            <w:r w:rsidRPr="00235AD3">
              <w:rPr>
                <w:rFonts w:ascii="Times New Roman" w:eastAsia="Times New Roman" w:hAnsi="Times New Roman" w:cs="Times New Roman"/>
                <w:sz w:val="24"/>
                <w:szCs w:val="24"/>
                <w:lang w:eastAsia="lv-LV"/>
              </w:rPr>
              <w:t>Izstāšanās līgums)</w:t>
            </w:r>
            <w:r w:rsidR="00C4115B" w:rsidRPr="00235AD3">
              <w:rPr>
                <w:rFonts w:ascii="Times New Roman" w:eastAsia="Times New Roman" w:hAnsi="Times New Roman" w:cs="Times New Roman"/>
                <w:sz w:val="24"/>
                <w:szCs w:val="24"/>
                <w:lang w:eastAsia="lv-LV"/>
              </w:rPr>
              <w:t>. Apvienotā Karaliste 2020.</w:t>
            </w:r>
            <w:r w:rsidR="003C22D4" w:rsidRPr="00235AD3">
              <w:rPr>
                <w:rFonts w:ascii="Times New Roman" w:eastAsia="Times New Roman" w:hAnsi="Times New Roman" w:cs="Times New Roman"/>
                <w:sz w:val="24"/>
                <w:szCs w:val="24"/>
                <w:lang w:eastAsia="lv-LV"/>
              </w:rPr>
              <w:t> </w:t>
            </w:r>
            <w:r w:rsidR="00C4115B" w:rsidRPr="00235AD3">
              <w:rPr>
                <w:rFonts w:ascii="Times New Roman" w:eastAsia="Times New Roman" w:hAnsi="Times New Roman" w:cs="Times New Roman"/>
                <w:sz w:val="24"/>
                <w:szCs w:val="24"/>
                <w:lang w:eastAsia="lv-LV"/>
              </w:rPr>
              <w:t>gada 31.</w:t>
            </w:r>
            <w:r w:rsidR="003C22D4" w:rsidRPr="00235AD3">
              <w:rPr>
                <w:rFonts w:ascii="Times New Roman" w:eastAsia="Times New Roman" w:hAnsi="Times New Roman" w:cs="Times New Roman"/>
                <w:sz w:val="24"/>
                <w:szCs w:val="24"/>
                <w:lang w:eastAsia="lv-LV"/>
              </w:rPr>
              <w:t> </w:t>
            </w:r>
            <w:r w:rsidR="00C4115B" w:rsidRPr="00235AD3">
              <w:rPr>
                <w:rFonts w:ascii="Times New Roman" w:eastAsia="Times New Roman" w:hAnsi="Times New Roman" w:cs="Times New Roman"/>
                <w:sz w:val="24"/>
                <w:szCs w:val="24"/>
                <w:lang w:eastAsia="lv-LV"/>
              </w:rPr>
              <w:t>janvārī izstājās no Eiropas Savienības. Saskaņā ar Izstāšanās līguma 126.</w:t>
            </w:r>
            <w:r w:rsidR="003C22D4" w:rsidRPr="00235AD3">
              <w:rPr>
                <w:rFonts w:ascii="Times New Roman" w:eastAsia="Times New Roman" w:hAnsi="Times New Roman" w:cs="Times New Roman"/>
                <w:sz w:val="24"/>
                <w:szCs w:val="24"/>
                <w:lang w:eastAsia="lv-LV"/>
              </w:rPr>
              <w:t> </w:t>
            </w:r>
            <w:r w:rsidR="00C4115B" w:rsidRPr="00235AD3">
              <w:rPr>
                <w:rFonts w:ascii="Times New Roman" w:eastAsia="Times New Roman" w:hAnsi="Times New Roman" w:cs="Times New Roman"/>
                <w:sz w:val="24"/>
                <w:szCs w:val="24"/>
                <w:lang w:eastAsia="lv-LV"/>
              </w:rPr>
              <w:t>pantu pārejas periods beidzas 2020.</w:t>
            </w:r>
            <w:r w:rsidR="003C22D4" w:rsidRPr="00235AD3">
              <w:rPr>
                <w:rFonts w:ascii="Times New Roman" w:eastAsia="Times New Roman" w:hAnsi="Times New Roman" w:cs="Times New Roman"/>
                <w:sz w:val="24"/>
                <w:szCs w:val="24"/>
                <w:lang w:eastAsia="lv-LV"/>
              </w:rPr>
              <w:t> </w:t>
            </w:r>
            <w:r w:rsidR="00C4115B" w:rsidRPr="00235AD3">
              <w:rPr>
                <w:rFonts w:ascii="Times New Roman" w:eastAsia="Times New Roman" w:hAnsi="Times New Roman" w:cs="Times New Roman"/>
                <w:sz w:val="24"/>
                <w:szCs w:val="24"/>
                <w:lang w:eastAsia="lv-LV"/>
              </w:rPr>
              <w:t>gada 31.</w:t>
            </w:r>
            <w:r w:rsidR="003C22D4" w:rsidRPr="00235AD3">
              <w:rPr>
                <w:rFonts w:ascii="Times New Roman" w:eastAsia="Times New Roman" w:hAnsi="Times New Roman" w:cs="Times New Roman"/>
                <w:sz w:val="24"/>
                <w:szCs w:val="24"/>
                <w:lang w:eastAsia="lv-LV"/>
              </w:rPr>
              <w:t> </w:t>
            </w:r>
            <w:r w:rsidR="00C4115B" w:rsidRPr="00235AD3">
              <w:rPr>
                <w:rFonts w:ascii="Times New Roman" w:eastAsia="Times New Roman" w:hAnsi="Times New Roman" w:cs="Times New Roman"/>
                <w:sz w:val="24"/>
                <w:szCs w:val="24"/>
                <w:lang w:eastAsia="lv-LV"/>
              </w:rPr>
              <w:t xml:space="preserve">decembrī. Līdz tam Apvienotā Karaliste un tās teritorijā pilnībā ir piemērojami Eiropas Savienības tiesību akti un Apvienotā Karaliste turpina piedalīties Eiropas Savienības vienotajā tirgū un muitas savienībā. </w:t>
            </w:r>
            <w:r w:rsidR="00E429CE" w:rsidRPr="00235AD3">
              <w:rPr>
                <w:rFonts w:ascii="Times New Roman" w:eastAsia="Times New Roman" w:hAnsi="Times New Roman" w:cs="Times New Roman"/>
                <w:sz w:val="24"/>
                <w:szCs w:val="24"/>
                <w:lang w:eastAsia="lv-LV"/>
              </w:rPr>
              <w:t xml:space="preserve">Pēc pārejas perioda Eiropas Savienības noteikumi par </w:t>
            </w:r>
            <w:r w:rsidR="00E429CE" w:rsidRPr="00235AD3">
              <w:rPr>
                <w:rFonts w:ascii="Times New Roman" w:eastAsia="Times New Roman" w:hAnsi="Times New Roman" w:cs="Times New Roman"/>
                <w:sz w:val="24"/>
                <w:szCs w:val="24"/>
                <w:lang w:eastAsia="lv-LV"/>
              </w:rPr>
              <w:lastRenderedPageBreak/>
              <w:t>akcīzes nodokli un akcīzes precēm Apvienotai Karalistei vairs nebūs piemērojami</w:t>
            </w:r>
            <w:r w:rsidR="00C4115B" w:rsidRPr="00235AD3">
              <w:rPr>
                <w:rFonts w:ascii="Times New Roman" w:eastAsia="Times New Roman" w:hAnsi="Times New Roman" w:cs="Times New Roman"/>
                <w:sz w:val="24"/>
                <w:szCs w:val="24"/>
                <w:lang w:eastAsia="lv-LV"/>
              </w:rPr>
              <w:t xml:space="preserve">, ja Izstāšanās līgumā nav noteikts citādi. </w:t>
            </w:r>
          </w:p>
        </w:tc>
      </w:tr>
      <w:tr w:rsidR="00E85F1D" w:rsidRPr="00235AD3" w14:paraId="3E53EF8B" w14:textId="77777777" w:rsidTr="00E85F1D">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850B7D" w14:textId="77777777" w:rsidR="00E85F1D" w:rsidRPr="00235AD3" w:rsidRDefault="00E85F1D" w:rsidP="00E85F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016AF5F" w14:textId="77777777" w:rsidR="00E85F1D" w:rsidRPr="00235AD3" w:rsidRDefault="00E85F1D" w:rsidP="00E85F1D">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152BE1B" w14:textId="79FA742F" w:rsidR="00E85F1D" w:rsidRPr="00235AD3" w:rsidRDefault="00CA4F05" w:rsidP="00E85F1D">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Nav.</w:t>
            </w:r>
          </w:p>
        </w:tc>
      </w:tr>
    </w:tbl>
    <w:p w14:paraId="35198A41" w14:textId="77777777" w:rsidR="00E85F1D" w:rsidRPr="00235AD3" w:rsidRDefault="00E85F1D" w:rsidP="00E85F1D">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7"/>
          <w:szCs w:val="27"/>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090"/>
        <w:gridCol w:w="186"/>
        <w:gridCol w:w="2275"/>
        <w:gridCol w:w="675"/>
        <w:gridCol w:w="1600"/>
        <w:gridCol w:w="2275"/>
      </w:tblGrid>
      <w:tr w:rsidR="00E85F1D" w:rsidRPr="00235AD3" w14:paraId="4B3CD063" w14:textId="77777777" w:rsidTr="00E85F1D">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D9A287" w14:textId="77777777" w:rsidR="00E85F1D" w:rsidRPr="00235AD3" w:rsidRDefault="00E85F1D" w:rsidP="00E85F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35AD3">
              <w:rPr>
                <w:rFonts w:ascii="Times New Roman" w:eastAsia="Times New Roman" w:hAnsi="Times New Roman" w:cs="Times New Roman"/>
                <w:b/>
                <w:bCs/>
                <w:sz w:val="24"/>
                <w:szCs w:val="24"/>
                <w:lang w:eastAsia="lv-LV"/>
              </w:rPr>
              <w:t>1. tabula</w:t>
            </w:r>
            <w:r w:rsidRPr="00235AD3">
              <w:rPr>
                <w:rFonts w:ascii="Times New Roman" w:eastAsia="Times New Roman" w:hAnsi="Times New Roman" w:cs="Times New Roman"/>
                <w:b/>
                <w:bCs/>
                <w:sz w:val="24"/>
                <w:szCs w:val="24"/>
                <w:lang w:eastAsia="lv-LV"/>
              </w:rPr>
              <w:br/>
              <w:t>Tiesību akta projekta atbilstība ES tiesību aktiem</w:t>
            </w:r>
          </w:p>
        </w:tc>
      </w:tr>
      <w:tr w:rsidR="00E85F1D" w:rsidRPr="00235AD3" w14:paraId="26F0F3A4"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7133A68" w14:textId="51A7A5E1" w:rsidR="00E85F1D" w:rsidRPr="00235AD3" w:rsidRDefault="00833BBD" w:rsidP="00E85F1D">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Attiecīgā ES tiesību akta datums, numurs un nosaukums</w:t>
            </w:r>
          </w:p>
        </w:tc>
        <w:tc>
          <w:tcPr>
            <w:tcW w:w="37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37B49CD2" w14:textId="292544A5" w:rsidR="00E85F1D" w:rsidRPr="00235AD3" w:rsidRDefault="00190B9F" w:rsidP="00E85F1D">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1) </w:t>
            </w:r>
            <w:r w:rsidR="00833BBD" w:rsidRPr="00235AD3">
              <w:rPr>
                <w:rFonts w:ascii="Times New Roman" w:eastAsia="Times New Roman" w:hAnsi="Times New Roman" w:cs="Times New Roman"/>
                <w:sz w:val="24"/>
                <w:szCs w:val="24"/>
                <w:lang w:eastAsia="lv-LV"/>
              </w:rPr>
              <w:t>Padomes 2020.gada 29.jūlija direktīva (ES) 2020/1151, ar ko groza Direktīvu 92/83/EEK par to, kā saskaņojams akcīzes nodoklis spirtam un alkoholiskajiem dzērieniem</w:t>
            </w:r>
          </w:p>
        </w:tc>
      </w:tr>
      <w:tr w:rsidR="00E85F1D" w:rsidRPr="00235AD3" w14:paraId="6898DEA7"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BF9BC5" w14:textId="77777777" w:rsidR="00E85F1D" w:rsidRPr="00235AD3" w:rsidRDefault="00E85F1D" w:rsidP="00E85F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78917" w14:textId="77777777" w:rsidR="00E85F1D" w:rsidRPr="00235AD3" w:rsidRDefault="00E85F1D" w:rsidP="00E85F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B</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31DDC" w14:textId="77777777" w:rsidR="00E85F1D" w:rsidRPr="00235AD3" w:rsidRDefault="00E85F1D" w:rsidP="00E85F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C</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FD46FB" w14:textId="77777777" w:rsidR="00E85F1D" w:rsidRPr="00235AD3" w:rsidRDefault="00E85F1D" w:rsidP="00E85F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D</w:t>
            </w:r>
          </w:p>
        </w:tc>
      </w:tr>
      <w:tr w:rsidR="00E85F1D" w:rsidRPr="00235AD3" w14:paraId="21382C84"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BA293D8" w14:textId="77777777" w:rsidR="00E85F1D" w:rsidRPr="00235AD3" w:rsidRDefault="00E85F1D" w:rsidP="00E85F1D">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70EA3E1" w14:textId="77777777" w:rsidR="00E85F1D" w:rsidRPr="00235AD3" w:rsidRDefault="00E85F1D" w:rsidP="00E85F1D">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7B1C37B" w14:textId="77777777" w:rsidR="00E85F1D" w:rsidRPr="00235AD3" w:rsidRDefault="00E85F1D" w:rsidP="00E85F1D">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r w:rsidRPr="00235AD3">
              <w:rPr>
                <w:rFonts w:ascii="Times New Roman" w:eastAsia="Times New Roman" w:hAnsi="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235AD3">
              <w:rPr>
                <w:rFonts w:ascii="Times New Roman" w:eastAsia="Times New Roman" w:hAnsi="Times New Roman" w:cs="Times New Roman"/>
                <w:sz w:val="24"/>
                <w:szCs w:val="24"/>
                <w:lang w:eastAsia="lv-LV"/>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09A5303C" w14:textId="77777777" w:rsidR="00E85F1D" w:rsidRPr="00235AD3" w:rsidRDefault="00E85F1D" w:rsidP="00E85F1D">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r w:rsidRPr="00235AD3">
              <w:rPr>
                <w:rFonts w:ascii="Times New Roman" w:eastAsia="Times New Roman" w:hAnsi="Times New Roman" w:cs="Times New Roman"/>
                <w:sz w:val="24"/>
                <w:szCs w:val="24"/>
                <w:lang w:eastAsia="lv-LV"/>
              </w:rPr>
              <w:br/>
              <w:t>Ja projekts satur stingrākas prasības nekā attiecīgais ES tiesību akts, norāda pamatojumu un samērīgumu.</w:t>
            </w:r>
            <w:r w:rsidRPr="00235AD3">
              <w:rPr>
                <w:rFonts w:ascii="Times New Roman" w:eastAsia="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85F1D" w:rsidRPr="00235AD3" w14:paraId="29B3D713"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31078B5" w14:textId="602F7397" w:rsidR="00E85F1D" w:rsidRPr="00235AD3" w:rsidRDefault="000C5939" w:rsidP="00FC2B73">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9CF5886" w14:textId="1DAEA266" w:rsidR="00FC2B73" w:rsidRPr="00235AD3" w:rsidRDefault="00FC2B73" w:rsidP="00FC2B73">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p w14:paraId="29F36670" w14:textId="0CAA5EB0" w:rsidR="00E85F1D" w:rsidRPr="00235AD3" w:rsidRDefault="00E85F1D" w:rsidP="00FC2B73">
            <w:pPr>
              <w:spacing w:after="0" w:line="240" w:lineRule="auto"/>
              <w:jc w:val="both"/>
              <w:rPr>
                <w:rFonts w:ascii="Times New Roman" w:eastAsia="Times New Roman" w:hAnsi="Times New Roman" w:cs="Times New Roman"/>
                <w:sz w:val="24"/>
                <w:szCs w:val="24"/>
                <w:lang w:eastAsia="lv-LV"/>
              </w:rPr>
            </w:pP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F9D7763" w14:textId="73C4D2C8" w:rsidR="00FC2B73" w:rsidRPr="00235AD3" w:rsidRDefault="00FC2B73" w:rsidP="00FC2B73">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p w14:paraId="79AD9062" w14:textId="36FA0721" w:rsidR="00E85F1D" w:rsidRPr="00235AD3" w:rsidRDefault="00FC2B73" w:rsidP="00FC2B73">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Norma neattiecas uz Latviju, jo Latvijā akcīzes nodokli alum piemēro pēc absolūtā spirta tilpumprocenta, nevis pēc Plato grādiem.</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30EDEA8" w14:textId="77777777" w:rsidR="00E85F1D" w:rsidRPr="00235AD3" w:rsidRDefault="00FC2B73" w:rsidP="00FC2B73">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p w14:paraId="1288EB34" w14:textId="348C8F1A" w:rsidR="00FB63EE" w:rsidRPr="00235AD3" w:rsidRDefault="00FB63EE" w:rsidP="00FC2B73">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Norma neattiecas uz Latviju, jo Latvijā akcīzes nodokli alum piemēro pēc absolūtā spirta tilpumprocenta, nevis pēc Plato grādiem.</w:t>
            </w:r>
          </w:p>
        </w:tc>
      </w:tr>
      <w:tr w:rsidR="00FC2B73" w:rsidRPr="00235AD3" w14:paraId="6E433FF2"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6057DF30" w14:textId="33D5AB67" w:rsidR="00FC2B73" w:rsidRPr="00235AD3" w:rsidRDefault="00FC2B73" w:rsidP="00FC2B73">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2.</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261A2DAC" w14:textId="2DDE6EEC" w:rsidR="00FC2B73" w:rsidRPr="00235AD3" w:rsidRDefault="00FC2B73" w:rsidP="00FC2B73">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464542A7" w14:textId="77777777" w:rsidR="00FC2B73" w:rsidRPr="00235AD3" w:rsidRDefault="00FC2B73" w:rsidP="00FC2B73">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Likumprojekts neparedz šādu normu. </w:t>
            </w:r>
          </w:p>
          <w:p w14:paraId="5556F547" w14:textId="4A7D3E74" w:rsidR="00FC2B73" w:rsidRPr="00235AD3" w:rsidRDefault="00FC2B73" w:rsidP="00FB63EE">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lastRenderedPageBreak/>
              <w:t xml:space="preserve">Tā ir izvēles norma un Latvija līdz šim nav piemērojusi un arī neplāno </w:t>
            </w:r>
            <w:r w:rsidR="00FB63EE" w:rsidRPr="00235AD3">
              <w:rPr>
                <w:rFonts w:ascii="Times New Roman" w:eastAsia="Times New Roman" w:hAnsi="Times New Roman" w:cs="Times New Roman"/>
                <w:sz w:val="24"/>
                <w:szCs w:val="24"/>
                <w:lang w:eastAsia="lv-LV"/>
              </w:rPr>
              <w:t xml:space="preserve">to </w:t>
            </w:r>
            <w:r w:rsidRPr="00235AD3">
              <w:rPr>
                <w:rFonts w:ascii="Times New Roman" w:eastAsia="Times New Roman" w:hAnsi="Times New Roman" w:cs="Times New Roman"/>
                <w:sz w:val="24"/>
                <w:szCs w:val="24"/>
                <w:lang w:eastAsia="lv-LV"/>
              </w:rPr>
              <w:t>piemērot</w:t>
            </w:r>
            <w:r w:rsidR="00FB63EE" w:rsidRPr="00235AD3">
              <w:rPr>
                <w:rFonts w:ascii="Times New Roman" w:eastAsia="Times New Roman" w:hAnsi="Times New Roman" w:cs="Times New Roman"/>
                <w:sz w:val="24"/>
                <w:szCs w:val="24"/>
                <w:lang w:eastAsia="lv-LV"/>
              </w:rPr>
              <w:t xml:space="preserve"> tuvākā nākotnē</w:t>
            </w:r>
            <w:r w:rsidRPr="00235AD3">
              <w:rPr>
                <w:rFonts w:ascii="Times New Roman" w:eastAsia="Times New Roman" w:hAnsi="Times New Roman" w:cs="Times New Roman"/>
                <w:sz w:val="24"/>
                <w:szCs w:val="24"/>
                <w:lang w:eastAsia="lv-LV"/>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20A6CE04" w14:textId="77777777" w:rsidR="00FC2B73" w:rsidRPr="00235AD3" w:rsidRDefault="00FC2B73" w:rsidP="00FC2B73">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lastRenderedPageBreak/>
              <w:t>Likumprojekts neparedz šādu normu.</w:t>
            </w:r>
          </w:p>
          <w:p w14:paraId="040C7DD0" w14:textId="0872A96D" w:rsidR="00FB63EE" w:rsidRPr="00235AD3" w:rsidRDefault="00FB63EE" w:rsidP="00FC2B73">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lastRenderedPageBreak/>
              <w:t>Tā ir izvēles norma un Latvija līdz šim nav piemērojusi un arī neplāno to piemērot tuvākā nākotnē.</w:t>
            </w:r>
          </w:p>
        </w:tc>
      </w:tr>
      <w:tr w:rsidR="001406C8" w:rsidRPr="00235AD3" w14:paraId="2C89FD98"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7C761138" w14:textId="26D60D02" w:rsidR="001406C8" w:rsidRPr="00235AD3" w:rsidRDefault="001406C8" w:rsidP="001406C8">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lastRenderedPageBreak/>
              <w:t>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3.</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587F85DB" w14:textId="779214B4" w:rsidR="001406C8" w:rsidRPr="00235AD3" w:rsidRDefault="001406C8" w:rsidP="001A73F2">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Likumprojekta 3.</w:t>
            </w:r>
            <w:r w:rsidR="003C22D4" w:rsidRPr="00235AD3">
              <w:rPr>
                <w:rFonts w:ascii="Times New Roman" w:eastAsia="Times New Roman" w:hAnsi="Times New Roman" w:cs="Times New Roman"/>
                <w:sz w:val="24"/>
                <w:szCs w:val="24"/>
                <w:lang w:eastAsia="lv-LV"/>
              </w:rPr>
              <w:t> </w:t>
            </w:r>
            <w:r w:rsidR="00F84D07" w:rsidRPr="00235AD3">
              <w:rPr>
                <w:rFonts w:ascii="Times New Roman" w:eastAsia="Times New Roman" w:hAnsi="Times New Roman" w:cs="Times New Roman"/>
                <w:sz w:val="24"/>
                <w:szCs w:val="24"/>
                <w:lang w:eastAsia="lv-LV"/>
              </w:rPr>
              <w:t xml:space="preserve">pants, </w:t>
            </w:r>
            <w:r w:rsidR="00AB3527" w:rsidRPr="00235AD3">
              <w:rPr>
                <w:rFonts w:ascii="Times New Roman" w:eastAsia="Times New Roman" w:hAnsi="Times New Roman" w:cs="Times New Roman"/>
                <w:sz w:val="24"/>
                <w:szCs w:val="24"/>
                <w:lang w:eastAsia="lv-LV"/>
              </w:rPr>
              <w:t>1</w:t>
            </w:r>
            <w:r w:rsidR="001A73F2">
              <w:rPr>
                <w:rFonts w:ascii="Times New Roman" w:eastAsia="Times New Roman" w:hAnsi="Times New Roman" w:cs="Times New Roman"/>
                <w:sz w:val="24"/>
                <w:szCs w:val="24"/>
                <w:lang w:eastAsia="lv-LV"/>
              </w:rPr>
              <w:t>9</w:t>
            </w:r>
            <w:r w:rsidR="00AB3527" w:rsidRPr="00235AD3">
              <w:rPr>
                <w:rFonts w:ascii="Times New Roman" w:eastAsia="Times New Roman" w:hAnsi="Times New Roman" w:cs="Times New Roman"/>
                <w:sz w:val="24"/>
                <w:szCs w:val="24"/>
                <w:lang w:eastAsia="lv-LV"/>
              </w:rPr>
              <w:t>.</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w:t>
            </w:r>
            <w:r w:rsidR="00F84D07" w:rsidRPr="00235AD3">
              <w:rPr>
                <w:rFonts w:ascii="Times New Roman" w:eastAsia="Times New Roman" w:hAnsi="Times New Roman" w:cs="Times New Roman"/>
                <w:sz w:val="24"/>
                <w:szCs w:val="24"/>
                <w:lang w:eastAsia="lv-LV"/>
              </w:rPr>
              <w:t xml:space="preserve">a otrā daļa un </w:t>
            </w:r>
            <w:r w:rsidR="001A73F2">
              <w:rPr>
                <w:rFonts w:ascii="Times New Roman" w:eastAsia="Times New Roman" w:hAnsi="Times New Roman" w:cs="Times New Roman"/>
                <w:sz w:val="24"/>
                <w:szCs w:val="24"/>
                <w:lang w:eastAsia="lv-LV"/>
              </w:rPr>
              <w:t>20</w:t>
            </w:r>
            <w:r w:rsidR="00F84D07" w:rsidRPr="00235AD3">
              <w:rPr>
                <w:rFonts w:ascii="Times New Roman" w:eastAsia="Times New Roman" w:hAnsi="Times New Roman" w:cs="Times New Roman"/>
                <w:sz w:val="24"/>
                <w:szCs w:val="24"/>
                <w:lang w:eastAsia="lv-LV"/>
              </w:rPr>
              <w:t>.</w:t>
            </w:r>
            <w:r w:rsidR="003C22D4" w:rsidRPr="00235AD3">
              <w:rPr>
                <w:rFonts w:ascii="Times New Roman" w:eastAsia="Times New Roman" w:hAnsi="Times New Roman" w:cs="Times New Roman"/>
                <w:sz w:val="24"/>
                <w:szCs w:val="24"/>
                <w:lang w:eastAsia="lv-LV"/>
              </w:rPr>
              <w:t> </w:t>
            </w:r>
            <w:r w:rsidR="00F84D07" w:rsidRPr="00235AD3">
              <w:rPr>
                <w:rFonts w:ascii="Times New Roman" w:eastAsia="Times New Roman" w:hAnsi="Times New Roman" w:cs="Times New Roman"/>
                <w:sz w:val="24"/>
                <w:szCs w:val="24"/>
                <w:lang w:eastAsia="lv-LV"/>
              </w:rPr>
              <w:t>pants</w:t>
            </w:r>
            <w:r w:rsidRPr="00235AD3">
              <w:rPr>
                <w:rFonts w:ascii="Times New Roman" w:eastAsia="Times New Roman" w:hAnsi="Times New Roman" w:cs="Times New Roman"/>
                <w:sz w:val="24"/>
                <w:szCs w:val="24"/>
                <w:lang w:eastAsia="lv-LV"/>
              </w:rPr>
              <w:t>.</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2F3F0DC8" w14:textId="3510952D" w:rsidR="001406C8" w:rsidRPr="00235AD3" w:rsidRDefault="001406C8" w:rsidP="001406C8">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ES tiesību akta vienība tiek pārņemta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210088BA" w14:textId="5837BD9B" w:rsidR="001406C8" w:rsidRPr="00235AD3" w:rsidRDefault="001406C8" w:rsidP="001406C8">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Likumprojektā ietvertās normas neparedz stingrākas prasības nekā šīs tabulas A ailē minētās ES tiesību akta vienība.</w:t>
            </w:r>
          </w:p>
        </w:tc>
      </w:tr>
      <w:tr w:rsidR="00D64FE0" w:rsidRPr="00235AD3" w14:paraId="41957893"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7D7775C6" w14:textId="2D9EE5EC" w:rsidR="00D64FE0" w:rsidRPr="00235AD3" w:rsidRDefault="00D64FE0" w:rsidP="00D64FE0">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4.</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6AEE160D" w14:textId="7F2EF235" w:rsidR="00D64FE0" w:rsidRPr="00235AD3" w:rsidRDefault="00D64FE0" w:rsidP="00D64FE0">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470EE366" w14:textId="77777777" w:rsidR="00D64FE0" w:rsidRPr="00235AD3" w:rsidRDefault="00D64FE0" w:rsidP="00D64FE0">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Likumprojekts neparedz šādu normu. </w:t>
            </w:r>
          </w:p>
          <w:p w14:paraId="4AD0EAEE" w14:textId="21369B8B" w:rsidR="00D64FE0" w:rsidRPr="00235AD3" w:rsidRDefault="00D64FE0" w:rsidP="00D64FE0">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Tā ir izvēles norma un Latvija līdz šim nav piemērojusi un arī neplāno to piemērot tuvākā nākotnē.</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6F9F505" w14:textId="77777777" w:rsidR="00D64FE0" w:rsidRPr="00235AD3" w:rsidRDefault="00D64FE0" w:rsidP="00D64FE0">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p w14:paraId="4BD19031" w14:textId="7E398C44" w:rsidR="00D64FE0" w:rsidRPr="00235AD3" w:rsidRDefault="00D64FE0" w:rsidP="00D64FE0">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Tā ir izvēles norma un Latvija līdz šim nav piemērojusi un arī neplāno to piemērot tuvākā nākotnē.</w:t>
            </w:r>
          </w:p>
        </w:tc>
      </w:tr>
      <w:tr w:rsidR="001406C8" w:rsidRPr="00235AD3" w14:paraId="342207D1"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107A256C" w14:textId="747E5717" w:rsidR="001406C8" w:rsidRPr="00235AD3" w:rsidRDefault="001406C8" w:rsidP="001406C8">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5.</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 xml:space="preserve">punkts </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8FA68FE" w14:textId="39DB41BC" w:rsidR="001406C8" w:rsidRPr="00235AD3" w:rsidRDefault="001406C8" w:rsidP="001A73F2">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Likumprojekta 3.</w:t>
            </w:r>
            <w:r w:rsidR="003C22D4" w:rsidRPr="00235AD3">
              <w:rPr>
                <w:rFonts w:ascii="Times New Roman" w:eastAsia="Times New Roman" w:hAnsi="Times New Roman" w:cs="Times New Roman"/>
                <w:sz w:val="24"/>
                <w:szCs w:val="24"/>
                <w:lang w:eastAsia="lv-LV"/>
              </w:rPr>
              <w:t> </w:t>
            </w:r>
            <w:r w:rsidR="00F84D07" w:rsidRPr="00235AD3">
              <w:rPr>
                <w:rFonts w:ascii="Times New Roman" w:eastAsia="Times New Roman" w:hAnsi="Times New Roman" w:cs="Times New Roman"/>
                <w:sz w:val="24"/>
                <w:szCs w:val="24"/>
                <w:lang w:eastAsia="lv-LV"/>
              </w:rPr>
              <w:t>pants,</w:t>
            </w:r>
            <w:r w:rsidR="00AB3527" w:rsidRPr="00235AD3">
              <w:rPr>
                <w:rFonts w:ascii="Times New Roman" w:eastAsia="Times New Roman" w:hAnsi="Times New Roman" w:cs="Times New Roman"/>
                <w:sz w:val="24"/>
                <w:szCs w:val="24"/>
                <w:lang w:eastAsia="lv-LV"/>
              </w:rPr>
              <w:t xml:space="preserve"> 1</w:t>
            </w:r>
            <w:r w:rsidR="001A73F2">
              <w:rPr>
                <w:rFonts w:ascii="Times New Roman" w:eastAsia="Times New Roman" w:hAnsi="Times New Roman" w:cs="Times New Roman"/>
                <w:sz w:val="24"/>
                <w:szCs w:val="24"/>
                <w:lang w:eastAsia="lv-LV"/>
              </w:rPr>
              <w:t>9</w:t>
            </w:r>
            <w:r w:rsidR="00AB3527" w:rsidRPr="00235AD3">
              <w:rPr>
                <w:rFonts w:ascii="Times New Roman" w:eastAsia="Times New Roman" w:hAnsi="Times New Roman" w:cs="Times New Roman"/>
                <w:sz w:val="24"/>
                <w:szCs w:val="24"/>
                <w:lang w:eastAsia="lv-LV"/>
              </w:rPr>
              <w:t>.</w:t>
            </w:r>
            <w:r w:rsidR="003C22D4" w:rsidRPr="00235AD3">
              <w:rPr>
                <w:rFonts w:ascii="Times New Roman" w:eastAsia="Times New Roman" w:hAnsi="Times New Roman" w:cs="Times New Roman"/>
                <w:sz w:val="24"/>
                <w:szCs w:val="24"/>
                <w:lang w:eastAsia="lv-LV"/>
              </w:rPr>
              <w:t> </w:t>
            </w:r>
            <w:r w:rsidR="00F84D07" w:rsidRPr="00235AD3">
              <w:rPr>
                <w:rFonts w:ascii="Times New Roman" w:eastAsia="Times New Roman" w:hAnsi="Times New Roman" w:cs="Times New Roman"/>
                <w:sz w:val="24"/>
                <w:szCs w:val="24"/>
                <w:lang w:eastAsia="lv-LV"/>
              </w:rPr>
              <w:t>pan</w:t>
            </w:r>
            <w:r w:rsidR="003C22D4" w:rsidRPr="00235AD3">
              <w:rPr>
                <w:rFonts w:ascii="Times New Roman" w:eastAsia="Times New Roman" w:hAnsi="Times New Roman" w:cs="Times New Roman"/>
                <w:sz w:val="24"/>
                <w:szCs w:val="24"/>
                <w:lang w:eastAsia="lv-LV"/>
              </w:rPr>
              <w:t>t</w:t>
            </w:r>
            <w:r w:rsidR="00F84D07" w:rsidRPr="00235AD3">
              <w:rPr>
                <w:rFonts w:ascii="Times New Roman" w:eastAsia="Times New Roman" w:hAnsi="Times New Roman" w:cs="Times New Roman"/>
                <w:sz w:val="24"/>
                <w:szCs w:val="24"/>
                <w:lang w:eastAsia="lv-LV"/>
              </w:rPr>
              <w:t xml:space="preserve">a otrā daļa un </w:t>
            </w:r>
            <w:r w:rsidR="001A73F2">
              <w:rPr>
                <w:rFonts w:ascii="Times New Roman" w:eastAsia="Times New Roman" w:hAnsi="Times New Roman" w:cs="Times New Roman"/>
                <w:sz w:val="24"/>
                <w:szCs w:val="24"/>
                <w:lang w:eastAsia="lv-LV"/>
              </w:rPr>
              <w:t>20</w:t>
            </w:r>
            <w:r w:rsidR="00F84D07" w:rsidRPr="00235AD3">
              <w:rPr>
                <w:rFonts w:ascii="Times New Roman" w:eastAsia="Times New Roman" w:hAnsi="Times New Roman" w:cs="Times New Roman"/>
                <w:sz w:val="24"/>
                <w:szCs w:val="24"/>
                <w:lang w:eastAsia="lv-LV"/>
              </w:rPr>
              <w:t>.</w:t>
            </w:r>
            <w:r w:rsidR="003C22D4" w:rsidRPr="00235AD3">
              <w:rPr>
                <w:rFonts w:ascii="Times New Roman" w:eastAsia="Times New Roman" w:hAnsi="Times New Roman" w:cs="Times New Roman"/>
                <w:sz w:val="24"/>
                <w:szCs w:val="24"/>
                <w:lang w:eastAsia="lv-LV"/>
              </w:rPr>
              <w:t> </w:t>
            </w:r>
            <w:r w:rsidR="00F84D07" w:rsidRPr="00235AD3">
              <w:rPr>
                <w:rFonts w:ascii="Times New Roman" w:eastAsia="Times New Roman" w:hAnsi="Times New Roman" w:cs="Times New Roman"/>
                <w:sz w:val="24"/>
                <w:szCs w:val="24"/>
                <w:lang w:eastAsia="lv-LV"/>
              </w:rPr>
              <w:t>pants.</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799A9A0F" w14:textId="51C49146" w:rsidR="001406C8" w:rsidRPr="00235AD3" w:rsidRDefault="001406C8" w:rsidP="001406C8">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ES tiesību akta vienība tiek pārņemta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B151DB9" w14:textId="7D060983" w:rsidR="001406C8" w:rsidRPr="00235AD3" w:rsidRDefault="001406C8" w:rsidP="001406C8">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Likumprojektā ietvertās normas neparedz stingrākas prasības nekā šīs tabulas A ailē minētās ES tiesību akta vienība.</w:t>
            </w:r>
          </w:p>
        </w:tc>
      </w:tr>
      <w:tr w:rsidR="00474EBD" w:rsidRPr="00235AD3" w14:paraId="36735086"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1CA93000" w14:textId="37404B00" w:rsidR="00474EBD" w:rsidRPr="00235AD3" w:rsidRDefault="00474EBD"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6.</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21A34259" w14:textId="4EB3E2F7" w:rsidR="00474EBD" w:rsidRPr="00235AD3" w:rsidRDefault="00474EBD"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71C74143" w14:textId="77777777" w:rsidR="00474EBD" w:rsidRPr="00235AD3" w:rsidRDefault="00474EBD"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p w14:paraId="041F9F61" w14:textId="2FE60117" w:rsidR="00474EBD" w:rsidRPr="00235AD3" w:rsidRDefault="00474EBD"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Nav nepieciešams veikt</w:t>
            </w:r>
            <w:r w:rsidR="00B9750A" w:rsidRPr="00235AD3">
              <w:rPr>
                <w:rFonts w:ascii="Times New Roman" w:eastAsia="Times New Roman" w:hAnsi="Times New Roman" w:cs="Times New Roman"/>
                <w:sz w:val="24"/>
                <w:szCs w:val="24"/>
                <w:lang w:eastAsia="lv-LV"/>
              </w:rPr>
              <w:t xml:space="preserve"> atbilstošus grozījumus likumā</w:t>
            </w:r>
            <w:r w:rsidRPr="00235AD3">
              <w:rPr>
                <w:rFonts w:ascii="Times New Roman" w:eastAsia="Times New Roman" w:hAnsi="Times New Roman" w:cs="Times New Roman"/>
                <w:sz w:val="24"/>
                <w:szCs w:val="24"/>
                <w:lang w:eastAsia="lv-LV"/>
              </w:rPr>
              <w:t xml:space="preserve">, jo likums paredz vienādu akcīzes nodokļa likmi negāzētiem raudzētajiem dzērieniem un dzirkstošiem raudzētajiem dzērieniem (likuma 12.panta pirmās daļas 3.punkts). </w:t>
            </w:r>
          </w:p>
          <w:p w14:paraId="0F351BB7" w14:textId="297B1451" w:rsidR="00474EBD" w:rsidRPr="00235AD3" w:rsidRDefault="00474EBD" w:rsidP="00474EBD">
            <w:pPr>
              <w:spacing w:after="0" w:line="240" w:lineRule="auto"/>
              <w:jc w:val="both"/>
              <w:rPr>
                <w:rFonts w:ascii="Times New Roman" w:eastAsia="Times New Roman" w:hAnsi="Times New Roman" w:cs="Times New Roman"/>
                <w:sz w:val="24"/>
                <w:szCs w:val="24"/>
                <w:lang w:eastAsia="lv-LV"/>
              </w:rPr>
            </w:pP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9A3F25E" w14:textId="77777777" w:rsidR="00474EBD" w:rsidRPr="00235AD3" w:rsidRDefault="00474EBD"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p w14:paraId="6195D7D0" w14:textId="53D2A68F" w:rsidR="00474EBD" w:rsidRPr="00235AD3" w:rsidRDefault="00474EBD"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Nav nepieciešams veikt atbilstošus grozījumus likumā, jo likums paredz vienādu akcīzes nodokļa likmi negāzētiem raudzētajiem dzērieniem un dzirkstošiem raudzētajiem dzērieniem (likuma 12.panta pirmās daļas 3.punkts). </w:t>
            </w:r>
          </w:p>
          <w:p w14:paraId="0374E49F" w14:textId="77777777" w:rsidR="00474EBD" w:rsidRPr="00235AD3" w:rsidRDefault="00474EBD" w:rsidP="00474EBD">
            <w:pPr>
              <w:spacing w:after="0" w:line="240" w:lineRule="auto"/>
              <w:jc w:val="both"/>
              <w:rPr>
                <w:rFonts w:ascii="Times New Roman" w:eastAsia="Times New Roman" w:hAnsi="Times New Roman" w:cs="Times New Roman"/>
                <w:sz w:val="24"/>
                <w:szCs w:val="24"/>
                <w:lang w:eastAsia="lv-LV"/>
              </w:rPr>
            </w:pPr>
          </w:p>
        </w:tc>
      </w:tr>
      <w:tr w:rsidR="00474EBD" w:rsidRPr="00235AD3" w14:paraId="11A359E2"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19719C75" w14:textId="05CC944C" w:rsidR="00474EBD" w:rsidRPr="00235AD3" w:rsidRDefault="00474EBD"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7.</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68BE762" w14:textId="19EFAFA5" w:rsidR="00474EBD" w:rsidRPr="00235AD3" w:rsidRDefault="00474EBD"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1B31FE3F" w14:textId="77777777" w:rsidR="00474EBD" w:rsidRPr="00235AD3" w:rsidRDefault="00474EBD"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Likumprojekts neparedz šādu normu. </w:t>
            </w:r>
          </w:p>
          <w:p w14:paraId="30385AE4" w14:textId="67F37E4B" w:rsidR="00474EBD" w:rsidRPr="00235AD3" w:rsidRDefault="00474EBD"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Tā ir izvēles norma un Latvija līdz šim nav piemērojusi un arī </w:t>
            </w:r>
            <w:r w:rsidRPr="00235AD3">
              <w:rPr>
                <w:rFonts w:ascii="Times New Roman" w:eastAsia="Times New Roman" w:hAnsi="Times New Roman" w:cs="Times New Roman"/>
                <w:sz w:val="24"/>
                <w:szCs w:val="24"/>
                <w:lang w:eastAsia="lv-LV"/>
              </w:rPr>
              <w:lastRenderedPageBreak/>
              <w:t>neplāno to piemērot tuvākā nākotnē.</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523B986A" w14:textId="77777777" w:rsidR="002F396D" w:rsidRPr="00235AD3" w:rsidRDefault="002F396D" w:rsidP="002F396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lastRenderedPageBreak/>
              <w:t xml:space="preserve">Likumprojekts neparedz šādu normu. </w:t>
            </w:r>
          </w:p>
          <w:p w14:paraId="7D03B0D2" w14:textId="5352EFDA" w:rsidR="00474EBD" w:rsidRPr="00235AD3" w:rsidRDefault="002F396D" w:rsidP="002F396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Tā ir izvēles norma un Latvija līdz šim nav piemērojusi un arī </w:t>
            </w:r>
            <w:r w:rsidRPr="00235AD3">
              <w:rPr>
                <w:rFonts w:ascii="Times New Roman" w:eastAsia="Times New Roman" w:hAnsi="Times New Roman" w:cs="Times New Roman"/>
                <w:sz w:val="24"/>
                <w:szCs w:val="24"/>
                <w:lang w:eastAsia="lv-LV"/>
              </w:rPr>
              <w:lastRenderedPageBreak/>
              <w:t>neplāno to piemērot tuvākā nākotnē.</w:t>
            </w:r>
          </w:p>
        </w:tc>
      </w:tr>
      <w:tr w:rsidR="00474EBD" w:rsidRPr="00235AD3" w14:paraId="71D9EE17"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4EB70993" w14:textId="7CDEB479" w:rsidR="00474EBD" w:rsidRPr="00235AD3" w:rsidRDefault="00474EBD"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lastRenderedPageBreak/>
              <w:t>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8.</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5EF73347" w14:textId="17D708C2" w:rsidR="00474EBD" w:rsidRPr="00235AD3" w:rsidRDefault="00797931"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40D5785C" w14:textId="77777777" w:rsidR="00474EBD" w:rsidRPr="00235AD3" w:rsidRDefault="00474EBD"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p w14:paraId="4C7713B1" w14:textId="4A08F91E" w:rsidR="00474EBD" w:rsidRPr="00235AD3" w:rsidRDefault="00474EBD" w:rsidP="00B9750A">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Nav nepieciešams veikt atbilstošus grozījumus likumā, jo likuma 7., 8., 9., 9.</w:t>
            </w:r>
            <w:r w:rsidRPr="00235AD3">
              <w:rPr>
                <w:rFonts w:ascii="Times New Roman" w:eastAsia="Times New Roman" w:hAnsi="Times New Roman" w:cs="Times New Roman"/>
                <w:sz w:val="24"/>
                <w:szCs w:val="24"/>
                <w:vertAlign w:val="superscript"/>
                <w:lang w:eastAsia="lv-LV"/>
              </w:rPr>
              <w:t>1</w:t>
            </w:r>
            <w:r w:rsidRPr="00235AD3">
              <w:rPr>
                <w:rFonts w:ascii="Times New Roman" w:eastAsia="Times New Roman" w:hAnsi="Times New Roman" w:cs="Times New Roman"/>
                <w:sz w:val="24"/>
                <w:szCs w:val="24"/>
                <w:lang w:eastAsia="lv-LV"/>
              </w:rPr>
              <w:t xml:space="preserve"> un 10.</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pants, 20.</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sestās daļas 3.punkta “a” apakšpunkts, 23., 25., 26., 31., 32. un 34.</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pants vienādi piemērojams kā attiecībā uz vīniem, tā attiecībā uz raudzētajiem dzērieniem.</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13F94BA2" w14:textId="77777777" w:rsidR="00797931" w:rsidRPr="00235AD3" w:rsidRDefault="00797931" w:rsidP="00797931">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p w14:paraId="0F3B5288" w14:textId="5C574388" w:rsidR="00474EBD" w:rsidRPr="00235AD3" w:rsidRDefault="00797931" w:rsidP="00B9750A">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Nav nepieciešams veikt atbilstošus grozījumus likumā, jo likuma 7., 8., 9., 9.</w:t>
            </w:r>
            <w:r w:rsidRPr="00235AD3">
              <w:rPr>
                <w:rFonts w:ascii="Times New Roman" w:eastAsia="Times New Roman" w:hAnsi="Times New Roman" w:cs="Times New Roman"/>
                <w:sz w:val="24"/>
                <w:szCs w:val="24"/>
                <w:vertAlign w:val="superscript"/>
                <w:lang w:eastAsia="lv-LV"/>
              </w:rPr>
              <w:t>1</w:t>
            </w:r>
            <w:r w:rsidRPr="00235AD3">
              <w:rPr>
                <w:rFonts w:ascii="Times New Roman" w:eastAsia="Times New Roman" w:hAnsi="Times New Roman" w:cs="Times New Roman"/>
                <w:sz w:val="24"/>
                <w:szCs w:val="24"/>
                <w:lang w:eastAsia="lv-LV"/>
              </w:rPr>
              <w:t xml:space="preserve"> un 10.</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pants, 20.</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sestās daļas 3.</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punkta “a” apakšpunkts, 23., 25., 26., 31., 32. un 34.</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pants vienādi piemērojams kā attiecībā uz vīniem, tā attiecībā uz raudzētajiem dzērieniem.</w:t>
            </w:r>
          </w:p>
        </w:tc>
      </w:tr>
      <w:tr w:rsidR="00474EBD" w:rsidRPr="00235AD3" w14:paraId="2658E4F9"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7BBE441E" w14:textId="55AFDCF2" w:rsidR="00474EBD" w:rsidRPr="00235AD3" w:rsidRDefault="00742FB0"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9.</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D481F18" w14:textId="46634A9E" w:rsidR="00474EBD" w:rsidRPr="00235AD3" w:rsidRDefault="00742FB0"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34099E29" w14:textId="77777777" w:rsidR="00742FB0" w:rsidRPr="00235AD3" w:rsidRDefault="00742FB0" w:rsidP="00742FB0">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p w14:paraId="62DDC0A5" w14:textId="1B29B247" w:rsidR="00474EBD" w:rsidRPr="00235AD3" w:rsidRDefault="00742FB0" w:rsidP="00B9750A">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Nav nepieciešams veikt atbilstošus grozījumus likumā, jo likuma 12.</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pirmās daļas 4.</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punkt</w:t>
            </w:r>
            <w:r w:rsidR="00210319" w:rsidRPr="00235AD3">
              <w:rPr>
                <w:rFonts w:ascii="Times New Roman" w:eastAsia="Times New Roman" w:hAnsi="Times New Roman" w:cs="Times New Roman"/>
                <w:sz w:val="24"/>
                <w:szCs w:val="24"/>
                <w:lang w:eastAsia="lv-LV"/>
              </w:rPr>
              <w:t xml:space="preserve">a “a” apakšpunktā noteiktā samazinātā akcīzes nodokļa likme starpproduktiem </w:t>
            </w:r>
            <w:r w:rsidR="0024245E" w:rsidRPr="00235AD3">
              <w:rPr>
                <w:rFonts w:ascii="Times New Roman" w:eastAsia="Times New Roman" w:hAnsi="Times New Roman" w:cs="Times New Roman"/>
                <w:sz w:val="24"/>
                <w:szCs w:val="24"/>
                <w:lang w:eastAsia="lv-LV"/>
              </w:rPr>
              <w:t xml:space="preserve">ir </w:t>
            </w:r>
            <w:r w:rsidR="00210319" w:rsidRPr="00235AD3">
              <w:rPr>
                <w:rFonts w:ascii="Times New Roman" w:eastAsia="Times New Roman" w:hAnsi="Times New Roman" w:cs="Times New Roman"/>
                <w:sz w:val="24"/>
                <w:szCs w:val="24"/>
                <w:lang w:eastAsia="lv-LV"/>
              </w:rPr>
              <w:t>vienādi piemērojama</w:t>
            </w:r>
            <w:r w:rsidR="0024245E" w:rsidRPr="00235AD3">
              <w:rPr>
                <w:rFonts w:ascii="Times New Roman" w:eastAsia="Times New Roman" w:hAnsi="Times New Roman" w:cs="Times New Roman"/>
                <w:sz w:val="24"/>
                <w:szCs w:val="24"/>
                <w:lang w:eastAsia="lv-LV"/>
              </w:rPr>
              <w:t xml:space="preserve"> un tās piemērošana atbilst noteiktajiem nosacījumiem</w:t>
            </w:r>
            <w:r w:rsidR="00210319" w:rsidRPr="00235AD3">
              <w:rPr>
                <w:rFonts w:ascii="Times New Roman" w:eastAsia="Times New Roman" w:hAnsi="Times New Roman" w:cs="Times New Roman"/>
                <w:sz w:val="24"/>
                <w:szCs w:val="24"/>
                <w:lang w:eastAsia="lv-LV"/>
              </w:rPr>
              <w:t>.</w:t>
            </w:r>
            <w:r w:rsidRPr="00235AD3">
              <w:rPr>
                <w:rFonts w:ascii="Times New Roman" w:eastAsia="Times New Roman" w:hAnsi="Times New Roman" w:cs="Times New Roman"/>
                <w:sz w:val="24"/>
                <w:szCs w:val="24"/>
                <w:lang w:eastAsia="lv-LV"/>
              </w:rPr>
              <w:t xml:space="preserve"> </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C522CE0" w14:textId="77777777" w:rsidR="00210319" w:rsidRPr="00235AD3" w:rsidRDefault="00210319" w:rsidP="00210319">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p w14:paraId="70346D7A" w14:textId="0E5C7D13" w:rsidR="00474EBD" w:rsidRPr="00235AD3" w:rsidRDefault="00210319" w:rsidP="00B9750A">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Nav nepieciešams veikt atbilstošus grozījumus likumā, jo likuma 12.</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pirmās daļas 4.</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 xml:space="preserve">punkta “a” apakšpunktā noteiktā samazinātā akcīzes nodokļa likme starpproduktiem </w:t>
            </w:r>
            <w:r w:rsidR="0024245E" w:rsidRPr="00235AD3">
              <w:rPr>
                <w:rFonts w:ascii="Times New Roman" w:eastAsia="Times New Roman" w:hAnsi="Times New Roman" w:cs="Times New Roman"/>
                <w:sz w:val="24"/>
                <w:szCs w:val="24"/>
                <w:lang w:eastAsia="lv-LV"/>
              </w:rPr>
              <w:t xml:space="preserve">ir </w:t>
            </w:r>
            <w:r w:rsidRPr="00235AD3">
              <w:rPr>
                <w:rFonts w:ascii="Times New Roman" w:eastAsia="Times New Roman" w:hAnsi="Times New Roman" w:cs="Times New Roman"/>
                <w:sz w:val="24"/>
                <w:szCs w:val="24"/>
                <w:lang w:eastAsia="lv-LV"/>
              </w:rPr>
              <w:t>vienādi piemērojama</w:t>
            </w:r>
            <w:r w:rsidR="0024245E" w:rsidRPr="00235AD3">
              <w:rPr>
                <w:rFonts w:ascii="Times New Roman" w:eastAsia="Times New Roman" w:hAnsi="Times New Roman" w:cs="Times New Roman"/>
                <w:sz w:val="24"/>
                <w:szCs w:val="24"/>
                <w:lang w:eastAsia="lv-LV"/>
              </w:rPr>
              <w:t xml:space="preserve"> un tās piemērošana atbilst noteiktajiem nosacījumiem</w:t>
            </w:r>
            <w:r w:rsidRPr="00235AD3">
              <w:rPr>
                <w:rFonts w:ascii="Times New Roman" w:eastAsia="Times New Roman" w:hAnsi="Times New Roman" w:cs="Times New Roman"/>
                <w:sz w:val="24"/>
                <w:szCs w:val="24"/>
                <w:lang w:eastAsia="lv-LV"/>
              </w:rPr>
              <w:t>.</w:t>
            </w:r>
          </w:p>
        </w:tc>
      </w:tr>
      <w:tr w:rsidR="00474EBD" w:rsidRPr="00235AD3" w14:paraId="4A6E5EC1"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1E9EC5C3" w14:textId="7338193A" w:rsidR="00474EBD" w:rsidRPr="00235AD3" w:rsidRDefault="007F6DE5"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10.</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C159238" w14:textId="7CFC209F" w:rsidR="00474EBD" w:rsidRPr="00235AD3" w:rsidRDefault="007F6DE5"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62D2E7C9" w14:textId="77777777" w:rsidR="007F6DE5" w:rsidRPr="00235AD3" w:rsidRDefault="007F6DE5" w:rsidP="007F6DE5">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Likumprojekts neparedz šādu normu. </w:t>
            </w:r>
          </w:p>
          <w:p w14:paraId="72975A03" w14:textId="5012FF48" w:rsidR="00474EBD" w:rsidRPr="00235AD3" w:rsidRDefault="007F6DE5" w:rsidP="007F6DE5">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Tā ir izvēles norma un Latvija līdz šim nav piemērojusi un arī neplāno to piemērot tuvākā nākotnē.</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AE164CD" w14:textId="77777777" w:rsidR="007F6DE5" w:rsidRPr="00235AD3" w:rsidRDefault="007F6DE5" w:rsidP="007F6DE5">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Likumprojekts neparedz šādu normu. </w:t>
            </w:r>
          </w:p>
          <w:p w14:paraId="336525F8" w14:textId="73E4DAEB" w:rsidR="00474EBD" w:rsidRPr="00235AD3" w:rsidRDefault="007F6DE5" w:rsidP="007F6DE5">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Tā ir izvēles norma un Latvija līdz šim nav piemērojusi un arī neplāno to piemērot tuvākā nākotnē.</w:t>
            </w:r>
          </w:p>
        </w:tc>
      </w:tr>
      <w:tr w:rsidR="00474EBD" w:rsidRPr="00235AD3" w14:paraId="45D7FC36"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6CD54B9D" w14:textId="7F945748" w:rsidR="00474EBD" w:rsidRPr="00235AD3" w:rsidRDefault="007F6DE5"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pants 11.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punkta “a” un “b” apakšpunkts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DC2A63E" w14:textId="717EED96" w:rsidR="00474EBD" w:rsidRPr="00235AD3" w:rsidRDefault="007F6DE5"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3F707B0E" w14:textId="5D395951" w:rsidR="007F6DE5" w:rsidRPr="00235AD3" w:rsidRDefault="007F6DE5" w:rsidP="00371A0B">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 jo tā attiecas uz Bulgāriju, Čehiju un Poliju.</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592D9C74" w14:textId="7276120E" w:rsidR="00474EBD" w:rsidRPr="00235AD3" w:rsidRDefault="007F6DE5" w:rsidP="00371A0B">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 jo tā attiecas uz Bulgāriju, Čehiju un Poliju.</w:t>
            </w:r>
          </w:p>
        </w:tc>
      </w:tr>
      <w:tr w:rsidR="00474EBD" w:rsidRPr="00235AD3" w14:paraId="2CB061C6"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19200B4D" w14:textId="6006C165" w:rsidR="00474EBD" w:rsidRPr="006375FF" w:rsidRDefault="0054679B" w:rsidP="00474EBD">
            <w:pPr>
              <w:spacing w:after="0" w:line="240" w:lineRule="auto"/>
              <w:jc w:val="both"/>
              <w:rPr>
                <w:rFonts w:ascii="Times New Roman" w:eastAsia="Times New Roman" w:hAnsi="Times New Roman" w:cs="Times New Roman"/>
                <w:sz w:val="24"/>
                <w:szCs w:val="24"/>
                <w:lang w:eastAsia="lv-LV"/>
              </w:rPr>
            </w:pPr>
            <w:r w:rsidRPr="006375FF">
              <w:rPr>
                <w:rFonts w:ascii="Times New Roman" w:eastAsia="Times New Roman" w:hAnsi="Times New Roman" w:cs="Times New Roman"/>
                <w:sz w:val="24"/>
                <w:szCs w:val="24"/>
                <w:lang w:eastAsia="lv-LV"/>
              </w:rPr>
              <w:t>1.</w:t>
            </w:r>
            <w:r w:rsidR="003C22D4" w:rsidRPr="006375FF">
              <w:rPr>
                <w:rFonts w:ascii="Times New Roman" w:eastAsia="Times New Roman" w:hAnsi="Times New Roman" w:cs="Times New Roman"/>
                <w:sz w:val="24"/>
                <w:szCs w:val="24"/>
                <w:lang w:eastAsia="lv-LV"/>
              </w:rPr>
              <w:t> </w:t>
            </w:r>
            <w:r w:rsidRPr="006375FF">
              <w:rPr>
                <w:rFonts w:ascii="Times New Roman" w:eastAsia="Times New Roman" w:hAnsi="Times New Roman" w:cs="Times New Roman"/>
                <w:sz w:val="24"/>
                <w:szCs w:val="24"/>
                <w:lang w:eastAsia="lv-LV"/>
              </w:rPr>
              <w:t>panta 11.</w:t>
            </w:r>
            <w:r w:rsidR="003C22D4" w:rsidRPr="006375FF">
              <w:rPr>
                <w:rFonts w:ascii="Times New Roman" w:eastAsia="Times New Roman" w:hAnsi="Times New Roman" w:cs="Times New Roman"/>
                <w:sz w:val="24"/>
                <w:szCs w:val="24"/>
                <w:lang w:eastAsia="lv-LV"/>
              </w:rPr>
              <w:t> </w:t>
            </w:r>
            <w:r w:rsidRPr="006375FF">
              <w:rPr>
                <w:rFonts w:ascii="Times New Roman" w:eastAsia="Times New Roman" w:hAnsi="Times New Roman" w:cs="Times New Roman"/>
                <w:sz w:val="24"/>
                <w:szCs w:val="24"/>
                <w:lang w:eastAsia="lv-LV"/>
              </w:rPr>
              <w:t>punkta “c”</w:t>
            </w:r>
            <w:r w:rsidR="00E403FC" w:rsidRPr="006375FF">
              <w:rPr>
                <w:rFonts w:ascii="Times New Roman" w:eastAsia="Times New Roman" w:hAnsi="Times New Roman" w:cs="Times New Roman"/>
                <w:sz w:val="24"/>
                <w:szCs w:val="24"/>
                <w:lang w:eastAsia="lv-LV"/>
              </w:rPr>
              <w:t xml:space="preserve"> </w:t>
            </w:r>
            <w:r w:rsidRPr="006375FF">
              <w:rPr>
                <w:rFonts w:ascii="Times New Roman" w:eastAsia="Times New Roman" w:hAnsi="Times New Roman" w:cs="Times New Roman"/>
                <w:sz w:val="24"/>
                <w:szCs w:val="24"/>
                <w:lang w:eastAsia="lv-LV"/>
              </w:rPr>
              <w:t>apakšpunkts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D5E4E34" w14:textId="396ECA60" w:rsidR="00474EBD" w:rsidRPr="006375FF" w:rsidRDefault="0054679B" w:rsidP="00474EBD">
            <w:pPr>
              <w:spacing w:after="0" w:line="240" w:lineRule="auto"/>
              <w:jc w:val="both"/>
              <w:rPr>
                <w:rFonts w:ascii="Times New Roman" w:eastAsia="Times New Roman" w:hAnsi="Times New Roman" w:cs="Times New Roman"/>
                <w:sz w:val="24"/>
                <w:szCs w:val="24"/>
                <w:lang w:eastAsia="lv-LV"/>
              </w:rPr>
            </w:pPr>
            <w:r w:rsidRPr="006375FF">
              <w:rPr>
                <w:rFonts w:ascii="Times New Roman" w:eastAsia="Times New Roman" w:hAnsi="Times New Roman" w:cs="Times New Roman"/>
                <w:sz w:val="24"/>
                <w:szCs w:val="24"/>
                <w:lang w:eastAsia="lv-LV"/>
              </w:rPr>
              <w:t>Likumprojekts neparedz šādu normu.</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33D3507C" w14:textId="77777777" w:rsidR="00474EBD" w:rsidRPr="006375FF" w:rsidRDefault="0054679B" w:rsidP="00474EBD">
            <w:pPr>
              <w:spacing w:after="0" w:line="240" w:lineRule="auto"/>
              <w:jc w:val="both"/>
              <w:rPr>
                <w:rFonts w:ascii="Times New Roman" w:eastAsia="Times New Roman" w:hAnsi="Times New Roman" w:cs="Times New Roman"/>
                <w:sz w:val="24"/>
                <w:szCs w:val="24"/>
                <w:lang w:eastAsia="lv-LV"/>
              </w:rPr>
            </w:pPr>
            <w:r w:rsidRPr="006375FF">
              <w:rPr>
                <w:rFonts w:ascii="Times New Roman" w:eastAsia="Times New Roman" w:hAnsi="Times New Roman" w:cs="Times New Roman"/>
                <w:sz w:val="24"/>
                <w:szCs w:val="24"/>
                <w:lang w:eastAsia="lv-LV"/>
              </w:rPr>
              <w:t>Likumprojekts neparedz šādu normu.</w:t>
            </w:r>
          </w:p>
          <w:p w14:paraId="25EB1ACD" w14:textId="17B5D1B0" w:rsidR="0054679B" w:rsidRPr="006375FF" w:rsidRDefault="0054679B" w:rsidP="00474EBD">
            <w:pPr>
              <w:spacing w:after="0" w:line="240" w:lineRule="auto"/>
              <w:jc w:val="both"/>
              <w:rPr>
                <w:rFonts w:ascii="Times New Roman" w:eastAsia="Times New Roman" w:hAnsi="Times New Roman" w:cs="Times New Roman"/>
                <w:sz w:val="24"/>
                <w:szCs w:val="24"/>
                <w:lang w:eastAsia="lv-LV"/>
              </w:rPr>
            </w:pPr>
            <w:r w:rsidRPr="006375FF">
              <w:rPr>
                <w:rFonts w:ascii="Times New Roman" w:eastAsia="Times New Roman" w:hAnsi="Times New Roman" w:cs="Times New Roman"/>
                <w:sz w:val="24"/>
                <w:szCs w:val="24"/>
                <w:lang w:eastAsia="lv-LV"/>
              </w:rPr>
              <w:lastRenderedPageBreak/>
              <w:t>Tā ir izvēles norma un Latvija līdz šim nav piemērojusi un arī neplāno to piemērot tuvākā nākotnē.</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0F27098" w14:textId="77777777" w:rsidR="0054679B" w:rsidRPr="006375FF" w:rsidRDefault="0054679B" w:rsidP="0054679B">
            <w:pPr>
              <w:spacing w:after="0" w:line="240" w:lineRule="auto"/>
              <w:jc w:val="both"/>
              <w:rPr>
                <w:rFonts w:ascii="Times New Roman" w:eastAsia="Times New Roman" w:hAnsi="Times New Roman" w:cs="Times New Roman"/>
                <w:sz w:val="24"/>
                <w:szCs w:val="24"/>
                <w:lang w:eastAsia="lv-LV"/>
              </w:rPr>
            </w:pPr>
            <w:r w:rsidRPr="006375FF">
              <w:rPr>
                <w:rFonts w:ascii="Times New Roman" w:eastAsia="Times New Roman" w:hAnsi="Times New Roman" w:cs="Times New Roman"/>
                <w:sz w:val="24"/>
                <w:szCs w:val="24"/>
                <w:lang w:eastAsia="lv-LV"/>
              </w:rPr>
              <w:lastRenderedPageBreak/>
              <w:t>Likumprojekts neparedz šādu normu.</w:t>
            </w:r>
          </w:p>
          <w:p w14:paraId="476FF254" w14:textId="5FD64F42" w:rsidR="00474EBD" w:rsidRPr="006375FF" w:rsidRDefault="0054679B" w:rsidP="0054679B">
            <w:pPr>
              <w:spacing w:after="0" w:line="240" w:lineRule="auto"/>
              <w:jc w:val="both"/>
              <w:rPr>
                <w:rFonts w:ascii="Times New Roman" w:eastAsia="Times New Roman" w:hAnsi="Times New Roman" w:cs="Times New Roman"/>
                <w:sz w:val="24"/>
                <w:szCs w:val="24"/>
                <w:lang w:eastAsia="lv-LV"/>
              </w:rPr>
            </w:pPr>
            <w:r w:rsidRPr="006375FF">
              <w:rPr>
                <w:rFonts w:ascii="Times New Roman" w:eastAsia="Times New Roman" w:hAnsi="Times New Roman" w:cs="Times New Roman"/>
                <w:sz w:val="24"/>
                <w:szCs w:val="24"/>
                <w:lang w:eastAsia="lv-LV"/>
              </w:rPr>
              <w:lastRenderedPageBreak/>
              <w:t>Tā ir izvēles norma un Latvija līdz šim nav piemērojusi un arī neplāno to piemērot tuvākā nākotnē.</w:t>
            </w:r>
          </w:p>
        </w:tc>
      </w:tr>
      <w:tr w:rsidR="00474EBD" w:rsidRPr="00235AD3" w14:paraId="57E2D810"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524D0DF2" w14:textId="7418F5D5" w:rsidR="00474EBD" w:rsidRPr="006375FF" w:rsidRDefault="00371A0B" w:rsidP="00474EBD">
            <w:pPr>
              <w:spacing w:after="0" w:line="240" w:lineRule="auto"/>
              <w:jc w:val="both"/>
              <w:rPr>
                <w:rFonts w:ascii="Times New Roman" w:eastAsia="Times New Roman" w:hAnsi="Times New Roman" w:cs="Times New Roman"/>
                <w:sz w:val="24"/>
                <w:szCs w:val="24"/>
                <w:lang w:eastAsia="lv-LV"/>
              </w:rPr>
            </w:pPr>
            <w:r w:rsidRPr="006375FF">
              <w:rPr>
                <w:rFonts w:ascii="Times New Roman" w:eastAsia="Times New Roman" w:hAnsi="Times New Roman" w:cs="Times New Roman"/>
                <w:sz w:val="24"/>
                <w:szCs w:val="24"/>
                <w:lang w:eastAsia="lv-LV"/>
              </w:rPr>
              <w:lastRenderedPageBreak/>
              <w:t>1.</w:t>
            </w:r>
            <w:r w:rsidR="003C22D4" w:rsidRPr="006375FF">
              <w:rPr>
                <w:rFonts w:ascii="Times New Roman" w:eastAsia="Times New Roman" w:hAnsi="Times New Roman" w:cs="Times New Roman"/>
                <w:sz w:val="24"/>
                <w:szCs w:val="24"/>
                <w:lang w:eastAsia="lv-LV"/>
              </w:rPr>
              <w:t> </w:t>
            </w:r>
            <w:r w:rsidRPr="006375FF">
              <w:rPr>
                <w:rFonts w:ascii="Times New Roman" w:eastAsia="Times New Roman" w:hAnsi="Times New Roman" w:cs="Times New Roman"/>
                <w:sz w:val="24"/>
                <w:szCs w:val="24"/>
                <w:lang w:eastAsia="lv-LV"/>
              </w:rPr>
              <w:t>panta 12.</w:t>
            </w:r>
            <w:r w:rsidR="003C22D4" w:rsidRPr="006375FF">
              <w:rPr>
                <w:rFonts w:ascii="Times New Roman" w:eastAsia="Times New Roman" w:hAnsi="Times New Roman" w:cs="Times New Roman"/>
                <w:sz w:val="24"/>
                <w:szCs w:val="24"/>
                <w:lang w:eastAsia="lv-LV"/>
              </w:rPr>
              <w:t> </w:t>
            </w:r>
            <w:r w:rsidRPr="006375FF">
              <w:rPr>
                <w:rFonts w:ascii="Times New Roman" w:eastAsia="Times New Roman" w:hAnsi="Times New Roman" w:cs="Times New Roman"/>
                <w:sz w:val="24"/>
                <w:szCs w:val="24"/>
                <w:lang w:eastAsia="lv-LV"/>
              </w:rPr>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11CE3A3" w14:textId="2385F1A7" w:rsidR="00474EBD" w:rsidRPr="006375FF" w:rsidRDefault="00371A0B" w:rsidP="00474EBD">
            <w:pPr>
              <w:spacing w:after="0" w:line="240" w:lineRule="auto"/>
              <w:jc w:val="both"/>
              <w:rPr>
                <w:rFonts w:ascii="Times New Roman" w:eastAsia="Times New Roman" w:hAnsi="Times New Roman" w:cs="Times New Roman"/>
                <w:sz w:val="24"/>
                <w:szCs w:val="24"/>
                <w:lang w:eastAsia="lv-LV"/>
              </w:rPr>
            </w:pPr>
            <w:r w:rsidRPr="006375FF">
              <w:rPr>
                <w:rFonts w:ascii="Times New Roman" w:eastAsia="Times New Roman" w:hAnsi="Times New Roman" w:cs="Times New Roman"/>
                <w:sz w:val="24"/>
                <w:szCs w:val="24"/>
                <w:lang w:eastAsia="lv-LV"/>
              </w:rPr>
              <w:t>Likumprojekts neparedz šādu normu.</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7C55E58A" w14:textId="779F4C71" w:rsidR="00371A0B" w:rsidRPr="006375FF" w:rsidRDefault="00371A0B" w:rsidP="00371A0B">
            <w:pPr>
              <w:spacing w:after="0" w:line="240" w:lineRule="auto"/>
              <w:jc w:val="both"/>
              <w:rPr>
                <w:rFonts w:ascii="Times New Roman" w:eastAsia="Times New Roman" w:hAnsi="Times New Roman" w:cs="Times New Roman"/>
                <w:sz w:val="24"/>
                <w:szCs w:val="24"/>
                <w:lang w:eastAsia="lv-LV"/>
              </w:rPr>
            </w:pPr>
            <w:r w:rsidRPr="006375FF">
              <w:rPr>
                <w:rFonts w:ascii="Times New Roman" w:eastAsia="Times New Roman" w:hAnsi="Times New Roman" w:cs="Times New Roman"/>
                <w:sz w:val="24"/>
                <w:szCs w:val="24"/>
                <w:lang w:eastAsia="lv-LV"/>
              </w:rPr>
              <w:t>Likumprojekts neparedz šādu normu, jo tā attiecas uz Franciju un Grieķiju.</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0653CCC2" w14:textId="44901B89" w:rsidR="00474EBD" w:rsidRPr="006375FF" w:rsidRDefault="00371A0B" w:rsidP="00474EBD">
            <w:pPr>
              <w:spacing w:after="0" w:line="240" w:lineRule="auto"/>
              <w:jc w:val="both"/>
              <w:rPr>
                <w:rFonts w:ascii="Times New Roman" w:eastAsia="Times New Roman" w:hAnsi="Times New Roman" w:cs="Times New Roman"/>
                <w:sz w:val="24"/>
                <w:szCs w:val="24"/>
                <w:lang w:eastAsia="lv-LV"/>
              </w:rPr>
            </w:pPr>
            <w:r w:rsidRPr="006375FF">
              <w:rPr>
                <w:rFonts w:ascii="Times New Roman" w:eastAsia="Times New Roman" w:hAnsi="Times New Roman" w:cs="Times New Roman"/>
                <w:sz w:val="24"/>
                <w:szCs w:val="24"/>
                <w:lang w:eastAsia="lv-LV"/>
              </w:rPr>
              <w:t>Likumprojekts neparedz šādu normu, jo tā attiecas uz Franciju un Grieķiju.</w:t>
            </w:r>
          </w:p>
        </w:tc>
      </w:tr>
      <w:tr w:rsidR="00936A54" w:rsidRPr="00235AD3" w14:paraId="1DD292C6"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4FA51BCD" w14:textId="512E553B" w:rsidR="00936A54" w:rsidRPr="006375FF" w:rsidRDefault="00936A54" w:rsidP="00936A54">
            <w:pPr>
              <w:spacing w:after="0" w:line="240" w:lineRule="auto"/>
              <w:jc w:val="both"/>
              <w:rPr>
                <w:rFonts w:ascii="Times New Roman" w:eastAsia="Times New Roman" w:hAnsi="Times New Roman" w:cs="Times New Roman"/>
                <w:sz w:val="24"/>
                <w:szCs w:val="24"/>
                <w:lang w:eastAsia="lv-LV"/>
              </w:rPr>
            </w:pPr>
            <w:r w:rsidRPr="006375FF">
              <w:rPr>
                <w:rFonts w:ascii="Times New Roman" w:eastAsia="Times New Roman" w:hAnsi="Times New Roman" w:cs="Times New Roman"/>
                <w:sz w:val="24"/>
                <w:szCs w:val="24"/>
                <w:lang w:eastAsia="lv-LV"/>
              </w:rPr>
              <w:t>1.</w:t>
            </w:r>
            <w:r w:rsidR="003C22D4" w:rsidRPr="006375FF">
              <w:rPr>
                <w:rFonts w:ascii="Times New Roman" w:eastAsia="Times New Roman" w:hAnsi="Times New Roman" w:cs="Times New Roman"/>
                <w:sz w:val="24"/>
                <w:szCs w:val="24"/>
                <w:lang w:eastAsia="lv-LV"/>
              </w:rPr>
              <w:t> </w:t>
            </w:r>
            <w:r w:rsidRPr="006375FF">
              <w:rPr>
                <w:rFonts w:ascii="Times New Roman" w:eastAsia="Times New Roman" w:hAnsi="Times New Roman" w:cs="Times New Roman"/>
                <w:sz w:val="24"/>
                <w:szCs w:val="24"/>
                <w:lang w:eastAsia="lv-LV"/>
              </w:rPr>
              <w:t>panta 13.</w:t>
            </w:r>
            <w:r w:rsidR="003C22D4" w:rsidRPr="006375FF">
              <w:rPr>
                <w:rFonts w:ascii="Times New Roman" w:eastAsia="Times New Roman" w:hAnsi="Times New Roman" w:cs="Times New Roman"/>
                <w:sz w:val="24"/>
                <w:szCs w:val="24"/>
                <w:lang w:eastAsia="lv-LV"/>
              </w:rPr>
              <w:t> </w:t>
            </w:r>
            <w:r w:rsidRPr="006375FF">
              <w:rPr>
                <w:rFonts w:ascii="Times New Roman" w:eastAsia="Times New Roman" w:hAnsi="Times New Roman" w:cs="Times New Roman"/>
                <w:sz w:val="24"/>
                <w:szCs w:val="24"/>
                <w:lang w:eastAsia="lv-LV"/>
              </w:rPr>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0C28618A" w14:textId="78EE37C8" w:rsidR="00936A54" w:rsidRPr="006375FF" w:rsidRDefault="000830F4" w:rsidP="00936A5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7</w:t>
            </w:r>
            <w:r w:rsidR="00936A54" w:rsidRPr="006375FF">
              <w:rPr>
                <w:rFonts w:ascii="Times New Roman" w:eastAsia="Times New Roman" w:hAnsi="Times New Roman" w:cs="Times New Roman"/>
                <w:sz w:val="24"/>
                <w:szCs w:val="24"/>
                <w:lang w:eastAsia="lv-LV"/>
              </w:rPr>
              <w:t>.</w:t>
            </w:r>
            <w:r w:rsidR="003C22D4" w:rsidRPr="006375FF">
              <w:rPr>
                <w:rFonts w:ascii="Times New Roman" w:eastAsia="Times New Roman" w:hAnsi="Times New Roman" w:cs="Times New Roman"/>
                <w:sz w:val="24"/>
                <w:szCs w:val="24"/>
                <w:lang w:eastAsia="lv-LV"/>
              </w:rPr>
              <w:t> </w:t>
            </w:r>
            <w:r w:rsidR="00936A54" w:rsidRPr="006375FF">
              <w:rPr>
                <w:rFonts w:ascii="Times New Roman" w:eastAsia="Times New Roman" w:hAnsi="Times New Roman" w:cs="Times New Roman"/>
                <w:sz w:val="24"/>
                <w:szCs w:val="24"/>
                <w:lang w:eastAsia="lv-LV"/>
              </w:rPr>
              <w:t>pants.</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0432AB5A" w14:textId="091299A4" w:rsidR="00936A54" w:rsidRPr="006375FF" w:rsidRDefault="00936A54" w:rsidP="00936A54">
            <w:pPr>
              <w:spacing w:after="0" w:line="240" w:lineRule="auto"/>
              <w:jc w:val="both"/>
              <w:rPr>
                <w:rFonts w:ascii="Times New Roman" w:eastAsia="Times New Roman" w:hAnsi="Times New Roman" w:cs="Times New Roman"/>
                <w:sz w:val="24"/>
                <w:szCs w:val="24"/>
                <w:lang w:eastAsia="lv-LV"/>
              </w:rPr>
            </w:pPr>
            <w:r w:rsidRPr="006375FF">
              <w:rPr>
                <w:rFonts w:ascii="Times New Roman" w:hAnsi="Times New Roman" w:cs="Times New Roman"/>
                <w:sz w:val="24"/>
                <w:szCs w:val="24"/>
              </w:rPr>
              <w:t>ES tiesību akta vienība tiek pārņemta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26E4425C" w14:textId="7FFDEA69" w:rsidR="00936A54" w:rsidRPr="006375FF" w:rsidRDefault="00936A54" w:rsidP="00936A54">
            <w:pPr>
              <w:spacing w:after="0" w:line="240" w:lineRule="auto"/>
              <w:jc w:val="both"/>
              <w:rPr>
                <w:rFonts w:ascii="Times New Roman" w:eastAsia="Times New Roman" w:hAnsi="Times New Roman" w:cs="Times New Roman"/>
                <w:sz w:val="24"/>
                <w:szCs w:val="24"/>
                <w:lang w:eastAsia="lv-LV"/>
              </w:rPr>
            </w:pPr>
            <w:r w:rsidRPr="006375FF">
              <w:rPr>
                <w:rFonts w:ascii="Times New Roman" w:hAnsi="Times New Roman" w:cs="Times New Roman"/>
                <w:sz w:val="24"/>
                <w:szCs w:val="24"/>
              </w:rPr>
              <w:t>Likumprojektā ietvertās normas neparedz stingrākas prasības nekā šīs tabulas A ailē minētās ES tiesību akta vienība.</w:t>
            </w:r>
          </w:p>
        </w:tc>
      </w:tr>
      <w:tr w:rsidR="00E228DC" w:rsidRPr="00235AD3" w14:paraId="77B36E8A"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2B5549D1" w14:textId="27B47655" w:rsidR="00E228DC" w:rsidRPr="00235AD3" w:rsidRDefault="00E228DC"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14.punkts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01FDB3C4" w14:textId="4A1BD500" w:rsidR="00E228DC" w:rsidRPr="00235AD3" w:rsidRDefault="00E228DC"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7CE61BB3" w14:textId="4289F843" w:rsidR="00E228DC" w:rsidRPr="00235AD3" w:rsidRDefault="00E228DC" w:rsidP="00D138FE">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r w:rsidR="00CF0399" w:rsidRPr="00235AD3">
              <w:rPr>
                <w:rFonts w:ascii="Times New Roman" w:eastAsia="Times New Roman" w:hAnsi="Times New Roman" w:cs="Times New Roman"/>
                <w:sz w:val="24"/>
                <w:szCs w:val="24"/>
                <w:lang w:eastAsia="lv-LV"/>
              </w:rPr>
              <w:t xml:space="preserve">, jo regulas ir tieši piemērojamas un informāciju par izmaiņām kombinētās nomenklatūras kodos </w:t>
            </w:r>
            <w:proofErr w:type="spellStart"/>
            <w:r w:rsidR="00CF0399" w:rsidRPr="00235AD3">
              <w:rPr>
                <w:rFonts w:ascii="Times New Roman" w:eastAsia="Times New Roman" w:hAnsi="Times New Roman" w:cs="Times New Roman"/>
                <w:sz w:val="24"/>
                <w:szCs w:val="24"/>
                <w:lang w:eastAsia="lv-LV"/>
              </w:rPr>
              <w:t>aktualzē</w:t>
            </w:r>
            <w:proofErr w:type="spellEnd"/>
            <w:r w:rsidR="00CF0399" w:rsidRPr="00235AD3">
              <w:rPr>
                <w:rFonts w:ascii="Times New Roman" w:eastAsia="Times New Roman" w:hAnsi="Times New Roman" w:cs="Times New Roman"/>
                <w:sz w:val="24"/>
                <w:szCs w:val="24"/>
                <w:lang w:eastAsia="lv-LV"/>
              </w:rPr>
              <w:t xml:space="preserve"> Valsts ieņēmumu dienests</w:t>
            </w:r>
            <w:r w:rsidRPr="00235AD3">
              <w:rPr>
                <w:rFonts w:ascii="Times New Roman" w:eastAsia="Times New Roman" w:hAnsi="Times New Roman" w:cs="Times New Roman"/>
                <w:sz w:val="24"/>
                <w:szCs w:val="24"/>
                <w:lang w:eastAsia="lv-LV"/>
              </w:rPr>
              <w:t>.</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22C19665" w14:textId="0F1EE09D" w:rsidR="00E228DC" w:rsidRPr="00235AD3" w:rsidRDefault="00CF0399" w:rsidP="00D138FE">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Likumprojekts neparedz šādu normu, jo regulas ir tieši piemērojamas un informāciju par izmaiņām kombinētās nomenklatūras kodos </w:t>
            </w:r>
            <w:proofErr w:type="spellStart"/>
            <w:r w:rsidRPr="00235AD3">
              <w:rPr>
                <w:rFonts w:ascii="Times New Roman" w:eastAsia="Times New Roman" w:hAnsi="Times New Roman" w:cs="Times New Roman"/>
                <w:sz w:val="24"/>
                <w:szCs w:val="24"/>
                <w:lang w:eastAsia="lv-LV"/>
              </w:rPr>
              <w:t>aktualzē</w:t>
            </w:r>
            <w:proofErr w:type="spellEnd"/>
            <w:r w:rsidRPr="00235AD3">
              <w:rPr>
                <w:rFonts w:ascii="Times New Roman" w:eastAsia="Times New Roman" w:hAnsi="Times New Roman" w:cs="Times New Roman"/>
                <w:sz w:val="24"/>
                <w:szCs w:val="24"/>
                <w:lang w:eastAsia="lv-LV"/>
              </w:rPr>
              <w:t xml:space="preserve"> Valsts ieņēmumu dienests.</w:t>
            </w:r>
          </w:p>
        </w:tc>
      </w:tr>
      <w:tr w:rsidR="00474EBD" w:rsidRPr="00235AD3" w14:paraId="6DB1205A"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18104286" w14:textId="2AFB1B12" w:rsidR="00474EBD" w:rsidRPr="00235AD3" w:rsidRDefault="00BF61E8" w:rsidP="00E228DC">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1</w:t>
            </w:r>
            <w:r w:rsidR="00E228DC" w:rsidRPr="00235AD3">
              <w:rPr>
                <w:rFonts w:ascii="Times New Roman" w:eastAsia="Times New Roman" w:hAnsi="Times New Roman" w:cs="Times New Roman"/>
                <w:sz w:val="24"/>
                <w:szCs w:val="24"/>
                <w:lang w:eastAsia="lv-LV"/>
              </w:rPr>
              <w:t>5</w:t>
            </w:r>
            <w:r w:rsidRPr="00235AD3">
              <w:rPr>
                <w:rFonts w:ascii="Times New Roman" w:eastAsia="Times New Roman" w:hAnsi="Times New Roman" w:cs="Times New Roman"/>
                <w:sz w:val="24"/>
                <w:szCs w:val="24"/>
                <w:lang w:eastAsia="lv-LV"/>
              </w:rPr>
              <w:t>.</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punkta “a” apakšpunkts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2D4D1AA" w14:textId="2E9C164E" w:rsidR="00474EBD" w:rsidRPr="00235AD3" w:rsidRDefault="00BF61E8"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53F14726" w14:textId="77777777" w:rsidR="00474EBD" w:rsidRPr="00235AD3" w:rsidRDefault="00BF61E8"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p w14:paraId="797C4F6E" w14:textId="6E6D7CEC" w:rsidR="00BF61E8" w:rsidRPr="00235AD3" w:rsidRDefault="00BF61E8" w:rsidP="00B9750A">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Nav nepieciešams veikt atbilstošus grozījumus likumā, jo likuma 16.</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1.</w:t>
            </w:r>
            <w:r w:rsidR="007A5492" w:rsidRPr="00235AD3">
              <w:rPr>
                <w:rFonts w:ascii="Times New Roman" w:eastAsia="Times New Roman" w:hAnsi="Times New Roman" w:cs="Times New Roman"/>
                <w:sz w:val="24"/>
                <w:szCs w:val="24"/>
                <w:lang w:eastAsia="lv-LV"/>
              </w:rPr>
              <w:t>, 4. un 5.</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 xml:space="preserve">punktā </w:t>
            </w:r>
            <w:r w:rsidR="007A5492" w:rsidRPr="00235AD3">
              <w:rPr>
                <w:rFonts w:ascii="Times New Roman" w:eastAsia="Times New Roman" w:hAnsi="Times New Roman" w:cs="Times New Roman"/>
                <w:sz w:val="24"/>
                <w:szCs w:val="24"/>
                <w:lang w:eastAsia="lv-LV"/>
              </w:rPr>
              <w:t xml:space="preserve">un Ministru kabineta </w:t>
            </w:r>
            <w:r w:rsidR="00CF5F9E" w:rsidRPr="00235AD3">
              <w:rPr>
                <w:rFonts w:ascii="Times New Roman" w:eastAsia="Times New Roman" w:hAnsi="Times New Roman" w:cs="Times New Roman"/>
                <w:sz w:val="24"/>
                <w:szCs w:val="24"/>
                <w:lang w:eastAsia="lv-LV"/>
              </w:rPr>
              <w:t>2009.</w:t>
            </w:r>
            <w:r w:rsidR="003C22D4" w:rsidRPr="00235AD3">
              <w:rPr>
                <w:rFonts w:ascii="Times New Roman" w:eastAsia="Times New Roman" w:hAnsi="Times New Roman" w:cs="Times New Roman"/>
                <w:sz w:val="24"/>
                <w:szCs w:val="24"/>
                <w:lang w:eastAsia="lv-LV"/>
              </w:rPr>
              <w:t> </w:t>
            </w:r>
            <w:r w:rsidR="00CF5F9E" w:rsidRPr="00235AD3">
              <w:rPr>
                <w:rFonts w:ascii="Times New Roman" w:eastAsia="Times New Roman" w:hAnsi="Times New Roman" w:cs="Times New Roman"/>
                <w:sz w:val="24"/>
                <w:szCs w:val="24"/>
                <w:lang w:eastAsia="lv-LV"/>
              </w:rPr>
              <w:t>gada 3.</w:t>
            </w:r>
            <w:r w:rsidR="003C22D4" w:rsidRPr="00235AD3">
              <w:rPr>
                <w:rFonts w:ascii="Times New Roman" w:eastAsia="Times New Roman" w:hAnsi="Times New Roman" w:cs="Times New Roman"/>
                <w:sz w:val="24"/>
                <w:szCs w:val="24"/>
                <w:lang w:eastAsia="lv-LV"/>
              </w:rPr>
              <w:t> </w:t>
            </w:r>
            <w:r w:rsidR="00CF5F9E" w:rsidRPr="00235AD3">
              <w:rPr>
                <w:rFonts w:ascii="Times New Roman" w:eastAsia="Times New Roman" w:hAnsi="Times New Roman" w:cs="Times New Roman"/>
                <w:sz w:val="24"/>
                <w:szCs w:val="24"/>
                <w:lang w:eastAsia="lv-LV"/>
              </w:rPr>
              <w:t>marta noteikum</w:t>
            </w:r>
            <w:r w:rsidR="0097333E" w:rsidRPr="00235AD3">
              <w:rPr>
                <w:rFonts w:ascii="Times New Roman" w:eastAsia="Times New Roman" w:hAnsi="Times New Roman" w:cs="Times New Roman"/>
                <w:sz w:val="24"/>
                <w:szCs w:val="24"/>
                <w:lang w:eastAsia="lv-LV"/>
              </w:rPr>
              <w:t>o</w:t>
            </w:r>
            <w:r w:rsidR="00CF5F9E" w:rsidRPr="00235AD3">
              <w:rPr>
                <w:rFonts w:ascii="Times New Roman" w:eastAsia="Times New Roman" w:hAnsi="Times New Roman" w:cs="Times New Roman"/>
                <w:sz w:val="24"/>
                <w:szCs w:val="24"/>
                <w:lang w:eastAsia="lv-LV"/>
              </w:rPr>
              <w:t>s Nr.</w:t>
            </w:r>
            <w:r w:rsidR="003C22D4" w:rsidRPr="00235AD3">
              <w:rPr>
                <w:rFonts w:ascii="Times New Roman" w:eastAsia="Times New Roman" w:hAnsi="Times New Roman" w:cs="Times New Roman"/>
                <w:sz w:val="24"/>
                <w:szCs w:val="24"/>
                <w:lang w:eastAsia="lv-LV"/>
              </w:rPr>
              <w:t> </w:t>
            </w:r>
            <w:r w:rsidR="00CF5F9E" w:rsidRPr="00235AD3">
              <w:rPr>
                <w:rFonts w:ascii="Times New Roman" w:eastAsia="Times New Roman" w:hAnsi="Times New Roman" w:cs="Times New Roman"/>
                <w:sz w:val="24"/>
                <w:szCs w:val="24"/>
                <w:lang w:eastAsia="lv-LV"/>
              </w:rPr>
              <w:t>211 “Spirta denaturēšanas un denaturētā spirta aprites kārtība” ietvertās normas ir atbilstošas un nodrošina direktīvas 2020/1151/ES 1.</w:t>
            </w:r>
            <w:r w:rsidR="003C22D4" w:rsidRPr="00235AD3">
              <w:rPr>
                <w:rFonts w:ascii="Times New Roman" w:hAnsi="Times New Roman" w:cs="Times New Roman"/>
              </w:rPr>
              <w:t> </w:t>
            </w:r>
            <w:r w:rsidR="00CF5F9E" w:rsidRPr="00235AD3">
              <w:rPr>
                <w:rFonts w:ascii="Times New Roman" w:eastAsia="Times New Roman" w:hAnsi="Times New Roman" w:cs="Times New Roman"/>
                <w:sz w:val="24"/>
                <w:szCs w:val="24"/>
                <w:lang w:eastAsia="lv-LV"/>
              </w:rPr>
              <w:t>panta 14.</w:t>
            </w:r>
            <w:r w:rsidR="003C22D4" w:rsidRPr="00235AD3">
              <w:rPr>
                <w:rFonts w:ascii="Times New Roman" w:eastAsia="Times New Roman" w:hAnsi="Times New Roman" w:cs="Times New Roman"/>
                <w:sz w:val="24"/>
                <w:szCs w:val="24"/>
                <w:lang w:eastAsia="lv-LV"/>
              </w:rPr>
              <w:t> </w:t>
            </w:r>
            <w:r w:rsidR="00CF5F9E" w:rsidRPr="00235AD3">
              <w:rPr>
                <w:rFonts w:ascii="Times New Roman" w:eastAsia="Times New Roman" w:hAnsi="Times New Roman" w:cs="Times New Roman"/>
                <w:sz w:val="24"/>
                <w:szCs w:val="24"/>
                <w:lang w:eastAsia="lv-LV"/>
              </w:rPr>
              <w:t>punkta “a” apakšpunktā noteikto.</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2ACADB2" w14:textId="77777777" w:rsidR="00146C95" w:rsidRPr="00235AD3" w:rsidRDefault="00146C95" w:rsidP="00146C95">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p w14:paraId="310025A6" w14:textId="6A35731D" w:rsidR="00474EBD" w:rsidRPr="00235AD3" w:rsidRDefault="00146C95" w:rsidP="00B9750A">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Nav nepieciešams veikt atbilstošus grozījumus likumā, jo likuma 16.</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1., 4. un 5.</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punktā un Ministru kabineta 2009.</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gada 3.</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marta noteikum</w:t>
            </w:r>
            <w:r w:rsidR="0097333E" w:rsidRPr="00235AD3">
              <w:rPr>
                <w:rFonts w:ascii="Times New Roman" w:eastAsia="Times New Roman" w:hAnsi="Times New Roman" w:cs="Times New Roman"/>
                <w:sz w:val="24"/>
                <w:szCs w:val="24"/>
                <w:lang w:eastAsia="lv-LV"/>
              </w:rPr>
              <w:t>o</w:t>
            </w:r>
            <w:r w:rsidRPr="00235AD3">
              <w:rPr>
                <w:rFonts w:ascii="Times New Roman" w:eastAsia="Times New Roman" w:hAnsi="Times New Roman" w:cs="Times New Roman"/>
                <w:sz w:val="24"/>
                <w:szCs w:val="24"/>
                <w:lang w:eastAsia="lv-LV"/>
              </w:rPr>
              <w:t>s Nr.</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211 “Spirta denaturēšanas un denaturētā spirta aprites kārtība” ietvertās normas ir atbilstošas un nodrošina direktīvas 2020/1151/ES 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14.</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punkta “a” apakšpunktā noteikto.</w:t>
            </w:r>
          </w:p>
        </w:tc>
      </w:tr>
      <w:tr w:rsidR="00474EBD" w:rsidRPr="00235AD3" w14:paraId="5D0D9B5F"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634FF697" w14:textId="1A1D566A" w:rsidR="00474EBD" w:rsidRPr="00235AD3" w:rsidRDefault="00B41B73"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 xml:space="preserve">panta </w:t>
            </w:r>
            <w:r w:rsidR="00E228DC" w:rsidRPr="00235AD3">
              <w:rPr>
                <w:rFonts w:ascii="Times New Roman" w:eastAsia="Times New Roman" w:hAnsi="Times New Roman" w:cs="Times New Roman"/>
                <w:sz w:val="24"/>
                <w:szCs w:val="24"/>
                <w:lang w:eastAsia="lv-LV"/>
              </w:rPr>
              <w:t>15</w:t>
            </w:r>
            <w:r w:rsidR="00146C95" w:rsidRPr="00235AD3">
              <w:rPr>
                <w:rFonts w:ascii="Times New Roman" w:eastAsia="Times New Roman" w:hAnsi="Times New Roman" w:cs="Times New Roman"/>
                <w:sz w:val="24"/>
                <w:szCs w:val="24"/>
                <w:lang w:eastAsia="lv-LV"/>
              </w:rPr>
              <w:t>.</w:t>
            </w:r>
            <w:r w:rsidR="003C22D4" w:rsidRPr="00235AD3">
              <w:rPr>
                <w:rFonts w:ascii="Times New Roman" w:eastAsia="Times New Roman" w:hAnsi="Times New Roman" w:cs="Times New Roman"/>
                <w:sz w:val="24"/>
                <w:szCs w:val="24"/>
                <w:lang w:eastAsia="lv-LV"/>
              </w:rPr>
              <w:t> </w:t>
            </w:r>
            <w:r w:rsidR="00BF5F25" w:rsidRPr="00235AD3">
              <w:rPr>
                <w:rFonts w:ascii="Times New Roman" w:eastAsia="Times New Roman" w:hAnsi="Times New Roman" w:cs="Times New Roman"/>
                <w:sz w:val="24"/>
                <w:szCs w:val="24"/>
                <w:lang w:eastAsia="lv-LV"/>
              </w:rPr>
              <w:t>punkta “b” apakšpunkts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0DB3E61C" w14:textId="03ED84A2" w:rsidR="00474EBD" w:rsidRPr="00235AD3" w:rsidRDefault="00BF5F25" w:rsidP="00780250">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Likumprojekta </w:t>
            </w:r>
            <w:r w:rsidR="00952B3F" w:rsidRPr="00235AD3">
              <w:rPr>
                <w:rFonts w:ascii="Times New Roman" w:eastAsia="Times New Roman" w:hAnsi="Times New Roman" w:cs="Times New Roman"/>
                <w:sz w:val="24"/>
                <w:szCs w:val="24"/>
                <w:lang w:eastAsia="lv-LV"/>
              </w:rPr>
              <w:t>3</w:t>
            </w:r>
            <w:r w:rsidR="007A6CB3" w:rsidRPr="00235AD3">
              <w:rPr>
                <w:rFonts w:ascii="Times New Roman" w:eastAsia="Times New Roman" w:hAnsi="Times New Roman" w:cs="Times New Roman"/>
                <w:sz w:val="24"/>
                <w:szCs w:val="24"/>
                <w:lang w:eastAsia="lv-LV"/>
              </w:rPr>
              <w:t xml:space="preserve">. un </w:t>
            </w:r>
            <w:r w:rsidR="00442E61">
              <w:rPr>
                <w:rFonts w:ascii="Times New Roman" w:eastAsia="Times New Roman" w:hAnsi="Times New Roman" w:cs="Times New Roman"/>
                <w:sz w:val="24"/>
                <w:szCs w:val="24"/>
                <w:lang w:eastAsia="lv-LV"/>
              </w:rPr>
              <w:t>9</w:t>
            </w:r>
            <w:r w:rsidR="00DD4120" w:rsidRPr="00235AD3">
              <w:rPr>
                <w:rFonts w:ascii="Times New Roman" w:eastAsia="Times New Roman" w:hAnsi="Times New Roman" w:cs="Times New Roman"/>
                <w:sz w:val="24"/>
                <w:szCs w:val="24"/>
                <w:lang w:eastAsia="lv-LV"/>
              </w:rPr>
              <w:t>.</w:t>
            </w:r>
            <w:r w:rsidR="003C22D4" w:rsidRPr="00235AD3">
              <w:rPr>
                <w:rFonts w:ascii="Times New Roman" w:eastAsia="Times New Roman" w:hAnsi="Times New Roman" w:cs="Times New Roman"/>
                <w:sz w:val="24"/>
                <w:szCs w:val="24"/>
                <w:lang w:eastAsia="lv-LV"/>
              </w:rPr>
              <w:t> </w:t>
            </w:r>
            <w:r w:rsidR="00DD4120" w:rsidRPr="00235AD3">
              <w:rPr>
                <w:rFonts w:ascii="Times New Roman" w:eastAsia="Times New Roman" w:hAnsi="Times New Roman" w:cs="Times New Roman"/>
                <w:sz w:val="24"/>
                <w:szCs w:val="24"/>
                <w:lang w:eastAsia="lv-LV"/>
              </w:rPr>
              <w:t>pants</w:t>
            </w:r>
            <w:r w:rsidR="007A6CB3" w:rsidRPr="00235AD3">
              <w:rPr>
                <w:rFonts w:ascii="Times New Roman" w:eastAsia="Times New Roman" w:hAnsi="Times New Roman" w:cs="Times New Roman"/>
                <w:sz w:val="24"/>
                <w:szCs w:val="24"/>
                <w:lang w:eastAsia="lv-LV"/>
              </w:rPr>
              <w:t>, 1</w:t>
            </w:r>
            <w:r w:rsidR="00442E61">
              <w:rPr>
                <w:rFonts w:ascii="Times New Roman" w:eastAsia="Times New Roman" w:hAnsi="Times New Roman" w:cs="Times New Roman"/>
                <w:sz w:val="24"/>
                <w:szCs w:val="24"/>
                <w:lang w:eastAsia="lv-LV"/>
              </w:rPr>
              <w:t>4</w:t>
            </w:r>
            <w:r w:rsidR="007A6CB3" w:rsidRPr="00235AD3">
              <w:rPr>
                <w:rFonts w:ascii="Times New Roman" w:eastAsia="Times New Roman" w:hAnsi="Times New Roman" w:cs="Times New Roman"/>
                <w:sz w:val="24"/>
                <w:szCs w:val="24"/>
                <w:lang w:eastAsia="lv-LV"/>
              </w:rPr>
              <w:t>.</w:t>
            </w:r>
            <w:r w:rsidR="003C22D4" w:rsidRPr="00235AD3">
              <w:rPr>
                <w:rFonts w:ascii="Times New Roman" w:eastAsia="Times New Roman" w:hAnsi="Times New Roman" w:cs="Times New Roman"/>
                <w:sz w:val="24"/>
                <w:szCs w:val="24"/>
                <w:lang w:eastAsia="lv-LV"/>
              </w:rPr>
              <w:t> </w:t>
            </w:r>
            <w:r w:rsidR="007A6CB3" w:rsidRPr="00235AD3">
              <w:rPr>
                <w:rFonts w:ascii="Times New Roman" w:eastAsia="Times New Roman" w:hAnsi="Times New Roman" w:cs="Times New Roman"/>
                <w:sz w:val="24"/>
                <w:szCs w:val="24"/>
                <w:lang w:eastAsia="lv-LV"/>
              </w:rPr>
              <w:t xml:space="preserve">panta </w:t>
            </w:r>
            <w:r w:rsidR="00952B3F" w:rsidRPr="00235AD3">
              <w:rPr>
                <w:rFonts w:ascii="Times New Roman" w:eastAsia="Times New Roman" w:hAnsi="Times New Roman" w:cs="Times New Roman"/>
                <w:sz w:val="24"/>
                <w:szCs w:val="24"/>
                <w:lang w:eastAsia="lv-LV"/>
              </w:rPr>
              <w:t>septīt</w:t>
            </w:r>
            <w:r w:rsidR="007A6CB3" w:rsidRPr="00235AD3">
              <w:rPr>
                <w:rFonts w:ascii="Times New Roman" w:eastAsia="Times New Roman" w:hAnsi="Times New Roman" w:cs="Times New Roman"/>
                <w:sz w:val="24"/>
                <w:szCs w:val="24"/>
                <w:lang w:eastAsia="lv-LV"/>
              </w:rPr>
              <w:t>ā daļa, 1</w:t>
            </w:r>
            <w:r w:rsidR="00442E61">
              <w:rPr>
                <w:rFonts w:ascii="Times New Roman" w:eastAsia="Times New Roman" w:hAnsi="Times New Roman" w:cs="Times New Roman"/>
                <w:sz w:val="24"/>
                <w:szCs w:val="24"/>
                <w:lang w:eastAsia="lv-LV"/>
              </w:rPr>
              <w:t>9</w:t>
            </w:r>
            <w:r w:rsidR="007A6CB3" w:rsidRPr="00235AD3">
              <w:rPr>
                <w:rFonts w:ascii="Times New Roman" w:eastAsia="Times New Roman" w:hAnsi="Times New Roman" w:cs="Times New Roman"/>
                <w:sz w:val="24"/>
                <w:szCs w:val="24"/>
                <w:lang w:eastAsia="lv-LV"/>
              </w:rPr>
              <w:t>.</w:t>
            </w:r>
            <w:r w:rsidR="003C22D4" w:rsidRPr="00235AD3">
              <w:rPr>
                <w:rFonts w:ascii="Times New Roman" w:eastAsia="Times New Roman" w:hAnsi="Times New Roman" w:cs="Times New Roman"/>
                <w:sz w:val="24"/>
                <w:szCs w:val="24"/>
                <w:lang w:eastAsia="lv-LV"/>
              </w:rPr>
              <w:t> </w:t>
            </w:r>
            <w:r w:rsidR="007A6CB3" w:rsidRPr="00235AD3">
              <w:rPr>
                <w:rFonts w:ascii="Times New Roman" w:eastAsia="Times New Roman" w:hAnsi="Times New Roman" w:cs="Times New Roman"/>
                <w:sz w:val="24"/>
                <w:szCs w:val="24"/>
                <w:lang w:eastAsia="lv-LV"/>
              </w:rPr>
              <w:t>panta otrā daļa</w:t>
            </w:r>
            <w:r w:rsidR="00954A53" w:rsidRPr="00235AD3">
              <w:rPr>
                <w:rFonts w:ascii="Times New Roman" w:eastAsia="Times New Roman" w:hAnsi="Times New Roman" w:cs="Times New Roman"/>
                <w:sz w:val="24"/>
                <w:szCs w:val="24"/>
                <w:lang w:eastAsia="lv-LV"/>
              </w:rPr>
              <w:t xml:space="preserve"> un </w:t>
            </w:r>
            <w:r w:rsidR="00442E61">
              <w:rPr>
                <w:rFonts w:ascii="Times New Roman" w:eastAsia="Times New Roman" w:hAnsi="Times New Roman" w:cs="Times New Roman"/>
                <w:sz w:val="24"/>
                <w:szCs w:val="24"/>
                <w:lang w:eastAsia="lv-LV"/>
              </w:rPr>
              <w:t>20</w:t>
            </w:r>
            <w:r w:rsidR="00954A53" w:rsidRPr="00235AD3">
              <w:rPr>
                <w:rFonts w:ascii="Times New Roman" w:eastAsia="Times New Roman" w:hAnsi="Times New Roman" w:cs="Times New Roman"/>
                <w:sz w:val="24"/>
                <w:szCs w:val="24"/>
                <w:lang w:eastAsia="lv-LV"/>
              </w:rPr>
              <w:t>.</w:t>
            </w:r>
            <w:r w:rsidR="003C22D4" w:rsidRPr="00235AD3">
              <w:rPr>
                <w:rFonts w:ascii="Times New Roman" w:eastAsia="Times New Roman" w:hAnsi="Times New Roman" w:cs="Times New Roman"/>
                <w:sz w:val="24"/>
                <w:szCs w:val="24"/>
                <w:lang w:eastAsia="lv-LV"/>
              </w:rPr>
              <w:t> </w:t>
            </w:r>
            <w:r w:rsidR="00954A53" w:rsidRPr="00235AD3">
              <w:rPr>
                <w:rFonts w:ascii="Times New Roman" w:eastAsia="Times New Roman" w:hAnsi="Times New Roman" w:cs="Times New Roman"/>
                <w:sz w:val="24"/>
                <w:szCs w:val="24"/>
                <w:lang w:eastAsia="lv-LV"/>
              </w:rPr>
              <w:t>pants</w:t>
            </w:r>
            <w:r w:rsidR="00DD4120" w:rsidRPr="00235AD3">
              <w:rPr>
                <w:rFonts w:ascii="Times New Roman" w:eastAsia="Times New Roman" w:hAnsi="Times New Roman" w:cs="Times New Roman"/>
                <w:sz w:val="24"/>
                <w:szCs w:val="24"/>
                <w:lang w:eastAsia="lv-LV"/>
              </w:rPr>
              <w:t>.</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498F7F30" w14:textId="7FBE69B4" w:rsidR="00474EBD" w:rsidRPr="00235AD3" w:rsidRDefault="007A6CB3" w:rsidP="007A6CB3">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ES tiesību akta vienība tiek pārņemta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210F2510" w14:textId="78D41EC4" w:rsidR="00474EBD" w:rsidRPr="00235AD3" w:rsidRDefault="00CE612E"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Likumprojektā ietvertās normas neparedz stingrākas prasības nekā šīs </w:t>
            </w:r>
            <w:r w:rsidRPr="00235AD3">
              <w:rPr>
                <w:rFonts w:ascii="Times New Roman" w:eastAsia="Times New Roman" w:hAnsi="Times New Roman" w:cs="Times New Roman"/>
                <w:sz w:val="24"/>
                <w:szCs w:val="24"/>
                <w:lang w:eastAsia="lv-LV"/>
              </w:rPr>
              <w:lastRenderedPageBreak/>
              <w:t>tabulas A ailē minētās ES tiesību akta vienība.</w:t>
            </w:r>
          </w:p>
        </w:tc>
      </w:tr>
      <w:tr w:rsidR="00474EBD" w:rsidRPr="00235AD3" w14:paraId="78E5951E"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7CFE06DC" w14:textId="678AD125" w:rsidR="00474EBD" w:rsidRPr="00235AD3" w:rsidRDefault="00B12294"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lastRenderedPageBreak/>
              <w:t>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w:t>
            </w:r>
            <w:r w:rsidR="00E228DC" w:rsidRPr="00235AD3">
              <w:rPr>
                <w:rFonts w:ascii="Times New Roman" w:eastAsia="Times New Roman" w:hAnsi="Times New Roman" w:cs="Times New Roman"/>
                <w:sz w:val="24"/>
                <w:szCs w:val="24"/>
                <w:lang w:eastAsia="lv-LV"/>
              </w:rPr>
              <w:t>a 15</w:t>
            </w:r>
            <w:r w:rsidRPr="00235AD3">
              <w:rPr>
                <w:rFonts w:ascii="Times New Roman" w:eastAsia="Times New Roman" w:hAnsi="Times New Roman" w:cs="Times New Roman"/>
                <w:sz w:val="24"/>
                <w:szCs w:val="24"/>
                <w:lang w:eastAsia="lv-LV"/>
              </w:rPr>
              <w:t>.</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“c” apakšpunkts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85A2A19" w14:textId="497C2149" w:rsidR="00474EBD" w:rsidRPr="00235AD3" w:rsidRDefault="00B12294"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760DC471" w14:textId="6B9961FD" w:rsidR="00474EBD" w:rsidRPr="00235AD3" w:rsidRDefault="00B12294" w:rsidP="00F07E63">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Likumprojekts neparedz šādu normu, jo tā </w:t>
            </w:r>
            <w:r w:rsidR="00F07E63" w:rsidRPr="00235AD3">
              <w:rPr>
                <w:rFonts w:ascii="Times New Roman" w:eastAsia="Times New Roman" w:hAnsi="Times New Roman" w:cs="Times New Roman"/>
                <w:sz w:val="24"/>
                <w:szCs w:val="24"/>
                <w:lang w:eastAsia="lv-LV"/>
              </w:rPr>
              <w:t>attiecas uz Eiropas Komisijas darbību par pilnīgi vai daļēji denaturēto spirtu.</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09360835" w14:textId="5E17CBF0" w:rsidR="00474EBD" w:rsidRPr="00235AD3" w:rsidRDefault="00F07E63"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 jo tā attiecas uz Eiropas Komisijas darbību par pilnīgi vai daļēji denaturēto spirtu.</w:t>
            </w:r>
          </w:p>
        </w:tc>
      </w:tr>
      <w:tr w:rsidR="00474EBD" w:rsidRPr="00235AD3" w14:paraId="1BA0CFD3"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63A10975" w14:textId="3A3A0F89" w:rsidR="00474EBD" w:rsidRPr="00235AD3" w:rsidRDefault="00E228DC" w:rsidP="00E228DC">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16.</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3F4CAA3" w14:textId="35789F5B" w:rsidR="00474EBD" w:rsidRPr="00235AD3" w:rsidRDefault="00D31864" w:rsidP="00D31864">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510E8FBA" w14:textId="1F92BFB4" w:rsidR="00474EBD" w:rsidRPr="00235AD3" w:rsidRDefault="00D31864" w:rsidP="00650296">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 jo attiecas uz Apvienot</w:t>
            </w:r>
            <w:r w:rsidR="00650296" w:rsidRPr="00235AD3">
              <w:rPr>
                <w:rFonts w:ascii="Times New Roman" w:eastAsia="Times New Roman" w:hAnsi="Times New Roman" w:cs="Times New Roman"/>
                <w:sz w:val="24"/>
                <w:szCs w:val="24"/>
                <w:lang w:eastAsia="lv-LV"/>
              </w:rPr>
              <w:t>o</w:t>
            </w:r>
            <w:r w:rsidRPr="00235AD3">
              <w:rPr>
                <w:rFonts w:ascii="Times New Roman" w:eastAsia="Times New Roman" w:hAnsi="Times New Roman" w:cs="Times New Roman"/>
                <w:sz w:val="24"/>
                <w:szCs w:val="24"/>
                <w:lang w:eastAsia="lv-LV"/>
              </w:rPr>
              <w:t xml:space="preserve"> Karalisti.</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6ACBB79" w14:textId="03587E9A" w:rsidR="00474EBD" w:rsidRPr="00235AD3" w:rsidRDefault="00D31864"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 jo attiecas uz Apvienoti Karalisti.</w:t>
            </w:r>
          </w:p>
        </w:tc>
      </w:tr>
      <w:tr w:rsidR="00E228DC" w:rsidRPr="00235AD3" w14:paraId="0DDFEF44"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5DAE7664" w14:textId="6D5C610A" w:rsidR="00E228DC" w:rsidRPr="00235AD3" w:rsidRDefault="00D31864"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1.</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17.</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0900C867" w14:textId="5B3184AF" w:rsidR="00E228DC" w:rsidRPr="00235AD3" w:rsidRDefault="00D31864"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7E14C45F" w14:textId="52403461" w:rsidR="00E228DC" w:rsidRPr="00235AD3" w:rsidRDefault="00D31864"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 jo attiecas uz Eiropas Komisijas darbību.</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DBE701C" w14:textId="58689567" w:rsidR="00E228DC" w:rsidRPr="00235AD3" w:rsidRDefault="00D31864" w:rsidP="00474EBD">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Likumprojekts neparedz šādu normu, jo attiecas uz Eiropas Komisijas darbību.</w:t>
            </w:r>
          </w:p>
        </w:tc>
      </w:tr>
      <w:tr w:rsidR="00E17C82" w:rsidRPr="00235AD3" w14:paraId="556A6A5A"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08FC6D65" w14:textId="4B351660" w:rsidR="00E17C82" w:rsidRPr="00235AD3" w:rsidRDefault="00E17C82" w:rsidP="00E17C82">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2.</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56FD6760" w14:textId="37A20ECF" w:rsidR="00E17C82" w:rsidRPr="00235AD3" w:rsidRDefault="00E17C82" w:rsidP="00780250">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Likumprojekta 1</w:t>
            </w:r>
            <w:r w:rsidR="00780250">
              <w:rPr>
                <w:rFonts w:ascii="Times New Roman" w:eastAsia="Times New Roman" w:hAnsi="Times New Roman" w:cs="Times New Roman"/>
                <w:sz w:val="24"/>
                <w:szCs w:val="24"/>
                <w:lang w:eastAsia="lv-LV"/>
              </w:rPr>
              <w:t>9</w:t>
            </w:r>
            <w:r w:rsidRPr="00235AD3">
              <w:rPr>
                <w:rFonts w:ascii="Times New Roman" w:eastAsia="Times New Roman" w:hAnsi="Times New Roman" w:cs="Times New Roman"/>
                <w:sz w:val="24"/>
                <w:szCs w:val="24"/>
                <w:lang w:eastAsia="lv-LV"/>
              </w:rPr>
              <w:t>.</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otrā daļa</w:t>
            </w:r>
            <w:r w:rsidR="00780250">
              <w:rPr>
                <w:rFonts w:ascii="Times New Roman" w:eastAsia="Times New Roman" w:hAnsi="Times New Roman" w:cs="Times New Roman"/>
                <w:sz w:val="24"/>
                <w:szCs w:val="24"/>
                <w:lang w:eastAsia="lv-LV"/>
              </w:rPr>
              <w:t xml:space="preserve"> un 20</w:t>
            </w:r>
            <w:r w:rsidR="000C08AE" w:rsidRPr="00235AD3">
              <w:rPr>
                <w:rFonts w:ascii="Times New Roman" w:eastAsia="Times New Roman" w:hAnsi="Times New Roman" w:cs="Times New Roman"/>
                <w:sz w:val="24"/>
                <w:szCs w:val="24"/>
                <w:lang w:eastAsia="lv-LV"/>
              </w:rPr>
              <w:t>.</w:t>
            </w:r>
            <w:r w:rsidR="003C22D4" w:rsidRPr="00235AD3">
              <w:rPr>
                <w:rFonts w:ascii="Times New Roman" w:eastAsia="Times New Roman" w:hAnsi="Times New Roman" w:cs="Times New Roman"/>
                <w:sz w:val="24"/>
                <w:szCs w:val="24"/>
                <w:lang w:eastAsia="lv-LV"/>
              </w:rPr>
              <w:t> </w:t>
            </w:r>
            <w:r w:rsidR="000C08AE" w:rsidRPr="00235AD3">
              <w:rPr>
                <w:rFonts w:ascii="Times New Roman" w:eastAsia="Times New Roman" w:hAnsi="Times New Roman" w:cs="Times New Roman"/>
                <w:sz w:val="24"/>
                <w:szCs w:val="24"/>
                <w:lang w:eastAsia="lv-LV"/>
              </w:rPr>
              <w:t>pants.</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5273A3BE" w14:textId="211146BF" w:rsidR="00E17C82" w:rsidRPr="00235AD3" w:rsidRDefault="00E17C82" w:rsidP="00E17C82">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ES tiesību akta vienība tiek pārņemta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95D9002" w14:textId="68FB12F0" w:rsidR="00E17C82" w:rsidRPr="00235AD3" w:rsidRDefault="00E17C82" w:rsidP="00E17C82">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Likumprojektā ietvertā norma neparedz stingrākas prasības nekā šīs tabulas A ailē minētās ES tiesību akta vienība.</w:t>
            </w:r>
          </w:p>
        </w:tc>
      </w:tr>
      <w:tr w:rsidR="003C22D4" w:rsidRPr="00235AD3" w14:paraId="7311AD7A"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34EBBAE" w14:textId="77777777" w:rsidR="00474EBD" w:rsidRPr="00235AD3" w:rsidRDefault="00474EBD" w:rsidP="00474EBD">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37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2E8302DD" w14:textId="08F6A174" w:rsidR="00474EBD" w:rsidRPr="00235AD3" w:rsidRDefault="00631942" w:rsidP="003C22D4">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Direktīvas 2020/1151/ES 1.panta</w:t>
            </w:r>
            <w:r w:rsidR="00310F4F" w:rsidRPr="00235AD3">
              <w:rPr>
                <w:rFonts w:ascii="Times New Roman" w:eastAsia="Times New Roman" w:hAnsi="Times New Roman" w:cs="Times New Roman"/>
                <w:sz w:val="24"/>
                <w:szCs w:val="24"/>
                <w:lang w:eastAsia="lv-LV"/>
              </w:rPr>
              <w:t xml:space="preserve"> 2., 4., 7. un 10.</w:t>
            </w:r>
            <w:r w:rsidR="003C22D4" w:rsidRPr="00235AD3">
              <w:rPr>
                <w:rFonts w:ascii="Times New Roman" w:eastAsia="Times New Roman" w:hAnsi="Times New Roman" w:cs="Times New Roman"/>
                <w:sz w:val="24"/>
                <w:szCs w:val="24"/>
                <w:lang w:eastAsia="lv-LV"/>
              </w:rPr>
              <w:t> </w:t>
            </w:r>
            <w:r w:rsidR="00310F4F" w:rsidRPr="00235AD3">
              <w:rPr>
                <w:rFonts w:ascii="Times New Roman" w:eastAsia="Times New Roman" w:hAnsi="Times New Roman" w:cs="Times New Roman"/>
                <w:sz w:val="24"/>
                <w:szCs w:val="24"/>
                <w:lang w:eastAsia="lv-LV"/>
              </w:rPr>
              <w:t>punktā un 11.</w:t>
            </w:r>
            <w:r w:rsidR="003C22D4" w:rsidRPr="00235AD3">
              <w:rPr>
                <w:rFonts w:ascii="Times New Roman" w:eastAsia="Times New Roman" w:hAnsi="Times New Roman" w:cs="Times New Roman"/>
                <w:sz w:val="24"/>
                <w:szCs w:val="24"/>
                <w:lang w:eastAsia="lv-LV"/>
              </w:rPr>
              <w:t> </w:t>
            </w:r>
            <w:r w:rsidR="00310F4F" w:rsidRPr="00235AD3">
              <w:rPr>
                <w:rFonts w:ascii="Times New Roman" w:eastAsia="Times New Roman" w:hAnsi="Times New Roman" w:cs="Times New Roman"/>
                <w:sz w:val="24"/>
                <w:szCs w:val="24"/>
                <w:lang w:eastAsia="lv-LV"/>
              </w:rPr>
              <w:t>punkta “c” apakšpunktā ir paredzēta izvēles norma. Latvija līdz šim nav piemērojusi un arī neplāno piemērot tuvākā nākotnē minētās izvēles normas, jo tās ietver iespēju dalībvalstīm p</w:t>
            </w:r>
            <w:r w:rsidR="00BE737D" w:rsidRPr="00235AD3">
              <w:rPr>
                <w:rFonts w:ascii="Times New Roman" w:eastAsia="Times New Roman" w:hAnsi="Times New Roman" w:cs="Times New Roman"/>
                <w:sz w:val="24"/>
                <w:szCs w:val="24"/>
                <w:lang w:eastAsia="lv-LV"/>
              </w:rPr>
              <w:t xml:space="preserve">iemērot </w:t>
            </w:r>
            <w:r w:rsidR="00310F4F" w:rsidRPr="00235AD3">
              <w:rPr>
                <w:rFonts w:ascii="Times New Roman" w:eastAsia="Times New Roman" w:hAnsi="Times New Roman" w:cs="Times New Roman"/>
                <w:sz w:val="24"/>
                <w:szCs w:val="24"/>
                <w:lang w:eastAsia="lv-LV"/>
              </w:rPr>
              <w:t xml:space="preserve">samazinātu </w:t>
            </w:r>
            <w:r w:rsidR="00BE737D" w:rsidRPr="00235AD3">
              <w:rPr>
                <w:rFonts w:ascii="Times New Roman" w:eastAsia="Times New Roman" w:hAnsi="Times New Roman" w:cs="Times New Roman"/>
                <w:sz w:val="24"/>
                <w:szCs w:val="24"/>
                <w:lang w:eastAsia="lv-LV"/>
              </w:rPr>
              <w:t>akcīzes nodokļa likmi alkoholiskajiem  dzērieniem, kas savukārt rada negatīvu ietekmi uz valsts bud</w:t>
            </w:r>
            <w:r w:rsidR="00C45FEF" w:rsidRPr="00235AD3">
              <w:rPr>
                <w:rFonts w:ascii="Times New Roman" w:eastAsia="Times New Roman" w:hAnsi="Times New Roman" w:cs="Times New Roman"/>
                <w:sz w:val="24"/>
                <w:szCs w:val="24"/>
                <w:lang w:eastAsia="lv-LV"/>
              </w:rPr>
              <w:t xml:space="preserve">žeta </w:t>
            </w:r>
            <w:r w:rsidR="00BE737D" w:rsidRPr="00235AD3">
              <w:rPr>
                <w:rFonts w:ascii="Times New Roman" w:eastAsia="Times New Roman" w:hAnsi="Times New Roman" w:cs="Times New Roman"/>
                <w:sz w:val="24"/>
                <w:szCs w:val="24"/>
                <w:lang w:eastAsia="lv-LV"/>
              </w:rPr>
              <w:t>ieņēmum</w:t>
            </w:r>
            <w:r w:rsidR="00C45FEF" w:rsidRPr="00235AD3">
              <w:rPr>
                <w:rFonts w:ascii="Times New Roman" w:eastAsia="Times New Roman" w:hAnsi="Times New Roman" w:cs="Times New Roman"/>
                <w:sz w:val="24"/>
                <w:szCs w:val="24"/>
                <w:lang w:eastAsia="lv-LV"/>
              </w:rPr>
              <w:t>iem</w:t>
            </w:r>
            <w:r w:rsidR="00BE737D" w:rsidRPr="00235AD3">
              <w:rPr>
                <w:rFonts w:ascii="Times New Roman" w:eastAsia="Times New Roman" w:hAnsi="Times New Roman" w:cs="Times New Roman"/>
                <w:sz w:val="24"/>
                <w:szCs w:val="24"/>
                <w:lang w:eastAsia="lv-LV"/>
              </w:rPr>
              <w:t xml:space="preserve"> par alkoholiskajiem dzērieniem.</w:t>
            </w:r>
            <w:r w:rsidR="00310F4F" w:rsidRPr="00235AD3">
              <w:rPr>
                <w:rFonts w:ascii="Times New Roman" w:eastAsia="Times New Roman" w:hAnsi="Times New Roman" w:cs="Times New Roman"/>
                <w:sz w:val="24"/>
                <w:szCs w:val="24"/>
                <w:lang w:eastAsia="lv-LV"/>
              </w:rPr>
              <w:t xml:space="preserve"> </w:t>
            </w:r>
          </w:p>
        </w:tc>
      </w:tr>
      <w:tr w:rsidR="00474EBD" w:rsidRPr="00235AD3" w14:paraId="6C9349A7" w14:textId="77777777" w:rsidTr="00E85F1D">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8390F52" w14:textId="77777777" w:rsidR="00474EBD" w:rsidRPr="00235AD3" w:rsidRDefault="00474EBD" w:rsidP="00474EBD">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100D62C8" w14:textId="67A014FF" w:rsidR="00474EBD" w:rsidRPr="00235AD3" w:rsidRDefault="00F830A8" w:rsidP="00474EBD">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Nav.</w:t>
            </w:r>
          </w:p>
        </w:tc>
      </w:tr>
      <w:tr w:rsidR="00474EBD" w:rsidRPr="00235AD3" w14:paraId="04E3C3AB" w14:textId="77777777" w:rsidTr="00397575">
        <w:tc>
          <w:tcPr>
            <w:tcW w:w="1250" w:type="pct"/>
            <w:gridSpan w:val="2"/>
            <w:tcBorders>
              <w:top w:val="outset" w:sz="6" w:space="0" w:color="414142"/>
              <w:left w:val="outset" w:sz="6" w:space="0" w:color="414142"/>
              <w:bottom w:val="single" w:sz="12" w:space="0" w:color="414142"/>
              <w:right w:val="outset" w:sz="6" w:space="0" w:color="414142"/>
            </w:tcBorders>
            <w:shd w:val="clear" w:color="auto" w:fill="FFFFFF"/>
            <w:hideMark/>
          </w:tcPr>
          <w:p w14:paraId="697D71F1" w14:textId="77777777" w:rsidR="00474EBD" w:rsidRPr="00235AD3" w:rsidRDefault="00474EBD" w:rsidP="00474EBD">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Cita informācija</w:t>
            </w:r>
          </w:p>
        </w:tc>
        <w:tc>
          <w:tcPr>
            <w:tcW w:w="3750" w:type="pct"/>
            <w:gridSpan w:val="4"/>
            <w:tcBorders>
              <w:top w:val="outset" w:sz="6" w:space="0" w:color="414142"/>
              <w:left w:val="outset" w:sz="6" w:space="0" w:color="414142"/>
              <w:bottom w:val="single" w:sz="12" w:space="0" w:color="414142"/>
              <w:right w:val="outset" w:sz="6" w:space="0" w:color="414142"/>
            </w:tcBorders>
            <w:shd w:val="clear" w:color="auto" w:fill="FFFFFF"/>
            <w:hideMark/>
          </w:tcPr>
          <w:p w14:paraId="0C892882" w14:textId="2C4C7262" w:rsidR="00474EBD" w:rsidRPr="00235AD3" w:rsidRDefault="008A7993" w:rsidP="00474EBD">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Nav.</w:t>
            </w:r>
          </w:p>
        </w:tc>
      </w:tr>
      <w:tr w:rsidR="00190B9F" w:rsidRPr="00235AD3" w14:paraId="730DE4B3" w14:textId="77777777" w:rsidTr="00397575">
        <w:tc>
          <w:tcPr>
            <w:tcW w:w="1250" w:type="pct"/>
            <w:gridSpan w:val="2"/>
            <w:tcBorders>
              <w:top w:val="single" w:sz="12" w:space="0" w:color="414142"/>
              <w:left w:val="outset" w:sz="6" w:space="0" w:color="414142"/>
              <w:bottom w:val="outset" w:sz="6" w:space="0" w:color="414142"/>
              <w:right w:val="outset" w:sz="6" w:space="0" w:color="414142"/>
            </w:tcBorders>
            <w:shd w:val="clear" w:color="auto" w:fill="FFFFFF"/>
          </w:tcPr>
          <w:p w14:paraId="0F7D6C23" w14:textId="77777777" w:rsidR="00190B9F" w:rsidRPr="00337827" w:rsidRDefault="00190B9F" w:rsidP="00BF1E30">
            <w:pPr>
              <w:spacing w:after="0" w:line="240" w:lineRule="auto"/>
              <w:rPr>
                <w:rFonts w:ascii="Times New Roman" w:eastAsia="Times New Roman" w:hAnsi="Times New Roman" w:cs="Times New Roman"/>
                <w:sz w:val="24"/>
                <w:szCs w:val="24"/>
                <w:lang w:eastAsia="lv-LV"/>
              </w:rPr>
            </w:pPr>
            <w:r w:rsidRPr="00337827">
              <w:rPr>
                <w:rFonts w:ascii="Times New Roman" w:eastAsia="Times New Roman" w:hAnsi="Times New Roman" w:cs="Times New Roman"/>
                <w:sz w:val="24"/>
                <w:szCs w:val="24"/>
                <w:lang w:eastAsia="lv-LV"/>
              </w:rPr>
              <w:t>Attiecīgā ES tiesību akta datums, numurs un nosaukums</w:t>
            </w:r>
          </w:p>
        </w:tc>
        <w:tc>
          <w:tcPr>
            <w:tcW w:w="3750" w:type="pct"/>
            <w:gridSpan w:val="4"/>
            <w:tcBorders>
              <w:top w:val="single" w:sz="12" w:space="0" w:color="414142"/>
              <w:left w:val="outset" w:sz="6" w:space="0" w:color="414142"/>
              <w:bottom w:val="outset" w:sz="6" w:space="0" w:color="414142"/>
              <w:right w:val="outset" w:sz="6" w:space="0" w:color="414142"/>
            </w:tcBorders>
            <w:shd w:val="clear" w:color="auto" w:fill="FFFFFF"/>
          </w:tcPr>
          <w:p w14:paraId="59AA3DB3" w14:textId="3F69495C" w:rsidR="00190B9F" w:rsidRPr="00337827" w:rsidRDefault="00190B9F" w:rsidP="004A1D40">
            <w:pPr>
              <w:spacing w:after="0" w:line="240" w:lineRule="auto"/>
              <w:jc w:val="both"/>
              <w:rPr>
                <w:rFonts w:ascii="Times New Roman" w:eastAsia="Times New Roman" w:hAnsi="Times New Roman" w:cs="Times New Roman"/>
                <w:sz w:val="24"/>
                <w:szCs w:val="24"/>
                <w:lang w:eastAsia="lv-LV"/>
              </w:rPr>
            </w:pPr>
            <w:r w:rsidRPr="00337827">
              <w:rPr>
                <w:rFonts w:ascii="Times New Roman" w:eastAsia="Times New Roman" w:hAnsi="Times New Roman" w:cs="Times New Roman"/>
                <w:sz w:val="24"/>
                <w:szCs w:val="24"/>
                <w:lang w:eastAsia="lv-LV"/>
              </w:rPr>
              <w:t>2) Padomes 2019.</w:t>
            </w:r>
            <w:r w:rsidR="003C22D4" w:rsidRPr="00337827">
              <w:rPr>
                <w:rFonts w:ascii="Times New Roman" w:eastAsia="Times New Roman" w:hAnsi="Times New Roman" w:cs="Times New Roman"/>
                <w:sz w:val="24"/>
                <w:szCs w:val="24"/>
                <w:lang w:eastAsia="lv-LV"/>
              </w:rPr>
              <w:t> </w:t>
            </w:r>
            <w:r w:rsidRPr="00337827">
              <w:rPr>
                <w:rFonts w:ascii="Times New Roman" w:eastAsia="Times New Roman" w:hAnsi="Times New Roman" w:cs="Times New Roman"/>
                <w:sz w:val="24"/>
                <w:szCs w:val="24"/>
                <w:lang w:eastAsia="lv-LV"/>
              </w:rPr>
              <w:t>gada 16.</w:t>
            </w:r>
            <w:r w:rsidR="003C22D4" w:rsidRPr="00337827">
              <w:rPr>
                <w:rFonts w:ascii="Times New Roman" w:eastAsia="Times New Roman" w:hAnsi="Times New Roman" w:cs="Times New Roman"/>
                <w:sz w:val="24"/>
                <w:szCs w:val="24"/>
                <w:lang w:eastAsia="lv-LV"/>
              </w:rPr>
              <w:t> </w:t>
            </w:r>
            <w:r w:rsidRPr="00337827">
              <w:rPr>
                <w:rFonts w:ascii="Times New Roman" w:eastAsia="Times New Roman" w:hAnsi="Times New Roman" w:cs="Times New Roman"/>
                <w:sz w:val="24"/>
                <w:szCs w:val="24"/>
                <w:lang w:eastAsia="lv-LV"/>
              </w:rPr>
              <w:t xml:space="preserve">decembra direktīva (ES) 2019/2235, ar ko groza Direktīvu 2006/112/EK par kopējo pievienotās vērtības nodokļa sistēmu un Direktīvu 2008/118/EK par akcīzes nodokļa piemērošanas </w:t>
            </w:r>
            <w:r w:rsidRPr="00337827">
              <w:rPr>
                <w:rFonts w:ascii="Times New Roman" w:eastAsia="Times New Roman" w:hAnsi="Times New Roman" w:cs="Times New Roman"/>
                <w:sz w:val="24"/>
                <w:szCs w:val="24"/>
                <w:lang w:eastAsia="lv-LV"/>
              </w:rPr>
              <w:lastRenderedPageBreak/>
              <w:t>vispārējo režīmu attiecībā uz aizsardzība</w:t>
            </w:r>
            <w:r w:rsidR="00D51901" w:rsidRPr="00337827">
              <w:rPr>
                <w:rFonts w:ascii="Times New Roman" w:eastAsia="Times New Roman" w:hAnsi="Times New Roman" w:cs="Times New Roman"/>
                <w:sz w:val="24"/>
                <w:szCs w:val="24"/>
                <w:lang w:eastAsia="lv-LV"/>
              </w:rPr>
              <w:t>s pasākumiem Savienības satvarā</w:t>
            </w:r>
          </w:p>
        </w:tc>
      </w:tr>
      <w:tr w:rsidR="00190B9F" w:rsidRPr="00235AD3" w14:paraId="327C24E5" w14:textId="77777777" w:rsidTr="00BF1E30">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0B9DB6" w14:textId="77777777" w:rsidR="00190B9F" w:rsidRPr="00337827" w:rsidRDefault="00190B9F" w:rsidP="00BF1E3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337827">
              <w:rPr>
                <w:rFonts w:ascii="Times New Roman" w:eastAsia="Times New Roman" w:hAnsi="Times New Roman" w:cs="Times New Roman"/>
                <w:color w:val="414142"/>
                <w:sz w:val="24"/>
                <w:szCs w:val="24"/>
                <w:lang w:eastAsia="lv-LV"/>
              </w:rPr>
              <w:lastRenderedPageBreak/>
              <w: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AE4488" w14:textId="77777777" w:rsidR="00190B9F" w:rsidRPr="00337827" w:rsidRDefault="00190B9F" w:rsidP="00BF1E3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337827">
              <w:rPr>
                <w:rFonts w:ascii="Times New Roman" w:eastAsia="Times New Roman" w:hAnsi="Times New Roman" w:cs="Times New Roman"/>
                <w:color w:val="414142"/>
                <w:sz w:val="24"/>
                <w:szCs w:val="24"/>
                <w:lang w:eastAsia="lv-LV"/>
              </w:rPr>
              <w:t>B</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87E129" w14:textId="77777777" w:rsidR="00190B9F" w:rsidRPr="00337827" w:rsidRDefault="00190B9F" w:rsidP="00BF1E3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337827">
              <w:rPr>
                <w:rFonts w:ascii="Times New Roman" w:eastAsia="Times New Roman" w:hAnsi="Times New Roman" w:cs="Times New Roman"/>
                <w:color w:val="414142"/>
                <w:sz w:val="24"/>
                <w:szCs w:val="24"/>
                <w:lang w:eastAsia="lv-LV"/>
              </w:rPr>
              <w:t>C</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5ADDF" w14:textId="77777777" w:rsidR="00190B9F" w:rsidRPr="00337827" w:rsidRDefault="00190B9F" w:rsidP="00BF1E30">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337827">
              <w:rPr>
                <w:rFonts w:ascii="Times New Roman" w:eastAsia="Times New Roman" w:hAnsi="Times New Roman" w:cs="Times New Roman"/>
                <w:color w:val="414142"/>
                <w:sz w:val="24"/>
                <w:szCs w:val="24"/>
                <w:lang w:eastAsia="lv-LV"/>
              </w:rPr>
              <w:t>D</w:t>
            </w:r>
          </w:p>
        </w:tc>
      </w:tr>
      <w:tr w:rsidR="00190B9F" w:rsidRPr="00235AD3" w14:paraId="79E84107" w14:textId="77777777" w:rsidTr="00BF1E30">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FA039B5" w14:textId="77777777" w:rsidR="00190B9F" w:rsidRPr="00337827" w:rsidRDefault="00190B9F" w:rsidP="00BF1E30">
            <w:pPr>
              <w:spacing w:after="0" w:line="240" w:lineRule="auto"/>
              <w:rPr>
                <w:rFonts w:ascii="Times New Roman" w:eastAsia="Times New Roman" w:hAnsi="Times New Roman" w:cs="Times New Roman"/>
                <w:sz w:val="24"/>
                <w:szCs w:val="24"/>
                <w:lang w:eastAsia="lv-LV"/>
              </w:rPr>
            </w:pPr>
            <w:r w:rsidRPr="00337827">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0D2D0C3" w14:textId="77777777" w:rsidR="00190B9F" w:rsidRPr="00337827" w:rsidRDefault="00190B9F" w:rsidP="00BF1E30">
            <w:pPr>
              <w:spacing w:after="0" w:line="240" w:lineRule="auto"/>
              <w:rPr>
                <w:rFonts w:ascii="Times New Roman" w:eastAsia="Times New Roman" w:hAnsi="Times New Roman" w:cs="Times New Roman"/>
                <w:sz w:val="24"/>
                <w:szCs w:val="24"/>
                <w:lang w:eastAsia="lv-LV"/>
              </w:rPr>
            </w:pPr>
            <w:r w:rsidRPr="00337827">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29F93EB" w14:textId="77777777" w:rsidR="00190B9F" w:rsidRPr="00337827" w:rsidRDefault="00190B9F" w:rsidP="00BF1E30">
            <w:pPr>
              <w:spacing w:after="0" w:line="240" w:lineRule="auto"/>
              <w:rPr>
                <w:rFonts w:ascii="Times New Roman" w:eastAsia="Times New Roman" w:hAnsi="Times New Roman" w:cs="Times New Roman"/>
                <w:sz w:val="24"/>
                <w:szCs w:val="24"/>
                <w:lang w:eastAsia="lv-LV"/>
              </w:rPr>
            </w:pPr>
            <w:r w:rsidRPr="00337827">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r w:rsidRPr="00337827">
              <w:rPr>
                <w:rFonts w:ascii="Times New Roman" w:eastAsia="Times New Roman" w:hAnsi="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337827">
              <w:rPr>
                <w:rFonts w:ascii="Times New Roman" w:eastAsia="Times New Roman" w:hAnsi="Times New Roman" w:cs="Times New Roman"/>
                <w:sz w:val="24"/>
                <w:szCs w:val="24"/>
                <w:lang w:eastAsia="lv-LV"/>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EFA785C" w14:textId="77777777" w:rsidR="00190B9F" w:rsidRPr="00337827" w:rsidRDefault="00190B9F" w:rsidP="00BF1E30">
            <w:pPr>
              <w:spacing w:after="0" w:line="240" w:lineRule="auto"/>
              <w:rPr>
                <w:rFonts w:ascii="Times New Roman" w:eastAsia="Times New Roman" w:hAnsi="Times New Roman" w:cs="Times New Roman"/>
                <w:sz w:val="24"/>
                <w:szCs w:val="24"/>
                <w:lang w:eastAsia="lv-LV"/>
              </w:rPr>
            </w:pPr>
            <w:r w:rsidRPr="00337827">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r w:rsidRPr="00337827">
              <w:rPr>
                <w:rFonts w:ascii="Times New Roman" w:eastAsia="Times New Roman" w:hAnsi="Times New Roman" w:cs="Times New Roman"/>
                <w:sz w:val="24"/>
                <w:szCs w:val="24"/>
                <w:lang w:eastAsia="lv-LV"/>
              </w:rPr>
              <w:br/>
              <w:t>Ja projekts satur stingrākas prasības nekā attiecīgais ES tiesību akts, norāda pamatojumu un samērīgumu.</w:t>
            </w:r>
            <w:r w:rsidRPr="00337827">
              <w:rPr>
                <w:rFonts w:ascii="Times New Roman" w:eastAsia="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190B9F" w:rsidRPr="00235AD3" w14:paraId="1169704D" w14:textId="77777777" w:rsidTr="00BF1E30">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E13A10D" w14:textId="14C3AD83" w:rsidR="00190B9F" w:rsidRPr="00337827" w:rsidRDefault="00397575" w:rsidP="00397575">
            <w:pPr>
              <w:spacing w:after="0" w:line="240" w:lineRule="auto"/>
              <w:jc w:val="both"/>
              <w:rPr>
                <w:rFonts w:ascii="Times New Roman" w:eastAsia="Times New Roman" w:hAnsi="Times New Roman" w:cs="Times New Roman"/>
                <w:sz w:val="24"/>
                <w:szCs w:val="24"/>
                <w:lang w:eastAsia="lv-LV"/>
              </w:rPr>
            </w:pPr>
            <w:r w:rsidRPr="00337827">
              <w:rPr>
                <w:rFonts w:ascii="Times New Roman" w:eastAsia="Times New Roman" w:hAnsi="Times New Roman" w:cs="Times New Roman"/>
                <w:sz w:val="24"/>
                <w:szCs w:val="24"/>
                <w:lang w:eastAsia="lv-LV"/>
              </w:rPr>
              <w:t>1.</w:t>
            </w:r>
            <w:r w:rsidR="003C22D4" w:rsidRPr="00337827">
              <w:rPr>
                <w:rFonts w:ascii="Times New Roman" w:eastAsia="Times New Roman" w:hAnsi="Times New Roman" w:cs="Times New Roman"/>
                <w:sz w:val="24"/>
                <w:szCs w:val="24"/>
                <w:lang w:eastAsia="lv-LV"/>
              </w:rPr>
              <w:t> </w:t>
            </w:r>
            <w:r w:rsidRPr="00337827">
              <w:rPr>
                <w:rFonts w:ascii="Times New Roman" w:eastAsia="Times New Roman" w:hAnsi="Times New Roman" w:cs="Times New Roman"/>
                <w:sz w:val="24"/>
                <w:szCs w:val="24"/>
                <w:lang w:eastAsia="lv-LV"/>
              </w:rPr>
              <w:t>pants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2166523" w14:textId="77777777" w:rsidR="00190B9F" w:rsidRPr="00337827" w:rsidRDefault="00190B9F" w:rsidP="00BF1E30">
            <w:pPr>
              <w:spacing w:after="0" w:line="240" w:lineRule="auto"/>
              <w:jc w:val="both"/>
              <w:rPr>
                <w:rFonts w:ascii="Times New Roman" w:eastAsia="Times New Roman" w:hAnsi="Times New Roman" w:cs="Times New Roman"/>
                <w:sz w:val="24"/>
                <w:szCs w:val="24"/>
                <w:lang w:eastAsia="lv-LV"/>
              </w:rPr>
            </w:pPr>
            <w:r w:rsidRPr="00337827">
              <w:rPr>
                <w:rFonts w:ascii="Times New Roman" w:eastAsia="Times New Roman" w:hAnsi="Times New Roman" w:cs="Times New Roman"/>
                <w:sz w:val="24"/>
                <w:szCs w:val="24"/>
                <w:lang w:eastAsia="lv-LV"/>
              </w:rPr>
              <w:t>Likumprojekts neparedz šādu normu.</w:t>
            </w:r>
          </w:p>
          <w:p w14:paraId="2032BB65" w14:textId="77777777" w:rsidR="00190B9F" w:rsidRPr="00337827" w:rsidRDefault="00190B9F" w:rsidP="00BF1E30">
            <w:pPr>
              <w:spacing w:after="0" w:line="240" w:lineRule="auto"/>
              <w:jc w:val="both"/>
              <w:rPr>
                <w:rFonts w:ascii="Times New Roman" w:eastAsia="Times New Roman" w:hAnsi="Times New Roman" w:cs="Times New Roman"/>
                <w:sz w:val="24"/>
                <w:szCs w:val="24"/>
                <w:lang w:eastAsia="lv-LV"/>
              </w:rPr>
            </w:pP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54BD6B3" w14:textId="77777777" w:rsidR="00190B9F" w:rsidRPr="00337827" w:rsidRDefault="00190B9F" w:rsidP="00BF1E30">
            <w:pPr>
              <w:spacing w:after="0" w:line="240" w:lineRule="auto"/>
              <w:jc w:val="both"/>
              <w:rPr>
                <w:rFonts w:ascii="Times New Roman" w:eastAsia="Times New Roman" w:hAnsi="Times New Roman" w:cs="Times New Roman"/>
                <w:sz w:val="24"/>
                <w:szCs w:val="24"/>
                <w:lang w:eastAsia="lv-LV"/>
              </w:rPr>
            </w:pPr>
            <w:r w:rsidRPr="00337827">
              <w:rPr>
                <w:rFonts w:ascii="Times New Roman" w:eastAsia="Times New Roman" w:hAnsi="Times New Roman" w:cs="Times New Roman"/>
                <w:sz w:val="24"/>
                <w:szCs w:val="24"/>
                <w:lang w:eastAsia="lv-LV"/>
              </w:rPr>
              <w:t>Likumprojekts neparedz šādu normu.</w:t>
            </w:r>
          </w:p>
          <w:p w14:paraId="59787608" w14:textId="755DAC6E" w:rsidR="00190B9F" w:rsidRPr="00337827" w:rsidRDefault="00190B9F" w:rsidP="00397575">
            <w:pPr>
              <w:spacing w:after="0" w:line="240" w:lineRule="auto"/>
              <w:jc w:val="both"/>
              <w:rPr>
                <w:rFonts w:ascii="Times New Roman" w:eastAsia="Times New Roman" w:hAnsi="Times New Roman" w:cs="Times New Roman"/>
                <w:sz w:val="24"/>
                <w:szCs w:val="24"/>
                <w:lang w:eastAsia="lv-LV"/>
              </w:rPr>
            </w:pPr>
            <w:r w:rsidRPr="00337827">
              <w:rPr>
                <w:rFonts w:ascii="Times New Roman" w:eastAsia="Times New Roman" w:hAnsi="Times New Roman" w:cs="Times New Roman"/>
                <w:sz w:val="24"/>
                <w:szCs w:val="24"/>
                <w:lang w:eastAsia="lv-LV"/>
              </w:rPr>
              <w:t xml:space="preserve">Norma attiecas uz </w:t>
            </w:r>
            <w:r w:rsidR="00397575" w:rsidRPr="00337827">
              <w:rPr>
                <w:rFonts w:ascii="Times New Roman" w:eastAsia="Times New Roman" w:hAnsi="Times New Roman" w:cs="Times New Roman"/>
                <w:sz w:val="24"/>
                <w:szCs w:val="24"/>
                <w:lang w:eastAsia="lv-LV"/>
              </w:rPr>
              <w:t>pievienotās vērtības nodokļa atbrīvojuma piemērošanu. Atbilstoši grozījumi šajā sakarā tiks veikti Pievienotās vērtības nodokļa likumā.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B1AC1B2" w14:textId="77777777" w:rsidR="00397575" w:rsidRPr="00337827" w:rsidRDefault="00397575" w:rsidP="00397575">
            <w:pPr>
              <w:spacing w:after="0" w:line="240" w:lineRule="auto"/>
              <w:jc w:val="both"/>
              <w:rPr>
                <w:rFonts w:ascii="Times New Roman" w:eastAsia="Times New Roman" w:hAnsi="Times New Roman" w:cs="Times New Roman"/>
                <w:sz w:val="24"/>
                <w:szCs w:val="24"/>
                <w:lang w:eastAsia="lv-LV"/>
              </w:rPr>
            </w:pPr>
            <w:r w:rsidRPr="00337827">
              <w:rPr>
                <w:rFonts w:ascii="Times New Roman" w:eastAsia="Times New Roman" w:hAnsi="Times New Roman" w:cs="Times New Roman"/>
                <w:sz w:val="24"/>
                <w:szCs w:val="24"/>
                <w:lang w:eastAsia="lv-LV"/>
              </w:rPr>
              <w:t>Likumprojekts neparedz šādu normu.</w:t>
            </w:r>
          </w:p>
          <w:p w14:paraId="3CE3FCE3" w14:textId="4C85BC9B" w:rsidR="00190B9F" w:rsidRPr="00337827" w:rsidRDefault="00397575" w:rsidP="00397575">
            <w:pPr>
              <w:spacing w:after="0" w:line="240" w:lineRule="auto"/>
              <w:jc w:val="both"/>
              <w:rPr>
                <w:rFonts w:ascii="Times New Roman" w:eastAsia="Times New Roman" w:hAnsi="Times New Roman" w:cs="Times New Roman"/>
                <w:sz w:val="24"/>
                <w:szCs w:val="24"/>
                <w:lang w:eastAsia="lv-LV"/>
              </w:rPr>
            </w:pPr>
            <w:r w:rsidRPr="00337827">
              <w:rPr>
                <w:rFonts w:ascii="Times New Roman" w:eastAsia="Times New Roman" w:hAnsi="Times New Roman" w:cs="Times New Roman"/>
                <w:sz w:val="24"/>
                <w:szCs w:val="24"/>
                <w:lang w:eastAsia="lv-LV"/>
              </w:rPr>
              <w:t>Norma attiecas uz pievienotās vērtības nodokļa atbrīvojuma piemērošanu. Atbilstoši grozījumi šajā sakarā tiks veikti Pievienotās vērtības nodokļa likumā.</w:t>
            </w:r>
          </w:p>
        </w:tc>
      </w:tr>
      <w:tr w:rsidR="003C0985" w:rsidRPr="00235AD3" w14:paraId="5068FA73" w14:textId="77777777" w:rsidTr="00BF1E30">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2AA0BD55" w14:textId="47D9C4B9" w:rsidR="003C0985" w:rsidRPr="00337827" w:rsidRDefault="003C0985" w:rsidP="003C0985">
            <w:pPr>
              <w:spacing w:after="0" w:line="240" w:lineRule="auto"/>
              <w:jc w:val="both"/>
              <w:rPr>
                <w:rFonts w:ascii="Times New Roman" w:eastAsia="Times New Roman" w:hAnsi="Times New Roman" w:cs="Times New Roman"/>
                <w:sz w:val="24"/>
                <w:szCs w:val="24"/>
                <w:lang w:eastAsia="lv-LV"/>
              </w:rPr>
            </w:pPr>
            <w:r w:rsidRPr="00337827">
              <w:rPr>
                <w:rFonts w:ascii="Times New Roman" w:eastAsia="Times New Roman" w:hAnsi="Times New Roman" w:cs="Times New Roman"/>
                <w:sz w:val="24"/>
                <w:szCs w:val="24"/>
                <w:lang w:eastAsia="lv-LV"/>
              </w:rPr>
              <w:t>2.</w:t>
            </w:r>
            <w:r w:rsidR="003C22D4" w:rsidRPr="00337827">
              <w:rPr>
                <w:rFonts w:ascii="Times New Roman" w:eastAsia="Times New Roman" w:hAnsi="Times New Roman" w:cs="Times New Roman"/>
                <w:sz w:val="24"/>
                <w:szCs w:val="24"/>
                <w:lang w:eastAsia="lv-LV"/>
              </w:rPr>
              <w:t> </w:t>
            </w:r>
            <w:r w:rsidRPr="00337827">
              <w:rPr>
                <w:rFonts w:ascii="Times New Roman" w:eastAsia="Times New Roman" w:hAnsi="Times New Roman" w:cs="Times New Roman"/>
                <w:sz w:val="24"/>
                <w:szCs w:val="24"/>
                <w:lang w:eastAsia="lv-LV"/>
              </w:rPr>
              <w:t>pants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38C39F2" w14:textId="3164F05C" w:rsidR="003C0985" w:rsidRPr="00337827" w:rsidRDefault="003C0985" w:rsidP="00FB3D78">
            <w:pPr>
              <w:spacing w:after="0" w:line="240" w:lineRule="auto"/>
              <w:jc w:val="both"/>
              <w:rPr>
                <w:rFonts w:ascii="Times New Roman" w:eastAsia="Times New Roman" w:hAnsi="Times New Roman" w:cs="Times New Roman"/>
                <w:sz w:val="24"/>
                <w:szCs w:val="24"/>
                <w:lang w:eastAsia="lv-LV"/>
              </w:rPr>
            </w:pPr>
            <w:r w:rsidRPr="00337827">
              <w:rPr>
                <w:rFonts w:ascii="Times New Roman" w:eastAsia="Times New Roman" w:hAnsi="Times New Roman" w:cs="Times New Roman"/>
                <w:sz w:val="24"/>
                <w:szCs w:val="24"/>
                <w:lang w:eastAsia="lv-LV"/>
              </w:rPr>
              <w:t>Likumprojekta 1</w:t>
            </w:r>
            <w:r w:rsidR="00FB3D78">
              <w:rPr>
                <w:rFonts w:ascii="Times New Roman" w:eastAsia="Times New Roman" w:hAnsi="Times New Roman" w:cs="Times New Roman"/>
                <w:sz w:val="24"/>
                <w:szCs w:val="24"/>
                <w:lang w:eastAsia="lv-LV"/>
              </w:rPr>
              <w:t>3</w:t>
            </w:r>
            <w:r w:rsidRPr="00337827">
              <w:rPr>
                <w:rFonts w:ascii="Times New Roman" w:eastAsia="Times New Roman" w:hAnsi="Times New Roman" w:cs="Times New Roman"/>
                <w:sz w:val="24"/>
                <w:szCs w:val="24"/>
                <w:lang w:eastAsia="lv-LV"/>
              </w:rPr>
              <w:t>.</w:t>
            </w:r>
            <w:r w:rsidR="003C22D4" w:rsidRPr="00337827">
              <w:rPr>
                <w:rFonts w:ascii="Times New Roman" w:eastAsia="Times New Roman" w:hAnsi="Times New Roman" w:cs="Times New Roman"/>
                <w:sz w:val="24"/>
                <w:szCs w:val="24"/>
                <w:lang w:eastAsia="lv-LV"/>
              </w:rPr>
              <w:t> </w:t>
            </w:r>
            <w:r w:rsidR="00861969" w:rsidRPr="00337827">
              <w:rPr>
                <w:rFonts w:ascii="Times New Roman" w:eastAsia="Times New Roman" w:hAnsi="Times New Roman" w:cs="Times New Roman"/>
                <w:sz w:val="24"/>
                <w:szCs w:val="24"/>
                <w:lang w:eastAsia="lv-LV"/>
              </w:rPr>
              <w:t>pants</w:t>
            </w:r>
            <w:r w:rsidRPr="00337827">
              <w:rPr>
                <w:rFonts w:ascii="Times New Roman" w:eastAsia="Times New Roman" w:hAnsi="Times New Roman" w:cs="Times New Roman"/>
                <w:sz w:val="24"/>
                <w:szCs w:val="24"/>
                <w:lang w:eastAsia="lv-LV"/>
              </w:rPr>
              <w:t>.</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6597F179" w14:textId="5A29C1B9" w:rsidR="003C0985" w:rsidRPr="00337827" w:rsidRDefault="003C0985" w:rsidP="003C0985">
            <w:pPr>
              <w:spacing w:after="0" w:line="240" w:lineRule="auto"/>
              <w:jc w:val="both"/>
              <w:rPr>
                <w:rFonts w:ascii="Times New Roman" w:eastAsia="Times New Roman" w:hAnsi="Times New Roman" w:cs="Times New Roman"/>
                <w:sz w:val="24"/>
                <w:szCs w:val="24"/>
                <w:lang w:eastAsia="lv-LV"/>
              </w:rPr>
            </w:pPr>
            <w:r w:rsidRPr="00337827">
              <w:rPr>
                <w:rFonts w:ascii="Times New Roman" w:eastAsia="Times New Roman" w:hAnsi="Times New Roman" w:cs="Times New Roman"/>
                <w:sz w:val="24"/>
                <w:szCs w:val="24"/>
                <w:lang w:eastAsia="lv-LV"/>
              </w:rPr>
              <w:t>ES tiesību akta vienība tiek pārņemta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111792D7" w14:textId="0EF9CCAC" w:rsidR="003C0985" w:rsidRPr="00337827" w:rsidRDefault="003C0985" w:rsidP="003C0985">
            <w:pPr>
              <w:spacing w:after="0" w:line="240" w:lineRule="auto"/>
              <w:jc w:val="both"/>
              <w:rPr>
                <w:rFonts w:ascii="Times New Roman" w:eastAsia="Times New Roman" w:hAnsi="Times New Roman" w:cs="Times New Roman"/>
                <w:sz w:val="24"/>
                <w:szCs w:val="24"/>
                <w:lang w:eastAsia="lv-LV"/>
              </w:rPr>
            </w:pPr>
            <w:r w:rsidRPr="00337827">
              <w:rPr>
                <w:rFonts w:ascii="Times New Roman" w:eastAsia="Times New Roman" w:hAnsi="Times New Roman" w:cs="Times New Roman"/>
                <w:sz w:val="24"/>
                <w:szCs w:val="24"/>
                <w:lang w:eastAsia="lv-LV"/>
              </w:rPr>
              <w:t>Likumprojektā ietvertā norma neparedz stingrākas prasības nekā šīs tabulas A ailē minētās ES tiesību akta vienība.</w:t>
            </w:r>
          </w:p>
        </w:tc>
      </w:tr>
      <w:tr w:rsidR="00056E85" w:rsidRPr="00235AD3" w14:paraId="56CF2F34" w14:textId="77777777" w:rsidTr="00BF1E30">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34265698" w14:textId="580B4C4C" w:rsidR="00056E85" w:rsidRPr="00337827" w:rsidRDefault="00056E85" w:rsidP="00056E85">
            <w:pPr>
              <w:spacing w:after="0" w:line="240" w:lineRule="auto"/>
              <w:jc w:val="both"/>
              <w:rPr>
                <w:rFonts w:ascii="Times New Roman" w:eastAsia="Times New Roman" w:hAnsi="Times New Roman" w:cs="Times New Roman"/>
                <w:sz w:val="24"/>
                <w:szCs w:val="24"/>
                <w:lang w:eastAsia="lv-LV"/>
              </w:rPr>
            </w:pPr>
            <w:r w:rsidRPr="00337827">
              <w:rPr>
                <w:rFonts w:ascii="Times New Roman" w:eastAsia="Times New Roman" w:hAnsi="Times New Roman" w:cs="Times New Roman"/>
                <w:sz w:val="24"/>
                <w:szCs w:val="24"/>
                <w:lang w:eastAsia="lv-LV"/>
              </w:rPr>
              <w:t>3.</w:t>
            </w:r>
            <w:r w:rsidR="003C22D4" w:rsidRPr="00337827">
              <w:rPr>
                <w:rFonts w:ascii="Times New Roman" w:eastAsia="Times New Roman" w:hAnsi="Times New Roman" w:cs="Times New Roman"/>
                <w:sz w:val="24"/>
                <w:szCs w:val="24"/>
                <w:lang w:eastAsia="lv-LV"/>
              </w:rPr>
              <w:t> </w:t>
            </w:r>
            <w:r w:rsidRPr="00337827">
              <w:rPr>
                <w:rFonts w:ascii="Times New Roman" w:eastAsia="Times New Roman" w:hAnsi="Times New Roman" w:cs="Times New Roman"/>
                <w:sz w:val="24"/>
                <w:szCs w:val="24"/>
                <w:lang w:eastAsia="lv-LV"/>
              </w:rPr>
              <w:t>pants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DD4C19D" w14:textId="02A231CF" w:rsidR="00056E85" w:rsidRPr="00337827" w:rsidRDefault="00FB3D78" w:rsidP="00FB3D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19</w:t>
            </w:r>
            <w:r w:rsidR="00056E85" w:rsidRPr="00337827">
              <w:rPr>
                <w:rFonts w:ascii="Times New Roman" w:eastAsia="Times New Roman" w:hAnsi="Times New Roman" w:cs="Times New Roman"/>
                <w:sz w:val="24"/>
                <w:szCs w:val="24"/>
                <w:lang w:eastAsia="lv-LV"/>
              </w:rPr>
              <w:t>.</w:t>
            </w:r>
            <w:r w:rsidR="003C22D4" w:rsidRPr="0033782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otrā daļa un 20</w:t>
            </w:r>
            <w:r w:rsidR="00056E85" w:rsidRPr="00337827">
              <w:rPr>
                <w:rFonts w:ascii="Times New Roman" w:eastAsia="Times New Roman" w:hAnsi="Times New Roman" w:cs="Times New Roman"/>
                <w:sz w:val="24"/>
                <w:szCs w:val="24"/>
                <w:lang w:eastAsia="lv-LV"/>
              </w:rPr>
              <w:t>.</w:t>
            </w:r>
            <w:r w:rsidR="003C22D4" w:rsidRPr="00337827">
              <w:rPr>
                <w:rFonts w:ascii="Times New Roman" w:eastAsia="Times New Roman" w:hAnsi="Times New Roman" w:cs="Times New Roman"/>
                <w:sz w:val="24"/>
                <w:szCs w:val="24"/>
                <w:lang w:eastAsia="lv-LV"/>
              </w:rPr>
              <w:t> </w:t>
            </w:r>
            <w:r w:rsidR="00056E85" w:rsidRPr="00337827">
              <w:rPr>
                <w:rFonts w:ascii="Times New Roman" w:eastAsia="Times New Roman" w:hAnsi="Times New Roman" w:cs="Times New Roman"/>
                <w:sz w:val="24"/>
                <w:szCs w:val="24"/>
                <w:lang w:eastAsia="lv-LV"/>
              </w:rPr>
              <w:t>pants.</w:t>
            </w:r>
          </w:p>
        </w:tc>
        <w:tc>
          <w:tcPr>
            <w:tcW w:w="1250" w:type="pct"/>
            <w:gridSpan w:val="2"/>
            <w:tcBorders>
              <w:top w:val="outset" w:sz="6" w:space="0" w:color="414142"/>
              <w:left w:val="outset" w:sz="6" w:space="0" w:color="414142"/>
              <w:bottom w:val="outset" w:sz="6" w:space="0" w:color="414142"/>
              <w:right w:val="outset" w:sz="6" w:space="0" w:color="414142"/>
            </w:tcBorders>
            <w:shd w:val="clear" w:color="auto" w:fill="FFFFFF"/>
          </w:tcPr>
          <w:p w14:paraId="261466F3" w14:textId="7073BAE6" w:rsidR="00056E85" w:rsidRPr="00337827" w:rsidRDefault="00056E85" w:rsidP="00056E85">
            <w:pPr>
              <w:spacing w:after="0" w:line="240" w:lineRule="auto"/>
              <w:jc w:val="both"/>
              <w:rPr>
                <w:rFonts w:ascii="Times New Roman" w:eastAsia="Times New Roman" w:hAnsi="Times New Roman" w:cs="Times New Roman"/>
                <w:sz w:val="24"/>
                <w:szCs w:val="24"/>
                <w:lang w:eastAsia="lv-LV"/>
              </w:rPr>
            </w:pPr>
            <w:r w:rsidRPr="00337827">
              <w:rPr>
                <w:rFonts w:ascii="Times New Roman" w:eastAsia="Times New Roman" w:hAnsi="Times New Roman" w:cs="Times New Roman"/>
                <w:sz w:val="24"/>
                <w:szCs w:val="24"/>
                <w:lang w:eastAsia="lv-LV"/>
              </w:rPr>
              <w:t>ES tiesību akta vienība tiek pārņemta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7BE339E" w14:textId="22D5FB99" w:rsidR="00056E85" w:rsidRPr="00337827" w:rsidRDefault="00056E85" w:rsidP="00056E85">
            <w:pPr>
              <w:spacing w:after="0" w:line="240" w:lineRule="auto"/>
              <w:jc w:val="both"/>
              <w:rPr>
                <w:rFonts w:ascii="Times New Roman" w:eastAsia="Times New Roman" w:hAnsi="Times New Roman" w:cs="Times New Roman"/>
                <w:sz w:val="24"/>
                <w:szCs w:val="24"/>
                <w:lang w:eastAsia="lv-LV"/>
              </w:rPr>
            </w:pPr>
            <w:r w:rsidRPr="00337827">
              <w:rPr>
                <w:rFonts w:ascii="Times New Roman" w:eastAsia="Times New Roman" w:hAnsi="Times New Roman" w:cs="Times New Roman"/>
                <w:sz w:val="24"/>
                <w:szCs w:val="24"/>
                <w:lang w:eastAsia="lv-LV"/>
              </w:rPr>
              <w:t xml:space="preserve">Likumprojektā ietvertā norma neparedz stingrākas prasības nekā šīs tabulas A ailē </w:t>
            </w:r>
            <w:r w:rsidRPr="00337827">
              <w:rPr>
                <w:rFonts w:ascii="Times New Roman" w:eastAsia="Times New Roman" w:hAnsi="Times New Roman" w:cs="Times New Roman"/>
                <w:sz w:val="24"/>
                <w:szCs w:val="24"/>
                <w:lang w:eastAsia="lv-LV"/>
              </w:rPr>
              <w:lastRenderedPageBreak/>
              <w:t>minētās ES tiesību akta vienība.</w:t>
            </w:r>
          </w:p>
        </w:tc>
      </w:tr>
      <w:tr w:rsidR="00E429CE" w:rsidRPr="00235AD3" w14:paraId="0A709A1F" w14:textId="77777777" w:rsidTr="00E429CE">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FC2051" w14:textId="77777777" w:rsidR="00E429CE" w:rsidRPr="00235AD3" w:rsidRDefault="00E429CE" w:rsidP="00E429CE">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235AD3">
              <w:rPr>
                <w:rFonts w:ascii="Times New Roman" w:eastAsia="Times New Roman" w:hAnsi="Times New Roman" w:cs="Times New Roman"/>
                <w:bCs/>
                <w:sz w:val="24"/>
                <w:szCs w:val="24"/>
                <w:lang w:eastAsia="lv-LV"/>
              </w:rPr>
              <w:lastRenderedPageBreak/>
              <w:t>2. tabula</w:t>
            </w:r>
            <w:r w:rsidRPr="00235AD3">
              <w:rPr>
                <w:rFonts w:ascii="Times New Roman" w:eastAsia="Times New Roman" w:hAnsi="Times New Roman" w:cs="Times New Roman"/>
                <w:bCs/>
                <w:sz w:val="24"/>
                <w:szCs w:val="24"/>
                <w:lang w:eastAsia="lv-LV"/>
              </w:rPr>
              <w:br/>
              <w:t>Ar tiesību akta projektu izpildītās vai uzņemtās saistības, kas izriet no starptautiskajiem tiesību aktiem vai starptautiskas institūcijas vai organizācijas dokumentiem.</w:t>
            </w:r>
            <w:r w:rsidRPr="00235AD3">
              <w:rPr>
                <w:rFonts w:ascii="Times New Roman" w:eastAsia="Times New Roman" w:hAnsi="Times New Roman" w:cs="Times New Roman"/>
                <w:bCs/>
                <w:sz w:val="24"/>
                <w:szCs w:val="24"/>
                <w:lang w:eastAsia="lv-LV"/>
              </w:rPr>
              <w:br/>
              <w:t>Pasākumi šo saistību izpildei</w:t>
            </w:r>
          </w:p>
        </w:tc>
      </w:tr>
      <w:tr w:rsidR="00E429CE" w:rsidRPr="00235AD3" w14:paraId="49C44569" w14:textId="77777777" w:rsidTr="00E429CE">
        <w:tc>
          <w:tcPr>
            <w:tcW w:w="1148" w:type="pct"/>
            <w:tcBorders>
              <w:top w:val="outset" w:sz="6" w:space="0" w:color="414142"/>
              <w:left w:val="outset" w:sz="6" w:space="0" w:color="414142"/>
              <w:bottom w:val="outset" w:sz="6" w:space="0" w:color="414142"/>
              <w:right w:val="outset" w:sz="6" w:space="0" w:color="414142"/>
            </w:tcBorders>
            <w:shd w:val="clear" w:color="auto" w:fill="FFFFFF"/>
            <w:hideMark/>
          </w:tcPr>
          <w:p w14:paraId="1CD550CF" w14:textId="77777777" w:rsidR="00E429CE" w:rsidRPr="00235AD3" w:rsidRDefault="00E429CE" w:rsidP="00E429CE">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85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07E59E5E" w14:textId="43DE9A13" w:rsidR="00E429CE" w:rsidRPr="00235AD3" w:rsidRDefault="00E429CE" w:rsidP="00E429CE">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Līgums par Lielbritānijas un Ziemeļīrijas Apvienotās Karalistes izstāšanos no Eiropas Savienības un Eiropas Atomenerģijas kopienas (Izstāšan</w:t>
            </w:r>
            <w:r w:rsidR="00DD501C" w:rsidRPr="00235AD3">
              <w:rPr>
                <w:rFonts w:ascii="Times New Roman" w:eastAsia="Times New Roman" w:hAnsi="Times New Roman" w:cs="Times New Roman"/>
                <w:sz w:val="24"/>
                <w:szCs w:val="24"/>
                <w:lang w:eastAsia="lv-LV"/>
              </w:rPr>
              <w:t>ās līgums)</w:t>
            </w:r>
          </w:p>
          <w:p w14:paraId="7B7FE634" w14:textId="77777777" w:rsidR="00E429CE" w:rsidRPr="00235AD3" w:rsidRDefault="00E429CE" w:rsidP="00E429CE">
            <w:pPr>
              <w:spacing w:after="0" w:line="240" w:lineRule="auto"/>
              <w:rPr>
                <w:rFonts w:ascii="Times New Roman" w:eastAsia="Times New Roman" w:hAnsi="Times New Roman" w:cs="Times New Roman"/>
                <w:sz w:val="24"/>
                <w:szCs w:val="24"/>
                <w:lang w:eastAsia="lv-LV"/>
              </w:rPr>
            </w:pPr>
          </w:p>
          <w:p w14:paraId="3E89DBDB" w14:textId="558282CE" w:rsidR="00E429CE" w:rsidRPr="00235AD3" w:rsidRDefault="00E429CE" w:rsidP="00E429CE">
            <w:pPr>
              <w:spacing w:after="0" w:line="240" w:lineRule="auto"/>
              <w:rPr>
                <w:rFonts w:ascii="Times New Roman" w:eastAsia="Times New Roman" w:hAnsi="Times New Roman" w:cs="Times New Roman"/>
                <w:sz w:val="24"/>
                <w:szCs w:val="24"/>
                <w:lang w:eastAsia="lv-LV"/>
              </w:rPr>
            </w:pPr>
          </w:p>
        </w:tc>
      </w:tr>
      <w:tr w:rsidR="00E429CE" w:rsidRPr="00235AD3" w14:paraId="2B22B138" w14:textId="77777777" w:rsidTr="00E429CE">
        <w:tc>
          <w:tcPr>
            <w:tcW w:w="11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7B9B8" w14:textId="77777777" w:rsidR="00E429CE" w:rsidRPr="00235AD3" w:rsidRDefault="00E429CE" w:rsidP="00E429C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A</w:t>
            </w:r>
          </w:p>
        </w:tc>
        <w:tc>
          <w:tcPr>
            <w:tcW w:w="1723"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C82E4" w14:textId="77777777" w:rsidR="00E429CE" w:rsidRPr="00235AD3" w:rsidRDefault="00E429CE" w:rsidP="00E429C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B</w:t>
            </w:r>
          </w:p>
        </w:tc>
        <w:tc>
          <w:tcPr>
            <w:tcW w:w="212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861D66" w14:textId="77777777" w:rsidR="00E429CE" w:rsidRPr="00235AD3" w:rsidRDefault="00E429CE" w:rsidP="00E429C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C</w:t>
            </w:r>
          </w:p>
        </w:tc>
      </w:tr>
      <w:tr w:rsidR="00E429CE" w:rsidRPr="00235AD3" w14:paraId="7D0E90F8" w14:textId="77777777" w:rsidTr="00E429CE">
        <w:tc>
          <w:tcPr>
            <w:tcW w:w="1148" w:type="pct"/>
            <w:tcBorders>
              <w:top w:val="outset" w:sz="6" w:space="0" w:color="414142"/>
              <w:left w:val="outset" w:sz="6" w:space="0" w:color="414142"/>
              <w:bottom w:val="outset" w:sz="6" w:space="0" w:color="414142"/>
              <w:right w:val="outset" w:sz="6" w:space="0" w:color="414142"/>
            </w:tcBorders>
            <w:shd w:val="clear" w:color="auto" w:fill="FFFFFF"/>
            <w:hideMark/>
          </w:tcPr>
          <w:p w14:paraId="6CF56FAF" w14:textId="77777777" w:rsidR="00E429CE" w:rsidRPr="00235AD3" w:rsidRDefault="00E429CE" w:rsidP="00E429CE">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Starptautiskās saistības (pēc būtības), kas izriet no norādītā starptautiskā dokumenta.</w:t>
            </w:r>
            <w:r w:rsidRPr="00235AD3">
              <w:rPr>
                <w:rFonts w:ascii="Times New Roman" w:eastAsia="Times New Roman" w:hAnsi="Times New Roman" w:cs="Times New Roman"/>
                <w:sz w:val="24"/>
                <w:szCs w:val="24"/>
                <w:lang w:eastAsia="lv-LV"/>
              </w:rPr>
              <w:br/>
              <w:t>Konkrēti veicamie pasākumi vai uzdevumi, kas nepieciešami šo starptautisko saistību izpildei</w:t>
            </w:r>
          </w:p>
        </w:tc>
        <w:tc>
          <w:tcPr>
            <w:tcW w:w="172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ECA6B36" w14:textId="77777777" w:rsidR="00E429CE" w:rsidRPr="00235AD3" w:rsidRDefault="00E429CE" w:rsidP="00E429CE">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2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67FB9FA" w14:textId="77777777" w:rsidR="00E429CE" w:rsidRPr="00235AD3" w:rsidRDefault="00E429CE" w:rsidP="00E429CE">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r w:rsidRPr="00235AD3">
              <w:rPr>
                <w:rFonts w:ascii="Times New Roman" w:eastAsia="Times New Roman" w:hAnsi="Times New Roman" w:cs="Times New Roman"/>
                <w:sz w:val="24"/>
                <w:szCs w:val="24"/>
                <w:lang w:eastAsia="lv-LV"/>
              </w:rPr>
              <w:br/>
              <w:t>Ja attiecīgās starptautiskās saistības tiek izpildītas daļēji, sniedz skaidrojumu, kā arī precīzi norāda, kad un kādā veidā starptautiskās saistības tiks izpildītas pilnībā.</w:t>
            </w:r>
            <w:r w:rsidRPr="00235AD3">
              <w:rPr>
                <w:rFonts w:ascii="Times New Roman" w:eastAsia="Times New Roman" w:hAnsi="Times New Roman" w:cs="Times New Roman"/>
                <w:sz w:val="24"/>
                <w:szCs w:val="24"/>
                <w:lang w:eastAsia="lv-LV"/>
              </w:rPr>
              <w:br/>
              <w:t>Norāda institūciju, kas ir atbildīga par šo saistību izpildi pilnībā</w:t>
            </w:r>
          </w:p>
        </w:tc>
      </w:tr>
      <w:tr w:rsidR="00E429CE" w:rsidRPr="00235AD3" w14:paraId="3E90AFC4" w14:textId="77777777" w:rsidTr="00E429CE">
        <w:tc>
          <w:tcPr>
            <w:tcW w:w="1148" w:type="pct"/>
            <w:tcBorders>
              <w:top w:val="outset" w:sz="6" w:space="0" w:color="414142"/>
              <w:left w:val="outset" w:sz="6" w:space="0" w:color="414142"/>
              <w:bottom w:val="outset" w:sz="6" w:space="0" w:color="414142"/>
              <w:right w:val="outset" w:sz="6" w:space="0" w:color="414142"/>
            </w:tcBorders>
            <w:shd w:val="clear" w:color="auto" w:fill="FFFFFF"/>
          </w:tcPr>
          <w:p w14:paraId="60171999" w14:textId="0547E63B" w:rsidR="00E429CE" w:rsidRPr="00235AD3" w:rsidRDefault="00E429CE" w:rsidP="00057D4B">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Izstāšanās līgums</w:t>
            </w:r>
            <w:r w:rsidR="00842089" w:rsidRPr="00235AD3">
              <w:rPr>
                <w:rFonts w:ascii="Times New Roman" w:eastAsia="Times New Roman" w:hAnsi="Times New Roman" w:cs="Times New Roman"/>
                <w:sz w:val="24"/>
                <w:szCs w:val="24"/>
                <w:lang w:eastAsia="lv-LV"/>
              </w:rPr>
              <w:t xml:space="preserve">, izņemot </w:t>
            </w:r>
            <w:r w:rsidR="00057D4B" w:rsidRPr="00235AD3">
              <w:rPr>
                <w:rFonts w:ascii="Times New Roman" w:eastAsia="Times New Roman" w:hAnsi="Times New Roman" w:cs="Times New Roman"/>
                <w:sz w:val="24"/>
                <w:szCs w:val="24"/>
                <w:lang w:eastAsia="lv-LV"/>
              </w:rPr>
              <w:t>Izstāšanās līguma Protokolu</w:t>
            </w:r>
            <w:r w:rsidR="00842089" w:rsidRPr="00235AD3">
              <w:rPr>
                <w:rFonts w:ascii="Times New Roman" w:eastAsia="Times New Roman" w:hAnsi="Times New Roman" w:cs="Times New Roman"/>
                <w:sz w:val="24"/>
                <w:szCs w:val="24"/>
                <w:lang w:eastAsia="lv-LV"/>
              </w:rPr>
              <w:t xml:space="preserve"> par Lielbritānijas un Ziemeļīrijas Apvienotās Karalistes Suverēnajām bāzu teritorijām Kiprā</w:t>
            </w:r>
            <w:r w:rsidR="00057D4B" w:rsidRPr="00235AD3">
              <w:rPr>
                <w:rFonts w:ascii="Times New Roman" w:eastAsia="Times New Roman" w:hAnsi="Times New Roman" w:cs="Times New Roman"/>
                <w:sz w:val="24"/>
                <w:szCs w:val="24"/>
                <w:lang w:eastAsia="lv-LV"/>
              </w:rPr>
              <w:t xml:space="preserve"> (3. un 4.pants) un </w:t>
            </w:r>
            <w:r w:rsidR="00842089" w:rsidRPr="00235AD3">
              <w:rPr>
                <w:rFonts w:ascii="Times New Roman" w:eastAsia="Times New Roman" w:hAnsi="Times New Roman" w:cs="Times New Roman"/>
                <w:sz w:val="24"/>
                <w:szCs w:val="24"/>
                <w:lang w:eastAsia="lv-LV"/>
              </w:rPr>
              <w:t>Protokol</w:t>
            </w:r>
            <w:r w:rsidR="00057D4B" w:rsidRPr="00235AD3">
              <w:rPr>
                <w:rFonts w:ascii="Times New Roman" w:eastAsia="Times New Roman" w:hAnsi="Times New Roman" w:cs="Times New Roman"/>
                <w:sz w:val="24"/>
                <w:szCs w:val="24"/>
                <w:lang w:eastAsia="lv-LV"/>
              </w:rPr>
              <w:t>u</w:t>
            </w:r>
            <w:r w:rsidR="00842089" w:rsidRPr="00235AD3">
              <w:rPr>
                <w:rFonts w:ascii="Times New Roman" w:eastAsia="Times New Roman" w:hAnsi="Times New Roman" w:cs="Times New Roman"/>
                <w:sz w:val="24"/>
                <w:szCs w:val="24"/>
                <w:lang w:eastAsia="lv-LV"/>
              </w:rPr>
              <w:t xml:space="preserve"> par Īriju/Ziemeļīriju</w:t>
            </w:r>
            <w:r w:rsidR="00057D4B" w:rsidRPr="00235AD3">
              <w:rPr>
                <w:rFonts w:ascii="Times New Roman" w:eastAsia="Times New Roman" w:hAnsi="Times New Roman" w:cs="Times New Roman"/>
                <w:sz w:val="24"/>
                <w:szCs w:val="24"/>
                <w:lang w:eastAsia="lv-LV"/>
              </w:rPr>
              <w:t xml:space="preserve"> (8.pants)</w:t>
            </w:r>
            <w:r w:rsidR="00842089" w:rsidRPr="00235AD3">
              <w:rPr>
                <w:rFonts w:ascii="Times New Roman" w:eastAsia="Times New Roman" w:hAnsi="Times New Roman" w:cs="Times New Roman"/>
                <w:sz w:val="24"/>
                <w:szCs w:val="24"/>
                <w:lang w:eastAsia="lv-LV"/>
              </w:rPr>
              <w:t xml:space="preserve">. </w:t>
            </w:r>
          </w:p>
        </w:tc>
        <w:tc>
          <w:tcPr>
            <w:tcW w:w="1723" w:type="pct"/>
            <w:gridSpan w:val="3"/>
            <w:tcBorders>
              <w:top w:val="outset" w:sz="6" w:space="0" w:color="414142"/>
              <w:left w:val="outset" w:sz="6" w:space="0" w:color="414142"/>
              <w:bottom w:val="outset" w:sz="6" w:space="0" w:color="414142"/>
              <w:right w:val="outset" w:sz="6" w:space="0" w:color="414142"/>
            </w:tcBorders>
            <w:shd w:val="clear" w:color="auto" w:fill="FFFFFF"/>
          </w:tcPr>
          <w:p w14:paraId="713DE077" w14:textId="1715400D" w:rsidR="00E429CE" w:rsidRPr="00235AD3" w:rsidRDefault="00842089" w:rsidP="00FB3D78">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Likumprojekta </w:t>
            </w:r>
            <w:r w:rsidR="00964B3F" w:rsidRPr="00235AD3">
              <w:rPr>
                <w:rFonts w:ascii="Times New Roman" w:eastAsia="Times New Roman" w:hAnsi="Times New Roman" w:cs="Times New Roman"/>
                <w:sz w:val="24"/>
                <w:szCs w:val="24"/>
                <w:lang w:eastAsia="lv-LV"/>
              </w:rPr>
              <w:t>2</w:t>
            </w:r>
            <w:r w:rsidRPr="00235AD3">
              <w:rPr>
                <w:rFonts w:ascii="Times New Roman" w:eastAsia="Times New Roman" w:hAnsi="Times New Roman" w:cs="Times New Roman"/>
                <w:sz w:val="24"/>
                <w:szCs w:val="24"/>
                <w:lang w:eastAsia="lv-LV"/>
              </w:rPr>
              <w:t>.</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 xml:space="preserve">panta </w:t>
            </w:r>
            <w:r w:rsidR="00FB3D78">
              <w:rPr>
                <w:rFonts w:ascii="Times New Roman" w:eastAsia="Times New Roman" w:hAnsi="Times New Roman" w:cs="Times New Roman"/>
                <w:sz w:val="24"/>
                <w:szCs w:val="24"/>
                <w:lang w:eastAsia="lv-LV"/>
              </w:rPr>
              <w:t>treš</w:t>
            </w:r>
            <w:r w:rsidR="00126A44" w:rsidRPr="00235AD3">
              <w:rPr>
                <w:rFonts w:ascii="Times New Roman" w:eastAsia="Times New Roman" w:hAnsi="Times New Roman" w:cs="Times New Roman"/>
                <w:sz w:val="24"/>
                <w:szCs w:val="24"/>
                <w:lang w:eastAsia="lv-LV"/>
              </w:rPr>
              <w:t xml:space="preserve">ā </w:t>
            </w:r>
            <w:r w:rsidR="00FB3D78">
              <w:rPr>
                <w:rFonts w:ascii="Times New Roman" w:eastAsia="Times New Roman" w:hAnsi="Times New Roman" w:cs="Times New Roman"/>
                <w:sz w:val="24"/>
                <w:szCs w:val="24"/>
                <w:lang w:eastAsia="lv-LV"/>
              </w:rPr>
              <w:t>un piektā</w:t>
            </w:r>
            <w:r w:rsidR="00964B3F" w:rsidRPr="00235AD3">
              <w:rPr>
                <w:rFonts w:ascii="Times New Roman" w:eastAsia="Times New Roman" w:hAnsi="Times New Roman" w:cs="Times New Roman"/>
                <w:sz w:val="24"/>
                <w:szCs w:val="24"/>
                <w:lang w:eastAsia="lv-LV"/>
              </w:rPr>
              <w:t xml:space="preserve"> </w:t>
            </w:r>
            <w:r w:rsidRPr="00235AD3">
              <w:rPr>
                <w:rFonts w:ascii="Times New Roman" w:eastAsia="Times New Roman" w:hAnsi="Times New Roman" w:cs="Times New Roman"/>
                <w:sz w:val="24"/>
                <w:szCs w:val="24"/>
                <w:lang w:eastAsia="lv-LV"/>
              </w:rPr>
              <w:t>daļa.</w:t>
            </w:r>
          </w:p>
        </w:tc>
        <w:tc>
          <w:tcPr>
            <w:tcW w:w="2129" w:type="pct"/>
            <w:gridSpan w:val="2"/>
            <w:tcBorders>
              <w:top w:val="outset" w:sz="6" w:space="0" w:color="414142"/>
              <w:left w:val="outset" w:sz="6" w:space="0" w:color="414142"/>
              <w:bottom w:val="outset" w:sz="6" w:space="0" w:color="414142"/>
              <w:right w:val="outset" w:sz="6" w:space="0" w:color="414142"/>
            </w:tcBorders>
            <w:shd w:val="clear" w:color="auto" w:fill="FFFFFF"/>
          </w:tcPr>
          <w:p w14:paraId="6DD925EC" w14:textId="5D03DC95" w:rsidR="00E429CE" w:rsidRPr="00235AD3" w:rsidRDefault="00842089" w:rsidP="006204FB">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Uzņemtās saistības tiek izpildītas pilnībā.</w:t>
            </w:r>
          </w:p>
        </w:tc>
      </w:tr>
      <w:tr w:rsidR="00057D4B" w:rsidRPr="00235AD3" w14:paraId="19B56976" w14:textId="77777777" w:rsidTr="00E429CE">
        <w:tc>
          <w:tcPr>
            <w:tcW w:w="1148" w:type="pct"/>
            <w:tcBorders>
              <w:top w:val="outset" w:sz="6" w:space="0" w:color="414142"/>
              <w:left w:val="outset" w:sz="6" w:space="0" w:color="414142"/>
              <w:bottom w:val="outset" w:sz="6" w:space="0" w:color="414142"/>
              <w:right w:val="outset" w:sz="6" w:space="0" w:color="414142"/>
            </w:tcBorders>
            <w:shd w:val="clear" w:color="auto" w:fill="FFFFFF"/>
          </w:tcPr>
          <w:p w14:paraId="4210333E" w14:textId="6400D7C5" w:rsidR="00057D4B" w:rsidRPr="00235AD3" w:rsidRDefault="00057D4B" w:rsidP="00E429CE">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Izstāšanās līguma Protokols par Lielbritānijas un Ziemeļīrijas Apvienotās </w:t>
            </w:r>
            <w:r w:rsidRPr="00235AD3">
              <w:rPr>
                <w:rFonts w:ascii="Times New Roman" w:eastAsia="Times New Roman" w:hAnsi="Times New Roman" w:cs="Times New Roman"/>
                <w:sz w:val="24"/>
                <w:szCs w:val="24"/>
                <w:lang w:eastAsia="lv-LV"/>
              </w:rPr>
              <w:lastRenderedPageBreak/>
              <w:t>Karalistes Suverēnajām bāzu teritorijām Kiprā (3. un 4.pants)</w:t>
            </w:r>
          </w:p>
        </w:tc>
        <w:tc>
          <w:tcPr>
            <w:tcW w:w="1723" w:type="pct"/>
            <w:gridSpan w:val="3"/>
            <w:tcBorders>
              <w:top w:val="outset" w:sz="6" w:space="0" w:color="414142"/>
              <w:left w:val="outset" w:sz="6" w:space="0" w:color="414142"/>
              <w:bottom w:val="outset" w:sz="6" w:space="0" w:color="414142"/>
              <w:right w:val="outset" w:sz="6" w:space="0" w:color="414142"/>
            </w:tcBorders>
            <w:shd w:val="clear" w:color="auto" w:fill="FFFFFF"/>
          </w:tcPr>
          <w:p w14:paraId="028AABAB" w14:textId="145FB9BC" w:rsidR="00057D4B" w:rsidRPr="00235AD3" w:rsidRDefault="00465669" w:rsidP="00465669">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lastRenderedPageBreak/>
              <w:t xml:space="preserve">Nav nepieciešams veikt grozījumus likumā, jo likumā notiktās normas par Apvienotās Karalistes suverēno bāzu teritorijām Kiprā (likuma </w:t>
            </w:r>
            <w:r w:rsidRPr="00235AD3">
              <w:rPr>
                <w:rFonts w:ascii="Times New Roman" w:eastAsia="Times New Roman" w:hAnsi="Times New Roman" w:cs="Times New Roman"/>
                <w:sz w:val="24"/>
                <w:szCs w:val="24"/>
                <w:lang w:eastAsia="lv-LV"/>
              </w:rPr>
              <w:lastRenderedPageBreak/>
              <w:t>2.</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trešās daļas 5.</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punkts un 20.</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 pirmās daļas 8.</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punkts) ir piemērojamas arī turpmāk atbilstoši Izstāšanās līguma Protokolam par Lielbritānijas un Ziemeļīrijas Apvienotās Karalistes Suverēnajām bāzu teritorijām Kiprā 3. un 4.</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pantam.</w:t>
            </w:r>
          </w:p>
        </w:tc>
        <w:tc>
          <w:tcPr>
            <w:tcW w:w="2129" w:type="pct"/>
            <w:gridSpan w:val="2"/>
            <w:tcBorders>
              <w:top w:val="outset" w:sz="6" w:space="0" w:color="414142"/>
              <w:left w:val="outset" w:sz="6" w:space="0" w:color="414142"/>
              <w:bottom w:val="outset" w:sz="6" w:space="0" w:color="414142"/>
              <w:right w:val="outset" w:sz="6" w:space="0" w:color="414142"/>
            </w:tcBorders>
            <w:shd w:val="clear" w:color="auto" w:fill="FFFFFF"/>
          </w:tcPr>
          <w:p w14:paraId="60E56F12" w14:textId="46D05D30" w:rsidR="009D7ACC" w:rsidRPr="00235AD3" w:rsidRDefault="009D7ACC" w:rsidP="006204FB">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lastRenderedPageBreak/>
              <w:t xml:space="preserve">Uzņemtās saistības tiek </w:t>
            </w:r>
            <w:r w:rsidR="006204FB" w:rsidRPr="00235AD3">
              <w:rPr>
                <w:rFonts w:ascii="Times New Roman" w:eastAsia="Times New Roman" w:hAnsi="Times New Roman" w:cs="Times New Roman"/>
                <w:sz w:val="24"/>
                <w:szCs w:val="24"/>
                <w:lang w:eastAsia="lv-LV"/>
              </w:rPr>
              <w:t>iz</w:t>
            </w:r>
            <w:r w:rsidRPr="00235AD3">
              <w:rPr>
                <w:rFonts w:ascii="Times New Roman" w:eastAsia="Times New Roman" w:hAnsi="Times New Roman" w:cs="Times New Roman"/>
                <w:sz w:val="24"/>
                <w:szCs w:val="24"/>
                <w:lang w:eastAsia="lv-LV"/>
              </w:rPr>
              <w:t>pildītas pilnībā.</w:t>
            </w:r>
          </w:p>
          <w:p w14:paraId="1CE85FF1" w14:textId="09F953D4" w:rsidR="009D7ACC" w:rsidRPr="00235AD3" w:rsidRDefault="009D7ACC" w:rsidP="00465669">
            <w:pPr>
              <w:spacing w:after="0" w:line="240" w:lineRule="auto"/>
              <w:rPr>
                <w:rFonts w:ascii="Times New Roman" w:eastAsia="Times New Roman" w:hAnsi="Times New Roman" w:cs="Times New Roman"/>
                <w:sz w:val="24"/>
                <w:szCs w:val="24"/>
                <w:lang w:eastAsia="lv-LV"/>
              </w:rPr>
            </w:pPr>
          </w:p>
        </w:tc>
      </w:tr>
      <w:tr w:rsidR="00057D4B" w:rsidRPr="00235AD3" w14:paraId="502261B6" w14:textId="77777777" w:rsidTr="00E429CE">
        <w:tc>
          <w:tcPr>
            <w:tcW w:w="1148" w:type="pct"/>
            <w:tcBorders>
              <w:top w:val="outset" w:sz="6" w:space="0" w:color="414142"/>
              <w:left w:val="outset" w:sz="6" w:space="0" w:color="414142"/>
              <w:bottom w:val="outset" w:sz="6" w:space="0" w:color="414142"/>
              <w:right w:val="outset" w:sz="6" w:space="0" w:color="414142"/>
            </w:tcBorders>
            <w:shd w:val="clear" w:color="auto" w:fill="FFFFFF"/>
          </w:tcPr>
          <w:p w14:paraId="55346664" w14:textId="7868E348" w:rsidR="00057D4B" w:rsidRPr="00235AD3" w:rsidRDefault="00057D4B" w:rsidP="00E429CE">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Izstāšanās līguma Protokols par Īriju/Ziemeļīriju (8.pants).</w:t>
            </w:r>
          </w:p>
        </w:tc>
        <w:tc>
          <w:tcPr>
            <w:tcW w:w="1723" w:type="pct"/>
            <w:gridSpan w:val="3"/>
            <w:tcBorders>
              <w:top w:val="outset" w:sz="6" w:space="0" w:color="414142"/>
              <w:left w:val="outset" w:sz="6" w:space="0" w:color="414142"/>
              <w:bottom w:val="outset" w:sz="6" w:space="0" w:color="414142"/>
              <w:right w:val="outset" w:sz="6" w:space="0" w:color="414142"/>
            </w:tcBorders>
            <w:shd w:val="clear" w:color="auto" w:fill="FFFFFF"/>
          </w:tcPr>
          <w:p w14:paraId="5648FB9F" w14:textId="43655DF9" w:rsidR="00057D4B" w:rsidRPr="00235AD3" w:rsidRDefault="00057D4B" w:rsidP="006117F6">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 xml:space="preserve">Likumprojekta </w:t>
            </w:r>
            <w:r w:rsidR="00697452" w:rsidRPr="00235AD3">
              <w:rPr>
                <w:rFonts w:ascii="Times New Roman" w:eastAsia="Times New Roman" w:hAnsi="Times New Roman" w:cs="Times New Roman"/>
                <w:sz w:val="24"/>
                <w:szCs w:val="24"/>
                <w:lang w:eastAsia="lv-LV"/>
              </w:rPr>
              <w:t>2</w:t>
            </w:r>
            <w:r w:rsidRPr="00235AD3">
              <w:rPr>
                <w:rFonts w:ascii="Times New Roman" w:eastAsia="Times New Roman" w:hAnsi="Times New Roman" w:cs="Times New Roman"/>
                <w:sz w:val="24"/>
                <w:szCs w:val="24"/>
                <w:lang w:eastAsia="lv-LV"/>
              </w:rPr>
              <w:t>.</w:t>
            </w:r>
            <w:r w:rsidR="003C22D4" w:rsidRPr="00235AD3">
              <w:rPr>
                <w:rFonts w:ascii="Times New Roman" w:eastAsia="Times New Roman" w:hAnsi="Times New Roman" w:cs="Times New Roman"/>
                <w:sz w:val="24"/>
                <w:szCs w:val="24"/>
                <w:lang w:eastAsia="lv-LV"/>
              </w:rPr>
              <w:t> </w:t>
            </w:r>
            <w:r w:rsidRPr="00235AD3">
              <w:rPr>
                <w:rFonts w:ascii="Times New Roman" w:eastAsia="Times New Roman" w:hAnsi="Times New Roman" w:cs="Times New Roman"/>
                <w:sz w:val="24"/>
                <w:szCs w:val="24"/>
                <w:lang w:eastAsia="lv-LV"/>
              </w:rPr>
              <w:t xml:space="preserve">panta </w:t>
            </w:r>
            <w:r w:rsidR="006117F6">
              <w:rPr>
                <w:rFonts w:ascii="Times New Roman" w:eastAsia="Times New Roman" w:hAnsi="Times New Roman" w:cs="Times New Roman"/>
                <w:sz w:val="24"/>
                <w:szCs w:val="24"/>
                <w:lang w:eastAsia="lv-LV"/>
              </w:rPr>
              <w:t>cetur</w:t>
            </w:r>
            <w:r w:rsidR="00697452" w:rsidRPr="00235AD3">
              <w:rPr>
                <w:rFonts w:ascii="Times New Roman" w:eastAsia="Times New Roman" w:hAnsi="Times New Roman" w:cs="Times New Roman"/>
                <w:sz w:val="24"/>
                <w:szCs w:val="24"/>
                <w:lang w:eastAsia="lv-LV"/>
              </w:rPr>
              <w:t>tā</w:t>
            </w:r>
            <w:r w:rsidRPr="00235AD3">
              <w:rPr>
                <w:rFonts w:ascii="Times New Roman" w:eastAsia="Times New Roman" w:hAnsi="Times New Roman" w:cs="Times New Roman"/>
                <w:sz w:val="24"/>
                <w:szCs w:val="24"/>
                <w:lang w:eastAsia="lv-LV"/>
              </w:rPr>
              <w:t xml:space="preserve"> daļa.</w:t>
            </w:r>
          </w:p>
        </w:tc>
        <w:tc>
          <w:tcPr>
            <w:tcW w:w="2129" w:type="pct"/>
            <w:gridSpan w:val="2"/>
            <w:tcBorders>
              <w:top w:val="outset" w:sz="6" w:space="0" w:color="414142"/>
              <w:left w:val="outset" w:sz="6" w:space="0" w:color="414142"/>
              <w:bottom w:val="outset" w:sz="6" w:space="0" w:color="414142"/>
              <w:right w:val="outset" w:sz="6" w:space="0" w:color="414142"/>
            </w:tcBorders>
            <w:shd w:val="clear" w:color="auto" w:fill="FFFFFF"/>
          </w:tcPr>
          <w:p w14:paraId="48E9E5D1" w14:textId="767F3F00" w:rsidR="00057D4B" w:rsidRPr="00235AD3" w:rsidRDefault="00057D4B" w:rsidP="006204FB">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Uzņemtās saistības tiek izpildītas pilnībā.</w:t>
            </w:r>
          </w:p>
        </w:tc>
      </w:tr>
      <w:tr w:rsidR="00E429CE" w:rsidRPr="00235AD3" w14:paraId="0B858D91" w14:textId="77777777" w:rsidTr="00E429CE">
        <w:tc>
          <w:tcPr>
            <w:tcW w:w="1148" w:type="pct"/>
            <w:tcBorders>
              <w:top w:val="outset" w:sz="6" w:space="0" w:color="414142"/>
              <w:left w:val="outset" w:sz="6" w:space="0" w:color="414142"/>
              <w:bottom w:val="outset" w:sz="6" w:space="0" w:color="414142"/>
              <w:right w:val="outset" w:sz="6" w:space="0" w:color="414142"/>
            </w:tcBorders>
            <w:shd w:val="clear" w:color="auto" w:fill="FFFFFF"/>
            <w:hideMark/>
          </w:tcPr>
          <w:p w14:paraId="47719589" w14:textId="77777777" w:rsidR="00E429CE" w:rsidRPr="00235AD3" w:rsidRDefault="00E429CE" w:rsidP="00E429CE">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85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6B829470" w14:textId="77A795AC" w:rsidR="00E429CE" w:rsidRPr="00235AD3" w:rsidRDefault="00E17BDC" w:rsidP="00E429CE">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Paredzētās saistības nav pretrunā ar jau esošajām Latvijas Republikas starptautiskajām saistībām.</w:t>
            </w:r>
          </w:p>
        </w:tc>
      </w:tr>
      <w:tr w:rsidR="00E429CE" w:rsidRPr="00235AD3" w14:paraId="5375EDE1" w14:textId="77777777" w:rsidTr="00E429CE">
        <w:tc>
          <w:tcPr>
            <w:tcW w:w="1148" w:type="pct"/>
            <w:tcBorders>
              <w:top w:val="outset" w:sz="6" w:space="0" w:color="414142"/>
              <w:left w:val="outset" w:sz="6" w:space="0" w:color="414142"/>
              <w:bottom w:val="outset" w:sz="6" w:space="0" w:color="414142"/>
              <w:right w:val="outset" w:sz="6" w:space="0" w:color="414142"/>
            </w:tcBorders>
            <w:shd w:val="clear" w:color="auto" w:fill="FFFFFF"/>
            <w:hideMark/>
          </w:tcPr>
          <w:p w14:paraId="1D94B757" w14:textId="77777777" w:rsidR="00E429CE" w:rsidRPr="00235AD3" w:rsidRDefault="00E429CE" w:rsidP="00E429CE">
            <w:pPr>
              <w:spacing w:after="0" w:line="240" w:lineRule="auto"/>
              <w:rPr>
                <w:rFonts w:ascii="Times New Roman" w:eastAsia="Times New Roman" w:hAnsi="Times New Roman" w:cs="Times New Roman"/>
                <w:color w:val="414142"/>
                <w:sz w:val="24"/>
                <w:szCs w:val="24"/>
                <w:lang w:eastAsia="lv-LV"/>
              </w:rPr>
            </w:pPr>
            <w:r w:rsidRPr="00235AD3">
              <w:rPr>
                <w:rFonts w:ascii="Times New Roman" w:eastAsia="Times New Roman" w:hAnsi="Times New Roman" w:cs="Times New Roman"/>
                <w:color w:val="414142"/>
                <w:sz w:val="24"/>
                <w:szCs w:val="24"/>
                <w:lang w:eastAsia="lv-LV"/>
              </w:rPr>
              <w:t>Cita informācija</w:t>
            </w:r>
          </w:p>
        </w:tc>
        <w:tc>
          <w:tcPr>
            <w:tcW w:w="385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6D4A38E7" w14:textId="403452F1" w:rsidR="00E429CE" w:rsidRPr="00235AD3" w:rsidRDefault="00465669" w:rsidP="00E429CE">
            <w:pPr>
              <w:spacing w:after="0" w:line="240" w:lineRule="auto"/>
              <w:rPr>
                <w:rFonts w:ascii="Times New Roman" w:eastAsia="Times New Roman" w:hAnsi="Times New Roman" w:cs="Times New Roman"/>
                <w:color w:val="414142"/>
                <w:sz w:val="24"/>
                <w:szCs w:val="24"/>
                <w:lang w:eastAsia="lv-LV"/>
              </w:rPr>
            </w:pPr>
            <w:r w:rsidRPr="00235AD3">
              <w:rPr>
                <w:rFonts w:ascii="Times New Roman" w:eastAsia="Times New Roman" w:hAnsi="Times New Roman" w:cs="Times New Roman"/>
                <w:color w:val="414142"/>
                <w:sz w:val="24"/>
                <w:szCs w:val="24"/>
                <w:lang w:eastAsia="lv-LV"/>
              </w:rPr>
              <w:t>Nav</w:t>
            </w:r>
          </w:p>
        </w:tc>
      </w:tr>
    </w:tbl>
    <w:p w14:paraId="7085559B" w14:textId="2389CB4A" w:rsidR="00E429CE" w:rsidRPr="00235AD3" w:rsidRDefault="00E429CE" w:rsidP="00543AA6">
      <w:pPr>
        <w:spacing w:after="0" w:line="240" w:lineRule="auto"/>
        <w:rPr>
          <w:rFonts w:ascii="Times New Roman" w:eastAsia="Times New Roman" w:hAnsi="Times New Roman" w:cs="Times New Roman"/>
          <w:sz w:val="24"/>
          <w:szCs w:val="24"/>
          <w:lang w:eastAsia="lv-LV"/>
        </w:rPr>
      </w:pPr>
    </w:p>
    <w:tbl>
      <w:tblPr>
        <w:tblW w:w="505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2"/>
        <w:gridCol w:w="2147"/>
        <w:gridCol w:w="6525"/>
      </w:tblGrid>
      <w:tr w:rsidR="009612B1" w:rsidRPr="00235AD3" w14:paraId="0891B483" w14:textId="77777777" w:rsidTr="00C76826">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D6B4DBA" w14:textId="77777777" w:rsidR="009612B1" w:rsidRPr="00235AD3" w:rsidRDefault="009612B1" w:rsidP="00C76826">
            <w:pPr>
              <w:spacing w:after="0" w:line="360" w:lineRule="auto"/>
              <w:ind w:firstLine="300"/>
              <w:jc w:val="center"/>
              <w:rPr>
                <w:rFonts w:ascii="Times New Roman" w:eastAsia="Times New Roman" w:hAnsi="Times New Roman" w:cs="Times New Roman"/>
                <w:b/>
                <w:bCs/>
                <w:sz w:val="24"/>
                <w:szCs w:val="24"/>
                <w:lang w:eastAsia="lv-LV"/>
              </w:rPr>
            </w:pPr>
            <w:r w:rsidRPr="00235AD3">
              <w:rPr>
                <w:rFonts w:ascii="Times New Roman" w:eastAsia="Times New Roman" w:hAnsi="Times New Roman" w:cs="Times New Roman"/>
                <w:b/>
                <w:bCs/>
                <w:sz w:val="24"/>
                <w:szCs w:val="24"/>
                <w:lang w:eastAsia="lv-LV"/>
              </w:rPr>
              <w:t>VI. Sabiedrības līdzdalība un komunikācijas aktivitātes</w:t>
            </w:r>
          </w:p>
        </w:tc>
      </w:tr>
      <w:tr w:rsidR="009612B1" w:rsidRPr="00235AD3" w14:paraId="35D4C8D3" w14:textId="77777777" w:rsidTr="006C5CA7">
        <w:trPr>
          <w:trHeight w:val="1165"/>
        </w:trPr>
        <w:tc>
          <w:tcPr>
            <w:tcW w:w="294" w:type="pct"/>
            <w:tcBorders>
              <w:top w:val="single" w:sz="4" w:space="0" w:color="auto"/>
              <w:left w:val="outset" w:sz="6" w:space="0" w:color="414142"/>
              <w:bottom w:val="outset" w:sz="6" w:space="0" w:color="414142"/>
              <w:right w:val="outset" w:sz="6" w:space="0" w:color="414142"/>
            </w:tcBorders>
            <w:hideMark/>
          </w:tcPr>
          <w:p w14:paraId="58C6B432" w14:textId="77777777" w:rsidR="009612B1" w:rsidRPr="00235AD3"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1.</w:t>
            </w:r>
          </w:p>
        </w:tc>
        <w:tc>
          <w:tcPr>
            <w:tcW w:w="1165" w:type="pct"/>
            <w:tcBorders>
              <w:top w:val="single" w:sz="4" w:space="0" w:color="auto"/>
              <w:left w:val="outset" w:sz="6" w:space="0" w:color="414142"/>
              <w:bottom w:val="outset" w:sz="6" w:space="0" w:color="414142"/>
              <w:right w:val="outset" w:sz="6" w:space="0" w:color="414142"/>
            </w:tcBorders>
            <w:hideMark/>
          </w:tcPr>
          <w:p w14:paraId="59FBBB41" w14:textId="77777777" w:rsidR="009612B1" w:rsidRPr="00235AD3" w:rsidRDefault="009612B1" w:rsidP="00C76826">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Plānotās sabiedrības līdzdalības un komunikācijas aktivitātes saistībā ar projektu</w:t>
            </w:r>
          </w:p>
        </w:tc>
        <w:tc>
          <w:tcPr>
            <w:tcW w:w="3541" w:type="pct"/>
            <w:tcBorders>
              <w:top w:val="single" w:sz="4" w:space="0" w:color="auto"/>
              <w:left w:val="outset" w:sz="6" w:space="0" w:color="414142"/>
              <w:bottom w:val="outset" w:sz="6" w:space="0" w:color="414142"/>
              <w:right w:val="outset" w:sz="6" w:space="0" w:color="414142"/>
            </w:tcBorders>
            <w:hideMark/>
          </w:tcPr>
          <w:p w14:paraId="294B8555" w14:textId="77777777" w:rsidR="00447A3D" w:rsidRPr="00235AD3" w:rsidRDefault="00447A3D" w:rsidP="00447A3D">
            <w:pPr>
              <w:tabs>
                <w:tab w:val="left" w:pos="3997"/>
              </w:tabs>
              <w:spacing w:after="0" w:line="240" w:lineRule="auto"/>
              <w:ind w:right="111"/>
              <w:jc w:val="both"/>
              <w:rPr>
                <w:rFonts w:ascii="Times New Roman" w:eastAsia="Times New Roman" w:hAnsi="Times New Roman" w:cs="Times New Roman"/>
                <w:sz w:val="24"/>
                <w:szCs w:val="24"/>
                <w:lang w:eastAsia="lv-LV"/>
              </w:rPr>
            </w:pPr>
            <w:r w:rsidRPr="00235AD3">
              <w:rPr>
                <w:rFonts w:ascii="Times New Roman" w:hAnsi="Times New Roman" w:cs="Times New Roman"/>
                <w:iCs/>
                <w:spacing w:val="-2"/>
                <w:sz w:val="24"/>
                <w:szCs w:val="24"/>
              </w:rPr>
              <w:t xml:space="preserve">Likumprojekta izstrādes laikā notika konsultācijas ar </w:t>
            </w:r>
            <w:r w:rsidR="00CD2F8A" w:rsidRPr="00235AD3">
              <w:rPr>
                <w:rFonts w:ascii="Times New Roman" w:hAnsi="Times New Roman" w:cs="Times New Roman"/>
                <w:iCs/>
                <w:spacing w:val="-2"/>
                <w:sz w:val="24"/>
                <w:szCs w:val="24"/>
              </w:rPr>
              <w:t>TIRNA</w:t>
            </w:r>
            <w:r w:rsidRPr="00235AD3">
              <w:rPr>
                <w:rFonts w:ascii="Times New Roman" w:hAnsi="Times New Roman" w:cs="Times New Roman"/>
                <w:iCs/>
                <w:spacing w:val="-2"/>
                <w:sz w:val="24"/>
                <w:szCs w:val="24"/>
              </w:rPr>
              <w:t>, L</w:t>
            </w:r>
            <w:r w:rsidR="00CD2F8A" w:rsidRPr="00235AD3">
              <w:rPr>
                <w:rFonts w:ascii="Times New Roman" w:hAnsi="Times New Roman" w:cs="Times New Roman"/>
                <w:iCs/>
                <w:spacing w:val="-2"/>
                <w:sz w:val="24"/>
                <w:szCs w:val="24"/>
              </w:rPr>
              <w:t>ANA</w:t>
            </w:r>
            <w:r w:rsidR="00F61D30" w:rsidRPr="00235AD3">
              <w:rPr>
                <w:rFonts w:ascii="Times New Roman" w:hAnsi="Times New Roman" w:cs="Times New Roman"/>
                <w:iCs/>
                <w:spacing w:val="-2"/>
                <w:sz w:val="24"/>
                <w:szCs w:val="24"/>
              </w:rPr>
              <w:t xml:space="preserve"> un</w:t>
            </w:r>
            <w:r w:rsidRPr="00235AD3">
              <w:rPr>
                <w:rFonts w:ascii="Times New Roman" w:hAnsi="Times New Roman" w:cs="Times New Roman"/>
                <w:iCs/>
                <w:spacing w:val="-2"/>
                <w:sz w:val="24"/>
                <w:szCs w:val="24"/>
              </w:rPr>
              <w:t xml:space="preserve"> Bez</w:t>
            </w:r>
            <w:r w:rsidR="00A20E19" w:rsidRPr="00235AD3">
              <w:rPr>
                <w:rFonts w:ascii="Times New Roman" w:hAnsi="Times New Roman" w:cs="Times New Roman"/>
                <w:iCs/>
                <w:spacing w:val="-2"/>
                <w:sz w:val="24"/>
                <w:szCs w:val="24"/>
              </w:rPr>
              <w:t>dūmu</w:t>
            </w:r>
            <w:r w:rsidRPr="00235AD3">
              <w:rPr>
                <w:rFonts w:ascii="Times New Roman" w:hAnsi="Times New Roman" w:cs="Times New Roman"/>
                <w:iCs/>
                <w:spacing w:val="-2"/>
                <w:sz w:val="24"/>
                <w:szCs w:val="24"/>
              </w:rPr>
              <w:t xml:space="preserve"> nozares asociāciju</w:t>
            </w:r>
            <w:r w:rsidR="00A20E19" w:rsidRPr="00235AD3">
              <w:rPr>
                <w:rFonts w:ascii="Times New Roman" w:hAnsi="Times New Roman" w:cs="Times New Roman"/>
                <w:iCs/>
                <w:spacing w:val="-2"/>
                <w:sz w:val="24"/>
                <w:szCs w:val="24"/>
              </w:rPr>
              <w:t xml:space="preserve"> (turpmāk – BNA)</w:t>
            </w:r>
            <w:r w:rsidRPr="00235AD3">
              <w:rPr>
                <w:rFonts w:ascii="Times New Roman" w:hAnsi="Times New Roman" w:cs="Times New Roman"/>
                <w:iCs/>
                <w:spacing w:val="-2"/>
                <w:sz w:val="24"/>
                <w:szCs w:val="24"/>
              </w:rPr>
              <w:t>.</w:t>
            </w:r>
          </w:p>
          <w:p w14:paraId="5146C3C0" w14:textId="187F6C41" w:rsidR="009612B1" w:rsidRPr="00235AD3" w:rsidRDefault="009612B1" w:rsidP="00C76826">
            <w:pPr>
              <w:tabs>
                <w:tab w:val="left" w:pos="3997"/>
              </w:tabs>
              <w:spacing w:after="0" w:line="240" w:lineRule="auto"/>
              <w:ind w:right="111"/>
              <w:jc w:val="both"/>
              <w:rPr>
                <w:rFonts w:ascii="Times New Roman" w:hAnsi="Times New Roman" w:cs="Times New Roman"/>
                <w:iCs/>
                <w:spacing w:val="-2"/>
                <w:sz w:val="24"/>
                <w:szCs w:val="24"/>
              </w:rPr>
            </w:pPr>
            <w:r w:rsidRPr="00235AD3">
              <w:rPr>
                <w:rFonts w:ascii="Times New Roman" w:eastAsia="Times New Roman" w:hAnsi="Times New Roman" w:cs="Times New Roman"/>
                <w:sz w:val="24"/>
                <w:szCs w:val="24"/>
                <w:lang w:eastAsia="lv-LV"/>
              </w:rPr>
              <w:t xml:space="preserve">Informācija par likumprojekta izstrādi ir publicēta Finanšu ministrijas tīmekļvietnē sadaļā </w:t>
            </w:r>
            <w:r w:rsidRPr="00235AD3">
              <w:rPr>
                <w:rFonts w:ascii="Times New Roman" w:hAnsi="Times New Roman" w:cs="Times New Roman"/>
                <w:iCs/>
                <w:sz w:val="24"/>
                <w:szCs w:val="24"/>
              </w:rPr>
              <w:t>“Sabiedrības līdzdalība” – “Tiesību aktu projekti” – “Nodokļu politika”. L</w:t>
            </w:r>
            <w:r w:rsidRPr="00235AD3">
              <w:rPr>
                <w:rFonts w:ascii="Times New Roman" w:hAnsi="Times New Roman" w:cs="Times New Roman"/>
                <w:iCs/>
                <w:spacing w:val="-2"/>
                <w:sz w:val="24"/>
                <w:szCs w:val="24"/>
              </w:rPr>
              <w:t>īdz ar to sabiedrības pārstāvji var</w:t>
            </w:r>
            <w:r w:rsidR="008D530E" w:rsidRPr="00235AD3">
              <w:rPr>
                <w:rFonts w:ascii="Times New Roman" w:hAnsi="Times New Roman" w:cs="Times New Roman"/>
                <w:iCs/>
                <w:spacing w:val="-2"/>
                <w:sz w:val="24"/>
                <w:szCs w:val="24"/>
              </w:rPr>
              <w:t>ēja</w:t>
            </w:r>
            <w:r w:rsidRPr="00235AD3">
              <w:rPr>
                <w:rFonts w:ascii="Times New Roman" w:hAnsi="Times New Roman" w:cs="Times New Roman"/>
                <w:iCs/>
                <w:spacing w:val="-2"/>
                <w:sz w:val="24"/>
                <w:szCs w:val="24"/>
              </w:rPr>
              <w:t xml:space="preserve"> līdzdarboties likumprojekta izstrādē, rakstveidā sniedzot viedokļus par projektu</w:t>
            </w:r>
            <w:r w:rsidRPr="00235AD3">
              <w:rPr>
                <w:rFonts w:ascii="Times New Roman" w:hAnsi="Times New Roman" w:cs="Times New Roman"/>
                <w:i/>
                <w:iCs/>
                <w:spacing w:val="-2"/>
                <w:sz w:val="24"/>
                <w:szCs w:val="24"/>
              </w:rPr>
              <w:t>.</w:t>
            </w:r>
          </w:p>
          <w:p w14:paraId="22D08D98" w14:textId="1F85B28E" w:rsidR="009612B1" w:rsidRPr="00235AD3" w:rsidRDefault="00044B86" w:rsidP="008D530E">
            <w:pPr>
              <w:tabs>
                <w:tab w:val="left" w:pos="3997"/>
              </w:tabs>
              <w:spacing w:after="0" w:line="240" w:lineRule="auto"/>
              <w:ind w:right="111"/>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Tāpat sabiedrības pārstāvji varē</w:t>
            </w:r>
            <w:r w:rsidR="008D530E" w:rsidRPr="00235AD3">
              <w:rPr>
                <w:rFonts w:ascii="Times New Roman" w:eastAsia="Times New Roman" w:hAnsi="Times New Roman" w:cs="Times New Roman"/>
                <w:sz w:val="24"/>
                <w:szCs w:val="24"/>
                <w:lang w:eastAsia="lv-LV"/>
              </w:rPr>
              <w:t>ja</w:t>
            </w:r>
            <w:r w:rsidRPr="00235AD3">
              <w:rPr>
                <w:rFonts w:ascii="Times New Roman" w:eastAsia="Times New Roman" w:hAnsi="Times New Roman" w:cs="Times New Roman"/>
                <w:sz w:val="24"/>
                <w:szCs w:val="24"/>
                <w:lang w:eastAsia="lv-LV"/>
              </w:rPr>
              <w:t xml:space="preserve"> sniegt viedokļus par projektu pēc tā izsludināšanas Valsts sekretāru sanāksmē.</w:t>
            </w:r>
          </w:p>
        </w:tc>
      </w:tr>
      <w:tr w:rsidR="009612B1" w:rsidRPr="00235AD3" w14:paraId="50376AB2" w14:textId="77777777" w:rsidTr="006C5CA7">
        <w:tc>
          <w:tcPr>
            <w:tcW w:w="294" w:type="pct"/>
            <w:tcBorders>
              <w:top w:val="outset" w:sz="6" w:space="0" w:color="414142"/>
              <w:left w:val="outset" w:sz="6" w:space="0" w:color="414142"/>
              <w:bottom w:val="outset" w:sz="6" w:space="0" w:color="414142"/>
              <w:right w:val="outset" w:sz="6" w:space="0" w:color="414142"/>
            </w:tcBorders>
            <w:hideMark/>
          </w:tcPr>
          <w:p w14:paraId="3F2920DE" w14:textId="77777777" w:rsidR="009612B1" w:rsidRPr="00235AD3"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2.</w:t>
            </w:r>
          </w:p>
        </w:tc>
        <w:tc>
          <w:tcPr>
            <w:tcW w:w="1165" w:type="pct"/>
            <w:tcBorders>
              <w:top w:val="outset" w:sz="6" w:space="0" w:color="414142"/>
              <w:left w:val="outset" w:sz="6" w:space="0" w:color="414142"/>
              <w:bottom w:val="outset" w:sz="6" w:space="0" w:color="414142"/>
              <w:right w:val="outset" w:sz="6" w:space="0" w:color="414142"/>
            </w:tcBorders>
            <w:hideMark/>
          </w:tcPr>
          <w:p w14:paraId="27DEB2CD" w14:textId="77777777" w:rsidR="009612B1" w:rsidRPr="00235AD3" w:rsidRDefault="009612B1" w:rsidP="00C76826">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Sabiedrības līdzdalība projekta izstrādē</w:t>
            </w:r>
          </w:p>
        </w:tc>
        <w:tc>
          <w:tcPr>
            <w:tcW w:w="3541" w:type="pct"/>
            <w:tcBorders>
              <w:top w:val="outset" w:sz="6" w:space="0" w:color="414142"/>
              <w:left w:val="outset" w:sz="6" w:space="0" w:color="414142"/>
              <w:bottom w:val="outset" w:sz="6" w:space="0" w:color="414142"/>
              <w:right w:val="outset" w:sz="6" w:space="0" w:color="414142"/>
            </w:tcBorders>
            <w:hideMark/>
          </w:tcPr>
          <w:p w14:paraId="2CCD24B2" w14:textId="0F4F54F1" w:rsidR="00523AF0" w:rsidRPr="00235AD3" w:rsidRDefault="00523AF0" w:rsidP="00044B86">
            <w:pPr>
              <w:pStyle w:val="NormalWeb"/>
              <w:jc w:val="both"/>
              <w:rPr>
                <w:iCs/>
                <w:spacing w:val="-2"/>
              </w:rPr>
            </w:pPr>
            <w:r w:rsidRPr="00235AD3">
              <w:rPr>
                <w:iCs/>
                <w:spacing w:val="-2"/>
              </w:rPr>
              <w:t>Sabiedrības pārstāvji var</w:t>
            </w:r>
            <w:r w:rsidR="008D530E" w:rsidRPr="00235AD3">
              <w:rPr>
                <w:iCs/>
                <w:spacing w:val="-2"/>
              </w:rPr>
              <w:t>ēja</w:t>
            </w:r>
            <w:r w:rsidRPr="00235AD3">
              <w:rPr>
                <w:iCs/>
                <w:spacing w:val="-2"/>
              </w:rPr>
              <w:t xml:space="preserve"> arī līdzdarboties likumprojekta izstrādē, rakstveidā sniedzot viedokļus par likumprojektu, kas 2020.gada 5.maijā publicēts Finanšu ministrijas tīmekļvietnē sadaļā “Sabiedrības līdzdalība” – “Tiesību aktu projekti” – “Nodokļu politika”, adrese: https://www.fm.gov.lv/lv/sabiedribas_lidzdaliba/</w:t>
            </w:r>
          </w:p>
          <w:p w14:paraId="55058ED0" w14:textId="77777777" w:rsidR="00523AF0" w:rsidRPr="00235AD3" w:rsidRDefault="00523AF0" w:rsidP="00044B86">
            <w:pPr>
              <w:pStyle w:val="NormalWeb"/>
              <w:jc w:val="both"/>
              <w:rPr>
                <w:iCs/>
                <w:spacing w:val="-2"/>
              </w:rPr>
            </w:pPr>
            <w:proofErr w:type="spellStart"/>
            <w:r w:rsidRPr="00235AD3">
              <w:rPr>
                <w:iCs/>
                <w:spacing w:val="-2"/>
              </w:rPr>
              <w:t>tiesibu_aktu_projekti</w:t>
            </w:r>
            <w:proofErr w:type="spellEnd"/>
            <w:r w:rsidRPr="00235AD3">
              <w:rPr>
                <w:iCs/>
                <w:spacing w:val="-2"/>
              </w:rPr>
              <w:t>/nodoklu_politika#project647</w:t>
            </w:r>
          </w:p>
          <w:p w14:paraId="1DA7FA3B" w14:textId="0D5C7CDC" w:rsidR="009612B1" w:rsidRPr="00235AD3" w:rsidRDefault="00523AF0" w:rsidP="00044B86">
            <w:pPr>
              <w:tabs>
                <w:tab w:val="left" w:pos="3997"/>
              </w:tabs>
              <w:spacing w:after="0" w:line="240" w:lineRule="auto"/>
              <w:ind w:right="111"/>
              <w:rPr>
                <w:rFonts w:ascii="Times New Roman" w:eastAsia="Times New Roman" w:hAnsi="Times New Roman" w:cs="Times New Roman"/>
                <w:sz w:val="24"/>
                <w:szCs w:val="24"/>
                <w:lang w:eastAsia="lv-LV"/>
              </w:rPr>
            </w:pPr>
            <w:r w:rsidRPr="00235AD3">
              <w:rPr>
                <w:rFonts w:ascii="Times New Roman" w:hAnsi="Times New Roman" w:cs="Times New Roman"/>
                <w:iCs/>
                <w:spacing w:val="-2"/>
                <w:sz w:val="24"/>
                <w:szCs w:val="24"/>
              </w:rPr>
              <w:t xml:space="preserve">un Ministru kabineta tīmekļvietnē sadaļā “Valsts kanceleja” – “Sabiedrības līdzdalība”, adrese: </w:t>
            </w:r>
            <w:hyperlink r:id="rId8" w:history="1">
              <w:r w:rsidRPr="00235AD3">
                <w:rPr>
                  <w:rStyle w:val="Hyperlink"/>
                  <w:rFonts w:ascii="Times New Roman" w:hAnsi="Times New Roman" w:cs="Times New Roman"/>
                  <w:iCs/>
                  <w:spacing w:val="-2"/>
                  <w:sz w:val="24"/>
                  <w:szCs w:val="24"/>
                </w:rPr>
                <w:t>https://mk.gov.lv/content/ministru-kabineta-diskusiju-dokumenti</w:t>
              </w:r>
            </w:hyperlink>
            <w:r w:rsidRPr="00235AD3">
              <w:rPr>
                <w:rFonts w:ascii="Times New Roman" w:hAnsi="Times New Roman" w:cs="Times New Roman"/>
                <w:iCs/>
                <w:spacing w:val="-2"/>
                <w:u w:val="single"/>
              </w:rPr>
              <w:t>.</w:t>
            </w:r>
          </w:p>
        </w:tc>
      </w:tr>
      <w:tr w:rsidR="009612B1" w:rsidRPr="00235AD3" w14:paraId="112693B1" w14:textId="77777777" w:rsidTr="006C5CA7">
        <w:tc>
          <w:tcPr>
            <w:tcW w:w="294" w:type="pct"/>
            <w:tcBorders>
              <w:top w:val="outset" w:sz="6" w:space="0" w:color="414142"/>
              <w:left w:val="outset" w:sz="6" w:space="0" w:color="414142"/>
              <w:bottom w:val="outset" w:sz="6" w:space="0" w:color="414142"/>
              <w:right w:val="outset" w:sz="6" w:space="0" w:color="414142"/>
            </w:tcBorders>
            <w:hideMark/>
          </w:tcPr>
          <w:p w14:paraId="79051084" w14:textId="77777777" w:rsidR="009612B1" w:rsidRPr="00235AD3"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3.</w:t>
            </w:r>
          </w:p>
        </w:tc>
        <w:tc>
          <w:tcPr>
            <w:tcW w:w="1165" w:type="pct"/>
            <w:tcBorders>
              <w:top w:val="outset" w:sz="6" w:space="0" w:color="414142"/>
              <w:left w:val="outset" w:sz="6" w:space="0" w:color="414142"/>
              <w:bottom w:val="outset" w:sz="6" w:space="0" w:color="414142"/>
              <w:right w:val="outset" w:sz="6" w:space="0" w:color="414142"/>
            </w:tcBorders>
            <w:hideMark/>
          </w:tcPr>
          <w:p w14:paraId="5257A0B2" w14:textId="77777777" w:rsidR="009612B1" w:rsidRPr="00235AD3" w:rsidRDefault="009612B1" w:rsidP="00C76826">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Sabiedrības līdzdalības rezultāti</w:t>
            </w:r>
          </w:p>
        </w:tc>
        <w:tc>
          <w:tcPr>
            <w:tcW w:w="3541" w:type="pct"/>
            <w:tcBorders>
              <w:top w:val="outset" w:sz="6" w:space="0" w:color="414142"/>
              <w:left w:val="outset" w:sz="6" w:space="0" w:color="414142"/>
              <w:bottom w:val="outset" w:sz="6" w:space="0" w:color="414142"/>
              <w:right w:val="outset" w:sz="6" w:space="0" w:color="414142"/>
            </w:tcBorders>
          </w:tcPr>
          <w:p w14:paraId="7E9987F2" w14:textId="77777777" w:rsidR="004E6FEC" w:rsidRPr="00235AD3" w:rsidRDefault="00523AF0" w:rsidP="00523AF0">
            <w:pPr>
              <w:spacing w:after="0" w:line="240" w:lineRule="auto"/>
              <w:jc w:val="both"/>
              <w:rPr>
                <w:rFonts w:ascii="Times New Roman" w:eastAsia="Times New Roman" w:hAnsi="Times New Roman" w:cs="Times New Roman"/>
                <w:iCs/>
                <w:sz w:val="24"/>
                <w:szCs w:val="24"/>
              </w:rPr>
            </w:pPr>
            <w:r w:rsidRPr="00235AD3">
              <w:rPr>
                <w:rFonts w:ascii="Times New Roman" w:hAnsi="Times New Roman" w:cs="Times New Roman"/>
                <w:iCs/>
                <w:spacing w:val="-2"/>
                <w:sz w:val="24"/>
                <w:szCs w:val="24"/>
              </w:rPr>
              <w:t xml:space="preserve"> </w:t>
            </w:r>
            <w:r w:rsidRPr="00235AD3">
              <w:rPr>
                <w:rFonts w:ascii="Times New Roman" w:eastAsia="Times New Roman" w:hAnsi="Times New Roman" w:cs="Times New Roman"/>
                <w:iCs/>
                <w:sz w:val="24"/>
                <w:szCs w:val="24"/>
              </w:rPr>
              <w:t>TIRNA un LANA sniedza informāciju par iespējamo ietekmi uz uzņēmējdarbības vidi darbībām ar akcīzes nodokļa markām marķējamām akcīzes precēm ar likumprojektu paredzot:</w:t>
            </w:r>
          </w:p>
          <w:p w14:paraId="13BBF329" w14:textId="1E7B6334" w:rsidR="00523AF0" w:rsidRPr="00235AD3" w:rsidRDefault="00523AF0" w:rsidP="00523AF0">
            <w:pPr>
              <w:spacing w:after="0" w:line="240" w:lineRule="auto"/>
              <w:jc w:val="both"/>
              <w:rPr>
                <w:rFonts w:ascii="Times New Roman" w:eastAsia="Times New Roman" w:hAnsi="Times New Roman" w:cs="Times New Roman"/>
                <w:iCs/>
                <w:sz w:val="24"/>
                <w:szCs w:val="24"/>
                <w:lang w:eastAsia="lv-LV"/>
              </w:rPr>
            </w:pPr>
            <w:r w:rsidRPr="00235AD3">
              <w:rPr>
                <w:rFonts w:ascii="Times New Roman" w:eastAsia="Times New Roman" w:hAnsi="Times New Roman" w:cs="Times New Roman"/>
                <w:iCs/>
                <w:sz w:val="24"/>
                <w:szCs w:val="24"/>
                <w:lang w:eastAsia="lv-LV"/>
              </w:rPr>
              <w:t xml:space="preserve">- atcelt akcīzes nodokļa samaksas termiņu 180 dienas par saņemtajām akcīzes nodokļa markām, tādējādi maksājot akcīzes </w:t>
            </w:r>
            <w:r w:rsidRPr="00235AD3">
              <w:rPr>
                <w:rFonts w:ascii="Times New Roman" w:eastAsia="Times New Roman" w:hAnsi="Times New Roman" w:cs="Times New Roman"/>
                <w:iCs/>
                <w:sz w:val="24"/>
                <w:szCs w:val="24"/>
                <w:lang w:eastAsia="lv-LV"/>
              </w:rPr>
              <w:lastRenderedPageBreak/>
              <w:t>nodokli pēc faktiski marķēto preču vienību skaita, kas nodotas patēriņam vai laistas brīvā apgrozībā;</w:t>
            </w:r>
          </w:p>
          <w:p w14:paraId="2C6C2391" w14:textId="77777777" w:rsidR="00523AF0" w:rsidRPr="00235AD3" w:rsidRDefault="00523AF0" w:rsidP="00523AF0">
            <w:pPr>
              <w:spacing w:after="0" w:line="240" w:lineRule="auto"/>
              <w:jc w:val="both"/>
              <w:rPr>
                <w:rFonts w:ascii="Times New Roman" w:eastAsia="Times New Roman" w:hAnsi="Times New Roman" w:cs="Times New Roman"/>
                <w:iCs/>
                <w:sz w:val="24"/>
                <w:szCs w:val="24"/>
                <w:lang w:eastAsia="lv-LV"/>
              </w:rPr>
            </w:pPr>
            <w:r w:rsidRPr="00235AD3">
              <w:rPr>
                <w:rFonts w:ascii="Times New Roman" w:eastAsia="Times New Roman" w:hAnsi="Times New Roman" w:cs="Times New Roman"/>
                <w:iCs/>
                <w:sz w:val="24"/>
                <w:szCs w:val="24"/>
                <w:lang w:eastAsia="lv-LV"/>
              </w:rPr>
              <w:t>- paredz iespēju iznīcināt akcīzes nodokļa markas, nenoņemot tās no akcīzes preču iepakojuma, un šajā gadījumā saņemt atpakaļ samaksāto akcīzes nodokli.</w:t>
            </w:r>
          </w:p>
          <w:p w14:paraId="06BCB98A" w14:textId="139B34AC" w:rsidR="009612B1" w:rsidRPr="00235AD3" w:rsidRDefault="00523AF0" w:rsidP="006118DA">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iCs/>
                <w:sz w:val="24"/>
                <w:szCs w:val="24"/>
                <w:lang w:eastAsia="lv-LV"/>
              </w:rPr>
              <w:t>BNA</w:t>
            </w:r>
            <w:r w:rsidR="006118DA" w:rsidRPr="00235AD3">
              <w:rPr>
                <w:rFonts w:ascii="Times New Roman" w:eastAsia="Times New Roman" w:hAnsi="Times New Roman" w:cs="Times New Roman"/>
                <w:iCs/>
                <w:sz w:val="24"/>
                <w:szCs w:val="24"/>
                <w:lang w:eastAsia="lv-LV"/>
              </w:rPr>
              <w:t xml:space="preserve"> sniedza informāciju, ka tai nav iebildumu par sagatavoto likumprojektu.</w:t>
            </w:r>
          </w:p>
        </w:tc>
      </w:tr>
      <w:tr w:rsidR="009612B1" w:rsidRPr="00235AD3" w14:paraId="666D38AA" w14:textId="77777777" w:rsidTr="006C5CA7">
        <w:tc>
          <w:tcPr>
            <w:tcW w:w="294" w:type="pct"/>
            <w:tcBorders>
              <w:top w:val="outset" w:sz="6" w:space="0" w:color="414142"/>
              <w:left w:val="outset" w:sz="6" w:space="0" w:color="414142"/>
              <w:bottom w:val="outset" w:sz="6" w:space="0" w:color="414142"/>
              <w:right w:val="outset" w:sz="6" w:space="0" w:color="414142"/>
            </w:tcBorders>
            <w:hideMark/>
          </w:tcPr>
          <w:p w14:paraId="0FFC9564" w14:textId="77777777" w:rsidR="009612B1" w:rsidRPr="00235AD3"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lastRenderedPageBreak/>
              <w:t>4.</w:t>
            </w:r>
          </w:p>
        </w:tc>
        <w:tc>
          <w:tcPr>
            <w:tcW w:w="1165" w:type="pct"/>
            <w:tcBorders>
              <w:top w:val="outset" w:sz="6" w:space="0" w:color="414142"/>
              <w:left w:val="outset" w:sz="6" w:space="0" w:color="414142"/>
              <w:bottom w:val="outset" w:sz="6" w:space="0" w:color="414142"/>
              <w:right w:val="outset" w:sz="6" w:space="0" w:color="414142"/>
            </w:tcBorders>
            <w:hideMark/>
          </w:tcPr>
          <w:p w14:paraId="67FBD79F" w14:textId="77777777" w:rsidR="009612B1" w:rsidRPr="00235AD3" w:rsidRDefault="009612B1" w:rsidP="00C76826">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Cita informācija</w:t>
            </w:r>
          </w:p>
        </w:tc>
        <w:tc>
          <w:tcPr>
            <w:tcW w:w="3541" w:type="pct"/>
            <w:tcBorders>
              <w:top w:val="outset" w:sz="6" w:space="0" w:color="414142"/>
              <w:left w:val="outset" w:sz="6" w:space="0" w:color="414142"/>
              <w:bottom w:val="outset" w:sz="6" w:space="0" w:color="414142"/>
              <w:right w:val="outset" w:sz="6" w:space="0" w:color="414142"/>
            </w:tcBorders>
            <w:hideMark/>
          </w:tcPr>
          <w:p w14:paraId="438BD4BD" w14:textId="77777777" w:rsidR="009612B1" w:rsidRPr="00235AD3" w:rsidRDefault="009612B1" w:rsidP="00C76826">
            <w:pPr>
              <w:jc w:val="both"/>
              <w:rPr>
                <w:rFonts w:ascii="Times New Roman" w:hAnsi="Times New Roman" w:cs="Times New Roman"/>
                <w:sz w:val="24"/>
                <w:szCs w:val="24"/>
              </w:rPr>
            </w:pPr>
            <w:r w:rsidRPr="00235AD3">
              <w:rPr>
                <w:rFonts w:ascii="Times New Roman" w:hAnsi="Times New Roman" w:cs="Times New Roman"/>
                <w:sz w:val="24"/>
                <w:szCs w:val="24"/>
              </w:rPr>
              <w:t xml:space="preserve">Nav. </w:t>
            </w:r>
          </w:p>
        </w:tc>
      </w:tr>
    </w:tbl>
    <w:p w14:paraId="0723C214" w14:textId="77777777" w:rsidR="009612B1" w:rsidRPr="00235AD3" w:rsidRDefault="009612B1" w:rsidP="00543AA6">
      <w:pPr>
        <w:spacing w:after="0" w:line="240" w:lineRule="auto"/>
        <w:rPr>
          <w:rFonts w:ascii="Times New Roman" w:eastAsia="Times New Roman" w:hAnsi="Times New Roman" w:cs="Times New Roman"/>
          <w:sz w:val="24"/>
          <w:szCs w:val="24"/>
          <w:lang w:eastAsia="lv-LV"/>
        </w:rPr>
      </w:pPr>
    </w:p>
    <w:tbl>
      <w:tblPr>
        <w:tblW w:w="505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5"/>
        <w:gridCol w:w="3035"/>
        <w:gridCol w:w="5587"/>
      </w:tblGrid>
      <w:tr w:rsidR="00993C84" w:rsidRPr="00235AD3" w14:paraId="05315435" w14:textId="77777777" w:rsidTr="005E105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1D93776" w14:textId="77777777" w:rsidR="00543AA6" w:rsidRPr="00235AD3"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35AD3">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235AD3" w14:paraId="593063C5" w14:textId="77777777" w:rsidTr="005E1055">
        <w:tc>
          <w:tcPr>
            <w:tcW w:w="318" w:type="pct"/>
            <w:tcBorders>
              <w:top w:val="outset" w:sz="6" w:space="0" w:color="414142"/>
              <w:left w:val="outset" w:sz="6" w:space="0" w:color="414142"/>
              <w:bottom w:val="outset" w:sz="6" w:space="0" w:color="414142"/>
              <w:right w:val="outset" w:sz="6" w:space="0" w:color="414142"/>
            </w:tcBorders>
            <w:hideMark/>
          </w:tcPr>
          <w:p w14:paraId="50781A6C" w14:textId="77777777" w:rsidR="00543AA6" w:rsidRPr="00235AD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1.</w:t>
            </w:r>
          </w:p>
        </w:tc>
        <w:tc>
          <w:tcPr>
            <w:tcW w:w="1648" w:type="pct"/>
            <w:tcBorders>
              <w:top w:val="outset" w:sz="6" w:space="0" w:color="414142"/>
              <w:left w:val="outset" w:sz="6" w:space="0" w:color="414142"/>
              <w:bottom w:val="outset" w:sz="6" w:space="0" w:color="414142"/>
              <w:right w:val="outset" w:sz="6" w:space="0" w:color="414142"/>
            </w:tcBorders>
            <w:hideMark/>
          </w:tcPr>
          <w:p w14:paraId="2A9A6F4D" w14:textId="77777777" w:rsidR="00543AA6" w:rsidRPr="00235AD3" w:rsidRDefault="00543AA6" w:rsidP="00993C84">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Projekta izpildē iesaistītās institūcijas</w:t>
            </w:r>
          </w:p>
        </w:tc>
        <w:tc>
          <w:tcPr>
            <w:tcW w:w="3034" w:type="pct"/>
            <w:tcBorders>
              <w:top w:val="outset" w:sz="6" w:space="0" w:color="414142"/>
              <w:left w:val="outset" w:sz="6" w:space="0" w:color="414142"/>
              <w:bottom w:val="outset" w:sz="6" w:space="0" w:color="414142"/>
              <w:right w:val="outset" w:sz="6" w:space="0" w:color="414142"/>
            </w:tcBorders>
            <w:hideMark/>
          </w:tcPr>
          <w:p w14:paraId="01ACB1DF" w14:textId="77777777" w:rsidR="00543AA6" w:rsidRPr="00235AD3" w:rsidRDefault="00D77A92" w:rsidP="003D0556">
            <w:pPr>
              <w:spacing w:after="0" w:line="240" w:lineRule="auto"/>
              <w:rPr>
                <w:rFonts w:ascii="Times New Roman" w:hAnsi="Times New Roman" w:cs="Times New Roman"/>
                <w:sz w:val="24"/>
                <w:szCs w:val="24"/>
              </w:rPr>
            </w:pPr>
            <w:r w:rsidRPr="00235AD3">
              <w:rPr>
                <w:rFonts w:ascii="Times New Roman" w:eastAsia="Times New Roman" w:hAnsi="Times New Roman" w:cs="Times New Roman"/>
                <w:sz w:val="24"/>
                <w:szCs w:val="24"/>
                <w:lang w:eastAsia="lv-LV"/>
              </w:rPr>
              <w:t>Valsts ieņēmumu dien</w:t>
            </w:r>
            <w:r w:rsidR="003D0556" w:rsidRPr="00235AD3">
              <w:rPr>
                <w:rFonts w:ascii="Times New Roman" w:eastAsia="Times New Roman" w:hAnsi="Times New Roman" w:cs="Times New Roman"/>
                <w:sz w:val="24"/>
                <w:szCs w:val="24"/>
                <w:lang w:eastAsia="lv-LV"/>
              </w:rPr>
              <w:t>e</w:t>
            </w:r>
            <w:r w:rsidRPr="00235AD3">
              <w:rPr>
                <w:rFonts w:ascii="Times New Roman" w:eastAsia="Times New Roman" w:hAnsi="Times New Roman" w:cs="Times New Roman"/>
                <w:sz w:val="24"/>
                <w:szCs w:val="24"/>
                <w:lang w:eastAsia="lv-LV"/>
              </w:rPr>
              <w:t>sts.</w:t>
            </w:r>
          </w:p>
        </w:tc>
      </w:tr>
      <w:tr w:rsidR="00993C84" w:rsidRPr="00235AD3" w14:paraId="65F5B02C" w14:textId="77777777" w:rsidTr="005E1055">
        <w:tc>
          <w:tcPr>
            <w:tcW w:w="318" w:type="pct"/>
            <w:tcBorders>
              <w:top w:val="outset" w:sz="6" w:space="0" w:color="414142"/>
              <w:left w:val="outset" w:sz="6" w:space="0" w:color="414142"/>
              <w:bottom w:val="outset" w:sz="6" w:space="0" w:color="414142"/>
              <w:right w:val="outset" w:sz="6" w:space="0" w:color="414142"/>
            </w:tcBorders>
            <w:hideMark/>
          </w:tcPr>
          <w:p w14:paraId="30705968" w14:textId="77777777" w:rsidR="00543AA6" w:rsidRPr="00235AD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2.</w:t>
            </w:r>
          </w:p>
        </w:tc>
        <w:tc>
          <w:tcPr>
            <w:tcW w:w="1648" w:type="pct"/>
            <w:tcBorders>
              <w:top w:val="outset" w:sz="6" w:space="0" w:color="414142"/>
              <w:left w:val="outset" w:sz="6" w:space="0" w:color="414142"/>
              <w:bottom w:val="outset" w:sz="6" w:space="0" w:color="414142"/>
              <w:right w:val="outset" w:sz="6" w:space="0" w:color="414142"/>
            </w:tcBorders>
            <w:hideMark/>
          </w:tcPr>
          <w:p w14:paraId="6122B748" w14:textId="77777777" w:rsidR="00543AA6" w:rsidRPr="00235AD3" w:rsidRDefault="00543AA6" w:rsidP="00993C84">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Projekta izpildes ietekme uz pārvaldes funkcijām un institucionālo struktūru.</w:t>
            </w:r>
            <w:r w:rsidRPr="00235AD3">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34" w:type="pct"/>
            <w:tcBorders>
              <w:top w:val="outset" w:sz="6" w:space="0" w:color="414142"/>
              <w:left w:val="outset" w:sz="6" w:space="0" w:color="414142"/>
              <w:bottom w:val="outset" w:sz="6" w:space="0" w:color="414142"/>
              <w:right w:val="outset" w:sz="6" w:space="0" w:color="414142"/>
            </w:tcBorders>
            <w:hideMark/>
          </w:tcPr>
          <w:p w14:paraId="0BDE3075" w14:textId="6BCBB0C7" w:rsidR="00543AA6" w:rsidRPr="00235AD3" w:rsidRDefault="00523AF0" w:rsidP="00044B86">
            <w:pPr>
              <w:spacing w:after="0" w:line="240" w:lineRule="auto"/>
              <w:jc w:val="both"/>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Projekta izpilde neietekmēs pārvaldes funkcijas un institucionālo struktūru. Jaunu institūciju izveide, esošo institūciju likvidācija vai reorganizācija nav nepieciešama. Projekts tiks īstenots esoši cilvēkresursu ietvaros.</w:t>
            </w:r>
          </w:p>
        </w:tc>
      </w:tr>
      <w:tr w:rsidR="00993C84" w:rsidRPr="00235AD3" w14:paraId="2E26D048" w14:textId="77777777" w:rsidTr="005E1055">
        <w:tc>
          <w:tcPr>
            <w:tcW w:w="318" w:type="pct"/>
            <w:tcBorders>
              <w:top w:val="outset" w:sz="6" w:space="0" w:color="414142"/>
              <w:left w:val="outset" w:sz="6" w:space="0" w:color="414142"/>
              <w:bottom w:val="outset" w:sz="6" w:space="0" w:color="414142"/>
              <w:right w:val="outset" w:sz="6" w:space="0" w:color="414142"/>
            </w:tcBorders>
            <w:hideMark/>
          </w:tcPr>
          <w:p w14:paraId="1D74869E" w14:textId="77777777" w:rsidR="00543AA6" w:rsidRPr="00235AD3"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3.</w:t>
            </w:r>
          </w:p>
        </w:tc>
        <w:tc>
          <w:tcPr>
            <w:tcW w:w="1648" w:type="pct"/>
            <w:tcBorders>
              <w:top w:val="outset" w:sz="6" w:space="0" w:color="414142"/>
              <w:left w:val="outset" w:sz="6" w:space="0" w:color="414142"/>
              <w:bottom w:val="outset" w:sz="6" w:space="0" w:color="414142"/>
              <w:right w:val="outset" w:sz="6" w:space="0" w:color="414142"/>
            </w:tcBorders>
            <w:hideMark/>
          </w:tcPr>
          <w:p w14:paraId="1A5D0DD4" w14:textId="77777777" w:rsidR="00543AA6" w:rsidRPr="00235AD3" w:rsidRDefault="00543AA6" w:rsidP="00993C84">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Cita informācija</w:t>
            </w:r>
          </w:p>
        </w:tc>
        <w:tc>
          <w:tcPr>
            <w:tcW w:w="3034" w:type="pct"/>
            <w:tcBorders>
              <w:top w:val="outset" w:sz="6" w:space="0" w:color="414142"/>
              <w:left w:val="outset" w:sz="6" w:space="0" w:color="414142"/>
              <w:bottom w:val="outset" w:sz="6" w:space="0" w:color="414142"/>
              <w:right w:val="outset" w:sz="6" w:space="0" w:color="414142"/>
            </w:tcBorders>
            <w:hideMark/>
          </w:tcPr>
          <w:p w14:paraId="7EE83ADB" w14:textId="77777777" w:rsidR="00543AA6" w:rsidRPr="00235AD3" w:rsidRDefault="00993C84" w:rsidP="00993C84">
            <w:pPr>
              <w:spacing w:after="0" w:line="240" w:lineRule="auto"/>
              <w:rPr>
                <w:rFonts w:ascii="Times New Roman" w:eastAsia="Times New Roman" w:hAnsi="Times New Roman" w:cs="Times New Roman"/>
                <w:sz w:val="24"/>
                <w:szCs w:val="24"/>
                <w:lang w:eastAsia="lv-LV"/>
              </w:rPr>
            </w:pPr>
            <w:r w:rsidRPr="00235AD3">
              <w:rPr>
                <w:rFonts w:ascii="Times New Roman" w:eastAsia="Times New Roman" w:hAnsi="Times New Roman" w:cs="Times New Roman"/>
                <w:sz w:val="24"/>
                <w:szCs w:val="24"/>
                <w:lang w:eastAsia="lv-LV"/>
              </w:rPr>
              <w:t>Nav</w:t>
            </w:r>
            <w:r w:rsidR="001E55A0" w:rsidRPr="00235AD3">
              <w:rPr>
                <w:rFonts w:ascii="Times New Roman" w:eastAsia="Times New Roman" w:hAnsi="Times New Roman" w:cs="Times New Roman"/>
                <w:sz w:val="24"/>
                <w:szCs w:val="24"/>
                <w:lang w:eastAsia="lv-LV"/>
              </w:rPr>
              <w:t>.</w:t>
            </w:r>
          </w:p>
        </w:tc>
      </w:tr>
    </w:tbl>
    <w:p w14:paraId="22112337" w14:textId="77777777" w:rsidR="000B5181" w:rsidRPr="00235AD3" w:rsidRDefault="000B5181" w:rsidP="001E55A0">
      <w:pPr>
        <w:spacing w:after="0" w:line="240" w:lineRule="auto"/>
        <w:rPr>
          <w:rFonts w:ascii="Times New Roman" w:eastAsia="Times New Roman" w:hAnsi="Times New Roman" w:cs="Times New Roman"/>
          <w:bCs/>
          <w:iCs/>
          <w:kern w:val="1"/>
          <w:sz w:val="24"/>
          <w:szCs w:val="24"/>
          <w:lang w:eastAsia="ar-SA"/>
        </w:rPr>
      </w:pPr>
    </w:p>
    <w:p w14:paraId="0680AC48" w14:textId="77777777" w:rsidR="000B5181" w:rsidRPr="00235AD3" w:rsidRDefault="000B5181" w:rsidP="001E55A0">
      <w:pPr>
        <w:spacing w:after="0" w:line="240" w:lineRule="auto"/>
        <w:rPr>
          <w:rFonts w:ascii="Times New Roman" w:eastAsia="Times New Roman" w:hAnsi="Times New Roman" w:cs="Times New Roman"/>
          <w:bCs/>
          <w:iCs/>
          <w:kern w:val="1"/>
          <w:sz w:val="24"/>
          <w:szCs w:val="24"/>
          <w:lang w:eastAsia="ar-SA"/>
        </w:rPr>
      </w:pPr>
    </w:p>
    <w:p w14:paraId="62C94B6C" w14:textId="77777777" w:rsidR="00651466" w:rsidRPr="00CA23A8" w:rsidRDefault="00651466" w:rsidP="00B94447">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5F5F673E" w14:textId="77777777" w:rsidR="00651466" w:rsidRPr="00CA23A8" w:rsidRDefault="00651466" w:rsidP="00B94447">
      <w:pPr>
        <w:tabs>
          <w:tab w:val="left" w:pos="6521"/>
        </w:tabs>
        <w:spacing w:after="0" w:line="240" w:lineRule="auto"/>
        <w:ind w:firstLine="709"/>
        <w:jc w:val="both"/>
        <w:rPr>
          <w:rFonts w:ascii="Times New Roman" w:hAnsi="Times New Roman"/>
          <w:sz w:val="28"/>
          <w:szCs w:val="28"/>
        </w:rPr>
      </w:pPr>
      <w:r w:rsidRPr="00CA23A8">
        <w:rPr>
          <w:rFonts w:ascii="Times New Roman" w:hAnsi="Times New Roman"/>
          <w:sz w:val="28"/>
          <w:szCs w:val="28"/>
        </w:rPr>
        <w:t xml:space="preserve">Finanšu ministrs </w:t>
      </w:r>
      <w:r w:rsidRPr="00CA23A8">
        <w:rPr>
          <w:rFonts w:ascii="Times New Roman" w:hAnsi="Times New Roman"/>
          <w:sz w:val="28"/>
          <w:szCs w:val="28"/>
        </w:rPr>
        <w:tab/>
        <w:t>J. Reirs</w:t>
      </w:r>
    </w:p>
    <w:p w14:paraId="51F14D0F" w14:textId="38B5CB8E" w:rsidR="00927729" w:rsidRDefault="00927729" w:rsidP="001E55A0">
      <w:pPr>
        <w:spacing w:after="0" w:line="240" w:lineRule="auto"/>
        <w:rPr>
          <w:rFonts w:ascii="Times New Roman" w:eastAsia="Times New Roman" w:hAnsi="Times New Roman" w:cs="Times New Roman"/>
          <w:bCs/>
          <w:iCs/>
          <w:kern w:val="1"/>
          <w:sz w:val="24"/>
          <w:szCs w:val="24"/>
          <w:lang w:eastAsia="ar-SA"/>
        </w:rPr>
      </w:pPr>
    </w:p>
    <w:p w14:paraId="5E8DBC13" w14:textId="6E111D00" w:rsidR="00927729" w:rsidRDefault="00927729" w:rsidP="001E55A0">
      <w:pPr>
        <w:spacing w:after="0" w:line="240" w:lineRule="auto"/>
        <w:rPr>
          <w:rFonts w:ascii="Times New Roman" w:eastAsia="Times New Roman" w:hAnsi="Times New Roman" w:cs="Times New Roman"/>
          <w:bCs/>
          <w:iCs/>
          <w:kern w:val="1"/>
          <w:sz w:val="24"/>
          <w:szCs w:val="24"/>
          <w:lang w:eastAsia="ar-SA"/>
        </w:rPr>
      </w:pPr>
    </w:p>
    <w:p w14:paraId="21928CA7" w14:textId="77777777" w:rsidR="00927729" w:rsidRPr="00251FEF" w:rsidRDefault="00927729" w:rsidP="001E55A0">
      <w:pPr>
        <w:spacing w:after="0" w:line="240" w:lineRule="auto"/>
        <w:rPr>
          <w:rFonts w:ascii="Times New Roman" w:eastAsia="Times New Roman" w:hAnsi="Times New Roman" w:cs="Times New Roman"/>
          <w:bCs/>
          <w:iCs/>
          <w:kern w:val="1"/>
          <w:sz w:val="24"/>
          <w:szCs w:val="24"/>
          <w:lang w:eastAsia="ar-SA"/>
        </w:rPr>
      </w:pPr>
    </w:p>
    <w:p w14:paraId="464FD109" w14:textId="77777777" w:rsidR="001657A2" w:rsidRPr="00251FEF" w:rsidRDefault="001657A2" w:rsidP="001E55A0">
      <w:pPr>
        <w:spacing w:after="0" w:line="240" w:lineRule="auto"/>
        <w:rPr>
          <w:rFonts w:ascii="Times New Roman" w:eastAsia="Times New Roman" w:hAnsi="Times New Roman" w:cs="Times New Roman"/>
          <w:bCs/>
          <w:iCs/>
          <w:kern w:val="1"/>
          <w:sz w:val="20"/>
          <w:szCs w:val="24"/>
          <w:lang w:eastAsia="ar-SA"/>
        </w:rPr>
      </w:pPr>
    </w:p>
    <w:p w14:paraId="2FE495D8" w14:textId="77777777" w:rsidR="001E55A0" w:rsidRPr="00251FEF" w:rsidRDefault="001A44AF" w:rsidP="001E55A0">
      <w:pPr>
        <w:spacing w:after="0" w:line="240" w:lineRule="auto"/>
        <w:rPr>
          <w:rFonts w:ascii="Times New Roman" w:eastAsia="Times New Roman" w:hAnsi="Times New Roman" w:cs="Times New Roman"/>
          <w:bCs/>
          <w:iCs/>
          <w:kern w:val="1"/>
          <w:sz w:val="20"/>
          <w:szCs w:val="24"/>
          <w:lang w:eastAsia="ar-SA"/>
        </w:rPr>
      </w:pPr>
      <w:r w:rsidRPr="00251FEF">
        <w:rPr>
          <w:rFonts w:ascii="Times New Roman" w:eastAsia="Times New Roman" w:hAnsi="Times New Roman" w:cs="Times New Roman"/>
          <w:bCs/>
          <w:iCs/>
          <w:kern w:val="1"/>
          <w:sz w:val="20"/>
          <w:szCs w:val="24"/>
          <w:lang w:eastAsia="ar-SA"/>
        </w:rPr>
        <w:t>Pužule</w:t>
      </w:r>
      <w:r w:rsidR="006E1B67" w:rsidRPr="00251FEF">
        <w:rPr>
          <w:rFonts w:ascii="Times New Roman" w:eastAsia="Times New Roman" w:hAnsi="Times New Roman" w:cs="Times New Roman"/>
          <w:bCs/>
          <w:iCs/>
          <w:kern w:val="1"/>
          <w:sz w:val="20"/>
          <w:szCs w:val="24"/>
          <w:lang w:eastAsia="ar-SA"/>
        </w:rPr>
        <w:t>, 670</w:t>
      </w:r>
      <w:r w:rsidRPr="00251FEF">
        <w:rPr>
          <w:rFonts w:ascii="Times New Roman" w:eastAsia="Times New Roman" w:hAnsi="Times New Roman" w:cs="Times New Roman"/>
          <w:bCs/>
          <w:iCs/>
          <w:kern w:val="1"/>
          <w:sz w:val="20"/>
          <w:szCs w:val="24"/>
          <w:lang w:eastAsia="ar-SA"/>
        </w:rPr>
        <w:t>95521</w:t>
      </w:r>
    </w:p>
    <w:p w14:paraId="6F554C91" w14:textId="6A089CC6" w:rsidR="001E55A0" w:rsidRDefault="00902AF8" w:rsidP="001E55A0">
      <w:pPr>
        <w:spacing w:after="0" w:line="240" w:lineRule="auto"/>
        <w:rPr>
          <w:rStyle w:val="Hyperlink"/>
          <w:rFonts w:ascii="Times New Roman" w:eastAsia="Times New Roman" w:hAnsi="Times New Roman" w:cs="Times New Roman"/>
          <w:bCs/>
          <w:iCs/>
          <w:kern w:val="1"/>
          <w:sz w:val="20"/>
          <w:szCs w:val="24"/>
          <w:lang w:eastAsia="ar-SA"/>
        </w:rPr>
      </w:pPr>
      <w:hyperlink r:id="rId9" w:history="1">
        <w:r w:rsidR="001A44AF" w:rsidRPr="00251FEF">
          <w:rPr>
            <w:rStyle w:val="Hyperlink"/>
            <w:rFonts w:ascii="Times New Roman" w:eastAsia="Times New Roman" w:hAnsi="Times New Roman" w:cs="Times New Roman"/>
            <w:bCs/>
            <w:iCs/>
            <w:kern w:val="1"/>
            <w:sz w:val="20"/>
            <w:szCs w:val="24"/>
            <w:lang w:eastAsia="ar-SA"/>
          </w:rPr>
          <w:t>Gunta.Puzule@fm.gov.lv</w:t>
        </w:r>
      </w:hyperlink>
      <w:r w:rsidR="001E55A0" w:rsidRPr="005851C0">
        <w:rPr>
          <w:rFonts w:ascii="Times New Roman" w:eastAsia="Times New Roman" w:hAnsi="Times New Roman" w:cs="Times New Roman"/>
          <w:bCs/>
          <w:iCs/>
          <w:kern w:val="1"/>
          <w:sz w:val="20"/>
          <w:szCs w:val="24"/>
          <w:lang w:eastAsia="ar-SA"/>
        </w:rPr>
        <w:t xml:space="preserve"> </w:t>
      </w:r>
    </w:p>
    <w:p w14:paraId="67733D4E" w14:textId="4B03D052" w:rsidR="00651466" w:rsidRDefault="00651466" w:rsidP="00651466">
      <w:pPr>
        <w:rPr>
          <w:rStyle w:val="Hyperlink"/>
          <w:rFonts w:ascii="Times New Roman" w:eastAsia="Times New Roman" w:hAnsi="Times New Roman" w:cs="Times New Roman"/>
          <w:bCs/>
          <w:iCs/>
          <w:kern w:val="1"/>
          <w:sz w:val="20"/>
          <w:szCs w:val="24"/>
          <w:lang w:eastAsia="ar-SA"/>
        </w:rPr>
      </w:pPr>
    </w:p>
    <w:p w14:paraId="6C5BC4B6" w14:textId="196F222E" w:rsidR="00651466" w:rsidRPr="00651466" w:rsidRDefault="00651466" w:rsidP="00651466">
      <w:pPr>
        <w:rPr>
          <w:rFonts w:ascii="Times New Roman" w:hAnsi="Times New Roman" w:cs="Times New Roman"/>
          <w:sz w:val="20"/>
          <w:szCs w:val="24"/>
        </w:rPr>
      </w:pPr>
      <w:proofErr w:type="spellStart"/>
      <w:r>
        <w:rPr>
          <w:rFonts w:ascii="Times New Roman" w:hAnsi="Times New Roman" w:cs="Times New Roman"/>
          <w:sz w:val="20"/>
          <w:szCs w:val="24"/>
        </w:rPr>
        <w:t>v_sk</w:t>
      </w:r>
      <w:proofErr w:type="spellEnd"/>
      <w:r>
        <w:rPr>
          <w:rFonts w:ascii="Times New Roman" w:hAnsi="Times New Roman" w:cs="Times New Roman"/>
          <w:sz w:val="20"/>
          <w:szCs w:val="24"/>
        </w:rPr>
        <w:t xml:space="preserve"> = 115</w:t>
      </w:r>
      <w:r w:rsidR="00902AF8">
        <w:rPr>
          <w:rFonts w:ascii="Times New Roman" w:hAnsi="Times New Roman" w:cs="Times New Roman"/>
          <w:sz w:val="20"/>
          <w:szCs w:val="24"/>
        </w:rPr>
        <w:t>21</w:t>
      </w:r>
      <w:bookmarkStart w:id="4" w:name="_GoBack"/>
      <w:bookmarkEnd w:id="4"/>
    </w:p>
    <w:sectPr w:rsidR="00651466" w:rsidRPr="00651466" w:rsidSect="00FF6FDC">
      <w:headerReference w:type="default" r:id="rId10"/>
      <w:footerReference w:type="default" r:id="rId11"/>
      <w:footerReference w:type="first" r:id="rId12"/>
      <w:pgSz w:w="11906" w:h="16838"/>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4E89B" w14:textId="77777777" w:rsidR="00B94447" w:rsidRDefault="00B94447" w:rsidP="0038587F">
      <w:pPr>
        <w:spacing w:after="0" w:line="240" w:lineRule="auto"/>
      </w:pPr>
      <w:r>
        <w:separator/>
      </w:r>
    </w:p>
  </w:endnote>
  <w:endnote w:type="continuationSeparator" w:id="0">
    <w:p w14:paraId="1AD90331" w14:textId="77777777" w:rsidR="00B94447" w:rsidRDefault="00B94447"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63CF" w14:textId="4FEDFB48" w:rsidR="00B94447" w:rsidRPr="00651466" w:rsidRDefault="00B94447" w:rsidP="001E55A0">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Pr>
        <w:rFonts w:ascii="Times New Roman" w:hAnsi="Times New Roman" w:cs="Times New Roman"/>
        <w:noProof/>
        <w:sz w:val="20"/>
        <w:szCs w:val="20"/>
      </w:rPr>
      <w:t>FMAnot_100321_AN_dazadi</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r>
      <w:rPr>
        <w:rFonts w:ascii="Times New Roman" w:hAnsi="Times New Roman" w:cs="Times New Roman"/>
      </w:rPr>
      <w:t xml:space="preserve"> (TA-712)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369B4" w14:textId="37F08AC2" w:rsidR="00B94447" w:rsidRPr="00651466" w:rsidRDefault="00B94447">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Pr>
        <w:rFonts w:ascii="Times New Roman" w:hAnsi="Times New Roman" w:cs="Times New Roman"/>
        <w:noProof/>
        <w:sz w:val="20"/>
        <w:szCs w:val="20"/>
      </w:rPr>
      <w:t>FMAnot_100321_AN_dazadi</w:t>
    </w:r>
    <w:r w:rsidRPr="001E55A0">
      <w:rPr>
        <w:rFonts w:ascii="Times New Roman" w:hAnsi="Times New Roman" w:cs="Times New Roman"/>
        <w:sz w:val="20"/>
        <w:szCs w:val="20"/>
      </w:rPr>
      <w:fldChar w:fldCharType="end"/>
    </w:r>
    <w:r w:rsidRPr="001E55A0">
      <w:rPr>
        <w:rFonts w:ascii="Times New Roman" w:hAnsi="Times New Roman" w:cs="Times New Roman"/>
        <w:sz w:val="20"/>
        <w:szCs w:val="20"/>
      </w:rPr>
      <w:t xml:space="preserve">; </w:t>
    </w:r>
    <w:r>
      <w:rPr>
        <w:rFonts w:ascii="Times New Roman" w:hAnsi="Times New Roman" w:cs="Times New Roman"/>
      </w:rPr>
      <w:t xml:space="preserve"> (TA-712)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BBCDF" w14:textId="77777777" w:rsidR="00B94447" w:rsidRDefault="00B94447" w:rsidP="0038587F">
      <w:pPr>
        <w:spacing w:after="0" w:line="240" w:lineRule="auto"/>
      </w:pPr>
      <w:r>
        <w:separator/>
      </w:r>
    </w:p>
  </w:footnote>
  <w:footnote w:type="continuationSeparator" w:id="0">
    <w:p w14:paraId="6921E4D9" w14:textId="77777777" w:rsidR="00B94447" w:rsidRDefault="00B94447" w:rsidP="0038587F">
      <w:pPr>
        <w:spacing w:after="0" w:line="240" w:lineRule="auto"/>
      </w:pPr>
      <w:r>
        <w:continuationSeparator/>
      </w:r>
    </w:p>
  </w:footnote>
  <w:footnote w:id="1">
    <w:p w14:paraId="24AB68B0" w14:textId="77777777" w:rsidR="00B94447" w:rsidRPr="00110997" w:rsidRDefault="00B94447" w:rsidP="00A374DC">
      <w:pPr>
        <w:pStyle w:val="FootnoteText"/>
      </w:pPr>
      <w:r>
        <w:rPr>
          <w:rStyle w:val="FootnoteReference"/>
        </w:rPr>
        <w:footnoteRef/>
      </w:r>
      <w:r>
        <w:t xml:space="preserve"> </w:t>
      </w:r>
      <w:r w:rsidRPr="00B84D3F">
        <w:t>Administratīvā procesa likuma 67.panta pirmā daļ</w:t>
      </w:r>
      <w:r>
        <w:t>a</w:t>
      </w:r>
    </w:p>
  </w:footnote>
  <w:footnote w:id="2">
    <w:p w14:paraId="5EDBF3B0" w14:textId="77777777" w:rsidR="00B94447" w:rsidRPr="00110997" w:rsidRDefault="00B94447" w:rsidP="00A374DC">
      <w:pPr>
        <w:pStyle w:val="FootnoteText"/>
      </w:pPr>
      <w:r>
        <w:rPr>
          <w:rStyle w:val="FootnoteReference"/>
        </w:rPr>
        <w:footnoteRef/>
      </w:r>
      <w:r>
        <w:t xml:space="preserve"> </w:t>
      </w:r>
      <w:r w:rsidRPr="00765B36">
        <w:t xml:space="preserve">Administratīvā procesa likuma 69.panta pirmās daļas </w:t>
      </w:r>
      <w:r>
        <w:t>2</w:t>
      </w:r>
      <w:r w:rsidRPr="00765B36">
        <w:t>.punkt</w:t>
      </w:r>
      <w:r>
        <w:t>s</w:t>
      </w:r>
    </w:p>
  </w:footnote>
  <w:footnote w:id="3">
    <w:p w14:paraId="6C52F0B6" w14:textId="77777777" w:rsidR="00B94447" w:rsidRDefault="00B94447" w:rsidP="00B92950">
      <w:pPr>
        <w:pStyle w:val="FootnoteText"/>
      </w:pPr>
      <w:r>
        <w:rPr>
          <w:rStyle w:val="FootnoteReference"/>
        </w:rPr>
        <w:footnoteRef/>
      </w:r>
      <w:r>
        <w:t xml:space="preserve"> Eiropas Parlamenta un Padomes 2002.gada 10.jūniija direktīva 2002/46/EK par dalībvalstu tiesību aktu tuvināšanu attiecībā uz uztura bagātinātājiem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48746177"/>
      <w:docPartObj>
        <w:docPartGallery w:val="Page Numbers (Top of Page)"/>
        <w:docPartUnique/>
      </w:docPartObj>
    </w:sdtPr>
    <w:sdtEndPr>
      <w:rPr>
        <w:noProof/>
        <w:sz w:val="24"/>
      </w:rPr>
    </w:sdtEndPr>
    <w:sdtContent>
      <w:p w14:paraId="231629B4" w14:textId="0823FD02" w:rsidR="00B94447" w:rsidRPr="00872D60" w:rsidRDefault="00B94447">
        <w:pPr>
          <w:pStyle w:val="Header"/>
          <w:jc w:val="center"/>
          <w:rPr>
            <w:rFonts w:ascii="Times New Roman" w:hAnsi="Times New Roman" w:cs="Times New Roman"/>
            <w:sz w:val="24"/>
          </w:rPr>
        </w:pPr>
        <w:r w:rsidRPr="00872D60">
          <w:rPr>
            <w:rFonts w:ascii="Times New Roman" w:hAnsi="Times New Roman" w:cs="Times New Roman"/>
            <w:sz w:val="24"/>
          </w:rPr>
          <w:fldChar w:fldCharType="begin"/>
        </w:r>
        <w:r w:rsidRPr="00872D60">
          <w:rPr>
            <w:rFonts w:ascii="Times New Roman" w:hAnsi="Times New Roman" w:cs="Times New Roman"/>
            <w:sz w:val="24"/>
          </w:rPr>
          <w:instrText xml:space="preserve"> PAGE   \* MERGEFORMAT </w:instrText>
        </w:r>
        <w:r w:rsidRPr="00872D60">
          <w:rPr>
            <w:rFonts w:ascii="Times New Roman" w:hAnsi="Times New Roman" w:cs="Times New Roman"/>
            <w:sz w:val="24"/>
          </w:rPr>
          <w:fldChar w:fldCharType="separate"/>
        </w:r>
        <w:r>
          <w:rPr>
            <w:rFonts w:ascii="Times New Roman" w:hAnsi="Times New Roman" w:cs="Times New Roman"/>
            <w:noProof/>
            <w:sz w:val="24"/>
          </w:rPr>
          <w:t>4</w:t>
        </w:r>
        <w:r w:rsidRPr="00872D60">
          <w:rPr>
            <w:rFonts w:ascii="Times New Roman" w:hAnsi="Times New Roman" w:cs="Times New Roman"/>
            <w:noProof/>
            <w:sz w:val="24"/>
          </w:rPr>
          <w:fldChar w:fldCharType="end"/>
        </w:r>
      </w:p>
    </w:sdtContent>
  </w:sdt>
  <w:p w14:paraId="244AAF04" w14:textId="77777777" w:rsidR="00B94447" w:rsidRDefault="00B94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D40B8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3" w15:restartNumberingAfterBreak="0">
    <w:nsid w:val="182208A3"/>
    <w:multiLevelType w:val="hybridMultilevel"/>
    <w:tmpl w:val="B8900BC0"/>
    <w:lvl w:ilvl="0" w:tplc="0FE66A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4A3E39"/>
    <w:multiLevelType w:val="hybridMultilevel"/>
    <w:tmpl w:val="70EEF77E"/>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4395A62"/>
    <w:multiLevelType w:val="hybridMultilevel"/>
    <w:tmpl w:val="2A0ED07A"/>
    <w:lvl w:ilvl="0" w:tplc="96BA09B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39540E"/>
    <w:multiLevelType w:val="hybridMultilevel"/>
    <w:tmpl w:val="342853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FC2841"/>
    <w:multiLevelType w:val="hybridMultilevel"/>
    <w:tmpl w:val="F5E2A02E"/>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B256A8"/>
    <w:multiLevelType w:val="hybridMultilevel"/>
    <w:tmpl w:val="4D6814F6"/>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9D2DFA"/>
    <w:multiLevelType w:val="hybridMultilevel"/>
    <w:tmpl w:val="A3F0AF78"/>
    <w:lvl w:ilvl="0" w:tplc="04260011">
      <w:start w:val="1"/>
      <w:numFmt w:val="decimal"/>
      <w:lvlText w:val="%1)"/>
      <w:lvlJc w:val="left"/>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E84F36"/>
    <w:multiLevelType w:val="hybridMultilevel"/>
    <w:tmpl w:val="5588D1EC"/>
    <w:lvl w:ilvl="0" w:tplc="0A64F30A">
      <w:start w:val="1"/>
      <w:numFmt w:val="decimal"/>
      <w:lvlText w:val="%1)"/>
      <w:lvlJc w:val="left"/>
      <w:pPr>
        <w:ind w:left="378" w:hanging="360"/>
      </w:pPr>
      <w:rPr>
        <w:rFonts w:hint="default"/>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11" w15:restartNumberingAfterBreak="0">
    <w:nsid w:val="33B27641"/>
    <w:multiLevelType w:val="hybridMultilevel"/>
    <w:tmpl w:val="A3F0A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010BF6"/>
    <w:multiLevelType w:val="hybridMultilevel"/>
    <w:tmpl w:val="40C2D6C6"/>
    <w:lvl w:ilvl="0" w:tplc="0426000F">
      <w:start w:val="1"/>
      <w:numFmt w:val="decimal"/>
      <w:lvlText w:val="%1."/>
      <w:lvlJc w:val="left"/>
      <w:pPr>
        <w:ind w:left="1112" w:hanging="360"/>
      </w:pPr>
    </w:lvl>
    <w:lvl w:ilvl="1" w:tplc="04260019" w:tentative="1">
      <w:start w:val="1"/>
      <w:numFmt w:val="lowerLetter"/>
      <w:lvlText w:val="%2."/>
      <w:lvlJc w:val="left"/>
      <w:pPr>
        <w:ind w:left="1832" w:hanging="360"/>
      </w:pPr>
    </w:lvl>
    <w:lvl w:ilvl="2" w:tplc="0426001B" w:tentative="1">
      <w:start w:val="1"/>
      <w:numFmt w:val="lowerRoman"/>
      <w:lvlText w:val="%3."/>
      <w:lvlJc w:val="right"/>
      <w:pPr>
        <w:ind w:left="2552" w:hanging="180"/>
      </w:pPr>
    </w:lvl>
    <w:lvl w:ilvl="3" w:tplc="0426000F" w:tentative="1">
      <w:start w:val="1"/>
      <w:numFmt w:val="decimal"/>
      <w:lvlText w:val="%4."/>
      <w:lvlJc w:val="left"/>
      <w:pPr>
        <w:ind w:left="3272" w:hanging="360"/>
      </w:pPr>
    </w:lvl>
    <w:lvl w:ilvl="4" w:tplc="04260019" w:tentative="1">
      <w:start w:val="1"/>
      <w:numFmt w:val="lowerLetter"/>
      <w:lvlText w:val="%5."/>
      <w:lvlJc w:val="left"/>
      <w:pPr>
        <w:ind w:left="3992" w:hanging="360"/>
      </w:pPr>
    </w:lvl>
    <w:lvl w:ilvl="5" w:tplc="0426001B" w:tentative="1">
      <w:start w:val="1"/>
      <w:numFmt w:val="lowerRoman"/>
      <w:lvlText w:val="%6."/>
      <w:lvlJc w:val="right"/>
      <w:pPr>
        <w:ind w:left="4712" w:hanging="180"/>
      </w:pPr>
    </w:lvl>
    <w:lvl w:ilvl="6" w:tplc="0426000F" w:tentative="1">
      <w:start w:val="1"/>
      <w:numFmt w:val="decimal"/>
      <w:lvlText w:val="%7."/>
      <w:lvlJc w:val="left"/>
      <w:pPr>
        <w:ind w:left="5432" w:hanging="360"/>
      </w:pPr>
    </w:lvl>
    <w:lvl w:ilvl="7" w:tplc="04260019" w:tentative="1">
      <w:start w:val="1"/>
      <w:numFmt w:val="lowerLetter"/>
      <w:lvlText w:val="%8."/>
      <w:lvlJc w:val="left"/>
      <w:pPr>
        <w:ind w:left="6152" w:hanging="360"/>
      </w:pPr>
    </w:lvl>
    <w:lvl w:ilvl="8" w:tplc="0426001B" w:tentative="1">
      <w:start w:val="1"/>
      <w:numFmt w:val="lowerRoman"/>
      <w:lvlText w:val="%9."/>
      <w:lvlJc w:val="right"/>
      <w:pPr>
        <w:ind w:left="6872" w:hanging="180"/>
      </w:pPr>
    </w:lvl>
  </w:abstractNum>
  <w:abstractNum w:abstractNumId="13" w15:restartNumberingAfterBreak="0">
    <w:nsid w:val="39BB7072"/>
    <w:multiLevelType w:val="hybridMultilevel"/>
    <w:tmpl w:val="888ABE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370A97"/>
    <w:multiLevelType w:val="hybridMultilevel"/>
    <w:tmpl w:val="EACA0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2296306"/>
    <w:multiLevelType w:val="hybridMultilevel"/>
    <w:tmpl w:val="7BC0EF8C"/>
    <w:lvl w:ilvl="0" w:tplc="CBECD202">
      <w:start w:val="1"/>
      <w:numFmt w:val="decimal"/>
      <w:lvlText w:val="%1."/>
      <w:lvlJc w:val="left"/>
      <w:pPr>
        <w:ind w:left="1080" w:hanging="360"/>
      </w:pPr>
      <w:rPr>
        <w:rFonts w:ascii="Times New Roman" w:eastAsia="Times New Roman" w:hAnsi="Times New Roman" w:cs="Times New Roman"/>
      </w:rPr>
    </w:lvl>
    <w:lvl w:ilvl="1" w:tplc="40E2A0F0" w:tentative="1">
      <w:start w:val="1"/>
      <w:numFmt w:val="lowerLetter"/>
      <w:lvlText w:val="%2."/>
      <w:lvlJc w:val="left"/>
      <w:pPr>
        <w:ind w:left="1800" w:hanging="360"/>
      </w:pPr>
    </w:lvl>
    <w:lvl w:ilvl="2" w:tplc="C81ED98E" w:tentative="1">
      <w:start w:val="1"/>
      <w:numFmt w:val="lowerRoman"/>
      <w:lvlText w:val="%3."/>
      <w:lvlJc w:val="right"/>
      <w:pPr>
        <w:ind w:left="2520" w:hanging="180"/>
      </w:pPr>
    </w:lvl>
    <w:lvl w:ilvl="3" w:tplc="DFA67182" w:tentative="1">
      <w:start w:val="1"/>
      <w:numFmt w:val="decimal"/>
      <w:lvlText w:val="%4."/>
      <w:lvlJc w:val="left"/>
      <w:pPr>
        <w:ind w:left="3240" w:hanging="360"/>
      </w:pPr>
    </w:lvl>
    <w:lvl w:ilvl="4" w:tplc="279E1D7E" w:tentative="1">
      <w:start w:val="1"/>
      <w:numFmt w:val="lowerLetter"/>
      <w:lvlText w:val="%5."/>
      <w:lvlJc w:val="left"/>
      <w:pPr>
        <w:ind w:left="3960" w:hanging="360"/>
      </w:pPr>
    </w:lvl>
    <w:lvl w:ilvl="5" w:tplc="CA0A9488" w:tentative="1">
      <w:start w:val="1"/>
      <w:numFmt w:val="lowerRoman"/>
      <w:lvlText w:val="%6."/>
      <w:lvlJc w:val="right"/>
      <w:pPr>
        <w:ind w:left="4680" w:hanging="180"/>
      </w:pPr>
    </w:lvl>
    <w:lvl w:ilvl="6" w:tplc="97D08FAC" w:tentative="1">
      <w:start w:val="1"/>
      <w:numFmt w:val="decimal"/>
      <w:lvlText w:val="%7."/>
      <w:lvlJc w:val="left"/>
      <w:pPr>
        <w:ind w:left="5400" w:hanging="360"/>
      </w:pPr>
    </w:lvl>
    <w:lvl w:ilvl="7" w:tplc="2C04D938" w:tentative="1">
      <w:start w:val="1"/>
      <w:numFmt w:val="lowerLetter"/>
      <w:lvlText w:val="%8."/>
      <w:lvlJc w:val="left"/>
      <w:pPr>
        <w:ind w:left="6120" w:hanging="360"/>
      </w:pPr>
    </w:lvl>
    <w:lvl w:ilvl="8" w:tplc="E11A584C" w:tentative="1">
      <w:start w:val="1"/>
      <w:numFmt w:val="lowerRoman"/>
      <w:lvlText w:val="%9."/>
      <w:lvlJc w:val="right"/>
      <w:pPr>
        <w:ind w:left="6840" w:hanging="180"/>
      </w:pPr>
    </w:lvl>
  </w:abstractNum>
  <w:abstractNum w:abstractNumId="16" w15:restartNumberingAfterBreak="0">
    <w:nsid w:val="48313B01"/>
    <w:multiLevelType w:val="hybridMultilevel"/>
    <w:tmpl w:val="009A7AB2"/>
    <w:lvl w:ilvl="0" w:tplc="6A826DF0">
      <w:start w:val="1"/>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17" w15:restartNumberingAfterBreak="0">
    <w:nsid w:val="4DCA0639"/>
    <w:multiLevelType w:val="hybridMultilevel"/>
    <w:tmpl w:val="A9128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2E84D4F"/>
    <w:multiLevelType w:val="multilevel"/>
    <w:tmpl w:val="054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0680D"/>
    <w:multiLevelType w:val="hybridMultilevel"/>
    <w:tmpl w:val="25D83E24"/>
    <w:lvl w:ilvl="0" w:tplc="40CE9066">
      <w:start w:val="1"/>
      <w:numFmt w:val="decimal"/>
      <w:lvlText w:val="%1)"/>
      <w:lvlJc w:val="left"/>
      <w:pPr>
        <w:ind w:left="746" w:hanging="360"/>
      </w:pPr>
      <w:rPr>
        <w:rFonts w:ascii="Times New Roman" w:hAnsi="Times New Roman" w:cs="Times New Roman" w:hint="default"/>
        <w:sz w:val="24"/>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1" w15:restartNumberingAfterBreak="0">
    <w:nsid w:val="693720D1"/>
    <w:multiLevelType w:val="hybridMultilevel"/>
    <w:tmpl w:val="92E6F3A8"/>
    <w:lvl w:ilvl="0" w:tplc="0CAEE300">
      <w:start w:val="1"/>
      <w:numFmt w:val="decimal"/>
      <w:lvlText w:val="%1)"/>
      <w:lvlJc w:val="left"/>
      <w:pPr>
        <w:ind w:left="643"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22" w15:restartNumberingAfterBreak="0">
    <w:nsid w:val="6D1C1443"/>
    <w:multiLevelType w:val="hybridMultilevel"/>
    <w:tmpl w:val="F2C4E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174BF1"/>
    <w:multiLevelType w:val="hybridMultilevel"/>
    <w:tmpl w:val="84BEC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15"/>
  </w:num>
  <w:num w:numId="4">
    <w:abstractNumId w:val="4"/>
  </w:num>
  <w:num w:numId="5">
    <w:abstractNumId w:val="22"/>
  </w:num>
  <w:num w:numId="6">
    <w:abstractNumId w:val="6"/>
  </w:num>
  <w:num w:numId="7">
    <w:abstractNumId w:val="23"/>
  </w:num>
  <w:num w:numId="8">
    <w:abstractNumId w:val="18"/>
  </w:num>
  <w:num w:numId="9">
    <w:abstractNumId w:val="5"/>
  </w:num>
  <w:num w:numId="10">
    <w:abstractNumId w:val="7"/>
  </w:num>
  <w:num w:numId="11">
    <w:abstractNumId w:val="8"/>
  </w:num>
  <w:num w:numId="12">
    <w:abstractNumId w:val="10"/>
  </w:num>
  <w:num w:numId="13">
    <w:abstractNumId w:val="16"/>
  </w:num>
  <w:num w:numId="14">
    <w:abstractNumId w:val="9"/>
  </w:num>
  <w:num w:numId="15">
    <w:abstractNumId w:val="20"/>
  </w:num>
  <w:num w:numId="16">
    <w:abstractNumId w:val="11"/>
  </w:num>
  <w:num w:numId="17">
    <w:abstractNumId w:val="0"/>
  </w:num>
  <w:num w:numId="18">
    <w:abstractNumId w:val="3"/>
  </w:num>
  <w:num w:numId="19">
    <w:abstractNumId w:val="13"/>
  </w:num>
  <w:num w:numId="20">
    <w:abstractNumId w:val="14"/>
  </w:num>
  <w:num w:numId="21">
    <w:abstractNumId w:val="19"/>
  </w:num>
  <w:num w:numId="22">
    <w:abstractNumId w:val="21"/>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A6"/>
    <w:rsid w:val="0000191A"/>
    <w:rsid w:val="00001B2F"/>
    <w:rsid w:val="00003BAF"/>
    <w:rsid w:val="00005CD6"/>
    <w:rsid w:val="00007226"/>
    <w:rsid w:val="00010538"/>
    <w:rsid w:val="0001107B"/>
    <w:rsid w:val="00011126"/>
    <w:rsid w:val="00013FD0"/>
    <w:rsid w:val="000140C9"/>
    <w:rsid w:val="0001479A"/>
    <w:rsid w:val="0001650F"/>
    <w:rsid w:val="00020350"/>
    <w:rsid w:val="00020D8F"/>
    <w:rsid w:val="000237E7"/>
    <w:rsid w:val="00023D4A"/>
    <w:rsid w:val="0002457E"/>
    <w:rsid w:val="00024BA6"/>
    <w:rsid w:val="00024EEC"/>
    <w:rsid w:val="0002779D"/>
    <w:rsid w:val="000320E8"/>
    <w:rsid w:val="0003620C"/>
    <w:rsid w:val="00036B05"/>
    <w:rsid w:val="00036BF5"/>
    <w:rsid w:val="00036C98"/>
    <w:rsid w:val="00036D69"/>
    <w:rsid w:val="0004450E"/>
    <w:rsid w:val="00044B86"/>
    <w:rsid w:val="00044FD1"/>
    <w:rsid w:val="000477A9"/>
    <w:rsid w:val="000479EA"/>
    <w:rsid w:val="000500E7"/>
    <w:rsid w:val="0005206D"/>
    <w:rsid w:val="0005297D"/>
    <w:rsid w:val="00053836"/>
    <w:rsid w:val="0005435B"/>
    <w:rsid w:val="000545F8"/>
    <w:rsid w:val="00056E85"/>
    <w:rsid w:val="00057D4B"/>
    <w:rsid w:val="00063BB2"/>
    <w:rsid w:val="00065315"/>
    <w:rsid w:val="00065733"/>
    <w:rsid w:val="000670D5"/>
    <w:rsid w:val="00067195"/>
    <w:rsid w:val="00067685"/>
    <w:rsid w:val="00070A7B"/>
    <w:rsid w:val="00076359"/>
    <w:rsid w:val="00081E6E"/>
    <w:rsid w:val="000830F4"/>
    <w:rsid w:val="0008709D"/>
    <w:rsid w:val="0008771D"/>
    <w:rsid w:val="00090B96"/>
    <w:rsid w:val="000926B3"/>
    <w:rsid w:val="0009400F"/>
    <w:rsid w:val="0009407C"/>
    <w:rsid w:val="00094485"/>
    <w:rsid w:val="00095DCA"/>
    <w:rsid w:val="000975BF"/>
    <w:rsid w:val="000A0CFF"/>
    <w:rsid w:val="000A1114"/>
    <w:rsid w:val="000A2CD9"/>
    <w:rsid w:val="000A312C"/>
    <w:rsid w:val="000A5CCD"/>
    <w:rsid w:val="000A63AE"/>
    <w:rsid w:val="000A6589"/>
    <w:rsid w:val="000A71FD"/>
    <w:rsid w:val="000B00F2"/>
    <w:rsid w:val="000B05F9"/>
    <w:rsid w:val="000B3F61"/>
    <w:rsid w:val="000B50D9"/>
    <w:rsid w:val="000B510B"/>
    <w:rsid w:val="000B5181"/>
    <w:rsid w:val="000B55A9"/>
    <w:rsid w:val="000C08AE"/>
    <w:rsid w:val="000C25BF"/>
    <w:rsid w:val="000C26F8"/>
    <w:rsid w:val="000C5939"/>
    <w:rsid w:val="000C6DD7"/>
    <w:rsid w:val="000D066C"/>
    <w:rsid w:val="000D169E"/>
    <w:rsid w:val="000D799C"/>
    <w:rsid w:val="000E0942"/>
    <w:rsid w:val="000E14FF"/>
    <w:rsid w:val="000E1D9E"/>
    <w:rsid w:val="000E20AA"/>
    <w:rsid w:val="000E6B8B"/>
    <w:rsid w:val="000E6BA1"/>
    <w:rsid w:val="000E7588"/>
    <w:rsid w:val="000F3B4C"/>
    <w:rsid w:val="000F5A65"/>
    <w:rsid w:val="000F5DC4"/>
    <w:rsid w:val="000F77B3"/>
    <w:rsid w:val="00100490"/>
    <w:rsid w:val="00101C45"/>
    <w:rsid w:val="00104708"/>
    <w:rsid w:val="001063E4"/>
    <w:rsid w:val="00106BF8"/>
    <w:rsid w:val="001070A9"/>
    <w:rsid w:val="00113978"/>
    <w:rsid w:val="00114E06"/>
    <w:rsid w:val="001151E8"/>
    <w:rsid w:val="0011613E"/>
    <w:rsid w:val="00116B22"/>
    <w:rsid w:val="00116BE4"/>
    <w:rsid w:val="00117DB1"/>
    <w:rsid w:val="001228E8"/>
    <w:rsid w:val="00123C80"/>
    <w:rsid w:val="00126A44"/>
    <w:rsid w:val="00127BE3"/>
    <w:rsid w:val="00130A7D"/>
    <w:rsid w:val="001312E0"/>
    <w:rsid w:val="00134355"/>
    <w:rsid w:val="00136FBC"/>
    <w:rsid w:val="001375BB"/>
    <w:rsid w:val="001406C8"/>
    <w:rsid w:val="00140E16"/>
    <w:rsid w:val="00140E59"/>
    <w:rsid w:val="0014280D"/>
    <w:rsid w:val="00142958"/>
    <w:rsid w:val="001437E8"/>
    <w:rsid w:val="00144431"/>
    <w:rsid w:val="00144B0B"/>
    <w:rsid w:val="0014533F"/>
    <w:rsid w:val="00146C95"/>
    <w:rsid w:val="0014715C"/>
    <w:rsid w:val="00147621"/>
    <w:rsid w:val="001506C5"/>
    <w:rsid w:val="001508C5"/>
    <w:rsid w:val="001512D9"/>
    <w:rsid w:val="00153132"/>
    <w:rsid w:val="001601C5"/>
    <w:rsid w:val="00161D77"/>
    <w:rsid w:val="00161F62"/>
    <w:rsid w:val="00164D11"/>
    <w:rsid w:val="0016508D"/>
    <w:rsid w:val="001657A2"/>
    <w:rsid w:val="00166DA3"/>
    <w:rsid w:val="00167A75"/>
    <w:rsid w:val="001701B6"/>
    <w:rsid w:val="00171408"/>
    <w:rsid w:val="001720AB"/>
    <w:rsid w:val="00174314"/>
    <w:rsid w:val="00176609"/>
    <w:rsid w:val="00180147"/>
    <w:rsid w:val="001805E5"/>
    <w:rsid w:val="0018345E"/>
    <w:rsid w:val="00183DAC"/>
    <w:rsid w:val="0018665F"/>
    <w:rsid w:val="00186BEE"/>
    <w:rsid w:val="00190B9F"/>
    <w:rsid w:val="001934A1"/>
    <w:rsid w:val="0019365E"/>
    <w:rsid w:val="00197738"/>
    <w:rsid w:val="00197D47"/>
    <w:rsid w:val="001A07D2"/>
    <w:rsid w:val="001A1304"/>
    <w:rsid w:val="001A21A8"/>
    <w:rsid w:val="001A24D7"/>
    <w:rsid w:val="001A27A2"/>
    <w:rsid w:val="001A3612"/>
    <w:rsid w:val="001A4420"/>
    <w:rsid w:val="001A44AF"/>
    <w:rsid w:val="001A4507"/>
    <w:rsid w:val="001A46BF"/>
    <w:rsid w:val="001A73F2"/>
    <w:rsid w:val="001B065B"/>
    <w:rsid w:val="001B3624"/>
    <w:rsid w:val="001B4F32"/>
    <w:rsid w:val="001B5409"/>
    <w:rsid w:val="001B5971"/>
    <w:rsid w:val="001B779F"/>
    <w:rsid w:val="001C2132"/>
    <w:rsid w:val="001C730B"/>
    <w:rsid w:val="001C7C6D"/>
    <w:rsid w:val="001D0219"/>
    <w:rsid w:val="001D3F91"/>
    <w:rsid w:val="001D45A3"/>
    <w:rsid w:val="001D551C"/>
    <w:rsid w:val="001D7A0F"/>
    <w:rsid w:val="001E179C"/>
    <w:rsid w:val="001E1E5E"/>
    <w:rsid w:val="001E21C5"/>
    <w:rsid w:val="001E33D4"/>
    <w:rsid w:val="001E55A0"/>
    <w:rsid w:val="001E63A4"/>
    <w:rsid w:val="001E6E39"/>
    <w:rsid w:val="001E7C36"/>
    <w:rsid w:val="001F0684"/>
    <w:rsid w:val="001F18E2"/>
    <w:rsid w:val="001F1AD8"/>
    <w:rsid w:val="001F1FD5"/>
    <w:rsid w:val="001F45AF"/>
    <w:rsid w:val="001F47A9"/>
    <w:rsid w:val="001F7DAE"/>
    <w:rsid w:val="0020253B"/>
    <w:rsid w:val="00203D54"/>
    <w:rsid w:val="00207BD3"/>
    <w:rsid w:val="00210319"/>
    <w:rsid w:val="00210D8F"/>
    <w:rsid w:val="00211310"/>
    <w:rsid w:val="00211D2D"/>
    <w:rsid w:val="00215D2F"/>
    <w:rsid w:val="002161DB"/>
    <w:rsid w:val="00216FF2"/>
    <w:rsid w:val="00225A7E"/>
    <w:rsid w:val="00225B81"/>
    <w:rsid w:val="00225C49"/>
    <w:rsid w:val="002261E9"/>
    <w:rsid w:val="00227773"/>
    <w:rsid w:val="00232DB6"/>
    <w:rsid w:val="00233623"/>
    <w:rsid w:val="00235AD3"/>
    <w:rsid w:val="00235E3F"/>
    <w:rsid w:val="00237C32"/>
    <w:rsid w:val="00237CB9"/>
    <w:rsid w:val="002402A8"/>
    <w:rsid w:val="0024245E"/>
    <w:rsid w:val="00242A6B"/>
    <w:rsid w:val="00251FEF"/>
    <w:rsid w:val="00254918"/>
    <w:rsid w:val="0025652A"/>
    <w:rsid w:val="00256F65"/>
    <w:rsid w:val="002613F1"/>
    <w:rsid w:val="00263878"/>
    <w:rsid w:val="0026765D"/>
    <w:rsid w:val="00270E1D"/>
    <w:rsid w:val="00273AF3"/>
    <w:rsid w:val="002761FC"/>
    <w:rsid w:val="00277C7E"/>
    <w:rsid w:val="00280C03"/>
    <w:rsid w:val="002838CB"/>
    <w:rsid w:val="00284ABA"/>
    <w:rsid w:val="0028725D"/>
    <w:rsid w:val="00287DBB"/>
    <w:rsid w:val="002905A5"/>
    <w:rsid w:val="002953DF"/>
    <w:rsid w:val="00295B1A"/>
    <w:rsid w:val="00296288"/>
    <w:rsid w:val="002A1B54"/>
    <w:rsid w:val="002A2C2B"/>
    <w:rsid w:val="002A4458"/>
    <w:rsid w:val="002A4683"/>
    <w:rsid w:val="002A6EE9"/>
    <w:rsid w:val="002B0D50"/>
    <w:rsid w:val="002B2979"/>
    <w:rsid w:val="002B32AC"/>
    <w:rsid w:val="002B3881"/>
    <w:rsid w:val="002B5F64"/>
    <w:rsid w:val="002B6658"/>
    <w:rsid w:val="002B7F58"/>
    <w:rsid w:val="002C2AF1"/>
    <w:rsid w:val="002C3789"/>
    <w:rsid w:val="002C3EC3"/>
    <w:rsid w:val="002C4DFB"/>
    <w:rsid w:val="002C51FA"/>
    <w:rsid w:val="002C565C"/>
    <w:rsid w:val="002C7709"/>
    <w:rsid w:val="002D20CA"/>
    <w:rsid w:val="002D273D"/>
    <w:rsid w:val="002D3930"/>
    <w:rsid w:val="002D4012"/>
    <w:rsid w:val="002D7BDE"/>
    <w:rsid w:val="002E1E5A"/>
    <w:rsid w:val="002E4F1C"/>
    <w:rsid w:val="002E4F66"/>
    <w:rsid w:val="002E6B2A"/>
    <w:rsid w:val="002E7FA9"/>
    <w:rsid w:val="002F1499"/>
    <w:rsid w:val="002F369E"/>
    <w:rsid w:val="002F396D"/>
    <w:rsid w:val="002F63D8"/>
    <w:rsid w:val="002F6596"/>
    <w:rsid w:val="002F66ED"/>
    <w:rsid w:val="002F71AE"/>
    <w:rsid w:val="003001B5"/>
    <w:rsid w:val="003008DF"/>
    <w:rsid w:val="003012DA"/>
    <w:rsid w:val="00302376"/>
    <w:rsid w:val="00302640"/>
    <w:rsid w:val="00303060"/>
    <w:rsid w:val="003041AE"/>
    <w:rsid w:val="003043B8"/>
    <w:rsid w:val="003043FB"/>
    <w:rsid w:val="00304B5F"/>
    <w:rsid w:val="00305748"/>
    <w:rsid w:val="00310F4F"/>
    <w:rsid w:val="00313141"/>
    <w:rsid w:val="0031477C"/>
    <w:rsid w:val="00314D44"/>
    <w:rsid w:val="003159CB"/>
    <w:rsid w:val="0032034C"/>
    <w:rsid w:val="00321CDA"/>
    <w:rsid w:val="00322370"/>
    <w:rsid w:val="00322906"/>
    <w:rsid w:val="00324CC7"/>
    <w:rsid w:val="00325CD3"/>
    <w:rsid w:val="003331E8"/>
    <w:rsid w:val="00334F3E"/>
    <w:rsid w:val="003375C0"/>
    <w:rsid w:val="00337827"/>
    <w:rsid w:val="00341B12"/>
    <w:rsid w:val="00341EEB"/>
    <w:rsid w:val="0034258F"/>
    <w:rsid w:val="00342915"/>
    <w:rsid w:val="00344A88"/>
    <w:rsid w:val="00347C04"/>
    <w:rsid w:val="003520F2"/>
    <w:rsid w:val="00352677"/>
    <w:rsid w:val="00352EC9"/>
    <w:rsid w:val="00354A94"/>
    <w:rsid w:val="00355364"/>
    <w:rsid w:val="00356FA1"/>
    <w:rsid w:val="0036308E"/>
    <w:rsid w:val="00363135"/>
    <w:rsid w:val="00363FF7"/>
    <w:rsid w:val="00364903"/>
    <w:rsid w:val="00364D16"/>
    <w:rsid w:val="00365558"/>
    <w:rsid w:val="00367740"/>
    <w:rsid w:val="00371A0B"/>
    <w:rsid w:val="00371E07"/>
    <w:rsid w:val="0037737F"/>
    <w:rsid w:val="00382F1D"/>
    <w:rsid w:val="003842E3"/>
    <w:rsid w:val="0038587F"/>
    <w:rsid w:val="003863B8"/>
    <w:rsid w:val="00390AD2"/>
    <w:rsid w:val="00391AE5"/>
    <w:rsid w:val="00392318"/>
    <w:rsid w:val="00392C7B"/>
    <w:rsid w:val="00393CF5"/>
    <w:rsid w:val="00393FB2"/>
    <w:rsid w:val="003965FC"/>
    <w:rsid w:val="00396C03"/>
    <w:rsid w:val="00397575"/>
    <w:rsid w:val="003A0E22"/>
    <w:rsid w:val="003A1B20"/>
    <w:rsid w:val="003A27A7"/>
    <w:rsid w:val="003A4187"/>
    <w:rsid w:val="003A427B"/>
    <w:rsid w:val="003A4AFD"/>
    <w:rsid w:val="003A68CE"/>
    <w:rsid w:val="003A6BA5"/>
    <w:rsid w:val="003A76FB"/>
    <w:rsid w:val="003B0056"/>
    <w:rsid w:val="003B297C"/>
    <w:rsid w:val="003B2CFB"/>
    <w:rsid w:val="003C0429"/>
    <w:rsid w:val="003C05D3"/>
    <w:rsid w:val="003C08D4"/>
    <w:rsid w:val="003C0985"/>
    <w:rsid w:val="003C0BED"/>
    <w:rsid w:val="003C22D4"/>
    <w:rsid w:val="003C3D2D"/>
    <w:rsid w:val="003C5766"/>
    <w:rsid w:val="003C590A"/>
    <w:rsid w:val="003D0556"/>
    <w:rsid w:val="003D1658"/>
    <w:rsid w:val="003D3672"/>
    <w:rsid w:val="003D4DC8"/>
    <w:rsid w:val="003D6685"/>
    <w:rsid w:val="003D73CB"/>
    <w:rsid w:val="003D7756"/>
    <w:rsid w:val="003E022D"/>
    <w:rsid w:val="003E45C9"/>
    <w:rsid w:val="003E5132"/>
    <w:rsid w:val="003E6607"/>
    <w:rsid w:val="003F2F71"/>
    <w:rsid w:val="003F351D"/>
    <w:rsid w:val="003F5558"/>
    <w:rsid w:val="003F6220"/>
    <w:rsid w:val="00400E7B"/>
    <w:rsid w:val="00401CF8"/>
    <w:rsid w:val="00402B45"/>
    <w:rsid w:val="00403706"/>
    <w:rsid w:val="004047B5"/>
    <w:rsid w:val="0040537F"/>
    <w:rsid w:val="0040680A"/>
    <w:rsid w:val="0040747B"/>
    <w:rsid w:val="0041039E"/>
    <w:rsid w:val="004124EE"/>
    <w:rsid w:val="00412F5D"/>
    <w:rsid w:val="00423C3E"/>
    <w:rsid w:val="00430A7D"/>
    <w:rsid w:val="00431A76"/>
    <w:rsid w:val="00432766"/>
    <w:rsid w:val="00434E35"/>
    <w:rsid w:val="0044009E"/>
    <w:rsid w:val="00442E61"/>
    <w:rsid w:val="00445F17"/>
    <w:rsid w:val="00446E4E"/>
    <w:rsid w:val="004475CF"/>
    <w:rsid w:val="00447A3D"/>
    <w:rsid w:val="00451550"/>
    <w:rsid w:val="00451AD7"/>
    <w:rsid w:val="0045361E"/>
    <w:rsid w:val="00453DC2"/>
    <w:rsid w:val="004562EC"/>
    <w:rsid w:val="004563DC"/>
    <w:rsid w:val="00461E42"/>
    <w:rsid w:val="00462402"/>
    <w:rsid w:val="00464D28"/>
    <w:rsid w:val="00464FEF"/>
    <w:rsid w:val="00465669"/>
    <w:rsid w:val="0046687B"/>
    <w:rsid w:val="0046788D"/>
    <w:rsid w:val="00467A3F"/>
    <w:rsid w:val="00471232"/>
    <w:rsid w:val="004716B8"/>
    <w:rsid w:val="00472CD3"/>
    <w:rsid w:val="00473E1F"/>
    <w:rsid w:val="004742A7"/>
    <w:rsid w:val="00474EBD"/>
    <w:rsid w:val="004808FE"/>
    <w:rsid w:val="00482BB4"/>
    <w:rsid w:val="00484CD7"/>
    <w:rsid w:val="0048626A"/>
    <w:rsid w:val="00486DAE"/>
    <w:rsid w:val="00496480"/>
    <w:rsid w:val="004977C8"/>
    <w:rsid w:val="004A0613"/>
    <w:rsid w:val="004A1D40"/>
    <w:rsid w:val="004A2A10"/>
    <w:rsid w:val="004A32D0"/>
    <w:rsid w:val="004A6A56"/>
    <w:rsid w:val="004A7516"/>
    <w:rsid w:val="004B0C47"/>
    <w:rsid w:val="004B11A3"/>
    <w:rsid w:val="004B242B"/>
    <w:rsid w:val="004B5C56"/>
    <w:rsid w:val="004C2541"/>
    <w:rsid w:val="004C2AE5"/>
    <w:rsid w:val="004C7E1B"/>
    <w:rsid w:val="004D074C"/>
    <w:rsid w:val="004D21D1"/>
    <w:rsid w:val="004E2D41"/>
    <w:rsid w:val="004E3F22"/>
    <w:rsid w:val="004E5B07"/>
    <w:rsid w:val="004E640B"/>
    <w:rsid w:val="004E660F"/>
    <w:rsid w:val="004E6FEC"/>
    <w:rsid w:val="004E739B"/>
    <w:rsid w:val="004F0FA9"/>
    <w:rsid w:val="004F291F"/>
    <w:rsid w:val="004F5EB0"/>
    <w:rsid w:val="004F73C6"/>
    <w:rsid w:val="004F7B2A"/>
    <w:rsid w:val="00501550"/>
    <w:rsid w:val="00501D4C"/>
    <w:rsid w:val="005057B3"/>
    <w:rsid w:val="00507B4A"/>
    <w:rsid w:val="00510BBC"/>
    <w:rsid w:val="00511610"/>
    <w:rsid w:val="005116C7"/>
    <w:rsid w:val="00513672"/>
    <w:rsid w:val="005163EE"/>
    <w:rsid w:val="00517530"/>
    <w:rsid w:val="0052104E"/>
    <w:rsid w:val="00522882"/>
    <w:rsid w:val="00523AF0"/>
    <w:rsid w:val="00524C9B"/>
    <w:rsid w:val="00525CC7"/>
    <w:rsid w:val="00526B6F"/>
    <w:rsid w:val="00527862"/>
    <w:rsid w:val="00530067"/>
    <w:rsid w:val="005300BA"/>
    <w:rsid w:val="00530628"/>
    <w:rsid w:val="00530BBD"/>
    <w:rsid w:val="00535905"/>
    <w:rsid w:val="00537006"/>
    <w:rsid w:val="005374F9"/>
    <w:rsid w:val="00537BC4"/>
    <w:rsid w:val="00540601"/>
    <w:rsid w:val="00543AA6"/>
    <w:rsid w:val="00544B62"/>
    <w:rsid w:val="0054679B"/>
    <w:rsid w:val="0054716F"/>
    <w:rsid w:val="00551397"/>
    <w:rsid w:val="00557C67"/>
    <w:rsid w:val="00561F10"/>
    <w:rsid w:val="00562090"/>
    <w:rsid w:val="00563C06"/>
    <w:rsid w:val="00567B86"/>
    <w:rsid w:val="00567C60"/>
    <w:rsid w:val="0057055B"/>
    <w:rsid w:val="00573CC8"/>
    <w:rsid w:val="005742D9"/>
    <w:rsid w:val="00574F93"/>
    <w:rsid w:val="00577277"/>
    <w:rsid w:val="0058402A"/>
    <w:rsid w:val="005851C0"/>
    <w:rsid w:val="00586D65"/>
    <w:rsid w:val="0058711A"/>
    <w:rsid w:val="00587B1C"/>
    <w:rsid w:val="005912C7"/>
    <w:rsid w:val="0059192E"/>
    <w:rsid w:val="00592977"/>
    <w:rsid w:val="005937D6"/>
    <w:rsid w:val="005975FA"/>
    <w:rsid w:val="005A012C"/>
    <w:rsid w:val="005A0779"/>
    <w:rsid w:val="005A2BE4"/>
    <w:rsid w:val="005A54AC"/>
    <w:rsid w:val="005A5FAD"/>
    <w:rsid w:val="005A7F2A"/>
    <w:rsid w:val="005B0F23"/>
    <w:rsid w:val="005B2776"/>
    <w:rsid w:val="005B30C2"/>
    <w:rsid w:val="005B4CEA"/>
    <w:rsid w:val="005B593F"/>
    <w:rsid w:val="005B7613"/>
    <w:rsid w:val="005B7FC7"/>
    <w:rsid w:val="005C150F"/>
    <w:rsid w:val="005C1BBD"/>
    <w:rsid w:val="005C3C24"/>
    <w:rsid w:val="005C4937"/>
    <w:rsid w:val="005C5F58"/>
    <w:rsid w:val="005C63CF"/>
    <w:rsid w:val="005D0A7D"/>
    <w:rsid w:val="005D0CC4"/>
    <w:rsid w:val="005D27E7"/>
    <w:rsid w:val="005D2B4D"/>
    <w:rsid w:val="005D3204"/>
    <w:rsid w:val="005D44E5"/>
    <w:rsid w:val="005D5E28"/>
    <w:rsid w:val="005E1055"/>
    <w:rsid w:val="005E3139"/>
    <w:rsid w:val="005E379F"/>
    <w:rsid w:val="005E39B7"/>
    <w:rsid w:val="005E40AC"/>
    <w:rsid w:val="005E4584"/>
    <w:rsid w:val="005F0E61"/>
    <w:rsid w:val="005F5B3E"/>
    <w:rsid w:val="006028FC"/>
    <w:rsid w:val="00603F77"/>
    <w:rsid w:val="006072F3"/>
    <w:rsid w:val="00610887"/>
    <w:rsid w:val="006117F6"/>
    <w:rsid w:val="006118DA"/>
    <w:rsid w:val="006138E5"/>
    <w:rsid w:val="00613DA9"/>
    <w:rsid w:val="0061489F"/>
    <w:rsid w:val="0061555A"/>
    <w:rsid w:val="00615F65"/>
    <w:rsid w:val="00616C4C"/>
    <w:rsid w:val="006204FB"/>
    <w:rsid w:val="00621683"/>
    <w:rsid w:val="006223BB"/>
    <w:rsid w:val="00623952"/>
    <w:rsid w:val="006242C5"/>
    <w:rsid w:val="006243F9"/>
    <w:rsid w:val="00624CE4"/>
    <w:rsid w:val="006262C1"/>
    <w:rsid w:val="00631942"/>
    <w:rsid w:val="00632934"/>
    <w:rsid w:val="006370FB"/>
    <w:rsid w:val="006375FF"/>
    <w:rsid w:val="006412C3"/>
    <w:rsid w:val="00643667"/>
    <w:rsid w:val="00643B8D"/>
    <w:rsid w:val="00643E69"/>
    <w:rsid w:val="00644A2F"/>
    <w:rsid w:val="0064583A"/>
    <w:rsid w:val="00646D64"/>
    <w:rsid w:val="00650296"/>
    <w:rsid w:val="00650868"/>
    <w:rsid w:val="00651466"/>
    <w:rsid w:val="006518A7"/>
    <w:rsid w:val="00652573"/>
    <w:rsid w:val="00657D2C"/>
    <w:rsid w:val="00660F15"/>
    <w:rsid w:val="00661DCC"/>
    <w:rsid w:val="0066209E"/>
    <w:rsid w:val="00663309"/>
    <w:rsid w:val="00664020"/>
    <w:rsid w:val="0066605C"/>
    <w:rsid w:val="006668C5"/>
    <w:rsid w:val="006670AE"/>
    <w:rsid w:val="00672615"/>
    <w:rsid w:val="006735BC"/>
    <w:rsid w:val="00674981"/>
    <w:rsid w:val="00674BC9"/>
    <w:rsid w:val="00674F38"/>
    <w:rsid w:val="006806BF"/>
    <w:rsid w:val="00682A88"/>
    <w:rsid w:val="00682D52"/>
    <w:rsid w:val="0068450B"/>
    <w:rsid w:val="0068595F"/>
    <w:rsid w:val="00685BBD"/>
    <w:rsid w:val="006862F2"/>
    <w:rsid w:val="00686D17"/>
    <w:rsid w:val="006908B4"/>
    <w:rsid w:val="006915C1"/>
    <w:rsid w:val="00693C24"/>
    <w:rsid w:val="00695812"/>
    <w:rsid w:val="00696182"/>
    <w:rsid w:val="0069728C"/>
    <w:rsid w:val="00697452"/>
    <w:rsid w:val="00697DBD"/>
    <w:rsid w:val="006A4199"/>
    <w:rsid w:val="006A48B8"/>
    <w:rsid w:val="006B19D2"/>
    <w:rsid w:val="006B40DA"/>
    <w:rsid w:val="006B5174"/>
    <w:rsid w:val="006B76B2"/>
    <w:rsid w:val="006C0541"/>
    <w:rsid w:val="006C0CCB"/>
    <w:rsid w:val="006C183F"/>
    <w:rsid w:val="006C2085"/>
    <w:rsid w:val="006C2424"/>
    <w:rsid w:val="006C30F5"/>
    <w:rsid w:val="006C35F6"/>
    <w:rsid w:val="006C5CA7"/>
    <w:rsid w:val="006D167B"/>
    <w:rsid w:val="006D2DCB"/>
    <w:rsid w:val="006D452D"/>
    <w:rsid w:val="006E00D0"/>
    <w:rsid w:val="006E098E"/>
    <w:rsid w:val="006E1B67"/>
    <w:rsid w:val="006E2A7B"/>
    <w:rsid w:val="006E3F74"/>
    <w:rsid w:val="006F1DE0"/>
    <w:rsid w:val="006F36BE"/>
    <w:rsid w:val="006F4799"/>
    <w:rsid w:val="006F4A5C"/>
    <w:rsid w:val="006F69DB"/>
    <w:rsid w:val="006F6B68"/>
    <w:rsid w:val="006F6BCD"/>
    <w:rsid w:val="0070135C"/>
    <w:rsid w:val="007014BA"/>
    <w:rsid w:val="00702141"/>
    <w:rsid w:val="00702F0C"/>
    <w:rsid w:val="00704D48"/>
    <w:rsid w:val="007053D9"/>
    <w:rsid w:val="007078A7"/>
    <w:rsid w:val="00710D5F"/>
    <w:rsid w:val="00711E95"/>
    <w:rsid w:val="0071341A"/>
    <w:rsid w:val="00717D3B"/>
    <w:rsid w:val="00720DF3"/>
    <w:rsid w:val="007240FB"/>
    <w:rsid w:val="00725BAE"/>
    <w:rsid w:val="007274B5"/>
    <w:rsid w:val="00727F0F"/>
    <w:rsid w:val="00730C40"/>
    <w:rsid w:val="00732F5D"/>
    <w:rsid w:val="00735A3C"/>
    <w:rsid w:val="00736FE7"/>
    <w:rsid w:val="00742FB0"/>
    <w:rsid w:val="007538B5"/>
    <w:rsid w:val="00755236"/>
    <w:rsid w:val="00756B5D"/>
    <w:rsid w:val="007604A0"/>
    <w:rsid w:val="0076511A"/>
    <w:rsid w:val="007664D9"/>
    <w:rsid w:val="00772005"/>
    <w:rsid w:val="007754B7"/>
    <w:rsid w:val="007756F3"/>
    <w:rsid w:val="00780250"/>
    <w:rsid w:val="007804B5"/>
    <w:rsid w:val="00784001"/>
    <w:rsid w:val="00784D9C"/>
    <w:rsid w:val="00786D90"/>
    <w:rsid w:val="007928E4"/>
    <w:rsid w:val="00793734"/>
    <w:rsid w:val="00794898"/>
    <w:rsid w:val="00794EBA"/>
    <w:rsid w:val="00795910"/>
    <w:rsid w:val="00797931"/>
    <w:rsid w:val="007A01E4"/>
    <w:rsid w:val="007A111F"/>
    <w:rsid w:val="007A1F10"/>
    <w:rsid w:val="007A2861"/>
    <w:rsid w:val="007A37F1"/>
    <w:rsid w:val="007A3D20"/>
    <w:rsid w:val="007A3D50"/>
    <w:rsid w:val="007A4EB0"/>
    <w:rsid w:val="007A5492"/>
    <w:rsid w:val="007A65CE"/>
    <w:rsid w:val="007A6CB3"/>
    <w:rsid w:val="007A753D"/>
    <w:rsid w:val="007A7D0B"/>
    <w:rsid w:val="007B2595"/>
    <w:rsid w:val="007B2D66"/>
    <w:rsid w:val="007B33C3"/>
    <w:rsid w:val="007B530F"/>
    <w:rsid w:val="007B56A4"/>
    <w:rsid w:val="007B6AF8"/>
    <w:rsid w:val="007B7F60"/>
    <w:rsid w:val="007C0CD1"/>
    <w:rsid w:val="007C4BD7"/>
    <w:rsid w:val="007D3058"/>
    <w:rsid w:val="007D4327"/>
    <w:rsid w:val="007D4E4E"/>
    <w:rsid w:val="007D5956"/>
    <w:rsid w:val="007E0440"/>
    <w:rsid w:val="007E2719"/>
    <w:rsid w:val="007E338F"/>
    <w:rsid w:val="007E788A"/>
    <w:rsid w:val="007E7FF0"/>
    <w:rsid w:val="007F1107"/>
    <w:rsid w:val="007F1E3C"/>
    <w:rsid w:val="007F3757"/>
    <w:rsid w:val="007F39B5"/>
    <w:rsid w:val="007F3DD4"/>
    <w:rsid w:val="007F5480"/>
    <w:rsid w:val="007F5695"/>
    <w:rsid w:val="007F595B"/>
    <w:rsid w:val="007F5BF8"/>
    <w:rsid w:val="007F6DE5"/>
    <w:rsid w:val="00800AF9"/>
    <w:rsid w:val="00802DDB"/>
    <w:rsid w:val="008035FB"/>
    <w:rsid w:val="00803BFA"/>
    <w:rsid w:val="008057B9"/>
    <w:rsid w:val="00805BBF"/>
    <w:rsid w:val="00807B3D"/>
    <w:rsid w:val="00807F81"/>
    <w:rsid w:val="00817716"/>
    <w:rsid w:val="00821295"/>
    <w:rsid w:val="008214E5"/>
    <w:rsid w:val="00827981"/>
    <w:rsid w:val="00827E4A"/>
    <w:rsid w:val="00832B4C"/>
    <w:rsid w:val="0083388E"/>
    <w:rsid w:val="00833A87"/>
    <w:rsid w:val="00833BBD"/>
    <w:rsid w:val="00834043"/>
    <w:rsid w:val="00834A09"/>
    <w:rsid w:val="00835E94"/>
    <w:rsid w:val="00837A79"/>
    <w:rsid w:val="00842089"/>
    <w:rsid w:val="00847279"/>
    <w:rsid w:val="0084733D"/>
    <w:rsid w:val="008511E3"/>
    <w:rsid w:val="008515AE"/>
    <w:rsid w:val="008537FB"/>
    <w:rsid w:val="00853E40"/>
    <w:rsid w:val="00855843"/>
    <w:rsid w:val="008559A0"/>
    <w:rsid w:val="0085607C"/>
    <w:rsid w:val="008602C7"/>
    <w:rsid w:val="00860F09"/>
    <w:rsid w:val="00861102"/>
    <w:rsid w:val="00861969"/>
    <w:rsid w:val="00862955"/>
    <w:rsid w:val="008629CC"/>
    <w:rsid w:val="00862AED"/>
    <w:rsid w:val="00865EF3"/>
    <w:rsid w:val="0086660D"/>
    <w:rsid w:val="00872298"/>
    <w:rsid w:val="00872785"/>
    <w:rsid w:val="00872D60"/>
    <w:rsid w:val="00877666"/>
    <w:rsid w:val="00877F9F"/>
    <w:rsid w:val="00882B0D"/>
    <w:rsid w:val="00882D6E"/>
    <w:rsid w:val="008860AD"/>
    <w:rsid w:val="00886F70"/>
    <w:rsid w:val="008875BB"/>
    <w:rsid w:val="00895C75"/>
    <w:rsid w:val="008A209D"/>
    <w:rsid w:val="008A262A"/>
    <w:rsid w:val="008A4371"/>
    <w:rsid w:val="008A4716"/>
    <w:rsid w:val="008A5134"/>
    <w:rsid w:val="008A7993"/>
    <w:rsid w:val="008A7DA1"/>
    <w:rsid w:val="008B0A2E"/>
    <w:rsid w:val="008B2E38"/>
    <w:rsid w:val="008B4598"/>
    <w:rsid w:val="008B461F"/>
    <w:rsid w:val="008B5027"/>
    <w:rsid w:val="008B50F9"/>
    <w:rsid w:val="008B53CC"/>
    <w:rsid w:val="008C34A3"/>
    <w:rsid w:val="008C6BFF"/>
    <w:rsid w:val="008C78F7"/>
    <w:rsid w:val="008C7D75"/>
    <w:rsid w:val="008D152E"/>
    <w:rsid w:val="008D1AC7"/>
    <w:rsid w:val="008D3543"/>
    <w:rsid w:val="008D3639"/>
    <w:rsid w:val="008D40A5"/>
    <w:rsid w:val="008D40D5"/>
    <w:rsid w:val="008D530E"/>
    <w:rsid w:val="008E1547"/>
    <w:rsid w:val="008E2326"/>
    <w:rsid w:val="008F0C47"/>
    <w:rsid w:val="008F29BC"/>
    <w:rsid w:val="008F4435"/>
    <w:rsid w:val="008F5548"/>
    <w:rsid w:val="008F5C68"/>
    <w:rsid w:val="00900CB6"/>
    <w:rsid w:val="00902AF8"/>
    <w:rsid w:val="009035F6"/>
    <w:rsid w:val="0090451F"/>
    <w:rsid w:val="00906053"/>
    <w:rsid w:val="00907D19"/>
    <w:rsid w:val="00912785"/>
    <w:rsid w:val="00914129"/>
    <w:rsid w:val="00914567"/>
    <w:rsid w:val="0091656F"/>
    <w:rsid w:val="00920135"/>
    <w:rsid w:val="00921D93"/>
    <w:rsid w:val="0092765F"/>
    <w:rsid w:val="00927729"/>
    <w:rsid w:val="009303D1"/>
    <w:rsid w:val="009329C2"/>
    <w:rsid w:val="00933254"/>
    <w:rsid w:val="009356A8"/>
    <w:rsid w:val="009365AD"/>
    <w:rsid w:val="00936A54"/>
    <w:rsid w:val="009422B8"/>
    <w:rsid w:val="0094289C"/>
    <w:rsid w:val="009438C8"/>
    <w:rsid w:val="0094435A"/>
    <w:rsid w:val="009449BF"/>
    <w:rsid w:val="00947ACC"/>
    <w:rsid w:val="009520C4"/>
    <w:rsid w:val="0095260D"/>
    <w:rsid w:val="0095287D"/>
    <w:rsid w:val="00952B3F"/>
    <w:rsid w:val="0095326C"/>
    <w:rsid w:val="0095375E"/>
    <w:rsid w:val="00953904"/>
    <w:rsid w:val="00954A53"/>
    <w:rsid w:val="00955055"/>
    <w:rsid w:val="009612B1"/>
    <w:rsid w:val="00963194"/>
    <w:rsid w:val="00964B3F"/>
    <w:rsid w:val="00972692"/>
    <w:rsid w:val="00973004"/>
    <w:rsid w:val="0097333E"/>
    <w:rsid w:val="00973F9C"/>
    <w:rsid w:val="009752BF"/>
    <w:rsid w:val="00975564"/>
    <w:rsid w:val="009804C0"/>
    <w:rsid w:val="00980F7E"/>
    <w:rsid w:val="0098147E"/>
    <w:rsid w:val="0098223B"/>
    <w:rsid w:val="009849F4"/>
    <w:rsid w:val="0098504B"/>
    <w:rsid w:val="00985D6F"/>
    <w:rsid w:val="00986F6B"/>
    <w:rsid w:val="00987E75"/>
    <w:rsid w:val="00993452"/>
    <w:rsid w:val="00993C84"/>
    <w:rsid w:val="0099691B"/>
    <w:rsid w:val="009A370F"/>
    <w:rsid w:val="009A459B"/>
    <w:rsid w:val="009A616D"/>
    <w:rsid w:val="009A61AA"/>
    <w:rsid w:val="009A61F3"/>
    <w:rsid w:val="009A62A7"/>
    <w:rsid w:val="009A6D23"/>
    <w:rsid w:val="009B0004"/>
    <w:rsid w:val="009B1022"/>
    <w:rsid w:val="009B46F1"/>
    <w:rsid w:val="009C0391"/>
    <w:rsid w:val="009C217E"/>
    <w:rsid w:val="009C22F6"/>
    <w:rsid w:val="009C24A6"/>
    <w:rsid w:val="009C32C5"/>
    <w:rsid w:val="009C3887"/>
    <w:rsid w:val="009C5E94"/>
    <w:rsid w:val="009C6801"/>
    <w:rsid w:val="009D39D6"/>
    <w:rsid w:val="009D603F"/>
    <w:rsid w:val="009D6267"/>
    <w:rsid w:val="009D65E9"/>
    <w:rsid w:val="009D676A"/>
    <w:rsid w:val="009D7ACC"/>
    <w:rsid w:val="009D7C66"/>
    <w:rsid w:val="009D7EC1"/>
    <w:rsid w:val="009E047A"/>
    <w:rsid w:val="009E3DCC"/>
    <w:rsid w:val="009F2884"/>
    <w:rsid w:val="009F663C"/>
    <w:rsid w:val="009F7F07"/>
    <w:rsid w:val="00A02717"/>
    <w:rsid w:val="00A065EE"/>
    <w:rsid w:val="00A1147B"/>
    <w:rsid w:val="00A1411D"/>
    <w:rsid w:val="00A15EBA"/>
    <w:rsid w:val="00A20E19"/>
    <w:rsid w:val="00A22CAB"/>
    <w:rsid w:val="00A2560B"/>
    <w:rsid w:val="00A2637F"/>
    <w:rsid w:val="00A26883"/>
    <w:rsid w:val="00A26CB1"/>
    <w:rsid w:val="00A27364"/>
    <w:rsid w:val="00A27ABF"/>
    <w:rsid w:val="00A27B82"/>
    <w:rsid w:val="00A30658"/>
    <w:rsid w:val="00A319FE"/>
    <w:rsid w:val="00A31DD8"/>
    <w:rsid w:val="00A321BE"/>
    <w:rsid w:val="00A328B5"/>
    <w:rsid w:val="00A32CAE"/>
    <w:rsid w:val="00A32FBA"/>
    <w:rsid w:val="00A33AA4"/>
    <w:rsid w:val="00A34EE4"/>
    <w:rsid w:val="00A35300"/>
    <w:rsid w:val="00A374DC"/>
    <w:rsid w:val="00A377D4"/>
    <w:rsid w:val="00A37C16"/>
    <w:rsid w:val="00A41598"/>
    <w:rsid w:val="00A425AD"/>
    <w:rsid w:val="00A42885"/>
    <w:rsid w:val="00A42BAF"/>
    <w:rsid w:val="00A43ED4"/>
    <w:rsid w:val="00A44385"/>
    <w:rsid w:val="00A44CE2"/>
    <w:rsid w:val="00A47802"/>
    <w:rsid w:val="00A5015E"/>
    <w:rsid w:val="00A50548"/>
    <w:rsid w:val="00A51E97"/>
    <w:rsid w:val="00A549AF"/>
    <w:rsid w:val="00A61313"/>
    <w:rsid w:val="00A61416"/>
    <w:rsid w:val="00A618BC"/>
    <w:rsid w:val="00A63699"/>
    <w:rsid w:val="00A64B71"/>
    <w:rsid w:val="00A67D53"/>
    <w:rsid w:val="00A706B4"/>
    <w:rsid w:val="00A723BC"/>
    <w:rsid w:val="00A72B9C"/>
    <w:rsid w:val="00A74B3B"/>
    <w:rsid w:val="00A811E8"/>
    <w:rsid w:val="00A81909"/>
    <w:rsid w:val="00A82E11"/>
    <w:rsid w:val="00A83117"/>
    <w:rsid w:val="00A85636"/>
    <w:rsid w:val="00A85CD8"/>
    <w:rsid w:val="00A860BD"/>
    <w:rsid w:val="00A862E6"/>
    <w:rsid w:val="00A90B1A"/>
    <w:rsid w:val="00A94CC3"/>
    <w:rsid w:val="00A967D2"/>
    <w:rsid w:val="00A96C17"/>
    <w:rsid w:val="00A97BB2"/>
    <w:rsid w:val="00A97D6F"/>
    <w:rsid w:val="00AA09CC"/>
    <w:rsid w:val="00AA48DE"/>
    <w:rsid w:val="00AA5105"/>
    <w:rsid w:val="00AB2409"/>
    <w:rsid w:val="00AB34A8"/>
    <w:rsid w:val="00AB3527"/>
    <w:rsid w:val="00AB4BB9"/>
    <w:rsid w:val="00AB5399"/>
    <w:rsid w:val="00AC1E02"/>
    <w:rsid w:val="00AC21F4"/>
    <w:rsid w:val="00AC3E90"/>
    <w:rsid w:val="00AC43F0"/>
    <w:rsid w:val="00AC5DDC"/>
    <w:rsid w:val="00AC72EE"/>
    <w:rsid w:val="00AC7F0F"/>
    <w:rsid w:val="00AD6699"/>
    <w:rsid w:val="00AE0BCB"/>
    <w:rsid w:val="00AE0DE0"/>
    <w:rsid w:val="00AE33FC"/>
    <w:rsid w:val="00AE4664"/>
    <w:rsid w:val="00AE7CD3"/>
    <w:rsid w:val="00AF2A53"/>
    <w:rsid w:val="00AF3C4E"/>
    <w:rsid w:val="00AF45AF"/>
    <w:rsid w:val="00AF751C"/>
    <w:rsid w:val="00B01F22"/>
    <w:rsid w:val="00B0349E"/>
    <w:rsid w:val="00B07731"/>
    <w:rsid w:val="00B106B0"/>
    <w:rsid w:val="00B10742"/>
    <w:rsid w:val="00B11A42"/>
    <w:rsid w:val="00B12294"/>
    <w:rsid w:val="00B12E07"/>
    <w:rsid w:val="00B15768"/>
    <w:rsid w:val="00B158B0"/>
    <w:rsid w:val="00B17D4E"/>
    <w:rsid w:val="00B17F47"/>
    <w:rsid w:val="00B21682"/>
    <w:rsid w:val="00B22306"/>
    <w:rsid w:val="00B22B16"/>
    <w:rsid w:val="00B25D7D"/>
    <w:rsid w:val="00B31534"/>
    <w:rsid w:val="00B331EF"/>
    <w:rsid w:val="00B33E37"/>
    <w:rsid w:val="00B34189"/>
    <w:rsid w:val="00B341E2"/>
    <w:rsid w:val="00B365AA"/>
    <w:rsid w:val="00B379F2"/>
    <w:rsid w:val="00B37BCF"/>
    <w:rsid w:val="00B40827"/>
    <w:rsid w:val="00B41B73"/>
    <w:rsid w:val="00B43D04"/>
    <w:rsid w:val="00B44D83"/>
    <w:rsid w:val="00B45963"/>
    <w:rsid w:val="00B46288"/>
    <w:rsid w:val="00B51CBF"/>
    <w:rsid w:val="00B54C11"/>
    <w:rsid w:val="00B574D6"/>
    <w:rsid w:val="00B60D51"/>
    <w:rsid w:val="00B6231A"/>
    <w:rsid w:val="00B657A3"/>
    <w:rsid w:val="00B67822"/>
    <w:rsid w:val="00B73E99"/>
    <w:rsid w:val="00B81B00"/>
    <w:rsid w:val="00B81C92"/>
    <w:rsid w:val="00B8559B"/>
    <w:rsid w:val="00B90037"/>
    <w:rsid w:val="00B92950"/>
    <w:rsid w:val="00B94447"/>
    <w:rsid w:val="00B9547A"/>
    <w:rsid w:val="00B95748"/>
    <w:rsid w:val="00B95BD4"/>
    <w:rsid w:val="00B9750A"/>
    <w:rsid w:val="00BA0E62"/>
    <w:rsid w:val="00BA2C96"/>
    <w:rsid w:val="00BA72D4"/>
    <w:rsid w:val="00BA75C2"/>
    <w:rsid w:val="00BB079D"/>
    <w:rsid w:val="00BB39A3"/>
    <w:rsid w:val="00BC27CD"/>
    <w:rsid w:val="00BC2A54"/>
    <w:rsid w:val="00BC2C5D"/>
    <w:rsid w:val="00BC3DE8"/>
    <w:rsid w:val="00BC42CE"/>
    <w:rsid w:val="00BC6572"/>
    <w:rsid w:val="00BC6935"/>
    <w:rsid w:val="00BC6FF4"/>
    <w:rsid w:val="00BD5725"/>
    <w:rsid w:val="00BD709A"/>
    <w:rsid w:val="00BD7586"/>
    <w:rsid w:val="00BE0AA4"/>
    <w:rsid w:val="00BE0F5E"/>
    <w:rsid w:val="00BE1F4B"/>
    <w:rsid w:val="00BE29AF"/>
    <w:rsid w:val="00BE2B41"/>
    <w:rsid w:val="00BE2E6F"/>
    <w:rsid w:val="00BE4F58"/>
    <w:rsid w:val="00BE737D"/>
    <w:rsid w:val="00BE7468"/>
    <w:rsid w:val="00BE7924"/>
    <w:rsid w:val="00BE7A59"/>
    <w:rsid w:val="00BE7C32"/>
    <w:rsid w:val="00BF1A7E"/>
    <w:rsid w:val="00BF1D66"/>
    <w:rsid w:val="00BF1E30"/>
    <w:rsid w:val="00BF2A8D"/>
    <w:rsid w:val="00BF31CB"/>
    <w:rsid w:val="00BF55EB"/>
    <w:rsid w:val="00BF5F25"/>
    <w:rsid w:val="00BF61E8"/>
    <w:rsid w:val="00BF6ACE"/>
    <w:rsid w:val="00C04A6B"/>
    <w:rsid w:val="00C04AC2"/>
    <w:rsid w:val="00C11E1B"/>
    <w:rsid w:val="00C1231A"/>
    <w:rsid w:val="00C12D14"/>
    <w:rsid w:val="00C13E2D"/>
    <w:rsid w:val="00C14822"/>
    <w:rsid w:val="00C14EEE"/>
    <w:rsid w:val="00C16100"/>
    <w:rsid w:val="00C16EB4"/>
    <w:rsid w:val="00C1772F"/>
    <w:rsid w:val="00C21079"/>
    <w:rsid w:val="00C235A4"/>
    <w:rsid w:val="00C2375D"/>
    <w:rsid w:val="00C23854"/>
    <w:rsid w:val="00C25F17"/>
    <w:rsid w:val="00C268CF"/>
    <w:rsid w:val="00C3037C"/>
    <w:rsid w:val="00C30D53"/>
    <w:rsid w:val="00C32092"/>
    <w:rsid w:val="00C34A12"/>
    <w:rsid w:val="00C37095"/>
    <w:rsid w:val="00C40AD6"/>
    <w:rsid w:val="00C40BC5"/>
    <w:rsid w:val="00C4115B"/>
    <w:rsid w:val="00C442D7"/>
    <w:rsid w:val="00C4527B"/>
    <w:rsid w:val="00C45FEF"/>
    <w:rsid w:val="00C460F7"/>
    <w:rsid w:val="00C4696B"/>
    <w:rsid w:val="00C4797A"/>
    <w:rsid w:val="00C51A1B"/>
    <w:rsid w:val="00C547BC"/>
    <w:rsid w:val="00C54B44"/>
    <w:rsid w:val="00C552F0"/>
    <w:rsid w:val="00C55983"/>
    <w:rsid w:val="00C60067"/>
    <w:rsid w:val="00C63A62"/>
    <w:rsid w:val="00C65075"/>
    <w:rsid w:val="00C657F7"/>
    <w:rsid w:val="00C71110"/>
    <w:rsid w:val="00C72135"/>
    <w:rsid w:val="00C72854"/>
    <w:rsid w:val="00C74362"/>
    <w:rsid w:val="00C76826"/>
    <w:rsid w:val="00C8033B"/>
    <w:rsid w:val="00C824A4"/>
    <w:rsid w:val="00C82DEE"/>
    <w:rsid w:val="00C835B4"/>
    <w:rsid w:val="00C839C2"/>
    <w:rsid w:val="00C95649"/>
    <w:rsid w:val="00CA04F2"/>
    <w:rsid w:val="00CA1825"/>
    <w:rsid w:val="00CA1EAB"/>
    <w:rsid w:val="00CA1F3D"/>
    <w:rsid w:val="00CA3545"/>
    <w:rsid w:val="00CA4F05"/>
    <w:rsid w:val="00CA4F6B"/>
    <w:rsid w:val="00CA5823"/>
    <w:rsid w:val="00CA5D27"/>
    <w:rsid w:val="00CA7897"/>
    <w:rsid w:val="00CB23AC"/>
    <w:rsid w:val="00CB5CB9"/>
    <w:rsid w:val="00CB63B5"/>
    <w:rsid w:val="00CC00FF"/>
    <w:rsid w:val="00CC28CF"/>
    <w:rsid w:val="00CC4728"/>
    <w:rsid w:val="00CC4C50"/>
    <w:rsid w:val="00CC5843"/>
    <w:rsid w:val="00CC7A83"/>
    <w:rsid w:val="00CD2F8A"/>
    <w:rsid w:val="00CD5787"/>
    <w:rsid w:val="00CD68B9"/>
    <w:rsid w:val="00CE27E6"/>
    <w:rsid w:val="00CE29EC"/>
    <w:rsid w:val="00CE5C10"/>
    <w:rsid w:val="00CE612E"/>
    <w:rsid w:val="00CE7434"/>
    <w:rsid w:val="00CF0378"/>
    <w:rsid w:val="00CF0399"/>
    <w:rsid w:val="00CF228E"/>
    <w:rsid w:val="00CF25EF"/>
    <w:rsid w:val="00CF5F9E"/>
    <w:rsid w:val="00D02A5B"/>
    <w:rsid w:val="00D032CD"/>
    <w:rsid w:val="00D10CB0"/>
    <w:rsid w:val="00D1146A"/>
    <w:rsid w:val="00D124BE"/>
    <w:rsid w:val="00D126C9"/>
    <w:rsid w:val="00D138FE"/>
    <w:rsid w:val="00D16290"/>
    <w:rsid w:val="00D17B64"/>
    <w:rsid w:val="00D22106"/>
    <w:rsid w:val="00D22A85"/>
    <w:rsid w:val="00D22D4A"/>
    <w:rsid w:val="00D2401A"/>
    <w:rsid w:val="00D30BA4"/>
    <w:rsid w:val="00D31864"/>
    <w:rsid w:val="00D31B8B"/>
    <w:rsid w:val="00D32D93"/>
    <w:rsid w:val="00D32DE9"/>
    <w:rsid w:val="00D3310E"/>
    <w:rsid w:val="00D334F3"/>
    <w:rsid w:val="00D353FC"/>
    <w:rsid w:val="00D35A7B"/>
    <w:rsid w:val="00D3611F"/>
    <w:rsid w:val="00D4403B"/>
    <w:rsid w:val="00D46AFB"/>
    <w:rsid w:val="00D5099E"/>
    <w:rsid w:val="00D50DE5"/>
    <w:rsid w:val="00D5130B"/>
    <w:rsid w:val="00D51901"/>
    <w:rsid w:val="00D51CC0"/>
    <w:rsid w:val="00D535BF"/>
    <w:rsid w:val="00D6012D"/>
    <w:rsid w:val="00D6069A"/>
    <w:rsid w:val="00D60F50"/>
    <w:rsid w:val="00D61F55"/>
    <w:rsid w:val="00D6319B"/>
    <w:rsid w:val="00D64FE0"/>
    <w:rsid w:val="00D65FED"/>
    <w:rsid w:val="00D66185"/>
    <w:rsid w:val="00D73126"/>
    <w:rsid w:val="00D77A92"/>
    <w:rsid w:val="00D83520"/>
    <w:rsid w:val="00D873EB"/>
    <w:rsid w:val="00D87DC8"/>
    <w:rsid w:val="00D91F0D"/>
    <w:rsid w:val="00D92D55"/>
    <w:rsid w:val="00D94625"/>
    <w:rsid w:val="00D94734"/>
    <w:rsid w:val="00D95397"/>
    <w:rsid w:val="00D970EC"/>
    <w:rsid w:val="00D974A2"/>
    <w:rsid w:val="00DA10DF"/>
    <w:rsid w:val="00DA1F3A"/>
    <w:rsid w:val="00DA5156"/>
    <w:rsid w:val="00DA577F"/>
    <w:rsid w:val="00DA5B92"/>
    <w:rsid w:val="00DA6EAE"/>
    <w:rsid w:val="00DA7BF3"/>
    <w:rsid w:val="00DB24C6"/>
    <w:rsid w:val="00DB36AE"/>
    <w:rsid w:val="00DB452B"/>
    <w:rsid w:val="00DB5811"/>
    <w:rsid w:val="00DC2B43"/>
    <w:rsid w:val="00DC386E"/>
    <w:rsid w:val="00DC3F5C"/>
    <w:rsid w:val="00DC4802"/>
    <w:rsid w:val="00DC532C"/>
    <w:rsid w:val="00DC7C13"/>
    <w:rsid w:val="00DD2A2E"/>
    <w:rsid w:val="00DD2EF6"/>
    <w:rsid w:val="00DD4083"/>
    <w:rsid w:val="00DD4120"/>
    <w:rsid w:val="00DD501C"/>
    <w:rsid w:val="00DD6E7A"/>
    <w:rsid w:val="00DE0555"/>
    <w:rsid w:val="00DE39BD"/>
    <w:rsid w:val="00DF16A9"/>
    <w:rsid w:val="00DF2D95"/>
    <w:rsid w:val="00DF3CAE"/>
    <w:rsid w:val="00DF52B2"/>
    <w:rsid w:val="00DF69DF"/>
    <w:rsid w:val="00DF6C43"/>
    <w:rsid w:val="00DF7313"/>
    <w:rsid w:val="00E01A7B"/>
    <w:rsid w:val="00E031B1"/>
    <w:rsid w:val="00E045C6"/>
    <w:rsid w:val="00E122EC"/>
    <w:rsid w:val="00E12BE4"/>
    <w:rsid w:val="00E1456F"/>
    <w:rsid w:val="00E14605"/>
    <w:rsid w:val="00E14E5A"/>
    <w:rsid w:val="00E15BA2"/>
    <w:rsid w:val="00E17BDC"/>
    <w:rsid w:val="00E17C82"/>
    <w:rsid w:val="00E228DC"/>
    <w:rsid w:val="00E22CE0"/>
    <w:rsid w:val="00E23EFB"/>
    <w:rsid w:val="00E24B3B"/>
    <w:rsid w:val="00E32350"/>
    <w:rsid w:val="00E3235B"/>
    <w:rsid w:val="00E331F9"/>
    <w:rsid w:val="00E350C9"/>
    <w:rsid w:val="00E403FC"/>
    <w:rsid w:val="00E41115"/>
    <w:rsid w:val="00E415DE"/>
    <w:rsid w:val="00E417C8"/>
    <w:rsid w:val="00E41EB9"/>
    <w:rsid w:val="00E429CE"/>
    <w:rsid w:val="00E464FE"/>
    <w:rsid w:val="00E47015"/>
    <w:rsid w:val="00E47EF4"/>
    <w:rsid w:val="00E53C2E"/>
    <w:rsid w:val="00E55639"/>
    <w:rsid w:val="00E55A00"/>
    <w:rsid w:val="00E6419A"/>
    <w:rsid w:val="00E6531A"/>
    <w:rsid w:val="00E65F2A"/>
    <w:rsid w:val="00E660F2"/>
    <w:rsid w:val="00E702D3"/>
    <w:rsid w:val="00E729F4"/>
    <w:rsid w:val="00E72CAE"/>
    <w:rsid w:val="00E7303A"/>
    <w:rsid w:val="00E755DF"/>
    <w:rsid w:val="00E762F3"/>
    <w:rsid w:val="00E772D6"/>
    <w:rsid w:val="00E837B1"/>
    <w:rsid w:val="00E85F1D"/>
    <w:rsid w:val="00E85FE6"/>
    <w:rsid w:val="00E86A16"/>
    <w:rsid w:val="00E87039"/>
    <w:rsid w:val="00E87DF8"/>
    <w:rsid w:val="00E9207F"/>
    <w:rsid w:val="00E9214C"/>
    <w:rsid w:val="00E92265"/>
    <w:rsid w:val="00E92FBE"/>
    <w:rsid w:val="00E93E06"/>
    <w:rsid w:val="00E94F42"/>
    <w:rsid w:val="00E959AE"/>
    <w:rsid w:val="00E96C39"/>
    <w:rsid w:val="00E97F03"/>
    <w:rsid w:val="00EA34F8"/>
    <w:rsid w:val="00EA39F0"/>
    <w:rsid w:val="00EA4DD9"/>
    <w:rsid w:val="00EA6E7C"/>
    <w:rsid w:val="00EA76DF"/>
    <w:rsid w:val="00EB07F0"/>
    <w:rsid w:val="00EB0C4D"/>
    <w:rsid w:val="00EB223C"/>
    <w:rsid w:val="00EB4472"/>
    <w:rsid w:val="00EB5073"/>
    <w:rsid w:val="00EB7EA5"/>
    <w:rsid w:val="00EC0AA8"/>
    <w:rsid w:val="00EC3364"/>
    <w:rsid w:val="00EC4880"/>
    <w:rsid w:val="00EC5CD9"/>
    <w:rsid w:val="00EC729D"/>
    <w:rsid w:val="00ED01FB"/>
    <w:rsid w:val="00ED0B96"/>
    <w:rsid w:val="00ED1B83"/>
    <w:rsid w:val="00ED1DAB"/>
    <w:rsid w:val="00ED22AE"/>
    <w:rsid w:val="00ED38F0"/>
    <w:rsid w:val="00ED4118"/>
    <w:rsid w:val="00ED43C2"/>
    <w:rsid w:val="00ED459B"/>
    <w:rsid w:val="00ED51C3"/>
    <w:rsid w:val="00ED60C1"/>
    <w:rsid w:val="00EE16BD"/>
    <w:rsid w:val="00EE1E39"/>
    <w:rsid w:val="00EE3A5B"/>
    <w:rsid w:val="00EE5A6C"/>
    <w:rsid w:val="00EF299E"/>
    <w:rsid w:val="00EF37CC"/>
    <w:rsid w:val="00EF4764"/>
    <w:rsid w:val="00EF4861"/>
    <w:rsid w:val="00EF50B5"/>
    <w:rsid w:val="00EF7222"/>
    <w:rsid w:val="00EF76CC"/>
    <w:rsid w:val="00F000C8"/>
    <w:rsid w:val="00F024A9"/>
    <w:rsid w:val="00F04C98"/>
    <w:rsid w:val="00F054C8"/>
    <w:rsid w:val="00F05D71"/>
    <w:rsid w:val="00F075EC"/>
    <w:rsid w:val="00F07E63"/>
    <w:rsid w:val="00F11AFB"/>
    <w:rsid w:val="00F12EAB"/>
    <w:rsid w:val="00F15DCE"/>
    <w:rsid w:val="00F15E21"/>
    <w:rsid w:val="00F15F25"/>
    <w:rsid w:val="00F15FAE"/>
    <w:rsid w:val="00F16584"/>
    <w:rsid w:val="00F204BD"/>
    <w:rsid w:val="00F2265E"/>
    <w:rsid w:val="00F23724"/>
    <w:rsid w:val="00F24D9B"/>
    <w:rsid w:val="00F254C9"/>
    <w:rsid w:val="00F263C9"/>
    <w:rsid w:val="00F26AE3"/>
    <w:rsid w:val="00F32E4D"/>
    <w:rsid w:val="00F35440"/>
    <w:rsid w:val="00F35C2F"/>
    <w:rsid w:val="00F3612B"/>
    <w:rsid w:val="00F37EAA"/>
    <w:rsid w:val="00F40518"/>
    <w:rsid w:val="00F4064C"/>
    <w:rsid w:val="00F45BA3"/>
    <w:rsid w:val="00F53A9D"/>
    <w:rsid w:val="00F53AA3"/>
    <w:rsid w:val="00F545BC"/>
    <w:rsid w:val="00F57B0E"/>
    <w:rsid w:val="00F57F59"/>
    <w:rsid w:val="00F6049A"/>
    <w:rsid w:val="00F60F73"/>
    <w:rsid w:val="00F61D30"/>
    <w:rsid w:val="00F63D4F"/>
    <w:rsid w:val="00F70898"/>
    <w:rsid w:val="00F76F11"/>
    <w:rsid w:val="00F771A3"/>
    <w:rsid w:val="00F830A8"/>
    <w:rsid w:val="00F83D6D"/>
    <w:rsid w:val="00F84802"/>
    <w:rsid w:val="00F84D07"/>
    <w:rsid w:val="00F854B9"/>
    <w:rsid w:val="00F85569"/>
    <w:rsid w:val="00F909CA"/>
    <w:rsid w:val="00F927CD"/>
    <w:rsid w:val="00F92A52"/>
    <w:rsid w:val="00F94094"/>
    <w:rsid w:val="00F95B2C"/>
    <w:rsid w:val="00F96D99"/>
    <w:rsid w:val="00F97077"/>
    <w:rsid w:val="00FA0F84"/>
    <w:rsid w:val="00FA38DF"/>
    <w:rsid w:val="00FA44E2"/>
    <w:rsid w:val="00FA71F1"/>
    <w:rsid w:val="00FA72BF"/>
    <w:rsid w:val="00FB0DB2"/>
    <w:rsid w:val="00FB1D6F"/>
    <w:rsid w:val="00FB2FBA"/>
    <w:rsid w:val="00FB308F"/>
    <w:rsid w:val="00FB3157"/>
    <w:rsid w:val="00FB334F"/>
    <w:rsid w:val="00FB3D78"/>
    <w:rsid w:val="00FB4E9E"/>
    <w:rsid w:val="00FB5365"/>
    <w:rsid w:val="00FB5BCB"/>
    <w:rsid w:val="00FB63EE"/>
    <w:rsid w:val="00FB70E3"/>
    <w:rsid w:val="00FC1A01"/>
    <w:rsid w:val="00FC1EE5"/>
    <w:rsid w:val="00FC1EEA"/>
    <w:rsid w:val="00FC2B73"/>
    <w:rsid w:val="00FC3377"/>
    <w:rsid w:val="00FC4D58"/>
    <w:rsid w:val="00FD0491"/>
    <w:rsid w:val="00FD17FD"/>
    <w:rsid w:val="00FD30AA"/>
    <w:rsid w:val="00FD3D65"/>
    <w:rsid w:val="00FD5AAC"/>
    <w:rsid w:val="00FD65DD"/>
    <w:rsid w:val="00FD68D0"/>
    <w:rsid w:val="00FD7606"/>
    <w:rsid w:val="00FE1361"/>
    <w:rsid w:val="00FE2F02"/>
    <w:rsid w:val="00FE347E"/>
    <w:rsid w:val="00FE40C2"/>
    <w:rsid w:val="00FE522F"/>
    <w:rsid w:val="00FE5CBC"/>
    <w:rsid w:val="00FE5EE4"/>
    <w:rsid w:val="00FE790B"/>
    <w:rsid w:val="00FF1EE0"/>
    <w:rsid w:val="00FF37F2"/>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DD3630"/>
  <w15:docId w15:val="{05CBC4A8-EB95-4C64-95F5-67F4EA2D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AA6"/>
  </w:style>
  <w:style w:type="paragraph" w:styleId="Heading1">
    <w:name w:val="heading 1"/>
    <w:basedOn w:val="Normal"/>
    <w:next w:val="Normal"/>
    <w:link w:val="Heading1Char"/>
    <w:uiPriority w:val="9"/>
    <w:qFormat/>
    <w:rsid w:val="005228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uiPriority w:val="99"/>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uiPriority w:val="99"/>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 w:type="paragraph" w:customStyle="1" w:styleId="tv2132">
    <w:name w:val="tv2132"/>
    <w:basedOn w:val="Normal"/>
    <w:rsid w:val="00451550"/>
    <w:pPr>
      <w:spacing w:after="0" w:line="360" w:lineRule="auto"/>
      <w:ind w:firstLine="300"/>
    </w:pPr>
    <w:rPr>
      <w:rFonts w:ascii="Times New Roman" w:hAnsi="Times New Roman" w:cs="Times New Roman"/>
      <w:color w:val="414142"/>
      <w:sz w:val="20"/>
      <w:szCs w:val="20"/>
      <w:lang w:eastAsia="lv-LV"/>
    </w:rPr>
  </w:style>
  <w:style w:type="paragraph" w:customStyle="1" w:styleId="naiskr">
    <w:name w:val="naiskr"/>
    <w:basedOn w:val="Normal"/>
    <w:rsid w:val="00DC2B43"/>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DC2B43"/>
  </w:style>
  <w:style w:type="table" w:styleId="TableGrid">
    <w:name w:val="Table Grid"/>
    <w:basedOn w:val="TableNormal"/>
    <w:uiPriority w:val="39"/>
    <w:rsid w:val="005F0E6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191A"/>
    <w:pPr>
      <w:spacing w:after="0" w:line="240" w:lineRule="auto"/>
    </w:pPr>
    <w:rPr>
      <w:rFonts w:ascii="Times New Roman" w:hAnsi="Times New Roman" w:cs="Times New Roman"/>
      <w:sz w:val="24"/>
      <w:szCs w:val="24"/>
      <w:lang w:eastAsia="lv-LV"/>
    </w:rPr>
  </w:style>
  <w:style w:type="paragraph" w:styleId="Revision">
    <w:name w:val="Revision"/>
    <w:hidden/>
    <w:uiPriority w:val="99"/>
    <w:semiHidden/>
    <w:rsid w:val="00ED4118"/>
    <w:pPr>
      <w:spacing w:after="0" w:line="240" w:lineRule="auto"/>
    </w:pPr>
  </w:style>
  <w:style w:type="paragraph" w:styleId="ListBullet">
    <w:name w:val="List Bullet"/>
    <w:basedOn w:val="Normal"/>
    <w:uiPriority w:val="99"/>
    <w:unhideWhenUsed/>
    <w:rsid w:val="00862AED"/>
    <w:pPr>
      <w:numPr>
        <w:numId w:val="17"/>
      </w:numPr>
      <w:contextualSpacing/>
    </w:pPr>
  </w:style>
  <w:style w:type="character" w:styleId="FollowedHyperlink">
    <w:name w:val="FollowedHyperlink"/>
    <w:basedOn w:val="DefaultParagraphFont"/>
    <w:uiPriority w:val="99"/>
    <w:semiHidden/>
    <w:unhideWhenUsed/>
    <w:rsid w:val="006C5CA7"/>
    <w:rPr>
      <w:color w:val="954F72" w:themeColor="followedHyperlink"/>
      <w:u w:val="single"/>
    </w:rPr>
  </w:style>
  <w:style w:type="paragraph" w:styleId="BodyTextIndent3">
    <w:name w:val="Body Text Indent 3"/>
    <w:basedOn w:val="Normal"/>
    <w:link w:val="BodyTextIndent3Char"/>
    <w:uiPriority w:val="99"/>
    <w:semiHidden/>
    <w:unhideWhenUsed/>
    <w:rsid w:val="000870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8709D"/>
    <w:rPr>
      <w:sz w:val="16"/>
      <w:szCs w:val="16"/>
    </w:rPr>
  </w:style>
  <w:style w:type="character" w:customStyle="1" w:styleId="Heading1Char">
    <w:name w:val="Heading 1 Char"/>
    <w:basedOn w:val="DefaultParagraphFont"/>
    <w:link w:val="Heading1"/>
    <w:uiPriority w:val="9"/>
    <w:rsid w:val="005228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6607">
      <w:bodyDiv w:val="1"/>
      <w:marLeft w:val="0"/>
      <w:marRight w:val="0"/>
      <w:marTop w:val="0"/>
      <w:marBottom w:val="0"/>
      <w:divBdr>
        <w:top w:val="none" w:sz="0" w:space="0" w:color="auto"/>
        <w:left w:val="none" w:sz="0" w:space="0" w:color="auto"/>
        <w:bottom w:val="none" w:sz="0" w:space="0" w:color="auto"/>
        <w:right w:val="none" w:sz="0" w:space="0" w:color="auto"/>
      </w:divBdr>
    </w:div>
    <w:div w:id="531459688">
      <w:bodyDiv w:val="1"/>
      <w:marLeft w:val="0"/>
      <w:marRight w:val="0"/>
      <w:marTop w:val="0"/>
      <w:marBottom w:val="0"/>
      <w:divBdr>
        <w:top w:val="none" w:sz="0" w:space="0" w:color="auto"/>
        <w:left w:val="none" w:sz="0" w:space="0" w:color="auto"/>
        <w:bottom w:val="none" w:sz="0" w:space="0" w:color="auto"/>
        <w:right w:val="none" w:sz="0" w:space="0" w:color="auto"/>
      </w:divBdr>
      <w:divsChild>
        <w:div w:id="2110002919">
          <w:marLeft w:val="0"/>
          <w:marRight w:val="0"/>
          <w:marTop w:val="0"/>
          <w:marBottom w:val="0"/>
          <w:divBdr>
            <w:top w:val="none" w:sz="0" w:space="0" w:color="auto"/>
            <w:left w:val="none" w:sz="0" w:space="0" w:color="auto"/>
            <w:bottom w:val="none" w:sz="0" w:space="0" w:color="auto"/>
            <w:right w:val="none" w:sz="0" w:space="0" w:color="auto"/>
          </w:divBdr>
          <w:divsChild>
            <w:div w:id="579870532">
              <w:marLeft w:val="0"/>
              <w:marRight w:val="0"/>
              <w:marTop w:val="0"/>
              <w:marBottom w:val="0"/>
              <w:divBdr>
                <w:top w:val="none" w:sz="0" w:space="0" w:color="auto"/>
                <w:left w:val="none" w:sz="0" w:space="0" w:color="auto"/>
                <w:bottom w:val="none" w:sz="0" w:space="0" w:color="auto"/>
                <w:right w:val="none" w:sz="0" w:space="0" w:color="auto"/>
              </w:divBdr>
              <w:divsChild>
                <w:div w:id="1962030138">
                  <w:marLeft w:val="0"/>
                  <w:marRight w:val="0"/>
                  <w:marTop w:val="0"/>
                  <w:marBottom w:val="0"/>
                  <w:divBdr>
                    <w:top w:val="none" w:sz="0" w:space="0" w:color="auto"/>
                    <w:left w:val="none" w:sz="0" w:space="0" w:color="auto"/>
                    <w:bottom w:val="none" w:sz="0" w:space="0" w:color="auto"/>
                    <w:right w:val="none" w:sz="0" w:space="0" w:color="auto"/>
                  </w:divBdr>
                  <w:divsChild>
                    <w:div w:id="979844794">
                      <w:marLeft w:val="0"/>
                      <w:marRight w:val="0"/>
                      <w:marTop w:val="0"/>
                      <w:marBottom w:val="0"/>
                      <w:divBdr>
                        <w:top w:val="none" w:sz="0" w:space="0" w:color="auto"/>
                        <w:left w:val="none" w:sz="0" w:space="0" w:color="auto"/>
                        <w:bottom w:val="none" w:sz="0" w:space="0" w:color="auto"/>
                        <w:right w:val="none" w:sz="0" w:space="0" w:color="auto"/>
                      </w:divBdr>
                      <w:divsChild>
                        <w:div w:id="269316628">
                          <w:marLeft w:val="0"/>
                          <w:marRight w:val="0"/>
                          <w:marTop w:val="0"/>
                          <w:marBottom w:val="0"/>
                          <w:divBdr>
                            <w:top w:val="none" w:sz="0" w:space="0" w:color="auto"/>
                            <w:left w:val="none" w:sz="0" w:space="0" w:color="auto"/>
                            <w:bottom w:val="none" w:sz="0" w:space="0" w:color="auto"/>
                            <w:right w:val="none" w:sz="0" w:space="0" w:color="auto"/>
                          </w:divBdr>
                          <w:divsChild>
                            <w:div w:id="11090191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278539">
      <w:bodyDiv w:val="1"/>
      <w:marLeft w:val="0"/>
      <w:marRight w:val="0"/>
      <w:marTop w:val="0"/>
      <w:marBottom w:val="0"/>
      <w:divBdr>
        <w:top w:val="none" w:sz="0" w:space="0" w:color="auto"/>
        <w:left w:val="none" w:sz="0" w:space="0" w:color="auto"/>
        <w:bottom w:val="none" w:sz="0" w:space="0" w:color="auto"/>
        <w:right w:val="none" w:sz="0" w:space="0" w:color="auto"/>
      </w:divBdr>
    </w:div>
    <w:div w:id="773206532">
      <w:bodyDiv w:val="1"/>
      <w:marLeft w:val="0"/>
      <w:marRight w:val="0"/>
      <w:marTop w:val="0"/>
      <w:marBottom w:val="0"/>
      <w:divBdr>
        <w:top w:val="none" w:sz="0" w:space="0" w:color="auto"/>
        <w:left w:val="none" w:sz="0" w:space="0" w:color="auto"/>
        <w:bottom w:val="none" w:sz="0" w:space="0" w:color="auto"/>
        <w:right w:val="none" w:sz="0" w:space="0" w:color="auto"/>
      </w:divBdr>
    </w:div>
    <w:div w:id="819810159">
      <w:bodyDiv w:val="1"/>
      <w:marLeft w:val="0"/>
      <w:marRight w:val="0"/>
      <w:marTop w:val="0"/>
      <w:marBottom w:val="0"/>
      <w:divBdr>
        <w:top w:val="none" w:sz="0" w:space="0" w:color="auto"/>
        <w:left w:val="none" w:sz="0" w:space="0" w:color="auto"/>
        <w:bottom w:val="none" w:sz="0" w:space="0" w:color="auto"/>
        <w:right w:val="none" w:sz="0" w:space="0" w:color="auto"/>
      </w:divBdr>
      <w:divsChild>
        <w:div w:id="1978337532">
          <w:marLeft w:val="0"/>
          <w:marRight w:val="0"/>
          <w:marTop w:val="0"/>
          <w:marBottom w:val="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945386302">
                  <w:marLeft w:val="0"/>
                  <w:marRight w:val="0"/>
                  <w:marTop w:val="0"/>
                  <w:marBottom w:val="0"/>
                  <w:divBdr>
                    <w:top w:val="none" w:sz="0" w:space="0" w:color="auto"/>
                    <w:left w:val="none" w:sz="0" w:space="0" w:color="auto"/>
                    <w:bottom w:val="none" w:sz="0" w:space="0" w:color="auto"/>
                    <w:right w:val="none" w:sz="0" w:space="0" w:color="auto"/>
                  </w:divBdr>
                  <w:divsChild>
                    <w:div w:id="451025206">
                      <w:marLeft w:val="0"/>
                      <w:marRight w:val="0"/>
                      <w:marTop w:val="0"/>
                      <w:marBottom w:val="0"/>
                      <w:divBdr>
                        <w:top w:val="none" w:sz="0" w:space="0" w:color="auto"/>
                        <w:left w:val="none" w:sz="0" w:space="0" w:color="auto"/>
                        <w:bottom w:val="none" w:sz="0" w:space="0" w:color="auto"/>
                        <w:right w:val="none" w:sz="0" w:space="0" w:color="auto"/>
                      </w:divBdr>
                      <w:divsChild>
                        <w:div w:id="153225349">
                          <w:marLeft w:val="0"/>
                          <w:marRight w:val="0"/>
                          <w:marTop w:val="0"/>
                          <w:marBottom w:val="0"/>
                          <w:divBdr>
                            <w:top w:val="none" w:sz="0" w:space="0" w:color="auto"/>
                            <w:left w:val="none" w:sz="0" w:space="0" w:color="auto"/>
                            <w:bottom w:val="none" w:sz="0" w:space="0" w:color="auto"/>
                            <w:right w:val="none" w:sz="0" w:space="0" w:color="auto"/>
                          </w:divBdr>
                          <w:divsChild>
                            <w:div w:id="1157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66333">
      <w:bodyDiv w:val="1"/>
      <w:marLeft w:val="0"/>
      <w:marRight w:val="0"/>
      <w:marTop w:val="0"/>
      <w:marBottom w:val="0"/>
      <w:divBdr>
        <w:top w:val="none" w:sz="0" w:space="0" w:color="auto"/>
        <w:left w:val="none" w:sz="0" w:space="0" w:color="auto"/>
        <w:bottom w:val="none" w:sz="0" w:space="0" w:color="auto"/>
        <w:right w:val="none" w:sz="0" w:space="0" w:color="auto"/>
      </w:divBdr>
    </w:div>
    <w:div w:id="951859294">
      <w:bodyDiv w:val="1"/>
      <w:marLeft w:val="0"/>
      <w:marRight w:val="0"/>
      <w:marTop w:val="0"/>
      <w:marBottom w:val="0"/>
      <w:divBdr>
        <w:top w:val="none" w:sz="0" w:space="0" w:color="auto"/>
        <w:left w:val="none" w:sz="0" w:space="0" w:color="auto"/>
        <w:bottom w:val="none" w:sz="0" w:space="0" w:color="auto"/>
        <w:right w:val="none" w:sz="0" w:space="0" w:color="auto"/>
      </w:divBdr>
      <w:divsChild>
        <w:div w:id="1915317150">
          <w:marLeft w:val="0"/>
          <w:marRight w:val="0"/>
          <w:marTop w:val="0"/>
          <w:marBottom w:val="0"/>
          <w:divBdr>
            <w:top w:val="none" w:sz="0" w:space="0" w:color="auto"/>
            <w:left w:val="none" w:sz="0" w:space="0" w:color="auto"/>
            <w:bottom w:val="none" w:sz="0" w:space="0" w:color="auto"/>
            <w:right w:val="none" w:sz="0" w:space="0" w:color="auto"/>
          </w:divBdr>
          <w:divsChild>
            <w:div w:id="721490017">
              <w:marLeft w:val="0"/>
              <w:marRight w:val="0"/>
              <w:marTop w:val="0"/>
              <w:marBottom w:val="0"/>
              <w:divBdr>
                <w:top w:val="none" w:sz="0" w:space="0" w:color="auto"/>
                <w:left w:val="none" w:sz="0" w:space="0" w:color="auto"/>
                <w:bottom w:val="none" w:sz="0" w:space="0" w:color="auto"/>
                <w:right w:val="none" w:sz="0" w:space="0" w:color="auto"/>
              </w:divBdr>
              <w:divsChild>
                <w:div w:id="718240361">
                  <w:marLeft w:val="0"/>
                  <w:marRight w:val="0"/>
                  <w:marTop w:val="0"/>
                  <w:marBottom w:val="0"/>
                  <w:divBdr>
                    <w:top w:val="none" w:sz="0" w:space="0" w:color="auto"/>
                    <w:left w:val="none" w:sz="0" w:space="0" w:color="auto"/>
                    <w:bottom w:val="none" w:sz="0" w:space="0" w:color="auto"/>
                    <w:right w:val="none" w:sz="0" w:space="0" w:color="auto"/>
                  </w:divBdr>
                  <w:divsChild>
                    <w:div w:id="299464256">
                      <w:marLeft w:val="0"/>
                      <w:marRight w:val="0"/>
                      <w:marTop w:val="0"/>
                      <w:marBottom w:val="0"/>
                      <w:divBdr>
                        <w:top w:val="none" w:sz="0" w:space="0" w:color="auto"/>
                        <w:left w:val="none" w:sz="0" w:space="0" w:color="auto"/>
                        <w:bottom w:val="none" w:sz="0" w:space="0" w:color="auto"/>
                        <w:right w:val="none" w:sz="0" w:space="0" w:color="auto"/>
                      </w:divBdr>
                      <w:divsChild>
                        <w:div w:id="1923371333">
                          <w:marLeft w:val="0"/>
                          <w:marRight w:val="0"/>
                          <w:marTop w:val="0"/>
                          <w:marBottom w:val="0"/>
                          <w:divBdr>
                            <w:top w:val="none" w:sz="0" w:space="0" w:color="auto"/>
                            <w:left w:val="none" w:sz="0" w:space="0" w:color="auto"/>
                            <w:bottom w:val="none" w:sz="0" w:space="0" w:color="auto"/>
                            <w:right w:val="none" w:sz="0" w:space="0" w:color="auto"/>
                          </w:divBdr>
                          <w:divsChild>
                            <w:div w:id="1665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875229">
      <w:bodyDiv w:val="1"/>
      <w:marLeft w:val="0"/>
      <w:marRight w:val="0"/>
      <w:marTop w:val="0"/>
      <w:marBottom w:val="0"/>
      <w:divBdr>
        <w:top w:val="none" w:sz="0" w:space="0" w:color="auto"/>
        <w:left w:val="none" w:sz="0" w:space="0" w:color="auto"/>
        <w:bottom w:val="none" w:sz="0" w:space="0" w:color="auto"/>
        <w:right w:val="none" w:sz="0" w:space="0" w:color="auto"/>
      </w:divBdr>
      <w:divsChild>
        <w:div w:id="1434088728">
          <w:marLeft w:val="0"/>
          <w:marRight w:val="0"/>
          <w:marTop w:val="0"/>
          <w:marBottom w:val="0"/>
          <w:divBdr>
            <w:top w:val="none" w:sz="0" w:space="0" w:color="auto"/>
            <w:left w:val="none" w:sz="0" w:space="0" w:color="auto"/>
            <w:bottom w:val="none" w:sz="0" w:space="0" w:color="auto"/>
            <w:right w:val="none" w:sz="0" w:space="0" w:color="auto"/>
          </w:divBdr>
          <w:divsChild>
            <w:div w:id="899710120">
              <w:marLeft w:val="0"/>
              <w:marRight w:val="0"/>
              <w:marTop w:val="0"/>
              <w:marBottom w:val="0"/>
              <w:divBdr>
                <w:top w:val="none" w:sz="0" w:space="0" w:color="auto"/>
                <w:left w:val="none" w:sz="0" w:space="0" w:color="auto"/>
                <w:bottom w:val="none" w:sz="0" w:space="0" w:color="auto"/>
                <w:right w:val="none" w:sz="0" w:space="0" w:color="auto"/>
              </w:divBdr>
              <w:divsChild>
                <w:div w:id="1627076353">
                  <w:marLeft w:val="0"/>
                  <w:marRight w:val="0"/>
                  <w:marTop w:val="0"/>
                  <w:marBottom w:val="0"/>
                  <w:divBdr>
                    <w:top w:val="none" w:sz="0" w:space="0" w:color="auto"/>
                    <w:left w:val="none" w:sz="0" w:space="0" w:color="auto"/>
                    <w:bottom w:val="none" w:sz="0" w:space="0" w:color="auto"/>
                    <w:right w:val="none" w:sz="0" w:space="0" w:color="auto"/>
                  </w:divBdr>
                  <w:divsChild>
                    <w:div w:id="731200288">
                      <w:marLeft w:val="0"/>
                      <w:marRight w:val="0"/>
                      <w:marTop w:val="0"/>
                      <w:marBottom w:val="0"/>
                      <w:divBdr>
                        <w:top w:val="none" w:sz="0" w:space="0" w:color="auto"/>
                        <w:left w:val="none" w:sz="0" w:space="0" w:color="auto"/>
                        <w:bottom w:val="none" w:sz="0" w:space="0" w:color="auto"/>
                        <w:right w:val="none" w:sz="0" w:space="0" w:color="auto"/>
                      </w:divBdr>
                      <w:divsChild>
                        <w:div w:id="399598920">
                          <w:marLeft w:val="0"/>
                          <w:marRight w:val="0"/>
                          <w:marTop w:val="0"/>
                          <w:marBottom w:val="0"/>
                          <w:divBdr>
                            <w:top w:val="none" w:sz="0" w:space="0" w:color="auto"/>
                            <w:left w:val="none" w:sz="0" w:space="0" w:color="auto"/>
                            <w:bottom w:val="none" w:sz="0" w:space="0" w:color="auto"/>
                            <w:right w:val="none" w:sz="0" w:space="0" w:color="auto"/>
                          </w:divBdr>
                          <w:divsChild>
                            <w:div w:id="186922354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629635">
      <w:bodyDiv w:val="1"/>
      <w:marLeft w:val="0"/>
      <w:marRight w:val="0"/>
      <w:marTop w:val="0"/>
      <w:marBottom w:val="0"/>
      <w:divBdr>
        <w:top w:val="none" w:sz="0" w:space="0" w:color="auto"/>
        <w:left w:val="none" w:sz="0" w:space="0" w:color="auto"/>
        <w:bottom w:val="none" w:sz="0" w:space="0" w:color="auto"/>
        <w:right w:val="none" w:sz="0" w:space="0" w:color="auto"/>
      </w:divBdr>
      <w:divsChild>
        <w:div w:id="1611084655">
          <w:marLeft w:val="0"/>
          <w:marRight w:val="0"/>
          <w:marTop w:val="0"/>
          <w:marBottom w:val="0"/>
          <w:divBdr>
            <w:top w:val="none" w:sz="0" w:space="0" w:color="auto"/>
            <w:left w:val="none" w:sz="0" w:space="0" w:color="auto"/>
            <w:bottom w:val="none" w:sz="0" w:space="0" w:color="auto"/>
            <w:right w:val="none" w:sz="0" w:space="0" w:color="auto"/>
          </w:divBdr>
          <w:divsChild>
            <w:div w:id="1646885579">
              <w:marLeft w:val="0"/>
              <w:marRight w:val="0"/>
              <w:marTop w:val="0"/>
              <w:marBottom w:val="0"/>
              <w:divBdr>
                <w:top w:val="none" w:sz="0" w:space="0" w:color="auto"/>
                <w:left w:val="none" w:sz="0" w:space="0" w:color="auto"/>
                <w:bottom w:val="none" w:sz="0" w:space="0" w:color="auto"/>
                <w:right w:val="none" w:sz="0" w:space="0" w:color="auto"/>
              </w:divBdr>
              <w:divsChild>
                <w:div w:id="460462591">
                  <w:marLeft w:val="0"/>
                  <w:marRight w:val="0"/>
                  <w:marTop w:val="0"/>
                  <w:marBottom w:val="0"/>
                  <w:divBdr>
                    <w:top w:val="none" w:sz="0" w:space="0" w:color="auto"/>
                    <w:left w:val="none" w:sz="0" w:space="0" w:color="auto"/>
                    <w:bottom w:val="none" w:sz="0" w:space="0" w:color="auto"/>
                    <w:right w:val="none" w:sz="0" w:space="0" w:color="auto"/>
                  </w:divBdr>
                  <w:divsChild>
                    <w:div w:id="181826906">
                      <w:marLeft w:val="0"/>
                      <w:marRight w:val="0"/>
                      <w:marTop w:val="0"/>
                      <w:marBottom w:val="0"/>
                      <w:divBdr>
                        <w:top w:val="none" w:sz="0" w:space="0" w:color="auto"/>
                        <w:left w:val="none" w:sz="0" w:space="0" w:color="auto"/>
                        <w:bottom w:val="none" w:sz="0" w:space="0" w:color="auto"/>
                        <w:right w:val="none" w:sz="0" w:space="0" w:color="auto"/>
                      </w:divBdr>
                      <w:divsChild>
                        <w:div w:id="1693804897">
                          <w:marLeft w:val="0"/>
                          <w:marRight w:val="0"/>
                          <w:marTop w:val="0"/>
                          <w:marBottom w:val="0"/>
                          <w:divBdr>
                            <w:top w:val="none" w:sz="0" w:space="0" w:color="auto"/>
                            <w:left w:val="none" w:sz="0" w:space="0" w:color="auto"/>
                            <w:bottom w:val="none" w:sz="0" w:space="0" w:color="auto"/>
                            <w:right w:val="none" w:sz="0" w:space="0" w:color="auto"/>
                          </w:divBdr>
                          <w:divsChild>
                            <w:div w:id="2004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42620">
      <w:bodyDiv w:val="1"/>
      <w:marLeft w:val="0"/>
      <w:marRight w:val="0"/>
      <w:marTop w:val="0"/>
      <w:marBottom w:val="0"/>
      <w:divBdr>
        <w:top w:val="none" w:sz="0" w:space="0" w:color="auto"/>
        <w:left w:val="none" w:sz="0" w:space="0" w:color="auto"/>
        <w:bottom w:val="none" w:sz="0" w:space="0" w:color="auto"/>
        <w:right w:val="none" w:sz="0" w:space="0" w:color="auto"/>
      </w:divBdr>
    </w:div>
    <w:div w:id="1536962951">
      <w:bodyDiv w:val="1"/>
      <w:marLeft w:val="0"/>
      <w:marRight w:val="0"/>
      <w:marTop w:val="0"/>
      <w:marBottom w:val="0"/>
      <w:divBdr>
        <w:top w:val="none" w:sz="0" w:space="0" w:color="auto"/>
        <w:left w:val="none" w:sz="0" w:space="0" w:color="auto"/>
        <w:bottom w:val="none" w:sz="0" w:space="0" w:color="auto"/>
        <w:right w:val="none" w:sz="0" w:space="0" w:color="auto"/>
      </w:divBdr>
    </w:div>
    <w:div w:id="1565336809">
      <w:bodyDiv w:val="1"/>
      <w:marLeft w:val="0"/>
      <w:marRight w:val="0"/>
      <w:marTop w:val="0"/>
      <w:marBottom w:val="0"/>
      <w:divBdr>
        <w:top w:val="none" w:sz="0" w:space="0" w:color="auto"/>
        <w:left w:val="none" w:sz="0" w:space="0" w:color="auto"/>
        <w:bottom w:val="none" w:sz="0" w:space="0" w:color="auto"/>
        <w:right w:val="none" w:sz="0" w:space="0" w:color="auto"/>
      </w:divBdr>
    </w:div>
    <w:div w:id="1691445510">
      <w:bodyDiv w:val="1"/>
      <w:marLeft w:val="0"/>
      <w:marRight w:val="0"/>
      <w:marTop w:val="0"/>
      <w:marBottom w:val="0"/>
      <w:divBdr>
        <w:top w:val="none" w:sz="0" w:space="0" w:color="auto"/>
        <w:left w:val="none" w:sz="0" w:space="0" w:color="auto"/>
        <w:bottom w:val="none" w:sz="0" w:space="0" w:color="auto"/>
        <w:right w:val="none" w:sz="0" w:space="0" w:color="auto"/>
      </w:divBdr>
    </w:div>
    <w:div w:id="1715539915">
      <w:bodyDiv w:val="1"/>
      <w:marLeft w:val="0"/>
      <w:marRight w:val="0"/>
      <w:marTop w:val="0"/>
      <w:marBottom w:val="0"/>
      <w:divBdr>
        <w:top w:val="none" w:sz="0" w:space="0" w:color="auto"/>
        <w:left w:val="none" w:sz="0" w:space="0" w:color="auto"/>
        <w:bottom w:val="none" w:sz="0" w:space="0" w:color="auto"/>
        <w:right w:val="none" w:sz="0" w:space="0" w:color="auto"/>
      </w:divBdr>
      <w:divsChild>
        <w:div w:id="300886051">
          <w:marLeft w:val="0"/>
          <w:marRight w:val="0"/>
          <w:marTop w:val="0"/>
          <w:marBottom w:val="0"/>
          <w:divBdr>
            <w:top w:val="none" w:sz="0" w:space="0" w:color="auto"/>
            <w:left w:val="none" w:sz="0" w:space="0" w:color="auto"/>
            <w:bottom w:val="none" w:sz="0" w:space="0" w:color="auto"/>
            <w:right w:val="none" w:sz="0" w:space="0" w:color="auto"/>
          </w:divBdr>
          <w:divsChild>
            <w:div w:id="1899512470">
              <w:marLeft w:val="0"/>
              <w:marRight w:val="0"/>
              <w:marTop w:val="0"/>
              <w:marBottom w:val="0"/>
              <w:divBdr>
                <w:top w:val="none" w:sz="0" w:space="0" w:color="auto"/>
                <w:left w:val="none" w:sz="0" w:space="0" w:color="auto"/>
                <w:bottom w:val="none" w:sz="0" w:space="0" w:color="auto"/>
                <w:right w:val="none" w:sz="0" w:space="0" w:color="auto"/>
              </w:divBdr>
              <w:divsChild>
                <w:div w:id="2049646487">
                  <w:marLeft w:val="0"/>
                  <w:marRight w:val="0"/>
                  <w:marTop w:val="0"/>
                  <w:marBottom w:val="0"/>
                  <w:divBdr>
                    <w:top w:val="none" w:sz="0" w:space="0" w:color="auto"/>
                    <w:left w:val="none" w:sz="0" w:space="0" w:color="auto"/>
                    <w:bottom w:val="none" w:sz="0" w:space="0" w:color="auto"/>
                    <w:right w:val="none" w:sz="0" w:space="0" w:color="auto"/>
                  </w:divBdr>
                  <w:divsChild>
                    <w:div w:id="1076902546">
                      <w:marLeft w:val="0"/>
                      <w:marRight w:val="0"/>
                      <w:marTop w:val="0"/>
                      <w:marBottom w:val="0"/>
                      <w:divBdr>
                        <w:top w:val="none" w:sz="0" w:space="0" w:color="auto"/>
                        <w:left w:val="none" w:sz="0" w:space="0" w:color="auto"/>
                        <w:bottom w:val="none" w:sz="0" w:space="0" w:color="auto"/>
                        <w:right w:val="none" w:sz="0" w:space="0" w:color="auto"/>
                      </w:divBdr>
                      <w:divsChild>
                        <w:div w:id="1101032389">
                          <w:marLeft w:val="0"/>
                          <w:marRight w:val="0"/>
                          <w:marTop w:val="0"/>
                          <w:marBottom w:val="0"/>
                          <w:divBdr>
                            <w:top w:val="none" w:sz="0" w:space="0" w:color="auto"/>
                            <w:left w:val="none" w:sz="0" w:space="0" w:color="auto"/>
                            <w:bottom w:val="none" w:sz="0" w:space="0" w:color="auto"/>
                            <w:right w:val="none" w:sz="0" w:space="0" w:color="auto"/>
                          </w:divBdr>
                          <w:divsChild>
                            <w:div w:id="300771054">
                              <w:marLeft w:val="0"/>
                              <w:marRight w:val="0"/>
                              <w:marTop w:val="0"/>
                              <w:marBottom w:val="0"/>
                              <w:divBdr>
                                <w:top w:val="none" w:sz="0" w:space="0" w:color="auto"/>
                                <w:left w:val="none" w:sz="0" w:space="0" w:color="auto"/>
                                <w:bottom w:val="none" w:sz="0" w:space="0" w:color="auto"/>
                                <w:right w:val="none" w:sz="0" w:space="0" w:color="auto"/>
                              </w:divBdr>
                              <w:divsChild>
                                <w:div w:id="1125974418">
                                  <w:marLeft w:val="0"/>
                                  <w:marRight w:val="0"/>
                                  <w:marTop w:val="0"/>
                                  <w:marBottom w:val="0"/>
                                  <w:divBdr>
                                    <w:top w:val="none" w:sz="0" w:space="0" w:color="auto"/>
                                    <w:left w:val="none" w:sz="0" w:space="0" w:color="auto"/>
                                    <w:bottom w:val="none" w:sz="0" w:space="0" w:color="auto"/>
                                    <w:right w:val="none" w:sz="0" w:space="0" w:color="auto"/>
                                  </w:divBdr>
                                </w:div>
                                <w:div w:id="835071260">
                                  <w:marLeft w:val="0"/>
                                  <w:marRight w:val="0"/>
                                  <w:marTop w:val="0"/>
                                  <w:marBottom w:val="0"/>
                                  <w:divBdr>
                                    <w:top w:val="none" w:sz="0" w:space="0" w:color="auto"/>
                                    <w:left w:val="none" w:sz="0" w:space="0" w:color="auto"/>
                                    <w:bottom w:val="none" w:sz="0" w:space="0" w:color="auto"/>
                                    <w:right w:val="none" w:sz="0" w:space="0" w:color="auto"/>
                                  </w:divBdr>
                                  <w:divsChild>
                                    <w:div w:id="827860937">
                                      <w:marLeft w:val="0"/>
                                      <w:marRight w:val="0"/>
                                      <w:marTop w:val="0"/>
                                      <w:marBottom w:val="0"/>
                                      <w:divBdr>
                                        <w:top w:val="none" w:sz="0" w:space="0" w:color="auto"/>
                                        <w:left w:val="none" w:sz="0" w:space="0" w:color="auto"/>
                                        <w:bottom w:val="none" w:sz="0" w:space="0" w:color="auto"/>
                                        <w:right w:val="none" w:sz="0" w:space="0" w:color="auto"/>
                                      </w:divBdr>
                                      <w:divsChild>
                                        <w:div w:id="1194733519">
                                          <w:marLeft w:val="0"/>
                                          <w:marRight w:val="0"/>
                                          <w:marTop w:val="0"/>
                                          <w:marBottom w:val="0"/>
                                          <w:divBdr>
                                            <w:top w:val="none" w:sz="0" w:space="0" w:color="auto"/>
                                            <w:left w:val="none" w:sz="0" w:space="0" w:color="auto"/>
                                            <w:bottom w:val="none" w:sz="0" w:space="0" w:color="auto"/>
                                            <w:right w:val="none" w:sz="0" w:space="0" w:color="auto"/>
                                          </w:divBdr>
                                        </w:div>
                                        <w:div w:id="7713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4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content/ministru-kabineta-diskusiju-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ta.Puzul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4EE9-7233-4567-91BC-92871EDF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55731</Words>
  <Characters>31767</Characters>
  <Application>Microsoft Office Word</Application>
  <DocSecurity>0</DocSecurity>
  <Lines>264</Lines>
  <Paragraphs>174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akcīzes nodokli"" sākotnējās ietekmes novērtējuma ziņojums (anotācija)</vt:lpstr>
      <vt:lpstr>Likumprojekta "Grozījumi likumā "Par akcīzes nodokli"" sākotnējās ietekmes novērtējuma ziņojums (anotācija)</vt:lpstr>
    </vt:vector>
  </TitlesOfParts>
  <Company>Finanšu ministrija</Company>
  <LinksUpToDate>false</LinksUpToDate>
  <CharactersWithSpaces>87324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akcīzes nodokli"" sākotnējās ietekmes novērtējuma ziņojums (anotācija)</dc:title>
  <dc:subject>likumprojekta anotācija</dc:subject>
  <dc:creator>gunta.puzule@fm.gov.lv</dc:creator>
  <dc:description>Gunta.Puzule@fm.gov.lv_x000d_
Tālr. Nr. 67095521</dc:description>
  <cp:lastModifiedBy>Sandra Rocena</cp:lastModifiedBy>
  <cp:revision>16</cp:revision>
  <cp:lastPrinted>2020-06-18T14:35:00Z</cp:lastPrinted>
  <dcterms:created xsi:type="dcterms:W3CDTF">2021-03-12T14:30:00Z</dcterms:created>
  <dcterms:modified xsi:type="dcterms:W3CDTF">2021-04-08T09:10:00Z</dcterms:modified>
</cp:coreProperties>
</file>