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462616115"/>
        <w:docPartObj>
          <w:docPartGallery w:val="Cover Pages"/>
          <w:docPartUnique/>
        </w:docPartObj>
      </w:sdtPr>
      <w:sdtEndPr>
        <w:rPr>
          <w:rFonts w:cs="Times New Roman"/>
          <w:b/>
          <w:bCs/>
          <w:smallCaps/>
        </w:rPr>
      </w:sdtEndPr>
      <w:sdtContent>
        <w:p w:rsidR="00BF4753" w:rsidRPr="00D551C4" w:rsidRDefault="00BF4753" w:rsidP="00BF4753">
          <w:pPr>
            <w:ind w:left="1701" w:right="1134"/>
            <w:rPr>
              <w:highlight w:val="yellow"/>
            </w:rPr>
          </w:pPr>
        </w:p>
        <w:p w:rsidR="00BF4753" w:rsidRPr="00D551C4" w:rsidRDefault="00BF4753" w:rsidP="00BF4753">
          <w:pPr>
            <w:rPr>
              <w:rFonts w:cs="Times New Roman"/>
              <w:highlight w:val="yellow"/>
            </w:rPr>
          </w:pPr>
          <w:r w:rsidRPr="007566D6">
            <w:rPr>
              <w:rFonts w:cs="Times New Roman"/>
              <w:b/>
              <w:bCs/>
              <w:smallCaps/>
              <w:noProof/>
              <w:lang w:eastAsia="lv-LV"/>
            </w:rPr>
            <w:drawing>
              <wp:anchor distT="0" distB="0" distL="114300" distR="114300" simplePos="0" relativeHeight="251662336" behindDoc="1" locked="0" layoutInCell="1" allowOverlap="1" wp14:anchorId="3E73365C" wp14:editId="64F943F5">
                <wp:simplePos x="0" y="0"/>
                <wp:positionH relativeFrom="margin">
                  <wp:posOffset>4472940</wp:posOffset>
                </wp:positionH>
                <wp:positionV relativeFrom="paragraph">
                  <wp:posOffset>7480300</wp:posOffset>
                </wp:positionV>
                <wp:extent cx="883285" cy="973380"/>
                <wp:effectExtent l="0" t="0" r="0" b="0"/>
                <wp:wrapNone/>
                <wp:docPr id="2" name="Picture 2" descr="V:\FM logo\22_horizontala_vienkarss_LV\22_vienkarss_bezlaukuma_rgb_h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M logo\22_horizontala_vienkarss_LV\22_vienkarss_bezlaukuma_rgb_h_L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285" cy="97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1C4">
            <w:rPr>
              <w:noProof/>
              <w:highlight w:val="yellow"/>
              <w:lang w:eastAsia="lv-LV"/>
            </w:rPr>
            <mc:AlternateContent>
              <mc:Choice Requires="wps">
                <w:drawing>
                  <wp:anchor distT="0" distB="0" distL="114300" distR="114300" simplePos="0" relativeHeight="251661312" behindDoc="0" locked="0" layoutInCell="1" allowOverlap="1" wp14:anchorId="49B0F45B" wp14:editId="249B258C">
                    <wp:simplePos x="0" y="0"/>
                    <wp:positionH relativeFrom="page">
                      <wp:posOffset>456565</wp:posOffset>
                    </wp:positionH>
                    <wp:positionV relativeFrom="page">
                      <wp:posOffset>9075420</wp:posOffset>
                    </wp:positionV>
                    <wp:extent cx="6646545" cy="497840"/>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6545"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2123952161"/>
                                  <w:showingPlcHdr/>
                                  <w:dataBinding w:prefixMappings="xmlns:ns0='http://purl.org/dc/elements/1.1/' xmlns:ns1='http://schemas.openxmlformats.org/package/2006/metadata/core-properties' " w:xpath="/ns1:coreProperties[1]/ns0:subject[1]" w:storeItemID="{6C3C8BC8-F283-45AE-878A-BAB7291924A1}"/>
                                  <w:text/>
                                </w:sdtPr>
                                <w:sdtEndPr/>
                                <w:sdtContent>
                                  <w:p w:rsidR="00581441" w:rsidRDefault="00581441" w:rsidP="00BF4753">
                                    <w:pPr>
                                      <w:pStyle w:val="NoSpacing"/>
                                      <w:spacing w:before="40" w:after="40"/>
                                      <w:rPr>
                                        <w:caps/>
                                        <w:color w:val="5B9BD5" w:themeColor="accent1"/>
                                        <w:sz w:val="28"/>
                                        <w:szCs w:val="28"/>
                                      </w:rPr>
                                    </w:pPr>
                                    <w:r>
                                      <w:rPr>
                                        <w:caps/>
                                        <w:color w:val="5B9BD5" w:themeColor="accent1"/>
                                        <w:sz w:val="28"/>
                                        <w:szCs w:val="28"/>
                                      </w:rPr>
                                      <w:t xml:space="preserve">     </w:t>
                                    </w:r>
                                  </w:p>
                                </w:sdtContent>
                              </w:sdt>
                              <w:p w:rsidR="00581441" w:rsidRPr="0043197A" w:rsidRDefault="00581441" w:rsidP="00BF4753">
                                <w:pPr>
                                  <w:pStyle w:val="NoSpacing"/>
                                  <w:spacing w:before="40" w:after="40"/>
                                  <w:rPr>
                                    <w:rFonts w:ascii="Times New Roman" w:hAnsi="Times New Roman" w:cs="Times New Roman"/>
                                    <w:b/>
                                    <w:caps/>
                                    <w:sz w:val="28"/>
                                    <w:szCs w:val="24"/>
                                  </w:rPr>
                                </w:pPr>
                                <w:r>
                                  <w:rPr>
                                    <w:rFonts w:ascii="Times New Roman" w:hAnsi="Times New Roman" w:cs="Times New Roman"/>
                                    <w:b/>
                                    <w:caps/>
                                    <w:sz w:val="28"/>
                                    <w:szCs w:val="24"/>
                                  </w:rPr>
                                  <w:t>Rīga, 2021</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49B0F45B" id="_x0000_t202" coordsize="21600,21600" o:spt="202" path="m,l,21600r21600,l21600,xe">
                    <v:stroke joinstyle="miter"/>
                    <v:path gradientshapeok="t" o:connecttype="rect"/>
                  </v:shapetype>
                  <v:shape id="Text Box 129" o:spid="_x0000_s1026" type="#_x0000_t202" style="position:absolute;left:0;text-align:left;margin-left:35.95pt;margin-top:714.6pt;width:523.35pt;height:39.2pt;z-index:251661312;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" filled="f" stroked="f" strokeweight=".5pt">
                    <v:path arrowok="t"/>
                    <v:textbox style="mso-fit-shape-to-text:t" inset="1in,0,86.4pt,0">
                      <w:txbxContent>
                        <w:sdt>
                          <w:sdtPr>
                            <w:rPr>
                              <w:caps/>
                              <w:color w:val="5B9BD5" w:themeColor="accent1"/>
                              <w:sz w:val="28"/>
                              <w:szCs w:val="28"/>
                            </w:rPr>
                            <w:alias w:val="Subtitle"/>
                            <w:tag w:val=""/>
                            <w:id w:val="2123952161"/>
                            <w:showingPlcHdr/>
                            <w:dataBinding w:prefixMappings="xmlns:ns0='http://purl.org/dc/elements/1.1/' xmlns:ns1='http://schemas.openxmlformats.org/package/2006/metadata/core-properties' " w:xpath="/ns1:coreProperties[1]/ns0:subject[1]" w:storeItemID="{6C3C8BC8-F283-45AE-878A-BAB7291924A1}"/>
                            <w:text/>
                          </w:sdtPr>
                          <w:sdtEndPr/>
                          <w:sdtContent>
                            <w:p w:rsidR="00581441" w:rsidRDefault="00581441" w:rsidP="00BF4753">
                              <w:pPr>
                                <w:pStyle w:val="NoSpacing"/>
                                <w:spacing w:before="40" w:after="40"/>
                                <w:rPr>
                                  <w:caps/>
                                  <w:color w:val="5B9BD5" w:themeColor="accent1"/>
                                  <w:sz w:val="28"/>
                                  <w:szCs w:val="28"/>
                                </w:rPr>
                              </w:pPr>
                              <w:r>
                                <w:rPr>
                                  <w:caps/>
                                  <w:color w:val="5B9BD5" w:themeColor="accent1"/>
                                  <w:sz w:val="28"/>
                                  <w:szCs w:val="28"/>
                                </w:rPr>
                                <w:t xml:space="preserve">     </w:t>
                              </w:r>
                            </w:p>
                          </w:sdtContent>
                        </w:sdt>
                        <w:p w:rsidR="00581441" w:rsidRPr="0043197A" w:rsidRDefault="00581441" w:rsidP="00BF4753">
                          <w:pPr>
                            <w:pStyle w:val="NoSpacing"/>
                            <w:spacing w:before="40" w:after="40"/>
                            <w:rPr>
                              <w:rFonts w:ascii="Times New Roman" w:hAnsi="Times New Roman" w:cs="Times New Roman"/>
                              <w:b/>
                              <w:caps/>
                              <w:sz w:val="28"/>
                              <w:szCs w:val="24"/>
                            </w:rPr>
                          </w:pPr>
                          <w:r>
                            <w:rPr>
                              <w:rFonts w:ascii="Times New Roman" w:hAnsi="Times New Roman" w:cs="Times New Roman"/>
                              <w:b/>
                              <w:caps/>
                              <w:sz w:val="28"/>
                              <w:szCs w:val="24"/>
                            </w:rPr>
                            <w:t>Rīga, 2021</w:t>
                          </w:r>
                        </w:p>
                      </w:txbxContent>
                    </v:textbox>
                    <w10:wrap type="square" anchorx="page" anchory="page"/>
                  </v:shape>
                </w:pict>
              </mc:Fallback>
            </mc:AlternateContent>
          </w:r>
          <w:r w:rsidRPr="00D551C4">
            <w:rPr>
              <w:noProof/>
              <w:highlight w:val="yellow"/>
              <w:lang w:eastAsia="lv-LV"/>
            </w:rPr>
            <mc:AlternateContent>
              <mc:Choice Requires="wpg">
                <w:drawing>
                  <wp:anchor distT="0" distB="0" distL="114300" distR="114300" simplePos="0" relativeHeight="251659264" behindDoc="1" locked="0" layoutInCell="1" allowOverlap="1" wp14:anchorId="6EFC2135" wp14:editId="5992D4AE">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647180" cy="7154545"/>
                    <wp:effectExtent l="0" t="0" r="127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47180" cy="7154545"/>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581441" w:rsidRPr="00D551C4" w:rsidRDefault="00BF3A4C" w:rsidP="00BF4753">
                                  <w:pPr>
                                    <w:ind w:firstLine="0"/>
                                    <w:jc w:val="left"/>
                                    <w:rPr>
                                      <w:rFonts w:cs="Times New Roman"/>
                                      <w:color w:val="FFFFFF" w:themeColor="background1"/>
                                      <w:sz w:val="56"/>
                                      <w:szCs w:val="56"/>
                                    </w:rPr>
                                  </w:pPr>
                                  <w:sdt>
                                    <w:sdtPr>
                                      <w:rPr>
                                        <w:rFonts w:cs="Times New Roman"/>
                                        <w:color w:val="FFFFFF" w:themeColor="background1"/>
                                        <w:sz w:val="56"/>
                                        <w:szCs w:val="56"/>
                                      </w:rPr>
                                      <w:alias w:val="Title"/>
                                      <w:tag w:val=""/>
                                      <w:id w:val="363876279"/>
                                      <w:dataBinding w:prefixMappings="xmlns:ns0='http://purl.org/dc/elements/1.1/' xmlns:ns1='http://schemas.openxmlformats.org/package/2006/metadata/core-properties' " w:xpath="/ns1:coreProperties[1]/ns0:title[1]" w:storeItemID="{6C3C8BC8-F283-45AE-878A-BAB7291924A1}"/>
                                      <w:text/>
                                    </w:sdtPr>
                                    <w:sdtEndPr/>
                                    <w:sdtContent>
                                      <w:r w:rsidR="00581441">
                                        <w:rPr>
                                          <w:rFonts w:cs="Times New Roman"/>
                                          <w:color w:val="FFFFFF" w:themeColor="background1"/>
                                          <w:sz w:val="56"/>
                                          <w:szCs w:val="56"/>
                                        </w:rPr>
                                        <w:t>Latvijas Stabilitātes programma 2021.-2024. gadam</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6EFC2135" id="Group 125" o:spid="_x0000_s1027" style="position:absolute;left:0;text-align:left;margin-left:0;margin-top:0;width:523.4pt;height:563.3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581441" w:rsidRPr="00D551C4" w:rsidRDefault="00667944" w:rsidP="00BF4753">
                            <w:pPr>
                              <w:ind w:firstLine="0"/>
                              <w:jc w:val="left"/>
                              <w:rPr>
                                <w:rFonts w:cs="Times New Roman"/>
                                <w:color w:val="FFFFFF" w:themeColor="background1"/>
                                <w:sz w:val="56"/>
                                <w:szCs w:val="56"/>
                              </w:rPr>
                            </w:pPr>
                            <w:sdt>
                              <w:sdtPr>
                                <w:rPr>
                                  <w:rFonts w:cs="Times New Roman"/>
                                  <w:color w:val="FFFFFF" w:themeColor="background1"/>
                                  <w:sz w:val="56"/>
                                  <w:szCs w:val="56"/>
                                </w:rPr>
                                <w:alias w:val="Title"/>
                                <w:tag w:val=""/>
                                <w:id w:val="363876279"/>
                                <w:dataBinding w:prefixMappings="xmlns:ns0='http://purl.org/dc/elements/1.1/' xmlns:ns1='http://schemas.openxmlformats.org/package/2006/metadata/core-properties' " w:xpath="/ns1:coreProperties[1]/ns0:title[1]" w:storeItemID="{6C3C8BC8-F283-45AE-878A-BAB7291924A1}"/>
                                <w:text/>
                              </w:sdtPr>
                              <w:sdtEndPr/>
                              <w:sdtContent>
                                <w:r w:rsidR="00581441">
                                  <w:rPr>
                                    <w:rFonts w:cs="Times New Roman"/>
                                    <w:color w:val="FFFFFF" w:themeColor="background1"/>
                                    <w:sz w:val="56"/>
                                    <w:szCs w:val="56"/>
                                  </w:rPr>
                                  <w:t>Latvijas Stabilitātes programma 2021.-2024. gadam</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Pr="00D551C4">
            <w:rPr>
              <w:noProof/>
              <w:highlight w:val="yellow"/>
              <w:lang w:eastAsia="lv-LV"/>
            </w:rPr>
            <mc:AlternateContent>
              <mc:Choice Requires="wps">
                <w:drawing>
                  <wp:anchor distT="0" distB="0" distL="114300" distR="114300" simplePos="0" relativeHeight="251660288" behindDoc="0" locked="0" layoutInCell="1" allowOverlap="1" wp14:anchorId="70F5FCBC" wp14:editId="27EDBD39">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68960" cy="1044575"/>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8960" cy="1044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24"/>
                                    <w:szCs w:val="24"/>
                                  </w:rPr>
                                  <w:alias w:val="Year"/>
                                  <w:tag w:val=""/>
                                  <w:id w:val="-571654576"/>
                                  <w:dataBinding w:prefixMappings="xmlns:ns0='http://schemas.microsoft.com/office/2006/coverPageProps' " w:xpath="/ns0:CoverPageProperties[1]/ns0:PublishDate[1]" w:storeItemID="{55AF091B-3C7A-41E3-B477-F2FDAA23CFDA}"/>
                                  <w:date w:fullDate="2021-04-05T00:00:00Z">
                                    <w:dateFormat w:val="yyyy"/>
                                    <w:lid w:val="en-US"/>
                                    <w:storeMappedDataAs w:val="dateTime"/>
                                    <w:calendar w:val="gregorian"/>
                                  </w:date>
                                </w:sdtPr>
                                <w:sdtEndPr/>
                                <w:sdtContent>
                                  <w:p w:rsidR="00581441" w:rsidRDefault="00581441" w:rsidP="00BF4753">
                                    <w:pPr>
                                      <w:pStyle w:val="NoSpacing"/>
                                      <w:jc w:val="right"/>
                                      <w:rPr>
                                        <w:color w:val="FFFFFF" w:themeColor="background1"/>
                                        <w:sz w:val="24"/>
                                        <w:szCs w:val="24"/>
                                      </w:rPr>
                                    </w:pPr>
                                    <w:r>
                                      <w:rPr>
                                        <w:rFonts w:ascii="Times New Roman" w:hAnsi="Times New Roman" w:cs="Times New Roman"/>
                                        <w:color w:val="FFFFFF" w:themeColor="background1"/>
                                        <w:sz w:val="24"/>
                                        <w:szCs w:val="24"/>
                                        <w:lang w:val="en-US"/>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0F5FCBC" id="Rectangle 130" o:spid="_x0000_s1030" style="position:absolute;left:0;text-align:left;margin-left:-6.4pt;margin-top:0;width:44.8pt;height:82.2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" fillcolor="#5b9bd5 [3204]" stroked="f" strokeweight="1pt">
                    <v:path arrowok="t"/>
                    <o:lock v:ext="edit" aspectratio="t"/>
                    <v:textbox inset="3.6pt,,3.6pt">
                      <w:txbxContent>
                        <w:sdt>
                          <w:sdtPr>
                            <w:rPr>
                              <w:rFonts w:ascii="Times New Roman" w:hAnsi="Times New Roman" w:cs="Times New Roman"/>
                              <w:color w:val="FFFFFF" w:themeColor="background1"/>
                              <w:sz w:val="24"/>
                              <w:szCs w:val="24"/>
                            </w:rPr>
                            <w:alias w:val="Year"/>
                            <w:tag w:val=""/>
                            <w:id w:val="-571654576"/>
                            <w:dataBinding w:prefixMappings="xmlns:ns0='http://schemas.microsoft.com/office/2006/coverPageProps' " w:xpath="/ns0:CoverPageProperties[1]/ns0:PublishDate[1]" w:storeItemID="{55AF091B-3C7A-41E3-B477-F2FDAA23CFDA}"/>
                            <w:date w:fullDate="2021-04-05T00:00:00Z">
                              <w:dateFormat w:val="yyyy"/>
                              <w:lid w:val="en-US"/>
                              <w:storeMappedDataAs w:val="dateTime"/>
                              <w:calendar w:val="gregorian"/>
                            </w:date>
                          </w:sdtPr>
                          <w:sdtEndPr/>
                          <w:sdtContent>
                            <w:p w:rsidR="00581441" w:rsidRDefault="00581441" w:rsidP="00BF4753">
                              <w:pPr>
                                <w:pStyle w:val="NoSpacing"/>
                                <w:jc w:val="right"/>
                                <w:rPr>
                                  <w:color w:val="FFFFFF" w:themeColor="background1"/>
                                  <w:sz w:val="24"/>
                                  <w:szCs w:val="24"/>
                                </w:rPr>
                              </w:pPr>
                              <w:r>
                                <w:rPr>
                                  <w:rFonts w:ascii="Times New Roman" w:hAnsi="Times New Roman" w:cs="Times New Roman"/>
                                  <w:color w:val="FFFFFF" w:themeColor="background1"/>
                                  <w:sz w:val="24"/>
                                  <w:szCs w:val="24"/>
                                  <w:lang w:val="en-US"/>
                                </w:rPr>
                                <w:t>2021</w:t>
                              </w:r>
                            </w:p>
                          </w:sdtContent>
                        </w:sdt>
                      </w:txbxContent>
                    </v:textbox>
                    <w10:wrap anchorx="margin" anchory="page"/>
                  </v:rect>
                </w:pict>
              </mc:Fallback>
            </mc:AlternateContent>
          </w:r>
          <w:r w:rsidRPr="00D551C4">
            <w:rPr>
              <w:rFonts w:cs="Times New Roman"/>
              <w:b/>
              <w:bCs/>
              <w:smallCaps/>
              <w:highlight w:val="yellow"/>
            </w:rPr>
            <w:br w:type="page"/>
          </w:r>
        </w:p>
      </w:sdtContent>
    </w:sdt>
    <w:sdt>
      <w:sdtPr>
        <w:rPr>
          <w:rFonts w:asciiTheme="minorHAnsi" w:eastAsiaTheme="minorEastAsia" w:hAnsiTheme="minorHAnsi" w:cstheme="minorBidi"/>
          <w:b w:val="0"/>
          <w:bCs w:val="0"/>
          <w:smallCaps w:val="0"/>
          <w:color w:val="auto"/>
          <w:sz w:val="22"/>
          <w:szCs w:val="22"/>
          <w:highlight w:val="yellow"/>
          <w:lang w:eastAsia="en-US"/>
        </w:rPr>
        <w:id w:val="423391642"/>
        <w:docPartObj>
          <w:docPartGallery w:val="Table of Contents"/>
          <w:docPartUnique/>
        </w:docPartObj>
      </w:sdtPr>
      <w:sdtEndPr>
        <w:rPr>
          <w:rFonts w:ascii="Times New Roman" w:hAnsi="Times New Roman"/>
          <w:noProof/>
          <w:sz w:val="28"/>
          <w:szCs w:val="28"/>
        </w:rPr>
      </w:sdtEndPr>
      <w:sdtContent>
        <w:p w:rsidR="00BF4753" w:rsidRPr="00416B51" w:rsidRDefault="00BF4753" w:rsidP="00BF4753">
          <w:pPr>
            <w:pStyle w:val="TOCHeading"/>
            <w:ind w:left="432"/>
          </w:pPr>
          <w:r w:rsidRPr="00416B51">
            <w:t>SATURS</w:t>
          </w:r>
        </w:p>
        <w:p w:rsidR="00BF4753" w:rsidRDefault="00BF4753" w:rsidP="00BF4753">
          <w:pPr>
            <w:pStyle w:val="TOC1"/>
            <w:rPr>
              <w:highlight w:val="yellow"/>
            </w:rPr>
          </w:pPr>
        </w:p>
        <w:p w:rsidR="00BF4753" w:rsidRPr="00334C23" w:rsidRDefault="00BF4753" w:rsidP="00BF4753">
          <w:pPr>
            <w:pStyle w:val="TOC1"/>
            <w:rPr>
              <w:rFonts w:asciiTheme="minorHAnsi" w:eastAsiaTheme="minorEastAsia" w:hAnsiTheme="minorHAnsi" w:cstheme="minorBidi"/>
              <w:noProof/>
              <w:szCs w:val="22"/>
              <w:lang w:eastAsia="lv-LV"/>
            </w:rPr>
          </w:pPr>
          <w:r w:rsidRPr="00DB0DC6">
            <w:rPr>
              <w:sz w:val="28"/>
              <w:szCs w:val="28"/>
              <w:highlight w:val="yellow"/>
            </w:rPr>
            <w:fldChar w:fldCharType="begin"/>
          </w:r>
          <w:r w:rsidRPr="00DB0DC6">
            <w:rPr>
              <w:sz w:val="28"/>
              <w:szCs w:val="28"/>
              <w:highlight w:val="yellow"/>
            </w:rPr>
            <w:instrText xml:space="preserve"> TOC \o "1-3" \h \z \u </w:instrText>
          </w:r>
          <w:r w:rsidRPr="00DB0DC6">
            <w:rPr>
              <w:sz w:val="28"/>
              <w:szCs w:val="28"/>
              <w:highlight w:val="yellow"/>
            </w:rPr>
            <w:fldChar w:fldCharType="separate"/>
          </w:r>
          <w:hyperlink w:anchor="_Toc68334991" w:history="1">
            <w:r w:rsidRPr="00334C23">
              <w:rPr>
                <w:rStyle w:val="Hyperlink"/>
                <w:rFonts w:eastAsiaTheme="majorEastAsia"/>
                <w:noProof/>
                <w:sz w:val="28"/>
              </w:rPr>
              <w:t>1.</w:t>
            </w:r>
            <w:r w:rsidRPr="00334C23">
              <w:rPr>
                <w:rFonts w:asciiTheme="minorHAnsi" w:eastAsiaTheme="minorEastAsia" w:hAnsiTheme="minorHAnsi" w:cstheme="minorBidi"/>
                <w:noProof/>
                <w:szCs w:val="22"/>
                <w:lang w:eastAsia="lv-LV"/>
              </w:rPr>
              <w:tab/>
            </w:r>
            <w:r w:rsidRPr="00334C23">
              <w:rPr>
                <w:rStyle w:val="Hyperlink"/>
                <w:rFonts w:eastAsiaTheme="majorEastAsia"/>
                <w:noProof/>
                <w:sz w:val="28"/>
              </w:rPr>
              <w:t>Vispārējās ekonomiskās politikas vadlīnijas un mērķi</w:t>
            </w:r>
            <w:r w:rsidRPr="00334C23">
              <w:rPr>
                <w:noProof/>
                <w:webHidden/>
                <w:sz w:val="28"/>
              </w:rPr>
              <w:tab/>
            </w:r>
            <w:r w:rsidRPr="00334C23">
              <w:rPr>
                <w:noProof/>
                <w:webHidden/>
                <w:sz w:val="28"/>
              </w:rPr>
              <w:fldChar w:fldCharType="begin"/>
            </w:r>
            <w:r w:rsidRPr="00334C23">
              <w:rPr>
                <w:noProof/>
                <w:webHidden/>
                <w:sz w:val="28"/>
              </w:rPr>
              <w:instrText xml:space="preserve"> PAGEREF _Toc68334991 \h </w:instrText>
            </w:r>
            <w:r w:rsidRPr="00334C23">
              <w:rPr>
                <w:noProof/>
                <w:webHidden/>
                <w:sz w:val="28"/>
              </w:rPr>
            </w:r>
            <w:r w:rsidRPr="00334C23">
              <w:rPr>
                <w:noProof/>
                <w:webHidden/>
                <w:sz w:val="28"/>
              </w:rPr>
              <w:fldChar w:fldCharType="separate"/>
            </w:r>
            <w:r w:rsidR="0051766D">
              <w:rPr>
                <w:noProof/>
                <w:webHidden/>
                <w:sz w:val="28"/>
              </w:rPr>
              <w:t>3</w:t>
            </w:r>
            <w:r w:rsidRPr="00334C23">
              <w:rPr>
                <w:noProof/>
                <w:webHidden/>
                <w:sz w:val="28"/>
              </w:rPr>
              <w:fldChar w:fldCharType="end"/>
            </w:r>
          </w:hyperlink>
        </w:p>
        <w:p w:rsidR="00BF4753" w:rsidRPr="00334C23" w:rsidRDefault="00BF3A4C" w:rsidP="00BF4753">
          <w:pPr>
            <w:pStyle w:val="TOC1"/>
            <w:rPr>
              <w:rFonts w:asciiTheme="minorHAnsi" w:eastAsiaTheme="minorEastAsia" w:hAnsiTheme="minorHAnsi" w:cstheme="minorBidi"/>
              <w:noProof/>
              <w:szCs w:val="22"/>
              <w:lang w:eastAsia="lv-LV"/>
            </w:rPr>
          </w:pPr>
          <w:hyperlink w:anchor="_Toc68334992" w:history="1">
            <w:r w:rsidR="00BF4753" w:rsidRPr="00334C23">
              <w:rPr>
                <w:rStyle w:val="Hyperlink"/>
                <w:rFonts w:eastAsiaTheme="majorEastAsia"/>
                <w:noProof/>
                <w:sz w:val="28"/>
              </w:rPr>
              <w:t>2.</w:t>
            </w:r>
            <w:r w:rsidR="00BF4753" w:rsidRPr="00334C23">
              <w:rPr>
                <w:rFonts w:asciiTheme="minorHAnsi" w:eastAsiaTheme="minorEastAsia" w:hAnsiTheme="minorHAnsi" w:cstheme="minorBidi"/>
                <w:noProof/>
                <w:szCs w:val="22"/>
                <w:lang w:eastAsia="lv-LV"/>
              </w:rPr>
              <w:tab/>
            </w:r>
            <w:r w:rsidR="00BF4753" w:rsidRPr="00334C23">
              <w:rPr>
                <w:rStyle w:val="Hyperlink"/>
                <w:rFonts w:eastAsiaTheme="majorEastAsia"/>
                <w:noProof/>
                <w:sz w:val="28"/>
              </w:rPr>
              <w:t>Ekonomiskā situācija</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_Toc68334992 \h </w:instrText>
            </w:r>
            <w:r w:rsidR="00BF4753" w:rsidRPr="00334C23">
              <w:rPr>
                <w:noProof/>
                <w:webHidden/>
                <w:sz w:val="28"/>
              </w:rPr>
            </w:r>
            <w:r w:rsidR="00BF4753" w:rsidRPr="00334C23">
              <w:rPr>
                <w:noProof/>
                <w:webHidden/>
                <w:sz w:val="28"/>
              </w:rPr>
              <w:fldChar w:fldCharType="separate"/>
            </w:r>
            <w:r w:rsidR="0051766D">
              <w:rPr>
                <w:noProof/>
                <w:webHidden/>
                <w:sz w:val="28"/>
              </w:rPr>
              <w:t>5</w:t>
            </w:r>
            <w:r w:rsidR="00BF4753" w:rsidRPr="00334C23">
              <w:rPr>
                <w:noProof/>
                <w:webHidden/>
                <w:sz w:val="28"/>
              </w:rPr>
              <w:fldChar w:fldCharType="end"/>
            </w:r>
          </w:hyperlink>
        </w:p>
        <w:p w:rsidR="00BF4753" w:rsidRPr="00334C23" w:rsidRDefault="00BF3A4C" w:rsidP="00BF4753">
          <w:pPr>
            <w:pStyle w:val="TOC2"/>
            <w:rPr>
              <w:rFonts w:asciiTheme="minorHAnsi" w:eastAsiaTheme="minorEastAsia" w:hAnsiTheme="minorHAnsi" w:cstheme="minorBidi"/>
              <w:noProof/>
              <w:szCs w:val="22"/>
              <w:lang w:eastAsia="lv-LV"/>
            </w:rPr>
          </w:pPr>
          <w:hyperlink w:anchor="_Toc68334993" w:history="1">
            <w:r w:rsidR="00BF4753" w:rsidRPr="00334C23">
              <w:rPr>
                <w:rStyle w:val="Hyperlink"/>
                <w:noProof/>
                <w:sz w:val="28"/>
                <w:lang w:eastAsia="lv-LV"/>
              </w:rPr>
              <w:t>2.1. Ārējā ekonomiskā vide</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_Toc68334993 \h </w:instrText>
            </w:r>
            <w:r w:rsidR="00BF4753" w:rsidRPr="00334C23">
              <w:rPr>
                <w:noProof/>
                <w:webHidden/>
                <w:sz w:val="28"/>
              </w:rPr>
            </w:r>
            <w:r w:rsidR="00BF4753" w:rsidRPr="00334C23">
              <w:rPr>
                <w:noProof/>
                <w:webHidden/>
                <w:sz w:val="28"/>
              </w:rPr>
              <w:fldChar w:fldCharType="separate"/>
            </w:r>
            <w:r w:rsidR="0051766D">
              <w:rPr>
                <w:noProof/>
                <w:webHidden/>
                <w:sz w:val="28"/>
              </w:rPr>
              <w:t>5</w:t>
            </w:r>
            <w:r w:rsidR="00BF4753" w:rsidRPr="00334C23">
              <w:rPr>
                <w:noProof/>
                <w:webHidden/>
                <w:sz w:val="28"/>
              </w:rPr>
              <w:fldChar w:fldCharType="end"/>
            </w:r>
          </w:hyperlink>
        </w:p>
        <w:p w:rsidR="00BF4753" w:rsidRPr="00334C23" w:rsidRDefault="00BF3A4C" w:rsidP="00BF4753">
          <w:pPr>
            <w:pStyle w:val="TOC2"/>
            <w:rPr>
              <w:rFonts w:asciiTheme="minorHAnsi" w:eastAsiaTheme="minorEastAsia" w:hAnsiTheme="minorHAnsi" w:cstheme="minorBidi"/>
              <w:noProof/>
              <w:szCs w:val="22"/>
              <w:lang w:eastAsia="lv-LV"/>
            </w:rPr>
          </w:pPr>
          <w:hyperlink w:anchor="_Toc68334994" w:history="1">
            <w:r w:rsidR="00BF4753" w:rsidRPr="00334C23">
              <w:rPr>
                <w:rStyle w:val="Hyperlink"/>
                <w:rFonts w:eastAsiaTheme="majorEastAsia"/>
                <w:noProof/>
                <w:sz w:val="28"/>
              </w:rPr>
              <w:t>2.1.</w:t>
            </w:r>
            <w:r w:rsidR="00BF4753" w:rsidRPr="00334C23">
              <w:rPr>
                <w:rFonts w:asciiTheme="minorHAnsi" w:eastAsiaTheme="minorEastAsia" w:hAnsiTheme="minorHAnsi" w:cstheme="minorBidi"/>
                <w:noProof/>
                <w:szCs w:val="22"/>
                <w:lang w:eastAsia="lv-LV"/>
              </w:rPr>
              <w:tab/>
            </w:r>
            <w:r w:rsidR="00BF4753" w:rsidRPr="00334C23">
              <w:rPr>
                <w:rStyle w:val="Hyperlink"/>
                <w:rFonts w:eastAsiaTheme="majorEastAsia"/>
                <w:noProof/>
                <w:sz w:val="28"/>
              </w:rPr>
              <w:t>Pašreizējā ekonomiskā attīstība</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_Toc68334994 \h </w:instrText>
            </w:r>
            <w:r w:rsidR="00BF4753" w:rsidRPr="00334C23">
              <w:rPr>
                <w:noProof/>
                <w:webHidden/>
                <w:sz w:val="28"/>
              </w:rPr>
            </w:r>
            <w:r w:rsidR="00BF4753" w:rsidRPr="00334C23">
              <w:rPr>
                <w:noProof/>
                <w:webHidden/>
                <w:sz w:val="28"/>
              </w:rPr>
              <w:fldChar w:fldCharType="separate"/>
            </w:r>
            <w:r w:rsidR="0051766D">
              <w:rPr>
                <w:noProof/>
                <w:webHidden/>
                <w:sz w:val="28"/>
              </w:rPr>
              <w:t>7</w:t>
            </w:r>
            <w:r w:rsidR="00BF4753" w:rsidRPr="00334C23">
              <w:rPr>
                <w:noProof/>
                <w:webHidden/>
                <w:sz w:val="28"/>
              </w:rPr>
              <w:fldChar w:fldCharType="end"/>
            </w:r>
          </w:hyperlink>
        </w:p>
        <w:p w:rsidR="00BF4753" w:rsidRPr="00334C23" w:rsidRDefault="00BF3A4C" w:rsidP="00BF4753">
          <w:pPr>
            <w:pStyle w:val="TOC2"/>
            <w:rPr>
              <w:rFonts w:asciiTheme="minorHAnsi" w:eastAsiaTheme="minorEastAsia" w:hAnsiTheme="minorHAnsi" w:cstheme="minorBidi"/>
              <w:noProof/>
              <w:szCs w:val="22"/>
              <w:lang w:eastAsia="lv-LV"/>
            </w:rPr>
          </w:pPr>
          <w:hyperlink w:anchor="_Toc68334995" w:history="1">
            <w:r w:rsidR="00BF4753" w:rsidRPr="00334C23">
              <w:rPr>
                <w:rStyle w:val="Hyperlink"/>
                <w:rFonts w:eastAsiaTheme="majorEastAsia"/>
                <w:noProof/>
                <w:sz w:val="28"/>
              </w:rPr>
              <w:t>2.3.</w:t>
            </w:r>
            <w:r w:rsidR="00BF4753" w:rsidRPr="00334C23">
              <w:rPr>
                <w:rFonts w:asciiTheme="minorHAnsi" w:eastAsiaTheme="minorEastAsia" w:hAnsiTheme="minorHAnsi" w:cstheme="minorBidi"/>
                <w:noProof/>
                <w:szCs w:val="22"/>
                <w:lang w:eastAsia="lv-LV"/>
              </w:rPr>
              <w:tab/>
            </w:r>
            <w:r w:rsidR="00BF4753" w:rsidRPr="00334C23">
              <w:rPr>
                <w:rStyle w:val="Hyperlink"/>
                <w:rFonts w:eastAsiaTheme="majorEastAsia"/>
                <w:noProof/>
                <w:sz w:val="28"/>
              </w:rPr>
              <w:t>Makroekonomiskās attīstības scenārijs</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_Toc68334995 \h </w:instrText>
            </w:r>
            <w:r w:rsidR="00BF4753" w:rsidRPr="00334C23">
              <w:rPr>
                <w:noProof/>
                <w:webHidden/>
                <w:sz w:val="28"/>
              </w:rPr>
            </w:r>
            <w:r w:rsidR="00BF4753" w:rsidRPr="00334C23">
              <w:rPr>
                <w:noProof/>
                <w:webHidden/>
                <w:sz w:val="28"/>
              </w:rPr>
              <w:fldChar w:fldCharType="separate"/>
            </w:r>
            <w:r w:rsidR="0051766D">
              <w:rPr>
                <w:noProof/>
                <w:webHidden/>
                <w:sz w:val="28"/>
              </w:rPr>
              <w:t>24</w:t>
            </w:r>
            <w:r w:rsidR="00BF4753" w:rsidRPr="00334C23">
              <w:rPr>
                <w:noProof/>
                <w:webHidden/>
                <w:sz w:val="28"/>
              </w:rPr>
              <w:fldChar w:fldCharType="end"/>
            </w:r>
          </w:hyperlink>
        </w:p>
        <w:p w:rsidR="00BF4753" w:rsidRPr="00334C23" w:rsidRDefault="00BF3A4C" w:rsidP="00BF4753">
          <w:pPr>
            <w:pStyle w:val="TOC1"/>
            <w:rPr>
              <w:rFonts w:asciiTheme="minorHAnsi" w:eastAsiaTheme="minorEastAsia" w:hAnsiTheme="minorHAnsi" w:cstheme="minorBidi"/>
              <w:noProof/>
              <w:szCs w:val="22"/>
              <w:lang w:eastAsia="lv-LV"/>
            </w:rPr>
          </w:pPr>
          <w:hyperlink w:anchor="_Toc68334996" w:history="1">
            <w:r w:rsidR="00BF4753" w:rsidRPr="00334C23">
              <w:rPr>
                <w:rStyle w:val="Hyperlink"/>
                <w:rFonts w:eastAsiaTheme="majorEastAsia"/>
                <w:noProof/>
                <w:sz w:val="28"/>
              </w:rPr>
              <w:t>3. Vispārējās valdības budžeta bilance un parāds</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_Toc68334996 \h </w:instrText>
            </w:r>
            <w:r w:rsidR="00BF4753" w:rsidRPr="00334C23">
              <w:rPr>
                <w:noProof/>
                <w:webHidden/>
                <w:sz w:val="28"/>
              </w:rPr>
            </w:r>
            <w:r w:rsidR="00BF4753" w:rsidRPr="00334C23">
              <w:rPr>
                <w:noProof/>
                <w:webHidden/>
                <w:sz w:val="28"/>
              </w:rPr>
              <w:fldChar w:fldCharType="separate"/>
            </w:r>
            <w:r w:rsidR="0051766D">
              <w:rPr>
                <w:noProof/>
                <w:webHidden/>
                <w:sz w:val="28"/>
              </w:rPr>
              <w:t>28</w:t>
            </w:r>
            <w:r w:rsidR="00BF4753" w:rsidRPr="00334C23">
              <w:rPr>
                <w:noProof/>
                <w:webHidden/>
                <w:sz w:val="28"/>
              </w:rPr>
              <w:fldChar w:fldCharType="end"/>
            </w:r>
          </w:hyperlink>
        </w:p>
        <w:p w:rsidR="00BF4753" w:rsidRPr="00334C23" w:rsidRDefault="00BF3A4C" w:rsidP="00BF4753">
          <w:pPr>
            <w:pStyle w:val="TOC2"/>
            <w:rPr>
              <w:rFonts w:asciiTheme="minorHAnsi" w:eastAsiaTheme="minorEastAsia" w:hAnsiTheme="minorHAnsi" w:cstheme="minorBidi"/>
              <w:noProof/>
              <w:szCs w:val="22"/>
              <w:lang w:eastAsia="lv-LV"/>
            </w:rPr>
          </w:pPr>
          <w:hyperlink w:anchor="_Toc68334997" w:history="1">
            <w:r w:rsidR="00BF4753" w:rsidRPr="00334C23">
              <w:rPr>
                <w:rStyle w:val="Hyperlink"/>
                <w:noProof/>
                <w:sz w:val="28"/>
              </w:rPr>
              <w:t>3.1. Fiskālās politikas stratēģija un vidēja termiņa mērķi</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_Toc68334997 \h </w:instrText>
            </w:r>
            <w:r w:rsidR="00BF4753" w:rsidRPr="00334C23">
              <w:rPr>
                <w:noProof/>
                <w:webHidden/>
                <w:sz w:val="28"/>
              </w:rPr>
            </w:r>
            <w:r w:rsidR="00BF4753" w:rsidRPr="00334C23">
              <w:rPr>
                <w:noProof/>
                <w:webHidden/>
                <w:sz w:val="28"/>
              </w:rPr>
              <w:fldChar w:fldCharType="separate"/>
            </w:r>
            <w:r w:rsidR="0051766D">
              <w:rPr>
                <w:noProof/>
                <w:webHidden/>
                <w:sz w:val="28"/>
              </w:rPr>
              <w:t>28</w:t>
            </w:r>
            <w:r w:rsidR="00BF4753" w:rsidRPr="00334C23">
              <w:rPr>
                <w:noProof/>
                <w:webHidden/>
                <w:sz w:val="28"/>
              </w:rPr>
              <w:fldChar w:fldCharType="end"/>
            </w:r>
          </w:hyperlink>
        </w:p>
        <w:p w:rsidR="00BF4753" w:rsidRPr="00334C23" w:rsidRDefault="00BF3A4C" w:rsidP="00BF4753">
          <w:pPr>
            <w:pStyle w:val="TOC3"/>
            <w:rPr>
              <w:rFonts w:asciiTheme="minorHAnsi" w:eastAsiaTheme="minorEastAsia" w:hAnsiTheme="minorHAnsi" w:cstheme="minorBidi"/>
              <w:noProof/>
              <w:szCs w:val="22"/>
              <w:lang w:eastAsia="lv-LV"/>
            </w:rPr>
          </w:pPr>
          <w:hyperlink w:anchor="_Toc68334998" w:history="1">
            <w:r w:rsidR="00BF4753" w:rsidRPr="00334C23">
              <w:rPr>
                <w:rStyle w:val="Hyperlink"/>
                <w:rFonts w:eastAsiaTheme="majorEastAsia"/>
                <w:noProof/>
                <w:sz w:val="28"/>
              </w:rPr>
              <w:t>3.1.1</w:t>
            </w:r>
            <w:r w:rsidR="00BF4753" w:rsidRPr="00334C23">
              <w:rPr>
                <w:rFonts w:asciiTheme="minorHAnsi" w:eastAsiaTheme="minorEastAsia" w:hAnsiTheme="minorHAnsi" w:cstheme="minorBidi"/>
                <w:noProof/>
                <w:szCs w:val="22"/>
                <w:lang w:eastAsia="lv-LV"/>
              </w:rPr>
              <w:tab/>
            </w:r>
            <w:r w:rsidR="00BF4753" w:rsidRPr="00334C23">
              <w:rPr>
                <w:rStyle w:val="Hyperlink"/>
                <w:rFonts w:eastAsiaTheme="majorEastAsia"/>
                <w:noProof/>
                <w:sz w:val="28"/>
              </w:rPr>
              <w:t>Fiskālo nosacījumu ievērošana vidēja termiņa fiskālās politikas plānošanā</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_Toc68334998 \h </w:instrText>
            </w:r>
            <w:r w:rsidR="00BF4753" w:rsidRPr="00334C23">
              <w:rPr>
                <w:noProof/>
                <w:webHidden/>
                <w:sz w:val="28"/>
              </w:rPr>
            </w:r>
            <w:r w:rsidR="00BF4753" w:rsidRPr="00334C23">
              <w:rPr>
                <w:noProof/>
                <w:webHidden/>
                <w:sz w:val="28"/>
              </w:rPr>
              <w:fldChar w:fldCharType="separate"/>
            </w:r>
            <w:r w:rsidR="0051766D">
              <w:rPr>
                <w:noProof/>
                <w:webHidden/>
                <w:sz w:val="28"/>
              </w:rPr>
              <w:t>31</w:t>
            </w:r>
            <w:r w:rsidR="00BF4753" w:rsidRPr="00334C23">
              <w:rPr>
                <w:noProof/>
                <w:webHidden/>
                <w:sz w:val="28"/>
              </w:rPr>
              <w:fldChar w:fldCharType="end"/>
            </w:r>
          </w:hyperlink>
        </w:p>
        <w:p w:rsidR="00BF4753" w:rsidRPr="00334C23" w:rsidRDefault="00BF3A4C" w:rsidP="00BF4753">
          <w:pPr>
            <w:pStyle w:val="TOC3"/>
            <w:rPr>
              <w:rFonts w:asciiTheme="minorHAnsi" w:eastAsiaTheme="minorEastAsia" w:hAnsiTheme="minorHAnsi" w:cstheme="minorBidi"/>
              <w:noProof/>
              <w:szCs w:val="22"/>
              <w:lang w:eastAsia="lv-LV"/>
            </w:rPr>
          </w:pPr>
          <w:hyperlink w:anchor="_Toc68334999" w:history="1">
            <w:r w:rsidR="00BF4753" w:rsidRPr="00334C23">
              <w:rPr>
                <w:rStyle w:val="Hyperlink"/>
                <w:noProof/>
                <w:sz w:val="28"/>
              </w:rPr>
              <w:t>3.1.2.</w:t>
            </w:r>
            <w:r w:rsidR="00BF4753" w:rsidRPr="00334C23">
              <w:rPr>
                <w:rFonts w:asciiTheme="minorHAnsi" w:eastAsiaTheme="minorEastAsia" w:hAnsiTheme="minorHAnsi" w:cstheme="minorBidi"/>
                <w:noProof/>
                <w:szCs w:val="22"/>
                <w:lang w:eastAsia="lv-LV"/>
              </w:rPr>
              <w:tab/>
            </w:r>
            <w:r w:rsidR="00BF4753" w:rsidRPr="00334C23">
              <w:rPr>
                <w:rStyle w:val="Hyperlink"/>
                <w:noProof/>
                <w:sz w:val="28"/>
              </w:rPr>
              <w:t>2022., 2023. un 2024.gada strukturālās bilances mērķi</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_Toc68334999 \h </w:instrText>
            </w:r>
            <w:r w:rsidR="00BF4753" w:rsidRPr="00334C23">
              <w:rPr>
                <w:noProof/>
                <w:webHidden/>
                <w:sz w:val="28"/>
              </w:rPr>
            </w:r>
            <w:r w:rsidR="00BF4753" w:rsidRPr="00334C23">
              <w:rPr>
                <w:noProof/>
                <w:webHidden/>
                <w:sz w:val="28"/>
              </w:rPr>
              <w:fldChar w:fldCharType="separate"/>
            </w:r>
            <w:r w:rsidR="0051766D">
              <w:rPr>
                <w:noProof/>
                <w:webHidden/>
                <w:sz w:val="28"/>
              </w:rPr>
              <w:t>31</w:t>
            </w:r>
            <w:r w:rsidR="00BF4753" w:rsidRPr="00334C23">
              <w:rPr>
                <w:noProof/>
                <w:webHidden/>
                <w:sz w:val="28"/>
              </w:rPr>
              <w:fldChar w:fldCharType="end"/>
            </w:r>
          </w:hyperlink>
        </w:p>
        <w:p w:rsidR="00BF4753" w:rsidRPr="00334C23" w:rsidRDefault="00BF3A4C" w:rsidP="00BF4753">
          <w:pPr>
            <w:pStyle w:val="TOC2"/>
            <w:rPr>
              <w:rFonts w:asciiTheme="minorHAnsi" w:eastAsiaTheme="minorEastAsia" w:hAnsiTheme="minorHAnsi" w:cstheme="minorBidi"/>
              <w:noProof/>
              <w:szCs w:val="22"/>
              <w:lang w:eastAsia="lv-LV"/>
            </w:rPr>
          </w:pPr>
          <w:hyperlink w:anchor="_Toc68335000" w:history="1">
            <w:r w:rsidR="00BF4753" w:rsidRPr="00334C23">
              <w:rPr>
                <w:rStyle w:val="Hyperlink"/>
                <w:rFonts w:eastAsia="Calibri"/>
                <w:noProof/>
                <w:sz w:val="28"/>
              </w:rPr>
              <w:t>3.2. Pašreizējā fiskālā situācija</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_Toc68335000 \h </w:instrText>
            </w:r>
            <w:r w:rsidR="00BF4753" w:rsidRPr="00334C23">
              <w:rPr>
                <w:noProof/>
                <w:webHidden/>
                <w:sz w:val="28"/>
              </w:rPr>
            </w:r>
            <w:r w:rsidR="00BF4753" w:rsidRPr="00334C23">
              <w:rPr>
                <w:noProof/>
                <w:webHidden/>
                <w:sz w:val="28"/>
              </w:rPr>
              <w:fldChar w:fldCharType="separate"/>
            </w:r>
            <w:r w:rsidR="0051766D">
              <w:rPr>
                <w:noProof/>
                <w:webHidden/>
                <w:sz w:val="28"/>
              </w:rPr>
              <w:t>34</w:t>
            </w:r>
            <w:r w:rsidR="00BF4753" w:rsidRPr="00334C23">
              <w:rPr>
                <w:noProof/>
                <w:webHidden/>
                <w:sz w:val="28"/>
              </w:rPr>
              <w:fldChar w:fldCharType="end"/>
            </w:r>
          </w:hyperlink>
        </w:p>
        <w:p w:rsidR="00BF4753" w:rsidRPr="00334C23" w:rsidRDefault="00BF3A4C" w:rsidP="00BF4753">
          <w:pPr>
            <w:pStyle w:val="TOC2"/>
            <w:rPr>
              <w:rFonts w:asciiTheme="minorHAnsi" w:eastAsiaTheme="minorEastAsia" w:hAnsiTheme="minorHAnsi" w:cstheme="minorBidi"/>
              <w:noProof/>
              <w:szCs w:val="22"/>
              <w:lang w:eastAsia="lv-LV"/>
            </w:rPr>
          </w:pPr>
          <w:hyperlink w:anchor="_Toc68335001" w:history="1">
            <w:r w:rsidR="00BF4753" w:rsidRPr="00334C23">
              <w:rPr>
                <w:rStyle w:val="Hyperlink"/>
                <w:rFonts w:eastAsiaTheme="majorEastAsia"/>
                <w:noProof/>
                <w:sz w:val="28"/>
              </w:rPr>
              <w:t>3.3. Atbalsta pasākumi Covid-19 seku mazināšanai</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_Toc68335001 \h </w:instrText>
            </w:r>
            <w:r w:rsidR="00BF4753" w:rsidRPr="00334C23">
              <w:rPr>
                <w:noProof/>
                <w:webHidden/>
                <w:sz w:val="28"/>
              </w:rPr>
            </w:r>
            <w:r w:rsidR="00BF4753" w:rsidRPr="00334C23">
              <w:rPr>
                <w:noProof/>
                <w:webHidden/>
                <w:sz w:val="28"/>
              </w:rPr>
              <w:fldChar w:fldCharType="separate"/>
            </w:r>
            <w:r w:rsidR="0051766D">
              <w:rPr>
                <w:noProof/>
                <w:webHidden/>
                <w:sz w:val="28"/>
              </w:rPr>
              <w:t>39</w:t>
            </w:r>
            <w:r w:rsidR="00BF4753" w:rsidRPr="00334C23">
              <w:rPr>
                <w:noProof/>
                <w:webHidden/>
                <w:sz w:val="28"/>
              </w:rPr>
              <w:fldChar w:fldCharType="end"/>
            </w:r>
          </w:hyperlink>
        </w:p>
        <w:p w:rsidR="00BF4753" w:rsidRPr="00334C23" w:rsidRDefault="00BF3A4C" w:rsidP="00BF4753">
          <w:pPr>
            <w:pStyle w:val="TOC2"/>
            <w:rPr>
              <w:rFonts w:asciiTheme="minorHAnsi" w:eastAsiaTheme="minorEastAsia" w:hAnsiTheme="minorHAnsi" w:cstheme="minorBidi"/>
              <w:noProof/>
              <w:szCs w:val="22"/>
              <w:lang w:eastAsia="lv-LV"/>
            </w:rPr>
          </w:pPr>
          <w:hyperlink w:anchor="_Toc68335002" w:history="1">
            <w:r w:rsidR="00BF4753" w:rsidRPr="00334C23">
              <w:rPr>
                <w:rStyle w:val="Hyperlink"/>
                <w:noProof/>
                <w:sz w:val="28"/>
              </w:rPr>
              <w:t>3.4.</w:t>
            </w:r>
            <w:r w:rsidR="00BF4753" w:rsidRPr="00334C23">
              <w:rPr>
                <w:rFonts w:asciiTheme="minorHAnsi" w:eastAsiaTheme="minorEastAsia" w:hAnsiTheme="minorHAnsi" w:cstheme="minorBidi"/>
                <w:noProof/>
                <w:szCs w:val="22"/>
                <w:lang w:eastAsia="lv-LV"/>
              </w:rPr>
              <w:tab/>
            </w:r>
            <w:r w:rsidR="00BF4753" w:rsidRPr="00334C23">
              <w:rPr>
                <w:rStyle w:val="Hyperlink"/>
                <w:noProof/>
                <w:sz w:val="28"/>
              </w:rPr>
              <w:t>Fiskālās attīstības scenārijs</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_Toc68335002 \h </w:instrText>
            </w:r>
            <w:r w:rsidR="00BF4753" w:rsidRPr="00334C23">
              <w:rPr>
                <w:noProof/>
                <w:webHidden/>
                <w:sz w:val="28"/>
              </w:rPr>
            </w:r>
            <w:r w:rsidR="00BF4753" w:rsidRPr="00334C23">
              <w:rPr>
                <w:noProof/>
                <w:webHidden/>
                <w:sz w:val="28"/>
              </w:rPr>
              <w:fldChar w:fldCharType="separate"/>
            </w:r>
            <w:r w:rsidR="0051766D">
              <w:rPr>
                <w:noProof/>
                <w:webHidden/>
                <w:sz w:val="28"/>
              </w:rPr>
              <w:t>42</w:t>
            </w:r>
            <w:r w:rsidR="00BF4753" w:rsidRPr="00334C23">
              <w:rPr>
                <w:noProof/>
                <w:webHidden/>
                <w:sz w:val="28"/>
              </w:rPr>
              <w:fldChar w:fldCharType="end"/>
            </w:r>
          </w:hyperlink>
        </w:p>
        <w:p w:rsidR="00BF4753" w:rsidRPr="00334C23" w:rsidRDefault="00BF3A4C" w:rsidP="00BF4753">
          <w:pPr>
            <w:pStyle w:val="TOC2"/>
            <w:rPr>
              <w:rFonts w:asciiTheme="minorHAnsi" w:eastAsiaTheme="minorEastAsia" w:hAnsiTheme="minorHAnsi" w:cstheme="minorBidi"/>
              <w:noProof/>
              <w:szCs w:val="22"/>
              <w:lang w:eastAsia="lv-LV"/>
            </w:rPr>
          </w:pPr>
          <w:hyperlink w:anchor="_Toc68335003" w:history="1">
            <w:r w:rsidR="00BF4753" w:rsidRPr="00334C23">
              <w:rPr>
                <w:rStyle w:val="Hyperlink"/>
                <w:rFonts w:eastAsia="Calibri"/>
                <w:noProof/>
                <w:sz w:val="28"/>
              </w:rPr>
              <w:t>3.5.</w:t>
            </w:r>
            <w:r w:rsidR="00BF4753" w:rsidRPr="00334C23">
              <w:rPr>
                <w:rFonts w:asciiTheme="minorHAnsi" w:eastAsiaTheme="minorEastAsia" w:hAnsiTheme="minorHAnsi" w:cstheme="minorBidi"/>
                <w:noProof/>
                <w:szCs w:val="22"/>
                <w:lang w:eastAsia="lv-LV"/>
              </w:rPr>
              <w:tab/>
            </w:r>
            <w:r w:rsidR="00BF4753" w:rsidRPr="00334C23">
              <w:rPr>
                <w:rStyle w:val="Hyperlink"/>
                <w:rFonts w:eastAsia="Calibri"/>
                <w:noProof/>
                <w:sz w:val="28"/>
              </w:rPr>
              <w:t>Valdības parāda vidējā termiņa attīstības tendences</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_Toc68335003 \h </w:instrText>
            </w:r>
            <w:r w:rsidR="00BF4753" w:rsidRPr="00334C23">
              <w:rPr>
                <w:noProof/>
                <w:webHidden/>
                <w:sz w:val="28"/>
              </w:rPr>
            </w:r>
            <w:r w:rsidR="00BF4753" w:rsidRPr="00334C23">
              <w:rPr>
                <w:noProof/>
                <w:webHidden/>
                <w:sz w:val="28"/>
              </w:rPr>
              <w:fldChar w:fldCharType="separate"/>
            </w:r>
            <w:r w:rsidR="0051766D">
              <w:rPr>
                <w:noProof/>
                <w:webHidden/>
                <w:sz w:val="28"/>
              </w:rPr>
              <w:t>48</w:t>
            </w:r>
            <w:r w:rsidR="00BF4753" w:rsidRPr="00334C23">
              <w:rPr>
                <w:noProof/>
                <w:webHidden/>
                <w:sz w:val="28"/>
              </w:rPr>
              <w:fldChar w:fldCharType="end"/>
            </w:r>
          </w:hyperlink>
        </w:p>
        <w:p w:rsidR="00BF4753" w:rsidRPr="00334C23" w:rsidRDefault="00BF3A4C" w:rsidP="00BF4753">
          <w:pPr>
            <w:pStyle w:val="TOC1"/>
            <w:rPr>
              <w:rFonts w:asciiTheme="minorHAnsi" w:eastAsiaTheme="minorEastAsia" w:hAnsiTheme="minorHAnsi" w:cstheme="minorBidi"/>
              <w:noProof/>
              <w:szCs w:val="22"/>
              <w:lang w:eastAsia="lv-LV"/>
            </w:rPr>
          </w:pPr>
          <w:hyperlink w:anchor="_Toc68335004" w:history="1">
            <w:r w:rsidR="00BF4753" w:rsidRPr="00334C23">
              <w:rPr>
                <w:rStyle w:val="Hyperlink"/>
                <w:rFonts w:eastAsiaTheme="majorEastAsia"/>
                <w:noProof/>
                <w:sz w:val="28"/>
              </w:rPr>
              <w:t>4. Jutīguma analīze un salīdzinājums</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_Toc68335004 \h </w:instrText>
            </w:r>
            <w:r w:rsidR="00BF4753" w:rsidRPr="00334C23">
              <w:rPr>
                <w:noProof/>
                <w:webHidden/>
                <w:sz w:val="28"/>
              </w:rPr>
            </w:r>
            <w:r w:rsidR="00BF4753" w:rsidRPr="00334C23">
              <w:rPr>
                <w:noProof/>
                <w:webHidden/>
                <w:sz w:val="28"/>
              </w:rPr>
              <w:fldChar w:fldCharType="separate"/>
            </w:r>
            <w:r w:rsidR="0051766D">
              <w:rPr>
                <w:noProof/>
                <w:webHidden/>
                <w:sz w:val="28"/>
              </w:rPr>
              <w:t>52</w:t>
            </w:r>
            <w:r w:rsidR="00BF4753" w:rsidRPr="00334C23">
              <w:rPr>
                <w:noProof/>
                <w:webHidden/>
                <w:sz w:val="28"/>
              </w:rPr>
              <w:fldChar w:fldCharType="end"/>
            </w:r>
          </w:hyperlink>
        </w:p>
        <w:p w:rsidR="00BF4753" w:rsidRPr="00334C23" w:rsidRDefault="00BF3A4C" w:rsidP="00BF4753">
          <w:pPr>
            <w:pStyle w:val="TOC2"/>
            <w:rPr>
              <w:rFonts w:asciiTheme="minorHAnsi" w:eastAsiaTheme="minorEastAsia" w:hAnsiTheme="minorHAnsi" w:cstheme="minorBidi"/>
              <w:noProof/>
              <w:szCs w:val="22"/>
              <w:lang w:eastAsia="lv-LV"/>
            </w:rPr>
          </w:pPr>
          <w:hyperlink w:anchor="_Toc68335005" w:history="1">
            <w:r w:rsidR="00BF4753" w:rsidRPr="00334C23">
              <w:rPr>
                <w:rStyle w:val="Hyperlink"/>
                <w:noProof/>
                <w:sz w:val="28"/>
                <w:lang w:eastAsia="lv-LV"/>
              </w:rPr>
              <w:t>4.1. Makroekonomiskā scenārija riski</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_Toc68335005 \h </w:instrText>
            </w:r>
            <w:r w:rsidR="00BF4753" w:rsidRPr="00334C23">
              <w:rPr>
                <w:noProof/>
                <w:webHidden/>
                <w:sz w:val="28"/>
              </w:rPr>
            </w:r>
            <w:r w:rsidR="00BF4753" w:rsidRPr="00334C23">
              <w:rPr>
                <w:noProof/>
                <w:webHidden/>
                <w:sz w:val="28"/>
              </w:rPr>
              <w:fldChar w:fldCharType="separate"/>
            </w:r>
            <w:r w:rsidR="0051766D">
              <w:rPr>
                <w:noProof/>
                <w:webHidden/>
                <w:sz w:val="28"/>
              </w:rPr>
              <w:t>52</w:t>
            </w:r>
            <w:r w:rsidR="00BF4753" w:rsidRPr="00334C23">
              <w:rPr>
                <w:noProof/>
                <w:webHidden/>
                <w:sz w:val="28"/>
              </w:rPr>
              <w:fldChar w:fldCharType="end"/>
            </w:r>
          </w:hyperlink>
        </w:p>
        <w:p w:rsidR="00BF4753" w:rsidRPr="00334C23" w:rsidRDefault="00BF3A4C" w:rsidP="00BF4753">
          <w:pPr>
            <w:pStyle w:val="TOC2"/>
            <w:rPr>
              <w:rFonts w:asciiTheme="minorHAnsi" w:eastAsiaTheme="minorEastAsia" w:hAnsiTheme="minorHAnsi" w:cstheme="minorBidi"/>
              <w:noProof/>
              <w:szCs w:val="22"/>
              <w:lang w:eastAsia="lv-LV"/>
            </w:rPr>
          </w:pPr>
          <w:hyperlink w:anchor="_Toc68335006" w:history="1">
            <w:r w:rsidR="00BF4753" w:rsidRPr="00334C23">
              <w:rPr>
                <w:rStyle w:val="Hyperlink"/>
                <w:noProof/>
                <w:sz w:val="28"/>
                <w:lang w:eastAsia="lv-LV"/>
              </w:rPr>
              <w:t>4.2. Jutīguma analīze</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_Toc68335006 \h </w:instrText>
            </w:r>
            <w:r w:rsidR="00BF4753" w:rsidRPr="00334C23">
              <w:rPr>
                <w:noProof/>
                <w:webHidden/>
                <w:sz w:val="28"/>
              </w:rPr>
            </w:r>
            <w:r w:rsidR="00BF4753" w:rsidRPr="00334C23">
              <w:rPr>
                <w:noProof/>
                <w:webHidden/>
                <w:sz w:val="28"/>
              </w:rPr>
              <w:fldChar w:fldCharType="separate"/>
            </w:r>
            <w:r w:rsidR="0051766D">
              <w:rPr>
                <w:noProof/>
                <w:webHidden/>
                <w:sz w:val="28"/>
              </w:rPr>
              <w:t>52</w:t>
            </w:r>
            <w:r w:rsidR="00BF4753" w:rsidRPr="00334C23">
              <w:rPr>
                <w:noProof/>
                <w:webHidden/>
                <w:sz w:val="28"/>
              </w:rPr>
              <w:fldChar w:fldCharType="end"/>
            </w:r>
          </w:hyperlink>
        </w:p>
        <w:p w:rsidR="00BF4753" w:rsidRPr="00334C23" w:rsidRDefault="00BF3A4C" w:rsidP="00BF4753">
          <w:pPr>
            <w:pStyle w:val="TOC3"/>
            <w:rPr>
              <w:rFonts w:asciiTheme="minorHAnsi" w:eastAsiaTheme="minorEastAsia" w:hAnsiTheme="minorHAnsi" w:cstheme="minorBidi"/>
              <w:noProof/>
              <w:szCs w:val="22"/>
              <w:lang w:eastAsia="lv-LV"/>
            </w:rPr>
          </w:pPr>
          <w:hyperlink w:anchor="_Toc68335007" w:history="1">
            <w:r w:rsidR="00BF4753" w:rsidRPr="00334C23">
              <w:rPr>
                <w:rStyle w:val="Hyperlink"/>
                <w:rFonts w:eastAsiaTheme="majorEastAsia"/>
                <w:noProof/>
                <w:sz w:val="28"/>
              </w:rPr>
              <w:t>4.2.1.</w:t>
            </w:r>
            <w:r w:rsidR="00BF4753" w:rsidRPr="00334C23">
              <w:rPr>
                <w:rFonts w:asciiTheme="minorHAnsi" w:eastAsiaTheme="minorEastAsia" w:hAnsiTheme="minorHAnsi" w:cstheme="minorBidi"/>
                <w:noProof/>
                <w:szCs w:val="22"/>
                <w:lang w:eastAsia="lv-LV"/>
              </w:rPr>
              <w:tab/>
            </w:r>
            <w:r w:rsidR="00BF4753" w:rsidRPr="00334C23">
              <w:rPr>
                <w:rStyle w:val="Hyperlink"/>
                <w:rFonts w:eastAsiaTheme="majorEastAsia"/>
                <w:noProof/>
                <w:sz w:val="28"/>
              </w:rPr>
              <w:t>Optimistiskais scenārijs</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_Toc68335007 \h </w:instrText>
            </w:r>
            <w:r w:rsidR="00BF4753" w:rsidRPr="00334C23">
              <w:rPr>
                <w:noProof/>
                <w:webHidden/>
                <w:sz w:val="28"/>
              </w:rPr>
            </w:r>
            <w:r w:rsidR="00BF4753" w:rsidRPr="00334C23">
              <w:rPr>
                <w:noProof/>
                <w:webHidden/>
                <w:sz w:val="28"/>
              </w:rPr>
              <w:fldChar w:fldCharType="separate"/>
            </w:r>
            <w:r w:rsidR="0051766D">
              <w:rPr>
                <w:noProof/>
                <w:webHidden/>
                <w:sz w:val="28"/>
              </w:rPr>
              <w:t>52</w:t>
            </w:r>
            <w:r w:rsidR="00BF4753" w:rsidRPr="00334C23">
              <w:rPr>
                <w:noProof/>
                <w:webHidden/>
                <w:sz w:val="28"/>
              </w:rPr>
              <w:fldChar w:fldCharType="end"/>
            </w:r>
          </w:hyperlink>
        </w:p>
        <w:p w:rsidR="00BF4753" w:rsidRPr="00334C23" w:rsidRDefault="00BF3A4C" w:rsidP="00BF4753">
          <w:pPr>
            <w:pStyle w:val="TOC3"/>
            <w:rPr>
              <w:rFonts w:asciiTheme="minorHAnsi" w:eastAsiaTheme="minorEastAsia" w:hAnsiTheme="minorHAnsi" w:cstheme="minorBidi"/>
              <w:noProof/>
              <w:szCs w:val="22"/>
              <w:lang w:eastAsia="lv-LV"/>
            </w:rPr>
          </w:pPr>
          <w:hyperlink w:anchor="_Toc68335008" w:history="1">
            <w:r w:rsidR="00BF4753" w:rsidRPr="00334C23">
              <w:rPr>
                <w:rStyle w:val="Hyperlink"/>
                <w:rFonts w:eastAsiaTheme="majorEastAsia"/>
                <w:noProof/>
                <w:sz w:val="28"/>
              </w:rPr>
              <w:t>4.2.1.</w:t>
            </w:r>
            <w:r w:rsidR="00BF4753" w:rsidRPr="00334C23">
              <w:rPr>
                <w:rFonts w:asciiTheme="minorHAnsi" w:eastAsiaTheme="minorEastAsia" w:hAnsiTheme="minorHAnsi" w:cstheme="minorBidi"/>
                <w:noProof/>
                <w:szCs w:val="22"/>
                <w:lang w:eastAsia="lv-LV"/>
              </w:rPr>
              <w:tab/>
            </w:r>
            <w:r w:rsidR="00BF4753" w:rsidRPr="00334C23">
              <w:rPr>
                <w:rStyle w:val="Hyperlink"/>
                <w:rFonts w:eastAsiaTheme="majorEastAsia"/>
                <w:noProof/>
                <w:sz w:val="28"/>
              </w:rPr>
              <w:t>Pesimistiskais scenārijs</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_Toc68335008 \h </w:instrText>
            </w:r>
            <w:r w:rsidR="00BF4753" w:rsidRPr="00334C23">
              <w:rPr>
                <w:noProof/>
                <w:webHidden/>
                <w:sz w:val="28"/>
              </w:rPr>
            </w:r>
            <w:r w:rsidR="00BF4753" w:rsidRPr="00334C23">
              <w:rPr>
                <w:noProof/>
                <w:webHidden/>
                <w:sz w:val="28"/>
              </w:rPr>
              <w:fldChar w:fldCharType="separate"/>
            </w:r>
            <w:r w:rsidR="0051766D">
              <w:rPr>
                <w:noProof/>
                <w:webHidden/>
                <w:sz w:val="28"/>
              </w:rPr>
              <w:t>54</w:t>
            </w:r>
            <w:r w:rsidR="00BF4753" w:rsidRPr="00334C23">
              <w:rPr>
                <w:noProof/>
                <w:webHidden/>
                <w:sz w:val="28"/>
              </w:rPr>
              <w:fldChar w:fldCharType="end"/>
            </w:r>
          </w:hyperlink>
        </w:p>
        <w:p w:rsidR="00BF4753" w:rsidRPr="00334C23" w:rsidRDefault="00BF3A4C" w:rsidP="00BF4753">
          <w:pPr>
            <w:pStyle w:val="TOC2"/>
            <w:rPr>
              <w:rFonts w:asciiTheme="minorHAnsi" w:eastAsiaTheme="minorEastAsia" w:hAnsiTheme="minorHAnsi" w:cstheme="minorBidi"/>
              <w:noProof/>
              <w:szCs w:val="22"/>
              <w:lang w:eastAsia="lv-LV"/>
            </w:rPr>
          </w:pPr>
          <w:hyperlink w:anchor="_Toc68335009" w:history="1">
            <w:r w:rsidR="00BF4753" w:rsidRPr="00334C23">
              <w:rPr>
                <w:rStyle w:val="Hyperlink"/>
                <w:noProof/>
                <w:sz w:val="28"/>
                <w:lang w:eastAsia="lv-LV"/>
              </w:rPr>
              <w:t>4.3. Vispārējās valdības budžeta bilances un parāda prognožu salīdzinājums ar Latvijas Stabilitātes programmu 2020. – 2023. gadam</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_Toc68335009 \h </w:instrText>
            </w:r>
            <w:r w:rsidR="00BF4753" w:rsidRPr="00334C23">
              <w:rPr>
                <w:noProof/>
                <w:webHidden/>
                <w:sz w:val="28"/>
              </w:rPr>
            </w:r>
            <w:r w:rsidR="00BF4753" w:rsidRPr="00334C23">
              <w:rPr>
                <w:noProof/>
                <w:webHidden/>
                <w:sz w:val="28"/>
              </w:rPr>
              <w:fldChar w:fldCharType="separate"/>
            </w:r>
            <w:r w:rsidR="0051766D">
              <w:rPr>
                <w:noProof/>
                <w:webHidden/>
                <w:sz w:val="28"/>
              </w:rPr>
              <w:t>56</w:t>
            </w:r>
            <w:r w:rsidR="00BF4753" w:rsidRPr="00334C23">
              <w:rPr>
                <w:noProof/>
                <w:webHidden/>
                <w:sz w:val="28"/>
              </w:rPr>
              <w:fldChar w:fldCharType="end"/>
            </w:r>
          </w:hyperlink>
        </w:p>
        <w:p w:rsidR="00BF4753" w:rsidRPr="00334C23" w:rsidRDefault="00BF3A4C" w:rsidP="00BF4753">
          <w:pPr>
            <w:pStyle w:val="TOC1"/>
            <w:rPr>
              <w:rFonts w:asciiTheme="minorHAnsi" w:eastAsiaTheme="minorEastAsia" w:hAnsiTheme="minorHAnsi" w:cstheme="minorBidi"/>
              <w:noProof/>
              <w:szCs w:val="22"/>
              <w:lang w:eastAsia="lv-LV"/>
            </w:rPr>
          </w:pPr>
          <w:hyperlink w:anchor="_Toc68335010" w:history="1">
            <w:r w:rsidR="00BF4753" w:rsidRPr="00334C23">
              <w:rPr>
                <w:rStyle w:val="Hyperlink"/>
                <w:rFonts w:eastAsiaTheme="majorEastAsia"/>
                <w:noProof/>
                <w:sz w:val="28"/>
              </w:rPr>
              <w:t>5. Valsts finanšu kvalitāte</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_Toc68335010 \h </w:instrText>
            </w:r>
            <w:r w:rsidR="00BF4753" w:rsidRPr="00334C23">
              <w:rPr>
                <w:noProof/>
                <w:webHidden/>
                <w:sz w:val="28"/>
              </w:rPr>
            </w:r>
            <w:r w:rsidR="00BF4753" w:rsidRPr="00334C23">
              <w:rPr>
                <w:noProof/>
                <w:webHidden/>
                <w:sz w:val="28"/>
              </w:rPr>
              <w:fldChar w:fldCharType="separate"/>
            </w:r>
            <w:r w:rsidR="0051766D">
              <w:rPr>
                <w:noProof/>
                <w:webHidden/>
                <w:sz w:val="28"/>
              </w:rPr>
              <w:t>58</w:t>
            </w:r>
            <w:r w:rsidR="00BF4753" w:rsidRPr="00334C23">
              <w:rPr>
                <w:noProof/>
                <w:webHidden/>
                <w:sz w:val="28"/>
              </w:rPr>
              <w:fldChar w:fldCharType="end"/>
            </w:r>
          </w:hyperlink>
        </w:p>
        <w:p w:rsidR="00BF4753" w:rsidRPr="00334C23" w:rsidRDefault="00BF3A4C" w:rsidP="00BF4753">
          <w:pPr>
            <w:pStyle w:val="TOC2"/>
            <w:rPr>
              <w:rFonts w:asciiTheme="minorHAnsi" w:eastAsiaTheme="minorEastAsia" w:hAnsiTheme="minorHAnsi" w:cstheme="minorBidi"/>
              <w:noProof/>
              <w:szCs w:val="22"/>
              <w:lang w:eastAsia="lv-LV"/>
            </w:rPr>
          </w:pPr>
          <w:hyperlink w:anchor="_Toc68335011" w:history="1">
            <w:r w:rsidR="00BF4753" w:rsidRPr="00334C23">
              <w:rPr>
                <w:rStyle w:val="Hyperlink"/>
                <w:rFonts w:eastAsiaTheme="majorEastAsia"/>
                <w:noProof/>
                <w:sz w:val="28"/>
              </w:rPr>
              <w:t>5.1. Valsts budžeta līdzekļu efektivitāte un izlietojuma kontrole</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_Toc68335011 \h </w:instrText>
            </w:r>
            <w:r w:rsidR="00BF4753" w:rsidRPr="00334C23">
              <w:rPr>
                <w:noProof/>
                <w:webHidden/>
                <w:sz w:val="28"/>
              </w:rPr>
            </w:r>
            <w:r w:rsidR="00BF4753" w:rsidRPr="00334C23">
              <w:rPr>
                <w:noProof/>
                <w:webHidden/>
                <w:sz w:val="28"/>
              </w:rPr>
              <w:fldChar w:fldCharType="separate"/>
            </w:r>
            <w:r w:rsidR="0051766D">
              <w:rPr>
                <w:noProof/>
                <w:webHidden/>
                <w:sz w:val="28"/>
              </w:rPr>
              <w:t>58</w:t>
            </w:r>
            <w:r w:rsidR="00BF4753" w:rsidRPr="00334C23">
              <w:rPr>
                <w:noProof/>
                <w:webHidden/>
                <w:sz w:val="28"/>
              </w:rPr>
              <w:fldChar w:fldCharType="end"/>
            </w:r>
          </w:hyperlink>
        </w:p>
        <w:p w:rsidR="00BF4753" w:rsidRPr="00334C23" w:rsidRDefault="00BF3A4C" w:rsidP="00BF4753">
          <w:pPr>
            <w:pStyle w:val="TOC2"/>
            <w:rPr>
              <w:rFonts w:asciiTheme="minorHAnsi" w:eastAsiaTheme="minorEastAsia" w:hAnsiTheme="minorHAnsi" w:cstheme="minorBidi"/>
              <w:noProof/>
              <w:szCs w:val="22"/>
              <w:lang w:eastAsia="lv-LV"/>
            </w:rPr>
          </w:pPr>
          <w:hyperlink w:anchor="_Toc68335012" w:history="1">
            <w:r w:rsidR="00BF4753" w:rsidRPr="00334C23">
              <w:rPr>
                <w:rStyle w:val="Hyperlink"/>
                <w:noProof/>
                <w:sz w:val="28"/>
              </w:rPr>
              <w:t>5.2. Ieņēmumu struktūras un sistēmas efektivitāte</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_Toc68335012 \h </w:instrText>
            </w:r>
            <w:r w:rsidR="00BF4753" w:rsidRPr="00334C23">
              <w:rPr>
                <w:noProof/>
                <w:webHidden/>
                <w:sz w:val="28"/>
              </w:rPr>
            </w:r>
            <w:r w:rsidR="00BF4753" w:rsidRPr="00334C23">
              <w:rPr>
                <w:noProof/>
                <w:webHidden/>
                <w:sz w:val="28"/>
              </w:rPr>
              <w:fldChar w:fldCharType="separate"/>
            </w:r>
            <w:r w:rsidR="0051766D">
              <w:rPr>
                <w:noProof/>
                <w:webHidden/>
                <w:sz w:val="28"/>
              </w:rPr>
              <w:t>62</w:t>
            </w:r>
            <w:r w:rsidR="00BF4753" w:rsidRPr="00334C23">
              <w:rPr>
                <w:noProof/>
                <w:webHidden/>
                <w:sz w:val="28"/>
              </w:rPr>
              <w:fldChar w:fldCharType="end"/>
            </w:r>
          </w:hyperlink>
        </w:p>
        <w:p w:rsidR="00BF4753" w:rsidRPr="00334C23" w:rsidRDefault="00BF3A4C" w:rsidP="00BF4753">
          <w:pPr>
            <w:pStyle w:val="TOC1"/>
            <w:rPr>
              <w:rFonts w:asciiTheme="minorHAnsi" w:eastAsiaTheme="minorEastAsia" w:hAnsiTheme="minorHAnsi" w:cstheme="minorBidi"/>
              <w:noProof/>
              <w:szCs w:val="22"/>
              <w:lang w:eastAsia="lv-LV"/>
            </w:rPr>
          </w:pPr>
          <w:hyperlink w:anchor="_Toc68335013" w:history="1">
            <w:r w:rsidR="00BF4753" w:rsidRPr="00334C23">
              <w:rPr>
                <w:rStyle w:val="Hyperlink"/>
                <w:rFonts w:eastAsiaTheme="majorEastAsia"/>
                <w:noProof/>
                <w:sz w:val="28"/>
              </w:rPr>
              <w:t>6. Publisko finanšu ilgtspēja</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_Toc68335013 \h </w:instrText>
            </w:r>
            <w:r w:rsidR="00BF4753" w:rsidRPr="00334C23">
              <w:rPr>
                <w:noProof/>
                <w:webHidden/>
                <w:sz w:val="28"/>
              </w:rPr>
            </w:r>
            <w:r w:rsidR="00BF4753" w:rsidRPr="00334C23">
              <w:rPr>
                <w:noProof/>
                <w:webHidden/>
                <w:sz w:val="28"/>
              </w:rPr>
              <w:fldChar w:fldCharType="separate"/>
            </w:r>
            <w:r w:rsidR="0051766D">
              <w:rPr>
                <w:noProof/>
                <w:webHidden/>
                <w:sz w:val="28"/>
              </w:rPr>
              <w:t>74</w:t>
            </w:r>
            <w:r w:rsidR="00BF4753" w:rsidRPr="00334C23">
              <w:rPr>
                <w:noProof/>
                <w:webHidden/>
                <w:sz w:val="28"/>
              </w:rPr>
              <w:fldChar w:fldCharType="end"/>
            </w:r>
          </w:hyperlink>
        </w:p>
        <w:p w:rsidR="00BF4753" w:rsidRPr="00334C23" w:rsidRDefault="00BF3A4C" w:rsidP="00BF4753">
          <w:pPr>
            <w:pStyle w:val="TOC2"/>
            <w:rPr>
              <w:rFonts w:asciiTheme="minorHAnsi" w:eastAsiaTheme="minorEastAsia" w:hAnsiTheme="minorHAnsi" w:cstheme="minorBidi"/>
              <w:noProof/>
              <w:szCs w:val="22"/>
              <w:lang w:eastAsia="lv-LV"/>
            </w:rPr>
          </w:pPr>
          <w:hyperlink w:anchor="_Toc68335014" w:history="1">
            <w:r w:rsidR="00BF4753" w:rsidRPr="00334C23">
              <w:rPr>
                <w:rStyle w:val="Hyperlink"/>
                <w:noProof/>
                <w:sz w:val="28"/>
                <w:lang w:eastAsia="lv-LV"/>
              </w:rPr>
              <w:t>6.1. Publisko finanšu ilgtermiņa attīstības scenārijs</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_Toc68335014 \h </w:instrText>
            </w:r>
            <w:r w:rsidR="00BF4753" w:rsidRPr="00334C23">
              <w:rPr>
                <w:noProof/>
                <w:webHidden/>
                <w:sz w:val="28"/>
              </w:rPr>
            </w:r>
            <w:r w:rsidR="00BF4753" w:rsidRPr="00334C23">
              <w:rPr>
                <w:noProof/>
                <w:webHidden/>
                <w:sz w:val="28"/>
              </w:rPr>
              <w:fldChar w:fldCharType="separate"/>
            </w:r>
            <w:r w:rsidR="0051766D">
              <w:rPr>
                <w:noProof/>
                <w:webHidden/>
                <w:sz w:val="28"/>
              </w:rPr>
              <w:t>74</w:t>
            </w:r>
            <w:r w:rsidR="00BF4753" w:rsidRPr="00334C23">
              <w:rPr>
                <w:noProof/>
                <w:webHidden/>
                <w:sz w:val="28"/>
              </w:rPr>
              <w:fldChar w:fldCharType="end"/>
            </w:r>
          </w:hyperlink>
        </w:p>
        <w:p w:rsidR="00BF4753" w:rsidRPr="00334C23" w:rsidRDefault="00BF3A4C" w:rsidP="00BF4753">
          <w:pPr>
            <w:pStyle w:val="TOC2"/>
            <w:rPr>
              <w:rFonts w:asciiTheme="minorHAnsi" w:eastAsiaTheme="minorEastAsia" w:hAnsiTheme="minorHAnsi" w:cstheme="minorBidi"/>
              <w:noProof/>
              <w:szCs w:val="22"/>
              <w:lang w:eastAsia="lv-LV"/>
            </w:rPr>
          </w:pPr>
          <w:hyperlink w:anchor="_Toc68335015" w:history="1">
            <w:r w:rsidR="00BF4753" w:rsidRPr="00334C23">
              <w:rPr>
                <w:rStyle w:val="Hyperlink"/>
                <w:noProof/>
                <w:sz w:val="28"/>
                <w:lang w:eastAsia="lv-LV"/>
              </w:rPr>
              <w:t>6.2. Valsts sniegtie galvojumi</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_Toc68335015 \h </w:instrText>
            </w:r>
            <w:r w:rsidR="00BF4753" w:rsidRPr="00334C23">
              <w:rPr>
                <w:noProof/>
                <w:webHidden/>
                <w:sz w:val="28"/>
              </w:rPr>
            </w:r>
            <w:r w:rsidR="00BF4753" w:rsidRPr="00334C23">
              <w:rPr>
                <w:noProof/>
                <w:webHidden/>
                <w:sz w:val="28"/>
              </w:rPr>
              <w:fldChar w:fldCharType="separate"/>
            </w:r>
            <w:r w:rsidR="0051766D">
              <w:rPr>
                <w:noProof/>
                <w:webHidden/>
                <w:sz w:val="28"/>
              </w:rPr>
              <w:t>78</w:t>
            </w:r>
            <w:r w:rsidR="00BF4753" w:rsidRPr="00334C23">
              <w:rPr>
                <w:noProof/>
                <w:webHidden/>
                <w:sz w:val="28"/>
              </w:rPr>
              <w:fldChar w:fldCharType="end"/>
            </w:r>
          </w:hyperlink>
        </w:p>
        <w:p w:rsidR="00BF4753" w:rsidRPr="00334C23" w:rsidRDefault="00BF3A4C" w:rsidP="00BF4753">
          <w:pPr>
            <w:pStyle w:val="TOC1"/>
            <w:rPr>
              <w:rFonts w:asciiTheme="minorHAnsi" w:eastAsiaTheme="minorEastAsia" w:hAnsiTheme="minorHAnsi" w:cstheme="minorBidi"/>
              <w:noProof/>
              <w:szCs w:val="22"/>
              <w:lang w:eastAsia="lv-LV"/>
            </w:rPr>
          </w:pPr>
          <w:hyperlink w:anchor="_Toc68335016" w:history="1">
            <w:r w:rsidR="00BF4753" w:rsidRPr="00334C23">
              <w:rPr>
                <w:rStyle w:val="Hyperlink"/>
                <w:rFonts w:eastAsiaTheme="majorEastAsia"/>
                <w:noProof/>
                <w:sz w:val="28"/>
              </w:rPr>
              <w:t>7. Valsts finanšu institucionālās iezīmes</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_Toc68335016 \h </w:instrText>
            </w:r>
            <w:r w:rsidR="00BF4753" w:rsidRPr="00334C23">
              <w:rPr>
                <w:noProof/>
                <w:webHidden/>
                <w:sz w:val="28"/>
              </w:rPr>
            </w:r>
            <w:r w:rsidR="00BF4753" w:rsidRPr="00334C23">
              <w:rPr>
                <w:noProof/>
                <w:webHidden/>
                <w:sz w:val="28"/>
              </w:rPr>
              <w:fldChar w:fldCharType="separate"/>
            </w:r>
            <w:r w:rsidR="0051766D">
              <w:rPr>
                <w:noProof/>
                <w:webHidden/>
                <w:sz w:val="28"/>
              </w:rPr>
              <w:t>80</w:t>
            </w:r>
            <w:r w:rsidR="00BF4753" w:rsidRPr="00334C23">
              <w:rPr>
                <w:noProof/>
                <w:webHidden/>
                <w:sz w:val="28"/>
              </w:rPr>
              <w:fldChar w:fldCharType="end"/>
            </w:r>
          </w:hyperlink>
        </w:p>
        <w:p w:rsidR="00BF4753" w:rsidRPr="00334C23" w:rsidRDefault="00BF3A4C" w:rsidP="00BF4753">
          <w:pPr>
            <w:pStyle w:val="TOC2"/>
            <w:rPr>
              <w:rFonts w:asciiTheme="minorHAnsi" w:eastAsiaTheme="minorEastAsia" w:hAnsiTheme="minorHAnsi" w:cstheme="minorBidi"/>
              <w:noProof/>
              <w:szCs w:val="22"/>
              <w:lang w:eastAsia="lv-LV"/>
            </w:rPr>
          </w:pPr>
          <w:hyperlink w:anchor="_Toc68335017" w:history="1">
            <w:r w:rsidR="00BF4753" w:rsidRPr="00334C23">
              <w:rPr>
                <w:rStyle w:val="Hyperlink"/>
                <w:rFonts w:eastAsiaTheme="majorEastAsia"/>
                <w:noProof/>
                <w:sz w:val="28"/>
                <w:lang w:eastAsia="lv-LV"/>
              </w:rPr>
              <w:t>7.1. Vidējā termiņa budžeta plānošana</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_Toc68335017 \h </w:instrText>
            </w:r>
            <w:r w:rsidR="00BF4753" w:rsidRPr="00334C23">
              <w:rPr>
                <w:noProof/>
                <w:webHidden/>
                <w:sz w:val="28"/>
              </w:rPr>
            </w:r>
            <w:r w:rsidR="00BF4753" w:rsidRPr="00334C23">
              <w:rPr>
                <w:noProof/>
                <w:webHidden/>
                <w:sz w:val="28"/>
              </w:rPr>
              <w:fldChar w:fldCharType="separate"/>
            </w:r>
            <w:r w:rsidR="0051766D">
              <w:rPr>
                <w:noProof/>
                <w:webHidden/>
                <w:sz w:val="28"/>
              </w:rPr>
              <w:t>80</w:t>
            </w:r>
            <w:r w:rsidR="00BF4753" w:rsidRPr="00334C23">
              <w:rPr>
                <w:noProof/>
                <w:webHidden/>
                <w:sz w:val="28"/>
              </w:rPr>
              <w:fldChar w:fldCharType="end"/>
            </w:r>
          </w:hyperlink>
        </w:p>
        <w:p w:rsidR="00BF4753" w:rsidRPr="00334C23" w:rsidRDefault="00BF3A4C" w:rsidP="00BF4753">
          <w:pPr>
            <w:pStyle w:val="TOC2"/>
            <w:rPr>
              <w:rFonts w:asciiTheme="minorHAnsi" w:eastAsiaTheme="minorEastAsia" w:hAnsiTheme="minorHAnsi" w:cstheme="minorBidi"/>
              <w:noProof/>
              <w:szCs w:val="22"/>
              <w:lang w:eastAsia="lv-LV"/>
            </w:rPr>
          </w:pPr>
          <w:hyperlink w:anchor="_Toc68335018" w:history="1">
            <w:r w:rsidR="00BF4753" w:rsidRPr="00334C23">
              <w:rPr>
                <w:rStyle w:val="Hyperlink"/>
                <w:noProof/>
                <w:sz w:val="28"/>
                <w:lang w:eastAsia="lv-LV"/>
              </w:rPr>
              <w:t>7.2.</w:t>
            </w:r>
            <w:r w:rsidR="00BF4753" w:rsidRPr="00334C23">
              <w:rPr>
                <w:rFonts w:asciiTheme="minorHAnsi" w:eastAsiaTheme="minorEastAsia" w:hAnsiTheme="minorHAnsi" w:cstheme="minorBidi"/>
                <w:noProof/>
                <w:szCs w:val="22"/>
                <w:lang w:eastAsia="lv-LV"/>
              </w:rPr>
              <w:tab/>
            </w:r>
            <w:r w:rsidR="00BF4753" w:rsidRPr="00334C23">
              <w:rPr>
                <w:rStyle w:val="Hyperlink"/>
                <w:noProof/>
                <w:sz w:val="28"/>
                <w:lang w:eastAsia="lv-LV"/>
              </w:rPr>
              <w:t>Budžeta procedūras, t.sk. valsts finanšu statistikas pārvalde</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_Toc68335018 \h </w:instrText>
            </w:r>
            <w:r w:rsidR="00BF4753" w:rsidRPr="00334C23">
              <w:rPr>
                <w:noProof/>
                <w:webHidden/>
                <w:sz w:val="28"/>
              </w:rPr>
            </w:r>
            <w:r w:rsidR="00BF4753" w:rsidRPr="00334C23">
              <w:rPr>
                <w:noProof/>
                <w:webHidden/>
                <w:sz w:val="28"/>
              </w:rPr>
              <w:fldChar w:fldCharType="separate"/>
            </w:r>
            <w:r w:rsidR="0051766D">
              <w:rPr>
                <w:noProof/>
                <w:webHidden/>
                <w:sz w:val="28"/>
              </w:rPr>
              <w:t>81</w:t>
            </w:r>
            <w:r w:rsidR="00BF4753" w:rsidRPr="00334C23">
              <w:rPr>
                <w:noProof/>
                <w:webHidden/>
                <w:sz w:val="28"/>
              </w:rPr>
              <w:fldChar w:fldCharType="end"/>
            </w:r>
          </w:hyperlink>
        </w:p>
        <w:p w:rsidR="00BF4753" w:rsidRPr="00334C23" w:rsidRDefault="00BF3A4C" w:rsidP="00BF4753">
          <w:pPr>
            <w:pStyle w:val="TOC3"/>
            <w:rPr>
              <w:rFonts w:asciiTheme="minorHAnsi" w:eastAsiaTheme="minorEastAsia" w:hAnsiTheme="minorHAnsi" w:cstheme="minorBidi"/>
              <w:noProof/>
              <w:szCs w:val="22"/>
              <w:lang w:eastAsia="lv-LV"/>
            </w:rPr>
          </w:pPr>
          <w:hyperlink w:anchor="_Toc68335019" w:history="1">
            <w:r w:rsidR="00BF4753" w:rsidRPr="00334C23">
              <w:rPr>
                <w:rStyle w:val="Hyperlink"/>
                <w:rFonts w:eastAsiaTheme="majorEastAsia"/>
                <w:noProof/>
                <w:sz w:val="28"/>
                <w:lang w:eastAsia="lv-LV"/>
              </w:rPr>
              <w:t>7.2.1.</w:t>
            </w:r>
            <w:r w:rsidR="00BF4753" w:rsidRPr="00334C23">
              <w:rPr>
                <w:rFonts w:asciiTheme="minorHAnsi" w:eastAsiaTheme="minorEastAsia" w:hAnsiTheme="minorHAnsi" w:cstheme="minorBidi"/>
                <w:noProof/>
                <w:szCs w:val="22"/>
                <w:lang w:eastAsia="lv-LV"/>
              </w:rPr>
              <w:tab/>
            </w:r>
            <w:r w:rsidR="00BF4753" w:rsidRPr="00334C23">
              <w:rPr>
                <w:rStyle w:val="Hyperlink"/>
                <w:rFonts w:eastAsiaTheme="majorEastAsia"/>
                <w:noProof/>
                <w:sz w:val="28"/>
              </w:rPr>
              <w:t>Budžeta</w:t>
            </w:r>
            <w:r w:rsidR="00BF4753" w:rsidRPr="00334C23">
              <w:rPr>
                <w:rStyle w:val="Hyperlink"/>
                <w:rFonts w:eastAsiaTheme="majorEastAsia"/>
                <w:noProof/>
                <w:sz w:val="28"/>
                <w:lang w:eastAsia="lv-LV"/>
              </w:rPr>
              <w:t xml:space="preserve"> procedūras</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_Toc68335019 \h </w:instrText>
            </w:r>
            <w:r w:rsidR="00BF4753" w:rsidRPr="00334C23">
              <w:rPr>
                <w:noProof/>
                <w:webHidden/>
                <w:sz w:val="28"/>
              </w:rPr>
            </w:r>
            <w:r w:rsidR="00BF4753" w:rsidRPr="00334C23">
              <w:rPr>
                <w:noProof/>
                <w:webHidden/>
                <w:sz w:val="28"/>
              </w:rPr>
              <w:fldChar w:fldCharType="separate"/>
            </w:r>
            <w:r w:rsidR="0051766D">
              <w:rPr>
                <w:noProof/>
                <w:webHidden/>
                <w:sz w:val="28"/>
              </w:rPr>
              <w:t>81</w:t>
            </w:r>
            <w:r w:rsidR="00BF4753" w:rsidRPr="00334C23">
              <w:rPr>
                <w:noProof/>
                <w:webHidden/>
                <w:sz w:val="28"/>
              </w:rPr>
              <w:fldChar w:fldCharType="end"/>
            </w:r>
          </w:hyperlink>
        </w:p>
        <w:p w:rsidR="00BF4753" w:rsidRPr="00334C23" w:rsidRDefault="00BF3A4C" w:rsidP="00BF4753">
          <w:pPr>
            <w:pStyle w:val="TOC3"/>
            <w:rPr>
              <w:rFonts w:asciiTheme="minorHAnsi" w:eastAsiaTheme="minorEastAsia" w:hAnsiTheme="minorHAnsi" w:cstheme="minorBidi"/>
              <w:noProof/>
              <w:szCs w:val="22"/>
              <w:lang w:eastAsia="lv-LV"/>
            </w:rPr>
          </w:pPr>
          <w:hyperlink w:anchor="_Toc68335020" w:history="1">
            <w:r w:rsidR="00BF4753" w:rsidRPr="00334C23">
              <w:rPr>
                <w:rStyle w:val="Hyperlink"/>
                <w:rFonts w:eastAsiaTheme="majorEastAsia"/>
                <w:noProof/>
                <w:sz w:val="28"/>
                <w:lang w:eastAsia="lv-LV"/>
              </w:rPr>
              <w:t>7.2.2.</w:t>
            </w:r>
            <w:r w:rsidR="00BF4753" w:rsidRPr="00334C23">
              <w:rPr>
                <w:rFonts w:asciiTheme="minorHAnsi" w:eastAsiaTheme="minorEastAsia" w:hAnsiTheme="minorHAnsi" w:cstheme="minorBidi"/>
                <w:noProof/>
                <w:szCs w:val="22"/>
                <w:lang w:eastAsia="lv-LV"/>
              </w:rPr>
              <w:tab/>
            </w:r>
            <w:r w:rsidR="00BF4753" w:rsidRPr="00334C23">
              <w:rPr>
                <w:rStyle w:val="Hyperlink"/>
                <w:noProof/>
                <w:sz w:val="28"/>
                <w:lang w:eastAsia="lv-LV"/>
              </w:rPr>
              <w:t>Valsts finanšu statistikas pārvaldība</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_Toc68335020 \h </w:instrText>
            </w:r>
            <w:r w:rsidR="00BF4753" w:rsidRPr="00334C23">
              <w:rPr>
                <w:noProof/>
                <w:webHidden/>
                <w:sz w:val="28"/>
              </w:rPr>
            </w:r>
            <w:r w:rsidR="00BF4753" w:rsidRPr="00334C23">
              <w:rPr>
                <w:noProof/>
                <w:webHidden/>
                <w:sz w:val="28"/>
              </w:rPr>
              <w:fldChar w:fldCharType="separate"/>
            </w:r>
            <w:r w:rsidR="0051766D">
              <w:rPr>
                <w:noProof/>
                <w:webHidden/>
                <w:sz w:val="28"/>
              </w:rPr>
              <w:t>84</w:t>
            </w:r>
            <w:r w:rsidR="00BF4753" w:rsidRPr="00334C23">
              <w:rPr>
                <w:noProof/>
                <w:webHidden/>
                <w:sz w:val="28"/>
              </w:rPr>
              <w:fldChar w:fldCharType="end"/>
            </w:r>
          </w:hyperlink>
        </w:p>
        <w:p w:rsidR="00BF4753" w:rsidRDefault="00BF3A4C" w:rsidP="00BF4753">
          <w:pPr>
            <w:pStyle w:val="TOC1"/>
            <w:rPr>
              <w:rFonts w:asciiTheme="minorHAnsi" w:eastAsiaTheme="minorEastAsia" w:hAnsiTheme="minorHAnsi" w:cstheme="minorBidi"/>
              <w:noProof/>
              <w:sz w:val="22"/>
              <w:szCs w:val="22"/>
              <w:lang w:eastAsia="lv-LV"/>
            </w:rPr>
          </w:pPr>
          <w:hyperlink w:anchor="_Toc68335021" w:history="1">
            <w:r w:rsidR="00BF4753" w:rsidRPr="00334C23">
              <w:rPr>
                <w:rStyle w:val="Hyperlink"/>
                <w:rFonts w:eastAsiaTheme="majorEastAsia"/>
                <w:noProof/>
                <w:sz w:val="28"/>
              </w:rPr>
              <w:t>Pielikumi</w:t>
            </w:r>
            <w:r w:rsidR="00BF4753" w:rsidRPr="00334C23">
              <w:rPr>
                <w:noProof/>
                <w:webHidden/>
                <w:sz w:val="28"/>
              </w:rPr>
              <w:tab/>
            </w:r>
            <w:r w:rsidR="00BF4753" w:rsidRPr="00334C23">
              <w:rPr>
                <w:noProof/>
                <w:webHidden/>
                <w:sz w:val="28"/>
              </w:rPr>
              <w:fldChar w:fldCharType="begin"/>
            </w:r>
            <w:r w:rsidR="00BF4753" w:rsidRPr="00334C23">
              <w:rPr>
                <w:noProof/>
                <w:webHidden/>
                <w:sz w:val="28"/>
              </w:rPr>
              <w:instrText xml:space="preserve"> PAGEREF _Toc68335021 \h </w:instrText>
            </w:r>
            <w:r w:rsidR="00BF4753" w:rsidRPr="00334C23">
              <w:rPr>
                <w:noProof/>
                <w:webHidden/>
                <w:sz w:val="28"/>
              </w:rPr>
            </w:r>
            <w:r w:rsidR="00BF4753" w:rsidRPr="00334C23">
              <w:rPr>
                <w:noProof/>
                <w:webHidden/>
                <w:sz w:val="28"/>
              </w:rPr>
              <w:fldChar w:fldCharType="separate"/>
            </w:r>
            <w:r w:rsidR="0051766D">
              <w:rPr>
                <w:noProof/>
                <w:webHidden/>
                <w:sz w:val="28"/>
              </w:rPr>
              <w:t>86</w:t>
            </w:r>
            <w:r w:rsidR="00BF4753" w:rsidRPr="00334C23">
              <w:rPr>
                <w:noProof/>
                <w:webHidden/>
                <w:sz w:val="28"/>
              </w:rPr>
              <w:fldChar w:fldCharType="end"/>
            </w:r>
          </w:hyperlink>
        </w:p>
        <w:p w:rsidR="00BF4753" w:rsidRPr="00DB0DC6" w:rsidRDefault="00BF4753" w:rsidP="00BF4753">
          <w:pPr>
            <w:rPr>
              <w:noProof/>
              <w:szCs w:val="28"/>
              <w:highlight w:val="yellow"/>
            </w:rPr>
          </w:pPr>
          <w:r w:rsidRPr="00DB0DC6">
            <w:rPr>
              <w:b/>
              <w:bCs/>
              <w:noProof/>
              <w:szCs w:val="28"/>
              <w:highlight w:val="yellow"/>
            </w:rPr>
            <w:fldChar w:fldCharType="end"/>
          </w:r>
        </w:p>
      </w:sdtContent>
    </w:sdt>
    <w:p w:rsidR="00BF4753" w:rsidRPr="007566D6" w:rsidRDefault="00BF4753" w:rsidP="00BF4753">
      <w:pPr>
        <w:rPr>
          <w:noProof/>
          <w:highlight w:val="yellow"/>
        </w:rPr>
      </w:pPr>
      <w:r w:rsidRPr="00827C60">
        <w:br w:type="page"/>
      </w:r>
    </w:p>
    <w:p w:rsidR="00BF4753" w:rsidRDefault="00BF4753" w:rsidP="00BF4753">
      <w:pPr>
        <w:pStyle w:val="Heading1"/>
        <w:numPr>
          <w:ilvl w:val="0"/>
          <w:numId w:val="14"/>
        </w:numPr>
      </w:pPr>
      <w:bookmarkStart w:id="0" w:name="_Toc68334991"/>
      <w:bookmarkStart w:id="1" w:name="_Toc510790651"/>
      <w:bookmarkStart w:id="2" w:name="_Toc5627361"/>
      <w:r w:rsidRPr="00827C60">
        <w:lastRenderedPageBreak/>
        <w:t>Vispārējās ekonomiskās politikas vadlīnijas un mērķi</w:t>
      </w:r>
      <w:bookmarkEnd w:id="0"/>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r>
        <w:rPr>
          <w:lang w:eastAsia="lv-LV"/>
        </w:rPr>
        <w:t>Latvijas</w:t>
      </w:r>
      <w:r w:rsidR="002D7CA8">
        <w:rPr>
          <w:lang w:eastAsia="lv-LV"/>
        </w:rPr>
        <w:t xml:space="preserve"> Stabilitātes programma 2021.-</w:t>
      </w:r>
      <w:r>
        <w:rPr>
          <w:lang w:eastAsia="lv-LV"/>
        </w:rPr>
        <w:t xml:space="preserve">2024. gadam ir izstrādāta vadoties pēc Stabilitātes un izaugsmes pakta ieviešanas nosacījumiem un vadlīnijām, un tiek sagatavota saskaņā ar Eiropas Savienības Padomes 1997. gada 7. jūlija Regulas (EK) Nr. 1466/97 par budžeta stāvokļa uzraudzības un ekonomikas politikas uzraudzības un koordinācijas stiprināšanu prasībām. </w:t>
      </w:r>
    </w:p>
    <w:p w:rsidR="00BF4753" w:rsidRDefault="00BF4753" w:rsidP="00BF4753">
      <w:pPr>
        <w:rPr>
          <w:lang w:eastAsia="lv-LV"/>
        </w:rPr>
      </w:pPr>
      <w:r>
        <w:rPr>
          <w:lang w:eastAsia="lv-LV"/>
        </w:rPr>
        <w:t>Līdzīgi kā iepriekšējā Stabilitātes programma, arī šī tiek sagatavota apstākļos, kad Covid-19 pandēmija joprojām ir ikdienas realitāte gan Latvijā, gan arī visā Eiropas Savienībā un pārejās pasaules valstīs. Salīdzinot ar situāciju pērn uz iepriekšējās Stabilitātes  programmas sagatavošanas brīdi, Latvijā nenoteiktība attiecībā uz turpmākajām ekonomiskās attīstības perspektīvām ir nedaudz mazinājusies, Covid-19 kumulatīvās saslimstības rādītājs valstī turpina samazināties  un tiek īstenota iedzīvotāju vakcinācija pret Covid-19. Tomēr vienlaikus pastāv apstākļi, kas liek saglabāt pieņemtos ekonomisko aktivitāti ierobežojošos pasākumus un iedzīvotāju sociālo distancēšanos – saslimstības pieauguma tendences Eiropas Savienībā kopumā, Covid-19 paveidu izplatības pieaugums sabiedrībā, kā arī risks, ka pašreizējais vakcinācijas temps nepietiekošā vakcīnu daudzuma rezultātā var atpalikt no valsts vakcinācijas plānā paredzētā scenārija.</w:t>
      </w:r>
    </w:p>
    <w:p w:rsidR="00BF4753" w:rsidRDefault="00BF4753" w:rsidP="00BF4753">
      <w:pPr>
        <w:rPr>
          <w:lang w:eastAsia="lv-LV"/>
        </w:rPr>
      </w:pPr>
      <w:r>
        <w:rPr>
          <w:lang w:eastAsia="lv-LV"/>
        </w:rPr>
        <w:t>Ņemot vērā šos riskus, Stabilitātes programmas makroekonomiskās un fiskālās prognozes joprojām ietver augstu nenoteiktību un balstās pieņēmumā, ka tiks sekmīgi īstenots valdības apstiprinātais vakcinācijas plāns</w:t>
      </w:r>
      <w:r w:rsidR="002D7CA8">
        <w:rPr>
          <w:lang w:eastAsia="lv-LV"/>
        </w:rPr>
        <w:t xml:space="preserve">, </w:t>
      </w:r>
      <w:r>
        <w:rPr>
          <w:lang w:eastAsia="lv-LV"/>
        </w:rPr>
        <w:t xml:space="preserve">kas paredz, ka līdz 2021. gada vasaras beigām būs vakcinēti 70% Latvijas iedzīvotāju, līdz ar to atkārtots Covid-19 saslimstības vilnis šī gada rudenī nav sagaidāms, tādējādi ekonomikas atgūšanās sagaidāma ar šī gada trešo ceturksni. Stingri ierobežojumi mazumtirdzniecības nozarē saglabājas līdz februāra beigām, martā-aprīlī tie pakāpeniski tiek mīkstināti, savukārt, sākot ar maiju, nozare darbojas praktiski bez ierobežojumiem. Līdzīgā tempā notiek arī ierobežojumu samazinājums pārējās pakalpojumu nozarēs. Scenārijs paredz būtiskas Eiropas Savienības investīcijas 2021.-2027. gada plānošanas periodā, ņemot vērā paredzamo Eiropas Savienības struktūrfondu, </w:t>
      </w:r>
      <w:r w:rsidRPr="00B21F7A">
        <w:rPr>
          <w:i/>
          <w:lang w:eastAsia="lv-LV"/>
        </w:rPr>
        <w:t>Rail Baltica</w:t>
      </w:r>
      <w:r>
        <w:rPr>
          <w:lang w:eastAsia="lv-LV"/>
        </w:rPr>
        <w:t xml:space="preserve"> un Eiropas Atveseļošanās un noturības mehānisma plānoto finansējumu.</w:t>
      </w:r>
    </w:p>
    <w:p w:rsidR="00BF4753" w:rsidRDefault="00BF4753" w:rsidP="00BF4753">
      <w:pPr>
        <w:rPr>
          <w:lang w:eastAsia="lv-LV"/>
        </w:rPr>
      </w:pPr>
      <w:r>
        <w:rPr>
          <w:lang w:eastAsia="lv-LV"/>
        </w:rPr>
        <w:t xml:space="preserve">Covid-19 izplatības ietekmē Latvijas iekšzemes kopprodukts salīdzināmās cenās pērn samazinājās par 3,6%. Tas bija pirmais iekšzemes kopprodukta samazinājums kopš 2010. gada, taču  ekonomikas kritums pagājušajā gadā izrādījies būtiski mazāks nekā tika prognozēts Covid-19 krīzes sākumā. To noteica gan sekmīgā Covid-19 pirmā uzliesmojuma pārvarēšana 2020. gada </w:t>
      </w:r>
      <w:r>
        <w:rPr>
          <w:lang w:eastAsia="lv-LV"/>
        </w:rPr>
        <w:lastRenderedPageBreak/>
        <w:t xml:space="preserve">pavasarī, gan ekonomikas atbalsta pasākumi un labvēlīgā ekonomikas struktūra, jo ražojošās nozares praktiski nepiedzīvoja izlaides apjomu kritumu. Šogad iekšzemes kopprodukta pieaugums tiek prognozēts 3,0% apmērā, savukārt 2022. gadā tiek prognozēts iekšzemes kopprodukta pieaugums 4,5% apmērā, kas ir attiecīgi par 2 procenta punktiem un 1 procenta punktu vairāk nekā iepriekšējā Stabilitātes programmā.  </w:t>
      </w:r>
    </w:p>
    <w:p w:rsidR="00BF4753" w:rsidRDefault="00BF4753" w:rsidP="00BF4753">
      <w:pPr>
        <w:rPr>
          <w:lang w:eastAsia="lv-LV"/>
        </w:rPr>
      </w:pPr>
      <w:r>
        <w:rPr>
          <w:lang w:eastAsia="lv-LV"/>
        </w:rPr>
        <w:t>Atbilstoši Finanšu ministrijas novērtējumam vispārējās valdības budžeta deficīts 2020. gadā sasniedza 5,4% no iekšzemes kopprodukta, t.sk. Finanšu ministrijas aprēķini norāda, ka Covid-19 atbalsta pasākumu tiešā fiskālā ietekme uz vispārējās valdības budžeta deficītu bija 3,7% no iekšzemes kopprodukta. Vienlaikus aktuālais 2020. gada budžeta deficīta novērtējums ir būtiski labāks nekā iepriekšējās Stabilitātes programmas prognoze, kas bija 9,4% no iekšzemes kopprodukta. Aktualizētās fiskālās prognozes, kas balstās atjaunotajā makroekonomiskās attīstības scenārijā un ietver līdz šā gada 23. martam valdības apstiprinātos atbalsta pasākumus tautsaimniecībai Covid-19 ietekmes mazināšanai, šogad paredz deficītu 9,3% no iekšzemes kopprodukta apmērā, savukārt 2022. gadā tiek prognozēts būtisks deficīta samazinājums līdz 2,7% no iekšzemes kopprodukta.</w:t>
      </w:r>
    </w:p>
    <w:p w:rsidR="00BF4753" w:rsidRDefault="00BF4753" w:rsidP="00BF4753">
      <w:pPr>
        <w:rPr>
          <w:lang w:eastAsia="lv-LV"/>
        </w:rPr>
      </w:pPr>
      <w:r>
        <w:rPr>
          <w:lang w:eastAsia="lv-LV"/>
        </w:rPr>
        <w:t>Sekojot ekonomikas attīstības tendencēm un vispārējās valdības budžeta deficīta būtiskajam pieaugumam, vispārējās valdības parāds 2020. gadā sasniedza 43,5% no iekšzemes kopprodukta, kas ir par 6 procenta punktiem vairāk nekā 2019. gadā, tomēr vienlaikus par vairāk nekā 8 procenta punktiem zemāks nekā iepriekšējās Stabilitātes programmas prognoze. Ņemot vērā, ka arī šogad valdība paredz sniegt pagaidu mērķētu atbalstu tautsaimniecībai un iedzīvotājiem Covid-19 krīzes seku mazināšanai, 2021. gadā tiek prognozēts parāda līmeņa pieaugums līdz 48,9% no iekšzemes kopprodukta, savukārt 2022. gadā pašreizējās prognozes paredz parāda palielinājumu līdz 50,3% no iekšzemes kopprodukta.</w:t>
      </w: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Pr="0047640C" w:rsidRDefault="00BF4753" w:rsidP="00BF4753">
      <w:pPr>
        <w:ind w:firstLine="0"/>
        <w:rPr>
          <w:lang w:eastAsia="lv-LV"/>
        </w:rPr>
      </w:pPr>
    </w:p>
    <w:p w:rsidR="00BF4753" w:rsidRPr="007B0D74" w:rsidRDefault="00BF4753" w:rsidP="00BF4753">
      <w:pPr>
        <w:pStyle w:val="Heading1"/>
        <w:numPr>
          <w:ilvl w:val="0"/>
          <w:numId w:val="14"/>
        </w:numPr>
      </w:pPr>
      <w:bookmarkStart w:id="3" w:name="_Toc68334992"/>
      <w:r w:rsidRPr="00833725">
        <w:lastRenderedPageBreak/>
        <w:t xml:space="preserve">Ekonomiskā </w:t>
      </w:r>
      <w:r w:rsidRPr="00827C60">
        <w:t>situācija</w:t>
      </w:r>
      <w:bookmarkEnd w:id="1"/>
      <w:bookmarkEnd w:id="2"/>
      <w:bookmarkEnd w:id="3"/>
    </w:p>
    <w:p w:rsidR="00BF4753" w:rsidRDefault="00BF4753" w:rsidP="00BF4753">
      <w:pPr>
        <w:pStyle w:val="Heading2"/>
        <w:numPr>
          <w:ilvl w:val="0"/>
          <w:numId w:val="0"/>
        </w:numPr>
        <w:spacing w:before="240" w:after="240"/>
        <w:rPr>
          <w:rFonts w:eastAsia="Times New Roman"/>
          <w:lang w:eastAsia="lv-LV"/>
        </w:rPr>
      </w:pPr>
      <w:bookmarkStart w:id="4" w:name="_Toc68334993"/>
      <w:r w:rsidRPr="00A66F3B">
        <w:rPr>
          <w:rFonts w:eastAsia="Times New Roman"/>
          <w:lang w:eastAsia="lv-LV"/>
        </w:rPr>
        <w:t>2.1. Ārējā ekonomiskā vide</w:t>
      </w:r>
      <w:bookmarkEnd w:id="4"/>
    </w:p>
    <w:p w:rsidR="00BF4753" w:rsidRPr="00AF3957" w:rsidRDefault="00BF4753" w:rsidP="00BF4753">
      <w:pPr>
        <w:ind w:firstLine="578"/>
        <w:rPr>
          <w:rFonts w:cs="Times New Roman"/>
          <w:szCs w:val="20"/>
        </w:rPr>
      </w:pPr>
      <w:bookmarkStart w:id="5" w:name="_Toc479331083"/>
      <w:bookmarkStart w:id="6" w:name="_Toc510790653"/>
      <w:r w:rsidRPr="00AF3957">
        <w:rPr>
          <w:rFonts w:cs="Times New Roman"/>
          <w:szCs w:val="20"/>
        </w:rPr>
        <w:t>Pasaules ekonomika Covid-19 pandēmijas izraisītajā krīzē pagājušajā gadā piedzīvoja 3,5% kritumu, kas tomēr bija mazāks, nekā sākotnēji sagaidīts, un šogad ir gaidāma ekonomiskās izaugsmes atjaunošanās, kas pēc S</w:t>
      </w:r>
      <w:r>
        <w:rPr>
          <w:rFonts w:cs="Times New Roman"/>
          <w:szCs w:val="20"/>
        </w:rPr>
        <w:t>tarptautiskā Valūtas fonda</w:t>
      </w:r>
      <w:r w:rsidRPr="00AF3957">
        <w:rPr>
          <w:rFonts w:cs="Times New Roman"/>
          <w:szCs w:val="20"/>
        </w:rPr>
        <w:t xml:space="preserve"> prognozēm varētu sasniegt 5,5%. Atšķirībā no visām iepriekšējām krīzēm, kuru pamatā bija makroekonomiskās nesabalansētības un kuru pārvarēšana prasīja vairākus gadus, 2020.</w:t>
      </w:r>
      <w:r>
        <w:rPr>
          <w:rFonts w:cs="Times New Roman"/>
          <w:szCs w:val="20"/>
        </w:rPr>
        <w:t xml:space="preserve"> </w:t>
      </w:r>
      <w:r w:rsidRPr="00AF3957">
        <w:rPr>
          <w:rFonts w:cs="Times New Roman"/>
          <w:szCs w:val="20"/>
        </w:rPr>
        <w:t>gada krīze bija vīrusa slimības izraisīts izlaides apjomu samazinājums, kuru pārvarot ekonomikas izaugsmei ir visas iespējas strauji atjaunoties.</w:t>
      </w:r>
    </w:p>
    <w:p w:rsidR="00BF4753" w:rsidRPr="00AF3957" w:rsidRDefault="00BF4753" w:rsidP="00BF4753">
      <w:pPr>
        <w:ind w:firstLine="578"/>
        <w:rPr>
          <w:rFonts w:cs="Times New Roman"/>
          <w:szCs w:val="20"/>
        </w:rPr>
      </w:pPr>
      <w:r w:rsidRPr="00AF3957">
        <w:rPr>
          <w:rFonts w:cs="Times New Roman"/>
          <w:szCs w:val="20"/>
        </w:rPr>
        <w:t>Jau visu pagājušā gada otro pusi pasaules ekonomiskās attīstības prognozes tika</w:t>
      </w:r>
      <w:r>
        <w:rPr>
          <w:rFonts w:cs="Times New Roman"/>
          <w:szCs w:val="20"/>
        </w:rPr>
        <w:t xml:space="preserve"> pakāpeniski uzlabotas un arī šī</w:t>
      </w:r>
      <w:r w:rsidRPr="00AF3957">
        <w:rPr>
          <w:rFonts w:cs="Times New Roman"/>
          <w:szCs w:val="20"/>
        </w:rPr>
        <w:t xml:space="preserve"> gada janvārī S</w:t>
      </w:r>
      <w:r>
        <w:rPr>
          <w:rFonts w:cs="Times New Roman"/>
          <w:szCs w:val="20"/>
        </w:rPr>
        <w:t>tarptautiskā Valūtas fonda</w:t>
      </w:r>
      <w:r w:rsidRPr="00AF3957">
        <w:rPr>
          <w:rFonts w:cs="Times New Roman"/>
          <w:szCs w:val="20"/>
        </w:rPr>
        <w:t xml:space="preserve"> globālās izaugsmes prognozi 2021.</w:t>
      </w:r>
      <w:r>
        <w:rPr>
          <w:rFonts w:cs="Times New Roman"/>
          <w:szCs w:val="20"/>
        </w:rPr>
        <w:t xml:space="preserve"> </w:t>
      </w:r>
      <w:r w:rsidRPr="00AF3957">
        <w:rPr>
          <w:rFonts w:cs="Times New Roman"/>
          <w:szCs w:val="20"/>
        </w:rPr>
        <w:t>gadam paaugstināja par 0,3 procentpunktiem salīdzinājumā ar pagājušā gada oktobra prognozi. Šis uzlabojums ietver gan būtiski s</w:t>
      </w:r>
      <w:r>
        <w:rPr>
          <w:rFonts w:cs="Times New Roman"/>
          <w:szCs w:val="20"/>
        </w:rPr>
        <w:t>traujāku ekonomikas izaugsmi Amerikas Savienotajās Valstīs</w:t>
      </w:r>
      <w:r w:rsidRPr="00AF3957">
        <w:rPr>
          <w:rFonts w:cs="Times New Roman"/>
          <w:szCs w:val="20"/>
        </w:rPr>
        <w:t>, kā arī nedaudz straujāku izaugsmi attīstības valstīs, kamēr eirozonas ekonomiskās izaugsmes prognoze 2021.</w:t>
      </w:r>
      <w:r>
        <w:rPr>
          <w:rFonts w:cs="Times New Roman"/>
          <w:szCs w:val="20"/>
        </w:rPr>
        <w:t xml:space="preserve"> </w:t>
      </w:r>
      <w:r w:rsidRPr="00AF3957">
        <w:rPr>
          <w:rFonts w:cs="Times New Roman"/>
          <w:szCs w:val="20"/>
        </w:rPr>
        <w:t>gadam ir pazemināta.</w:t>
      </w:r>
    </w:p>
    <w:p w:rsidR="00BF4753" w:rsidRPr="00AF3957" w:rsidRDefault="00BF4753" w:rsidP="00BF4753">
      <w:pPr>
        <w:ind w:firstLine="578"/>
        <w:rPr>
          <w:rFonts w:cs="Times New Roman"/>
          <w:szCs w:val="20"/>
        </w:rPr>
      </w:pPr>
      <w:r>
        <w:rPr>
          <w:rFonts w:cs="Times New Roman"/>
          <w:szCs w:val="20"/>
        </w:rPr>
        <w:t>Amerikas Savienoto Valstu</w:t>
      </w:r>
      <w:r w:rsidRPr="00AF3957">
        <w:rPr>
          <w:rFonts w:cs="Times New Roman"/>
          <w:szCs w:val="20"/>
        </w:rPr>
        <w:t xml:space="preserve"> ekonomika pēc 3,4% krituma pagājušajā gadā šogad varētu pieaugt par 5,1%, kas ir par diviem procentpunktiem vairāk nekā S</w:t>
      </w:r>
      <w:r>
        <w:rPr>
          <w:rFonts w:cs="Times New Roman"/>
          <w:szCs w:val="20"/>
        </w:rPr>
        <w:t>tarptautiskais Valūtas fonds</w:t>
      </w:r>
      <w:r w:rsidRPr="00AF3957">
        <w:rPr>
          <w:rFonts w:cs="Times New Roman"/>
          <w:szCs w:val="20"/>
        </w:rPr>
        <w:t xml:space="preserve"> prognozēja pagājušā gada oktobrī. Savukārt attīstības valstu ekonomiskās izaugsmes prognoze 2021.</w:t>
      </w:r>
      <w:r>
        <w:rPr>
          <w:rFonts w:cs="Times New Roman"/>
          <w:szCs w:val="20"/>
        </w:rPr>
        <w:t xml:space="preserve"> </w:t>
      </w:r>
      <w:r w:rsidRPr="00AF3957">
        <w:rPr>
          <w:rFonts w:cs="Times New Roman"/>
          <w:szCs w:val="20"/>
        </w:rPr>
        <w:t>gadam ir paaugstināta par 0,3 procentpunktiem līdz 6,3%.</w:t>
      </w:r>
    </w:p>
    <w:p w:rsidR="00BF4753" w:rsidRPr="00AF3957" w:rsidRDefault="00BF4753" w:rsidP="00BF4753">
      <w:pPr>
        <w:ind w:firstLine="578"/>
        <w:rPr>
          <w:rFonts w:cs="Times New Roman"/>
          <w:szCs w:val="20"/>
        </w:rPr>
      </w:pPr>
      <w:r w:rsidRPr="00AF3957">
        <w:rPr>
          <w:rFonts w:cs="Times New Roman"/>
          <w:szCs w:val="20"/>
        </w:rPr>
        <w:t>Eiropas Savienībai un eirozonai, kas ir galvenais Latvijas eksporta tirgus, prognozes šim gadam pēdējo mēnešu laikā tiek samazinātas, ko nosaka gan augstāka Covid-19 izplatība, gan zemāki iedzīvotāju vakcinācijas tempi, kas nozīmē lēnāku ierobežojumu atcelšanu un zemākus ekonomiskās izaugsmes atjaunošanās tempus. S</w:t>
      </w:r>
      <w:r>
        <w:rPr>
          <w:rFonts w:cs="Times New Roman"/>
          <w:szCs w:val="20"/>
        </w:rPr>
        <w:t>tarptautiskais Valūtas fonds</w:t>
      </w:r>
      <w:r w:rsidRPr="00AF3957">
        <w:rPr>
          <w:rFonts w:cs="Times New Roman"/>
          <w:szCs w:val="20"/>
        </w:rPr>
        <w:t xml:space="preserve"> savās janvāra prognozēs samazināja eirozonas izaugsmes prognozi 2021.</w:t>
      </w:r>
      <w:r>
        <w:rPr>
          <w:rFonts w:cs="Times New Roman"/>
          <w:szCs w:val="20"/>
        </w:rPr>
        <w:t xml:space="preserve"> </w:t>
      </w:r>
      <w:r w:rsidRPr="00AF3957">
        <w:rPr>
          <w:rFonts w:cs="Times New Roman"/>
          <w:szCs w:val="20"/>
        </w:rPr>
        <w:t xml:space="preserve">gadam par vienu procentpunktu līdz </w:t>
      </w:r>
      <w:r>
        <w:rPr>
          <w:rFonts w:cs="Times New Roman"/>
          <w:szCs w:val="20"/>
        </w:rPr>
        <w:t>4,2%, bet Eiropas Komisijas</w:t>
      </w:r>
      <w:r w:rsidRPr="00AF3957">
        <w:rPr>
          <w:rFonts w:cs="Times New Roman"/>
          <w:szCs w:val="20"/>
        </w:rPr>
        <w:t xml:space="preserve"> februāra prognozēs paredz 0,4 procentpunktu samazinājumu līdz 3,8%. Ekonomiskās sadarbības un attīstības organizācija (OECD) šā gada martā publiskotajās prognozēs eirozonai paredz 3,9% izaugsmi. Pēdējo nedēļu laikā par prognožu samazināšanu ziņojušas arī atsevišķas Eiropas valstis, tajā skaitā eirozonas lielākās valsts Vācijas valdības ekonomikas konsultējošā padome pazeminājusi 2021.</w:t>
      </w:r>
      <w:r>
        <w:rPr>
          <w:rFonts w:cs="Times New Roman"/>
          <w:szCs w:val="20"/>
        </w:rPr>
        <w:t xml:space="preserve"> </w:t>
      </w:r>
      <w:r w:rsidRPr="00AF3957">
        <w:rPr>
          <w:rFonts w:cs="Times New Roman"/>
          <w:szCs w:val="20"/>
        </w:rPr>
        <w:t>gada izaugsmes prognozi no 3,7% līdz 3,1%.</w:t>
      </w:r>
    </w:p>
    <w:p w:rsidR="00BF4753" w:rsidRPr="00AF3957" w:rsidRDefault="00BF4753" w:rsidP="00BF4753">
      <w:pPr>
        <w:ind w:firstLine="578"/>
        <w:rPr>
          <w:rFonts w:cs="Times New Roman"/>
          <w:szCs w:val="20"/>
        </w:rPr>
      </w:pPr>
      <w:r w:rsidRPr="00AF3957">
        <w:rPr>
          <w:rFonts w:cs="Times New Roman"/>
          <w:szCs w:val="20"/>
        </w:rPr>
        <w:t>Latvijas desmit lielākajām ārējās tirdzniecības partnervalstīm vidējā svērtā izaugsmes prognoze 2021.</w:t>
      </w:r>
      <w:r>
        <w:rPr>
          <w:rFonts w:cs="Times New Roman"/>
          <w:szCs w:val="20"/>
        </w:rPr>
        <w:t xml:space="preserve"> </w:t>
      </w:r>
      <w:r w:rsidRPr="00AF3957">
        <w:rPr>
          <w:rFonts w:cs="Times New Roman"/>
          <w:szCs w:val="20"/>
        </w:rPr>
        <w:t>gadam</w:t>
      </w:r>
      <w:r>
        <w:rPr>
          <w:rFonts w:cs="Times New Roman"/>
          <w:szCs w:val="20"/>
        </w:rPr>
        <w:t>, atbilstoši Eiropas Komisijas</w:t>
      </w:r>
      <w:r w:rsidRPr="00AF3957">
        <w:rPr>
          <w:rFonts w:cs="Times New Roman"/>
          <w:szCs w:val="20"/>
        </w:rPr>
        <w:t xml:space="preserve"> jaunākajām ekonomikas prognozēm, ir 2,8%, kas ir par 0,6 procentp</w:t>
      </w:r>
      <w:r>
        <w:rPr>
          <w:rFonts w:cs="Times New Roman"/>
          <w:szCs w:val="20"/>
        </w:rPr>
        <w:t>unktiem mazāk nekā atbilstoši Eiropas Komisijas</w:t>
      </w:r>
      <w:r w:rsidRPr="00AF3957">
        <w:rPr>
          <w:rFonts w:cs="Times New Roman"/>
          <w:szCs w:val="20"/>
        </w:rPr>
        <w:t xml:space="preserve"> pagājušā gada novembra prognozēm. Abām </w:t>
      </w:r>
      <w:r w:rsidRPr="00AF3957">
        <w:rPr>
          <w:rFonts w:cs="Times New Roman"/>
          <w:szCs w:val="20"/>
        </w:rPr>
        <w:lastRenderedPageBreak/>
        <w:t>lielākajām Latvijas ārējās tirdzniecības partnervalstīm Lietuvai un Igaunijai izaugsmes prognoze 2021.</w:t>
      </w:r>
      <w:r>
        <w:rPr>
          <w:rFonts w:cs="Times New Roman"/>
          <w:szCs w:val="20"/>
        </w:rPr>
        <w:t xml:space="preserve"> </w:t>
      </w:r>
      <w:r w:rsidRPr="00AF3957">
        <w:rPr>
          <w:rFonts w:cs="Times New Roman"/>
          <w:szCs w:val="20"/>
        </w:rPr>
        <w:t>gadam ir pazemināta par 0,8 procentpunktiem līdz attiecīgi 2,2% un 2,9%. Šeit gan jāpiemin, ka ekonomiskās izaugsmes kritums Latvijas galvenajās tirdzniecības partnervalstīs pērn bija būtiski mazāks nekā prognozēts un arī būtiski mazāks nekā eirozonā kopumā, kas arī lielā mērā nosaka zemāku izaugsmes tempu šogad.</w:t>
      </w:r>
    </w:p>
    <w:p w:rsidR="00BF4753" w:rsidRPr="00AF3957" w:rsidRDefault="00BF4753" w:rsidP="00BF4753">
      <w:pPr>
        <w:ind w:firstLine="578"/>
        <w:rPr>
          <w:rFonts w:cs="Times New Roman"/>
          <w:szCs w:val="20"/>
        </w:rPr>
      </w:pPr>
      <w:r w:rsidRPr="00AF3957">
        <w:rPr>
          <w:rFonts w:cs="Times New Roman"/>
          <w:szCs w:val="20"/>
        </w:rPr>
        <w:t xml:space="preserve">Pagājušajā gadā desmit lielāko Latvijas ārējās tirdzniecības partnervalstu ekonomika kritās par 3,3%, kamēr eirozonas valstīs kritums bija 6,6%. Līdzīgi arī lielākajās partnervalstīs Lietuvā, Igaunijā, Polijā, Dānijā un Zviedrijā ekonomikas kritums bija starp mazākajiem Eiropā. </w:t>
      </w:r>
    </w:p>
    <w:p w:rsidR="00BF4753" w:rsidRPr="00AF3957" w:rsidRDefault="00BF4753" w:rsidP="00BF4753">
      <w:pPr>
        <w:ind w:firstLine="578"/>
        <w:rPr>
          <w:rFonts w:cs="Times New Roman"/>
          <w:szCs w:val="20"/>
        </w:rPr>
      </w:pPr>
      <w:r w:rsidRPr="00AF3957">
        <w:rPr>
          <w:rFonts w:cs="Times New Roman"/>
          <w:szCs w:val="20"/>
        </w:rPr>
        <w:t>Pastāvot ļoti augstai nenoteiktībai par Covid-19 ierobežošanai nepieciešamo laiku, vakcinācijas tempiem un jauniem slimības uzliesmojumiem un mutācijām, gan pasaules, gan Latvijas galveno eksporta partnervalstu ekonomiskās attīstības prognozes visa pēdējā gada laikā ir piedzīvojušas visai krasas korekcijas un ar prognožu izmaiņām jārēķinās arī turpmāk. Latvijas makroekonomisko rādītāju prognozes tika izstrādātas februāra sākumā, ņemot vērā tajā brīdī pieejamo informāciju un prognozes par pasaules ekonomikas attīstību un situāciju Latvijas galvenajās ārējās tirdzniecības partnervalstīs.</w:t>
      </w:r>
    </w:p>
    <w:p w:rsidR="00BF4753" w:rsidRPr="00BD2805" w:rsidRDefault="00BF4753" w:rsidP="00BF4753">
      <w:pPr>
        <w:ind w:firstLine="578"/>
        <w:rPr>
          <w:rFonts w:cs="Times New Roman"/>
          <w:sz w:val="24"/>
          <w:szCs w:val="20"/>
        </w:rPr>
      </w:pPr>
    </w:p>
    <w:p w:rsidR="00BF4753" w:rsidRPr="00BD2805" w:rsidRDefault="00BF4753" w:rsidP="00BF4753">
      <w:pPr>
        <w:ind w:firstLine="578"/>
        <w:rPr>
          <w:rFonts w:cs="Times New Roman"/>
          <w:sz w:val="24"/>
          <w:szCs w:val="20"/>
        </w:rPr>
      </w:pPr>
      <w:r w:rsidRPr="00BD2805">
        <w:rPr>
          <w:rFonts w:cs="Times New Roman"/>
          <w:sz w:val="24"/>
          <w:szCs w:val="20"/>
        </w:rPr>
        <w:t xml:space="preserve"> </w:t>
      </w:r>
      <w:r w:rsidRPr="00BD2805">
        <w:rPr>
          <w:noProof/>
          <w:lang w:eastAsia="lv-LV"/>
        </w:rPr>
        <w:drawing>
          <wp:inline distT="0" distB="0" distL="0" distR="0" wp14:anchorId="6680F02C" wp14:editId="7B8AB839">
            <wp:extent cx="5274310" cy="3402965"/>
            <wp:effectExtent l="0" t="0" r="2540" b="698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F4753" w:rsidRPr="00CC3EAE" w:rsidRDefault="00BF4753" w:rsidP="00BF4753">
      <w:pPr>
        <w:jc w:val="center"/>
        <w:rPr>
          <w:rFonts w:cs="Times New Roman"/>
          <w:b/>
          <w:i/>
          <w:sz w:val="24"/>
          <w:szCs w:val="20"/>
        </w:rPr>
      </w:pPr>
      <w:r w:rsidRPr="00CC3EAE">
        <w:rPr>
          <w:rFonts w:cs="Times New Roman"/>
          <w:b/>
          <w:i/>
          <w:sz w:val="24"/>
          <w:szCs w:val="20"/>
        </w:rPr>
        <w:t>2.</w:t>
      </w:r>
      <w:r>
        <w:rPr>
          <w:rFonts w:cs="Times New Roman"/>
          <w:b/>
          <w:i/>
          <w:sz w:val="24"/>
          <w:szCs w:val="20"/>
        </w:rPr>
        <w:t xml:space="preserve">1. </w:t>
      </w:r>
      <w:r w:rsidRPr="00CC3EAE">
        <w:rPr>
          <w:rFonts w:cs="Times New Roman"/>
          <w:b/>
          <w:i/>
          <w:sz w:val="24"/>
          <w:szCs w:val="20"/>
        </w:rPr>
        <w:t>att. iekšzemes kopprodukta pieaugums Eiropas Savienības valstīs, %</w:t>
      </w:r>
    </w:p>
    <w:p w:rsidR="00BF4753" w:rsidRPr="00BD2805" w:rsidRDefault="00BF4753" w:rsidP="00BF4753">
      <w:pPr>
        <w:ind w:firstLine="578"/>
        <w:rPr>
          <w:rFonts w:cs="Times New Roman"/>
          <w:b/>
          <w:sz w:val="24"/>
          <w:szCs w:val="20"/>
        </w:rPr>
      </w:pPr>
    </w:p>
    <w:p w:rsidR="00BF4753" w:rsidRPr="00E53059" w:rsidRDefault="00BF4753" w:rsidP="00BF4753">
      <w:pPr>
        <w:ind w:firstLine="578"/>
        <w:rPr>
          <w:rFonts w:cs="Times New Roman"/>
          <w:szCs w:val="20"/>
        </w:rPr>
      </w:pPr>
      <w:r w:rsidRPr="00AF3957">
        <w:rPr>
          <w:rFonts w:cs="Times New Roman"/>
          <w:szCs w:val="20"/>
        </w:rPr>
        <w:t>Līdz ar ekonomikas atgūšanos no Covid-19 krīzes 2021.</w:t>
      </w:r>
      <w:r>
        <w:rPr>
          <w:rFonts w:cs="Times New Roman"/>
          <w:szCs w:val="20"/>
        </w:rPr>
        <w:t xml:space="preserve"> </w:t>
      </w:r>
      <w:r w:rsidRPr="00AF3957">
        <w:rPr>
          <w:rFonts w:cs="Times New Roman"/>
          <w:szCs w:val="20"/>
        </w:rPr>
        <w:t>gadā sagaidāms straujāks patēriņa cenu pieaugums un inflācijas līmenis pasaules attīstītajās valstīs kopumā, pēc S</w:t>
      </w:r>
      <w:r>
        <w:rPr>
          <w:rFonts w:cs="Times New Roman"/>
          <w:szCs w:val="20"/>
        </w:rPr>
        <w:t>tarptautiskā Valūtas fonda</w:t>
      </w:r>
      <w:r w:rsidRPr="00AF3957">
        <w:rPr>
          <w:rFonts w:cs="Times New Roman"/>
          <w:szCs w:val="20"/>
        </w:rPr>
        <w:t xml:space="preserve"> prognozēm, var paaugstināties no 0,7% pagājušajā gadā līdz 1,3% šogad. Inflācija eirozonā, atbilstoši </w:t>
      </w:r>
      <w:r>
        <w:rPr>
          <w:rFonts w:cs="Times New Roman"/>
          <w:szCs w:val="20"/>
        </w:rPr>
        <w:t>Eiropas Komisijas</w:t>
      </w:r>
      <w:r w:rsidRPr="00AF3957">
        <w:rPr>
          <w:rFonts w:cs="Times New Roman"/>
          <w:szCs w:val="20"/>
        </w:rPr>
        <w:t xml:space="preserve"> </w:t>
      </w:r>
      <w:r w:rsidRPr="00AF3957">
        <w:rPr>
          <w:rFonts w:cs="Times New Roman"/>
          <w:szCs w:val="20"/>
        </w:rPr>
        <w:lastRenderedPageBreak/>
        <w:t>prognozēm, attiecīgi pieaugs no 0,3% līdz 1,4%. Ekonomikas stimulēšanas pasākumi, gan centrālajām bankām pazeminot procentu likmes, gan iegādājoties vērtspapīrus, kā arī valdībām sniedzot finansiālu atbalstu iedzīvotājiem, līdz ar ekonomikas izaugsmi var veicināt arī straujāku cenu pieaugumu. Cenu izmaiņas var ietekmēt arī augstā nestabilitāte finanšu tirgos, kur pēc krasā krituma Covid</w:t>
      </w:r>
      <w:r>
        <w:rPr>
          <w:rFonts w:cs="Times New Roman"/>
          <w:szCs w:val="20"/>
        </w:rPr>
        <w:t>-19</w:t>
      </w:r>
      <w:r w:rsidRPr="00AF3957">
        <w:rPr>
          <w:rFonts w:cs="Times New Roman"/>
          <w:szCs w:val="20"/>
        </w:rPr>
        <w:t xml:space="preserve"> krīzes sākumā akciju cenas jau gadu strauji pieaug, bet straujāks naftas un citu izejvielu preču cenu pieaugums iezīmējās pagājušā gada rudenī. 2021.</w:t>
      </w:r>
      <w:r>
        <w:rPr>
          <w:rFonts w:cs="Times New Roman"/>
          <w:szCs w:val="20"/>
        </w:rPr>
        <w:t xml:space="preserve"> </w:t>
      </w:r>
      <w:r w:rsidRPr="00AF3957">
        <w:rPr>
          <w:rFonts w:cs="Times New Roman"/>
          <w:szCs w:val="20"/>
        </w:rPr>
        <w:t xml:space="preserve">gada laikā </w:t>
      </w:r>
      <w:r w:rsidRPr="00AF3957">
        <w:rPr>
          <w:rFonts w:cs="Times New Roman"/>
          <w:i/>
          <w:szCs w:val="20"/>
        </w:rPr>
        <w:t>Brent</w:t>
      </w:r>
      <w:r w:rsidRPr="00AF3957">
        <w:rPr>
          <w:rFonts w:cs="Times New Roman"/>
          <w:szCs w:val="20"/>
        </w:rPr>
        <w:t xml:space="preserve"> jēlnaftas cena ir palielinājusies vairāk ne</w:t>
      </w:r>
      <w:r>
        <w:rPr>
          <w:rFonts w:cs="Times New Roman"/>
          <w:szCs w:val="20"/>
        </w:rPr>
        <w:t>kā par 25%, pietuvojoties 70 Amerikas Savienoto Valstu</w:t>
      </w:r>
      <w:r w:rsidRPr="00AF3957">
        <w:rPr>
          <w:rFonts w:cs="Times New Roman"/>
          <w:szCs w:val="20"/>
        </w:rPr>
        <w:t xml:space="preserve"> dolāriem par barelu un jau pārsniedzot pirms Covid</w:t>
      </w:r>
      <w:r>
        <w:rPr>
          <w:rFonts w:cs="Times New Roman"/>
          <w:szCs w:val="20"/>
        </w:rPr>
        <w:t>-19</w:t>
      </w:r>
      <w:r w:rsidRPr="00AF3957">
        <w:rPr>
          <w:rFonts w:cs="Times New Roman"/>
          <w:szCs w:val="20"/>
        </w:rPr>
        <w:t xml:space="preserve"> laika līmeni.</w:t>
      </w:r>
    </w:p>
    <w:p w:rsidR="00BF4753" w:rsidRPr="00AF3957" w:rsidRDefault="00BF4753" w:rsidP="00BF4753">
      <w:pPr>
        <w:pStyle w:val="Heading2"/>
        <w:numPr>
          <w:ilvl w:val="1"/>
          <w:numId w:val="14"/>
        </w:numPr>
        <w:spacing w:before="240" w:after="240"/>
        <w:ind w:left="0" w:firstLine="0"/>
      </w:pPr>
      <w:bookmarkStart w:id="7" w:name="_Toc38637019"/>
      <w:bookmarkStart w:id="8" w:name="_Toc68334994"/>
      <w:bookmarkEnd w:id="5"/>
      <w:bookmarkEnd w:id="6"/>
      <w:r w:rsidRPr="00AF3957">
        <w:t>Pašreizējā ekonomiskā attīstība</w:t>
      </w:r>
      <w:bookmarkEnd w:id="7"/>
      <w:bookmarkEnd w:id="8"/>
    </w:p>
    <w:p w:rsidR="00BF4753" w:rsidRPr="00E53059" w:rsidRDefault="00BF4753" w:rsidP="00BF4753">
      <w:pPr>
        <w:rPr>
          <w:rFonts w:cs="Times New Roman"/>
          <w:szCs w:val="28"/>
          <w:shd w:val="clear" w:color="auto" w:fill="FFFFFF"/>
        </w:rPr>
      </w:pPr>
      <w:r w:rsidRPr="00E53059">
        <w:rPr>
          <w:rFonts w:cs="Times New Roman"/>
          <w:szCs w:val="28"/>
        </w:rPr>
        <w:t xml:space="preserve">Covid-19 slimības izplatības ietekmē Latvijas iekšzemes kopprodukts salīdzināmās cenās pērn samazinājās par 3,6%. Tas ir pirmais </w:t>
      </w:r>
      <w:r>
        <w:rPr>
          <w:rFonts w:cs="Times New Roman"/>
          <w:szCs w:val="28"/>
        </w:rPr>
        <w:t>iekšzemes kopprodukta</w:t>
      </w:r>
      <w:r w:rsidRPr="00E53059">
        <w:rPr>
          <w:rFonts w:cs="Times New Roman"/>
          <w:szCs w:val="28"/>
        </w:rPr>
        <w:t xml:space="preserve"> sarukums kopš 2010. gada, taču  </w:t>
      </w:r>
      <w:r w:rsidRPr="00E53059">
        <w:rPr>
          <w:rFonts w:cs="Times New Roman"/>
          <w:szCs w:val="28"/>
          <w:shd w:val="clear" w:color="auto" w:fill="FFFFFF"/>
        </w:rPr>
        <w:t xml:space="preserve">ekonomikas kritums pagājušajā gadā izrādījies būtiski mazāks nekā tika prognozēts Covid-19 krīzes sākumā. To noteica gan visai veiksmīgā slimības pirmā uzliesmojuma pārvarēšana 2020. gada pavasarī, gan ekonomikas atbalsta pasākumi un labvēlīgā ekonomikas struktūra, kad ražojošās nozares praktiski nepiedzīvoja izlaides apjomu kritumu. Valdības apstiprinātais atbalsta apjoms Covid-19 seku mazināšanai 2020. </w:t>
      </w:r>
      <w:r>
        <w:rPr>
          <w:rFonts w:cs="Times New Roman"/>
          <w:szCs w:val="28"/>
          <w:shd w:val="clear" w:color="auto" w:fill="FFFFFF"/>
        </w:rPr>
        <w:t xml:space="preserve">gadā bija 1,3 mljrd. </w:t>
      </w:r>
      <w:r w:rsidRPr="00E53059">
        <w:rPr>
          <w:rFonts w:cs="Times New Roman"/>
          <w:i/>
          <w:szCs w:val="28"/>
          <w:shd w:val="clear" w:color="auto" w:fill="FFFFFF"/>
        </w:rPr>
        <w:t>euro</w:t>
      </w:r>
      <w:r w:rsidRPr="00E53059">
        <w:rPr>
          <w:rFonts w:cs="Times New Roman"/>
          <w:szCs w:val="28"/>
          <w:shd w:val="clear" w:color="auto" w:fill="FFFFFF"/>
        </w:rPr>
        <w:t xml:space="preserve"> (4,5% no </w:t>
      </w:r>
      <w:r>
        <w:rPr>
          <w:rFonts w:cs="Times New Roman"/>
          <w:szCs w:val="28"/>
        </w:rPr>
        <w:t>iekšzemes kopprodukta</w:t>
      </w:r>
      <w:r w:rsidRPr="00E53059">
        <w:rPr>
          <w:rFonts w:cs="Times New Roman"/>
          <w:szCs w:val="28"/>
          <w:shd w:val="clear" w:color="auto" w:fill="FFFFFF"/>
        </w:rPr>
        <w:t>), kas bija ievērojams atbalsts gan uzņēmumiem, gan strādājošajiem.</w:t>
      </w:r>
    </w:p>
    <w:p w:rsidR="00660ED9" w:rsidRPr="00E53059" w:rsidRDefault="00BF4753" w:rsidP="00437D0F">
      <w:pPr>
        <w:rPr>
          <w:rFonts w:cs="Times New Roman"/>
          <w:szCs w:val="28"/>
          <w:shd w:val="clear" w:color="auto" w:fill="FFFFFF"/>
        </w:rPr>
      </w:pPr>
      <w:r w:rsidRPr="00E53059">
        <w:rPr>
          <w:rFonts w:cs="Times New Roman"/>
          <w:szCs w:val="28"/>
          <w:shd w:val="clear" w:color="auto" w:fill="FFFFFF"/>
        </w:rPr>
        <w:t xml:space="preserve">Covid-19 jeb vīrusa izplatības ierobežošanai ieviestie drošības pasākumi visbūtiskāk skāra pakalpojumu nozares – transporta un uzglabāšanas pakalpojumus, izmitināšanas un ēdināšanas pakalpojumus, kā arī mākslu, izklaidi un atpūtu. Šīs nozares pērn uzrādījušas straujākos pievienotās vērtības kritumus un noteikušas ekonomikas kopējo sarukumu, kamēr ražojošās nozares 2020. gadā spējušas sasniegt pat nelielu pieaugumu. No izlietojuma puses Covid-19 krīze pērn vistiešāk atspoguļojusies iekšzemes pieprasījuma kritumā, ko ietekmēja gan Covid-19 kontroles pasākumi, kuri ierobežoja ekonomisko aktivitāti ar privāto patēriņu saistītajās nozarēs, gan iedzīvotāju piesardzība un nedrošība par savu finansiālo stāvokli. Līdz ar to privātais patēriņš pērn uzrādījis ļoti strauju kritumu - par 10%. Tikmēr eksports pagājušajā gadā, salīdzinot ar 2019. gadu, samazinājās par 2,7%, ko noteica straujš pakalpojumu eksporta sarukums, savukārt preču eksporta kāpumu pērn spēja noturēt augošie lauksaimniecības un pārtikas preču eksporta, kā arī mehānismu un elektroierīču reeksporta apjomi. Preču un pakalpojumu imports 2020. gadā samazinājās vēl straujāk – par 3,3%, tādējādi ārējās tirdzniecības izmaiņu ietekme uz kopējo ekonomikas izaugsmi pērn bijusi pozitīva. Tajā pašā laikā sabiedriskais patēriņš pērn palielinājās par 2,6% un arī </w:t>
      </w:r>
      <w:r w:rsidRPr="00E53059">
        <w:rPr>
          <w:rFonts w:cs="Times New Roman"/>
          <w:szCs w:val="28"/>
          <w:shd w:val="clear" w:color="auto" w:fill="FFFFFF"/>
        </w:rPr>
        <w:lastRenderedPageBreak/>
        <w:t>investīcijās saglabājies neliels pieaugums, salīdzinājumā ar 2019. gadu ieguldījumiem bruto pamatkapitāla palielinoties par 0,2%.</w:t>
      </w:r>
    </w:p>
    <w:p w:rsidR="00BF4753" w:rsidRPr="00E53059" w:rsidRDefault="00BF4753" w:rsidP="00437D0F">
      <w:pPr>
        <w:pStyle w:val="H4"/>
        <w:ind w:left="0" w:firstLine="720"/>
        <w:jc w:val="both"/>
        <w:rPr>
          <w:rFonts w:ascii="Times New Roman" w:hAnsi="Times New Roman"/>
          <w:i/>
          <w:szCs w:val="28"/>
        </w:rPr>
      </w:pPr>
      <w:r w:rsidRPr="00E53059">
        <w:rPr>
          <w:rFonts w:ascii="Times New Roman" w:hAnsi="Times New Roman"/>
          <w:i/>
          <w:szCs w:val="28"/>
        </w:rPr>
        <w:t xml:space="preserve">Nozaru attīstība </w:t>
      </w:r>
    </w:p>
    <w:p w:rsidR="00BF4753" w:rsidRPr="00E53059" w:rsidRDefault="00BF4753" w:rsidP="00BF4753">
      <w:pPr>
        <w:rPr>
          <w:rFonts w:cs="Times New Roman"/>
          <w:szCs w:val="28"/>
        </w:rPr>
      </w:pPr>
      <w:r w:rsidRPr="00E53059">
        <w:rPr>
          <w:rFonts w:cs="Times New Roman"/>
          <w:b/>
          <w:szCs w:val="28"/>
        </w:rPr>
        <w:t xml:space="preserve">Transporta un uzglabāšanas nozare </w:t>
      </w:r>
      <w:r w:rsidRPr="00E53059">
        <w:rPr>
          <w:rFonts w:cs="Times New Roman"/>
          <w:szCs w:val="28"/>
        </w:rPr>
        <w:t xml:space="preserve">2020. gadā bija viena no Covid-19 krīzes vissmagāk skartajām nozarēm, kuras darbību vēl papildus negatīvi ietekmēja Krievijas kravu tranzīta samazināšana caur Latvijas ostām. Nozares pievienotā vērtība salīdzināmās cenās pagājušajā gadā samazinājās par 14,9% un šim kritumam transportā bija lielākā negatīvā ietekme uz kopējo ekonomikas lejupslīdi. Pandēmijas ierobežojumu dēļ pasažieru skaits lidostā </w:t>
      </w:r>
      <w:r>
        <w:rPr>
          <w:rFonts w:cs="Times New Roman"/>
          <w:szCs w:val="28"/>
        </w:rPr>
        <w:t>“Rīga”</w:t>
      </w:r>
      <w:r w:rsidRPr="00E53059">
        <w:rPr>
          <w:rFonts w:cs="Times New Roman"/>
          <w:szCs w:val="28"/>
        </w:rPr>
        <w:t xml:space="preserve"> veidoja tikai ceturto daļu no 2019. gada līmeņ</w:t>
      </w:r>
      <w:r>
        <w:rPr>
          <w:rFonts w:cs="Times New Roman"/>
          <w:szCs w:val="28"/>
        </w:rPr>
        <w:t>a, samazinoties no 7,8 milj. līdz 2,0 milj.</w:t>
      </w:r>
      <w:r w:rsidRPr="00E53059">
        <w:rPr>
          <w:rFonts w:cs="Times New Roman"/>
          <w:szCs w:val="28"/>
        </w:rPr>
        <w:t xml:space="preserve"> jeb par 74,2%, prāmju pasažieru skaits Latvijas ostās samazinājās par 56,5%, bet pasažieru skaits sauszemes transportā kritās par 36,4%. Kravu apgrozība autopārvadājumos Covid-19 ietekmē samazinājās par 8,4%.</w:t>
      </w:r>
    </w:p>
    <w:p w:rsidR="00BF4753" w:rsidRPr="00E53059" w:rsidRDefault="00BF4753" w:rsidP="00BF4753">
      <w:pPr>
        <w:rPr>
          <w:rFonts w:cs="Times New Roman"/>
          <w:szCs w:val="28"/>
        </w:rPr>
      </w:pPr>
      <w:r w:rsidRPr="00E53059">
        <w:rPr>
          <w:rFonts w:cs="Times New Roman"/>
          <w:szCs w:val="28"/>
        </w:rPr>
        <w:t>Ļoti strauji pagājušajā gadā samazinājās pārkrauto kravu apjomi ostās un kravu pārvadājumi dzelzceļā, ko noteica Krievijas ogļu un naftas produktu kravu pārorientācija uz savām Baltijas jūras ostām, kā arī ogļu pieprasījuma kritums Eiropā. Kravu apgrozījums Latvijas ostās 2020. gadā samazinājās par 28,1%, tajā skaitā naftas produktu kravām samazinoties par 20,3% un ogļu kravām par 79,6%. Pa dzelzceļu transportēto kravu apjoms pērn kritās par 42,3%.</w:t>
      </w:r>
    </w:p>
    <w:p w:rsidR="00BF4753" w:rsidRPr="00E53059" w:rsidRDefault="00BF4753" w:rsidP="00BF4753">
      <w:pPr>
        <w:rPr>
          <w:rFonts w:cs="Times New Roman"/>
          <w:szCs w:val="28"/>
        </w:rPr>
      </w:pPr>
      <w:r w:rsidRPr="00E53059">
        <w:rPr>
          <w:rFonts w:cs="Times New Roman"/>
          <w:szCs w:val="28"/>
        </w:rPr>
        <w:t>Šā gada pirmajos mēnešos, turpinoties Covid-19 uzliesmojumam, situācija pasažieru pārvadājumos saglabājusies līdzīga kā pērn, kad pasažieru skaits lidostā bijis vairāk nekā par 90% mazāks nekā pirms gada un sarucis arī sauszemes pasažieru pārvadājumu apjoms. Savukārt tranzīta kravu pārvadājumos situācija ir nedaudz stabilizējusies, kravu apjomam ostās gada pirmajos divos mēnešos samazinoties par 11,7%, bet dzelzceļā uzrādot nelielu pieaugumu. Gada tālākajos mēnešos stabilizācija un pieaugumi gaidāmi arī pasažieru pārvadājumos, pakāpeniski mazinoties Covid-19 ierobežojumiem un atsākoties aktīvākajai iedzīvotāju kustībai. Visā 2021. gadā kopā transporta nozare varētu sasniegt nelielu pieaugumu, nozares pievienotās vērtības apjomiem tomēr vēl būtiski atpaliekot no 2019. gada līmeņa.</w:t>
      </w:r>
    </w:p>
    <w:p w:rsidR="00BF4753" w:rsidRPr="00E53059" w:rsidRDefault="00BF4753" w:rsidP="00BF4753">
      <w:pPr>
        <w:rPr>
          <w:rFonts w:cs="Times New Roman"/>
          <w:szCs w:val="28"/>
        </w:rPr>
      </w:pPr>
      <w:r w:rsidRPr="00E53059">
        <w:rPr>
          <w:rFonts w:cs="Times New Roman"/>
          <w:szCs w:val="28"/>
        </w:rPr>
        <w:t xml:space="preserve">Covid-19 krīze smagi skārusi arī </w:t>
      </w:r>
      <w:r w:rsidRPr="00E53059">
        <w:rPr>
          <w:rFonts w:cs="Times New Roman"/>
          <w:b/>
          <w:szCs w:val="28"/>
        </w:rPr>
        <w:t>tirdzniecības nozari</w:t>
      </w:r>
      <w:r w:rsidRPr="00E53059">
        <w:rPr>
          <w:rFonts w:cs="Times New Roman"/>
          <w:szCs w:val="28"/>
        </w:rPr>
        <w:t xml:space="preserve"> – ja pandēmijas sākumā tirdzniecības aktivitāte kļuva vājāka iedzīvotāju piesardzības dēļ, tad kopš pērnā gada novembra nozari vairāk negatīvi ietekmē valdības noteiktie ierobežojumi slimības izplatības ierobežošanai. Tādējādi 2020. gadā kopumā tirdzniecības nozares pievienotā vērtība sarukusi par 2,2%, ko pamatā noteica pārdošanas apjomu sarukums vairumtirdzniecībā, kā arī straujais automobiļu un motociklu tirdzniecības kritums. Tikmēr mazumtirdzniecība, neskatoties uz straujajiem pārdošanas apjomu kritumiem aprīlī un pērnā gada beigās, 2020. gadā kopumā uzrādījusi pieaugumu par 1,5%. Mazumtirdzniecības izaugsmi pērn lielā mērā noteica pieaugums autodegvielas tirdzniecībā (+6,5%), ko veicināja zemās </w:t>
      </w:r>
      <w:r w:rsidRPr="00E53059">
        <w:rPr>
          <w:rFonts w:cs="Times New Roman"/>
          <w:szCs w:val="28"/>
        </w:rPr>
        <w:lastRenderedPageBreak/>
        <w:t xml:space="preserve">degvielas cenas, un mazumtirdzniecībā pārtikas veikalos (+3,6%), tā kā šo veikalu darbību ar Covid-19 saistītie ierobežojumi praktiski neskāra. Tikmēr mazumtirdzniecība ar nepārtikas precēm, atskaitot degvielu, pērn salīdzinājumā ar 2019. gadu uzrādījusi sarukumu par 1,9%. To noteica tirdzniecības centru slēgšana brīvdienās un svētku dienās, kas bija spēkā pērnā gada pavasarī un ko atkal ieviesa pērnā gada novembrī, savukārt kopš decembra vidus ierobežojumi nozarē tika vēl pastiprināti, kā rezultātā cilvēki klātienē varēja iegādāties vien pirmās nepieciešamības preces. </w:t>
      </w:r>
    </w:p>
    <w:p w:rsidR="00BF4753" w:rsidRPr="00E53059" w:rsidRDefault="00BF4753" w:rsidP="00BF4753">
      <w:pPr>
        <w:rPr>
          <w:rFonts w:cs="Times New Roman"/>
          <w:szCs w:val="28"/>
          <w:shd w:val="clear" w:color="auto" w:fill="FFFFFF"/>
        </w:rPr>
      </w:pPr>
      <w:r w:rsidRPr="00E53059">
        <w:rPr>
          <w:rFonts w:cs="Times New Roman"/>
          <w:szCs w:val="28"/>
        </w:rPr>
        <w:t>Lai gan ierobežojumi tika nedaudz atviegloti 2021.gada februārī, nozare darbojusies stingru ierobežojumu apstākļos visu šā gada pirmo ceturksni. Tādējādi šā gada pirmajos divos mēnešos mazumtirdzniecība uzrādījusi kritumu par 9,0%, īpaši strauji samazinoties mazumtirdzniecībai nepārtikas preču veikalos. Tas veicinājis iedzīvotāju uzkrājumu veidošanos, un š</w:t>
      </w:r>
      <w:r w:rsidRPr="00E53059">
        <w:rPr>
          <w:rFonts w:cs="Times New Roman"/>
          <w:szCs w:val="28"/>
          <w:shd w:val="clear" w:color="auto" w:fill="FFFFFF"/>
        </w:rPr>
        <w:t xml:space="preserve">ā </w:t>
      </w:r>
      <w:r w:rsidRPr="00E53059">
        <w:rPr>
          <w:rFonts w:cs="Times New Roman"/>
          <w:szCs w:val="28"/>
        </w:rPr>
        <w:t>gada februārī, salīdzinot ar 2020. gada februāri, Latvijas komercbanku piesaistītie mājsaimniecību noguldījumi pieauga par 14,9%, sasniedzot 8,57</w:t>
      </w:r>
      <w:r>
        <w:rPr>
          <w:rFonts w:cs="Times New Roman"/>
          <w:szCs w:val="28"/>
        </w:rPr>
        <w:t xml:space="preserve"> mljrd. </w:t>
      </w:r>
      <w:r w:rsidRPr="00E53059">
        <w:rPr>
          <w:rFonts w:cs="Times New Roman"/>
          <w:i/>
          <w:szCs w:val="28"/>
        </w:rPr>
        <w:t>euro</w:t>
      </w:r>
      <w:r w:rsidRPr="00E53059">
        <w:rPr>
          <w:rFonts w:cs="Times New Roman"/>
          <w:szCs w:val="28"/>
        </w:rPr>
        <w:t>, ko noteica iedzīvotāju finansiālo līdzekļu atlikumu bankas kontā uz dienas beigām kāpums. Tie gada laikā palielinājušies par 27,9%, kamēr noteikta termiņa mājsaimniecību noguldījumi un noguldījumi ar brīdinājuma termiņu par izņemšanu sarukuši attiecīgi par 28,5% un 32,3%. Tas norāda uz iedzīvotāju rīcībā esošo līdzekļu pieaugumu, kas tiks novirzīts patēriņam brīdī, kad, uzlabojoties epidemioloģiskajai situācijai valstī, tiks būtiski mīkstināti ierobežojumi ne tikai tirdzniecības nozarē, bet arī pakalpojumu sniegšanā.</w:t>
      </w:r>
    </w:p>
    <w:p w:rsidR="00BF4753" w:rsidRPr="00E53059" w:rsidRDefault="00BF4753" w:rsidP="00BF4753">
      <w:pPr>
        <w:rPr>
          <w:rFonts w:cs="Times New Roman"/>
          <w:szCs w:val="28"/>
          <w:shd w:val="clear" w:color="auto" w:fill="FFFFFF"/>
        </w:rPr>
      </w:pPr>
      <w:r w:rsidRPr="00E53059">
        <w:rPr>
          <w:rFonts w:cs="Times New Roman"/>
          <w:szCs w:val="28"/>
          <w:shd w:val="clear" w:color="auto" w:fill="FFFFFF"/>
        </w:rPr>
        <w:t xml:space="preserve">Citas, Covid-19 krīzē tieši skartās, bet īpatsvara ziņā salīdzinoši nelielas nozares ir </w:t>
      </w:r>
      <w:r w:rsidRPr="00E53059">
        <w:rPr>
          <w:rFonts w:cs="Times New Roman"/>
          <w:b/>
          <w:szCs w:val="28"/>
          <w:shd w:val="clear" w:color="auto" w:fill="FFFFFF"/>
        </w:rPr>
        <w:t xml:space="preserve">māksla, izklaide un atpūta, </w:t>
      </w:r>
      <w:r w:rsidRPr="00E53059">
        <w:rPr>
          <w:rFonts w:cs="Times New Roman"/>
          <w:szCs w:val="28"/>
          <w:shd w:val="clear" w:color="auto" w:fill="FFFFFF"/>
        </w:rPr>
        <w:t xml:space="preserve">kur pievienotā vērtība pagājušajā gadā sarukusi par 26,6%. Vēl straujāku kritumu pērn uzrādījusi ar tūrismu saistītā </w:t>
      </w:r>
      <w:r w:rsidRPr="00E53059">
        <w:rPr>
          <w:rFonts w:cs="Times New Roman"/>
          <w:b/>
          <w:szCs w:val="28"/>
          <w:shd w:val="clear" w:color="auto" w:fill="FFFFFF"/>
        </w:rPr>
        <w:t>izmitināšanas un ēdināšanas nozare</w:t>
      </w:r>
      <w:r w:rsidRPr="00E53059">
        <w:rPr>
          <w:rFonts w:cs="Times New Roman"/>
          <w:szCs w:val="28"/>
          <w:shd w:val="clear" w:color="auto" w:fill="FFFFFF"/>
        </w:rPr>
        <w:t xml:space="preserve">, kur gada laikā pievienotās vērtība sarukusi par 38,1%. Šo nozari būtiski ietekmēja </w:t>
      </w:r>
      <w:r w:rsidRPr="00E53059">
        <w:rPr>
          <w:rFonts w:cs="Times New Roman"/>
          <w:bCs/>
          <w:szCs w:val="28"/>
        </w:rPr>
        <w:t xml:space="preserve">ar Covid-19 slimības izplatību saistītie ierobežojumi, tajā skaitā, robežu slēgšana pavasarī, noteiktie pašizolācijas noteikumi, no ārvalstīm ierodoties Latvijā, kafejnīcu un restorānu darbības pārtraukšana gan pavasarī, gan pērnā gada beigās, kā arī iedzīvotāju piesardzība par savu veselību, izvēloties neceļot. Tādējādi </w:t>
      </w:r>
      <w:r w:rsidRPr="00E53059">
        <w:rPr>
          <w:rFonts w:cs="Times New Roman"/>
          <w:szCs w:val="28"/>
          <w:shd w:val="clear" w:color="auto" w:fill="FFFFFF"/>
        </w:rPr>
        <w:t xml:space="preserve">2020. gadā </w:t>
      </w:r>
      <w:r w:rsidRPr="00E53059">
        <w:rPr>
          <w:rFonts w:cs="Times New Roman"/>
          <w:bCs/>
          <w:szCs w:val="28"/>
        </w:rPr>
        <w:t>Latvijas tūristu mī</w:t>
      </w:r>
      <w:r>
        <w:rPr>
          <w:rFonts w:cs="Times New Roman"/>
          <w:bCs/>
          <w:szCs w:val="28"/>
        </w:rPr>
        <w:t>tnēs tika apkalpoti 1,46 milj.</w:t>
      </w:r>
      <w:r w:rsidRPr="00E53059">
        <w:rPr>
          <w:rFonts w:cs="Times New Roman"/>
          <w:bCs/>
          <w:szCs w:val="28"/>
        </w:rPr>
        <w:t xml:space="preserve"> ārvalstu un vietējo viesu, kas bija par 48,7 % mazāk nekā 2019. gadā un bija zemākais rādītājs pēdējo desmit gadu laikā</w:t>
      </w:r>
      <w:r w:rsidRPr="00E53059">
        <w:rPr>
          <w:rFonts w:cs="Times New Roman"/>
          <w:szCs w:val="28"/>
          <w:shd w:val="clear" w:color="auto" w:fill="FFFFFF"/>
        </w:rPr>
        <w:t>. Viesi tūrist</w:t>
      </w:r>
      <w:r>
        <w:rPr>
          <w:rFonts w:cs="Times New Roman"/>
          <w:szCs w:val="28"/>
          <w:shd w:val="clear" w:color="auto" w:fill="FFFFFF"/>
        </w:rPr>
        <w:t xml:space="preserve">u mītnēs pavadīja 2,89 milj. </w:t>
      </w:r>
      <w:r w:rsidRPr="00E53059">
        <w:rPr>
          <w:rFonts w:cs="Times New Roman"/>
          <w:szCs w:val="28"/>
          <w:shd w:val="clear" w:color="auto" w:fill="FFFFFF"/>
        </w:rPr>
        <w:t>nakšu, kas bija par 47,6 % mazāk nekā iepriekšējā gadā.</w:t>
      </w:r>
    </w:p>
    <w:p w:rsidR="00BF4753" w:rsidRPr="00E53059" w:rsidRDefault="00BF4753" w:rsidP="00BF4753">
      <w:pPr>
        <w:rPr>
          <w:rFonts w:cs="Times New Roman"/>
          <w:szCs w:val="28"/>
          <w:shd w:val="clear" w:color="auto" w:fill="FFFFFF"/>
        </w:rPr>
      </w:pPr>
      <w:r w:rsidRPr="00E53059">
        <w:rPr>
          <w:rFonts w:cs="Times New Roman"/>
          <w:szCs w:val="28"/>
          <w:shd w:val="clear" w:color="auto" w:fill="FFFFFF"/>
        </w:rPr>
        <w:t xml:space="preserve">Pērn pievienotās vērtības kritums tika reģistrēts arī citās uz iekšējo tirgu orientētajās pakalpojumu nozarēs - </w:t>
      </w:r>
      <w:r w:rsidRPr="00E53059">
        <w:rPr>
          <w:rFonts w:cs="Times New Roman"/>
          <w:b/>
          <w:szCs w:val="28"/>
          <w:shd w:val="clear" w:color="auto" w:fill="FFFFFF"/>
        </w:rPr>
        <w:t xml:space="preserve">profesionālo, zinātnisko un tehnisko pakalpojumu, </w:t>
      </w:r>
      <w:r w:rsidRPr="00E53059">
        <w:rPr>
          <w:rFonts w:cs="Times New Roman"/>
          <w:szCs w:val="28"/>
          <w:shd w:val="clear" w:color="auto" w:fill="FFFFFF"/>
        </w:rPr>
        <w:t>kā arī</w:t>
      </w:r>
      <w:r w:rsidRPr="00E53059">
        <w:rPr>
          <w:rFonts w:cs="Times New Roman"/>
          <w:b/>
          <w:szCs w:val="28"/>
          <w:shd w:val="clear" w:color="auto" w:fill="FFFFFF"/>
        </w:rPr>
        <w:t xml:space="preserve"> administratīvo un apkalpojošo dienestu darbībā</w:t>
      </w:r>
      <w:r w:rsidRPr="00E53059">
        <w:rPr>
          <w:rFonts w:cs="Times New Roman"/>
          <w:szCs w:val="28"/>
          <w:shd w:val="clear" w:color="auto" w:fill="FFFFFF"/>
        </w:rPr>
        <w:t>. Šajās nozarēs 2020. gadā fiksēts 3,3% samazinājums.</w:t>
      </w:r>
    </w:p>
    <w:p w:rsidR="00BF4753" w:rsidRPr="00E53059" w:rsidRDefault="00BF4753" w:rsidP="00BF4753">
      <w:pPr>
        <w:rPr>
          <w:rFonts w:cs="Times New Roman"/>
          <w:szCs w:val="28"/>
          <w:shd w:val="clear" w:color="auto" w:fill="FFFFFF"/>
        </w:rPr>
      </w:pPr>
      <w:r w:rsidRPr="00E53059">
        <w:rPr>
          <w:rFonts w:cs="Times New Roman"/>
          <w:szCs w:val="28"/>
          <w:shd w:val="clear" w:color="auto" w:fill="FFFFFF"/>
        </w:rPr>
        <w:t xml:space="preserve">Tikmēr labākus rezultātus pērn uzrādīja ražojošās nozares, kuras ar Covid-19 kontroli saistītie ierobežojumi tiešā veidā praktiski neskāra. </w:t>
      </w:r>
      <w:r w:rsidRPr="00E53059">
        <w:rPr>
          <w:rFonts w:cs="Times New Roman"/>
          <w:b/>
          <w:szCs w:val="28"/>
          <w:shd w:val="clear" w:color="auto" w:fill="FFFFFF"/>
        </w:rPr>
        <w:t>Rūpniecībā</w:t>
      </w:r>
      <w:r w:rsidRPr="00E53059">
        <w:rPr>
          <w:rFonts w:cs="Times New Roman"/>
          <w:szCs w:val="28"/>
          <w:shd w:val="clear" w:color="auto" w:fill="FFFFFF"/>
        </w:rPr>
        <w:t xml:space="preserve"> radītā </w:t>
      </w:r>
      <w:r w:rsidRPr="00E53059">
        <w:rPr>
          <w:rFonts w:cs="Times New Roman"/>
          <w:szCs w:val="28"/>
          <w:shd w:val="clear" w:color="auto" w:fill="FFFFFF"/>
        </w:rPr>
        <w:lastRenderedPageBreak/>
        <w:t xml:space="preserve">pievienotā vērtība 2020. gadā, salīdzinot ar iepriekšējo gadu, samazinājusies par 1,0%. Turklāt </w:t>
      </w:r>
      <w:r w:rsidRPr="00E53059">
        <w:rPr>
          <w:rFonts w:cs="Times New Roman"/>
          <w:b/>
          <w:szCs w:val="28"/>
          <w:shd w:val="clear" w:color="auto" w:fill="FFFFFF"/>
        </w:rPr>
        <w:t>apstrādes rūpniecība</w:t>
      </w:r>
      <w:r w:rsidRPr="00E53059">
        <w:rPr>
          <w:rFonts w:cs="Times New Roman"/>
          <w:szCs w:val="28"/>
          <w:shd w:val="clear" w:color="auto" w:fill="FFFFFF"/>
        </w:rPr>
        <w:t xml:space="preserve">, kura veido vairāk nekā 80% no rūpniecības pievienotās vērtības, uzrādījusi samazinājumu par 0,9%. Tādējādi Latvijā reģistrēts otrs mazākais apstrādes rūpniecības izlaides kritums starp visām Eiropas Savienības valstīm. Starp apstrādes rūpniecības apakšnozarēm labus rezultātus 2020. gadā uzrādīja kokrūpniecība, kur strauju izaugsmi kopš pērnā gada vidus noteica augošais ārējais pieprasījums un augstās cenas atsevišķos produkcijas segmentos un tirgos. </w:t>
      </w:r>
      <w:r>
        <w:rPr>
          <w:rFonts w:cs="Times New Roman"/>
          <w:szCs w:val="28"/>
          <w:shd w:val="clear" w:color="auto" w:fill="FFFFFF"/>
        </w:rPr>
        <w:t>Tādējādi pagājušajā gadā kokrūpn</w:t>
      </w:r>
      <w:r w:rsidRPr="00E53059">
        <w:rPr>
          <w:rFonts w:cs="Times New Roman"/>
          <w:szCs w:val="28"/>
          <w:shd w:val="clear" w:color="auto" w:fill="FFFFFF"/>
        </w:rPr>
        <w:t>iecības apjomi bija par 4,1% augstāki nekā 2019. gadā. Neskatoties uz Covid-19 krīzes radītajiem sarežģījumiem, pērn izaugsmi uzrādīja arī elektrisko iekārtu ražotāji (+5,7%). Savukārt poligrāfijā un ierakstu reproducēšanā, kā arī ķīmiskajā rūpniecībā straujāks apjomu kāpums tika reģistrēts līdz ar pandēmijas sākumu. Šajās apkašnozarēs pērn fiksēts attiecīgi 6,8% un 3,0% izlaides pieaugums.  Tikmēr spēcīgāko kritumu un lielāko negatīvo devumu apstrādes rūpniecības kopējos rezultātos 2020. gadā uzrādīja iekārtu un ierīču remonta un uzstādīšanas apakšnozare (-29,5%). Pērn izlaides sarukums tika reģistrēts pārējās mašīnbūves apakšnozarēs – automobiļu un piekabju ražošanā (-17,3%), kā arī iekārtu, mehānismu un darba mašīnu ražošanā (-2,8%), ko noteica pandēmijas radītā nestabilitāte un piesardzība, kā rezultātā pasaulē samazinājās pieprasījums pēc iekārtām un investīciju precēm, tika traucēta loģistika, saruka komplektējošo daļu piegādes auto rūpniecībai, jo Eiropā īslaicīgi tika slēgtas rūpnīcas. Pērn samazinājās arī citu nozīmīgu apstrādes rūpniecības apakšnozaru izlaides apjomi, tajā skaitā gatavo metālizstrādājumu, būvmateriālu un pārtikas produktu ražošanā – attiecīgi par 3,8%, 1,9% un 0,7%. Savukārt šis gads apstrādes rūpniecībai iesācies ar izaugsmi, janvārī salīdzinājumā ar 2020. gada janvāri kopējiem nozares izlaides apjomiem palielinoties par 2,2%. Tāpat kā pērn, to pamatā noteica augstie ražošanas apjomi kokrūpniecībā, kas, pateicoties spēcīgajam ārējam pieprasījumam, janvārī palielinājušies par 6,3%.</w:t>
      </w:r>
    </w:p>
    <w:p w:rsidR="00BF4753" w:rsidRPr="00E53059" w:rsidRDefault="00BF4753" w:rsidP="00BF4753">
      <w:pPr>
        <w:rPr>
          <w:rFonts w:cs="Times New Roman"/>
          <w:szCs w:val="28"/>
          <w:shd w:val="clear" w:color="auto" w:fill="FFFFFF"/>
        </w:rPr>
      </w:pPr>
      <w:r w:rsidRPr="00E53059">
        <w:rPr>
          <w:rFonts w:cs="Times New Roman"/>
          <w:szCs w:val="28"/>
          <w:shd w:val="clear" w:color="auto" w:fill="FFFFFF"/>
        </w:rPr>
        <w:t xml:space="preserve">Tikmēr </w:t>
      </w:r>
      <w:r w:rsidRPr="00E53059">
        <w:rPr>
          <w:rFonts w:cs="Times New Roman"/>
          <w:b/>
          <w:szCs w:val="28"/>
          <w:shd w:val="clear" w:color="auto" w:fill="FFFFFF"/>
        </w:rPr>
        <w:t>pārējā rūpniecība</w:t>
      </w:r>
      <w:r w:rsidRPr="00E53059">
        <w:rPr>
          <w:rFonts w:cs="Times New Roman"/>
          <w:szCs w:val="28"/>
          <w:shd w:val="clear" w:color="auto" w:fill="FFFFFF"/>
        </w:rPr>
        <w:t>, kurā ietilpst ieguves rūpniecība, elektroenerģija un gāzes apgāde, ūdens un siltumapgāde u.c., pērn uzrādījusi pievienotās vērtības kritumu par 1,7%. Šis rezultāts lielā mērā skaidrojams ar zemajiem elektroenerģijas un gāzes apgādes apjomiem, kur izlaides kritums tika reģistrēts praktiski visa 2020. gada laikā. Tas sakrīt ar zemākiem saražotās elektroenerģijas apjomiem, ko noteica sarukums koģenerācijas staciju izlaidē. Savukārt šis gads elektroenerģijas un gāzes apgādes nozarē sācies ar izlaides pieaugumu, kas skaidrojama ar pērnā gada janvāra zemo bāzi. Turklāt šā gada janvārī tika sasniegti augsti saražotās elektroenerģijas apjomi koģenerācijas stacijās, ko noteica zemā gaisa temperatūra janvārī. Tādējādi kopējie elektroenerģijas un gāzes apgādes apjomi šā gada janvārī bijuši par 7,5% augstāki nekā pirms gada.</w:t>
      </w:r>
    </w:p>
    <w:p w:rsidR="00BF4753" w:rsidRPr="00E53059" w:rsidRDefault="00BF4753" w:rsidP="00BF4753">
      <w:pPr>
        <w:rPr>
          <w:rFonts w:cs="Times New Roman"/>
          <w:szCs w:val="28"/>
          <w:shd w:val="clear" w:color="auto" w:fill="FFFFFF"/>
        </w:rPr>
      </w:pPr>
      <w:r w:rsidRPr="00E53059">
        <w:rPr>
          <w:rFonts w:cs="Times New Roman"/>
          <w:szCs w:val="28"/>
          <w:shd w:val="clear" w:color="auto" w:fill="FFFFFF"/>
        </w:rPr>
        <w:lastRenderedPageBreak/>
        <w:t xml:space="preserve">Pievienotās vērtības kāpumu par 2,6% pērn uzrādījusi </w:t>
      </w:r>
      <w:r w:rsidRPr="00E53059">
        <w:rPr>
          <w:rFonts w:cs="Times New Roman"/>
          <w:b/>
          <w:szCs w:val="28"/>
          <w:shd w:val="clear" w:color="auto" w:fill="FFFFFF"/>
        </w:rPr>
        <w:t>būvniecība</w:t>
      </w:r>
      <w:r w:rsidRPr="00E53059">
        <w:rPr>
          <w:rFonts w:cs="Times New Roman"/>
          <w:szCs w:val="28"/>
          <w:shd w:val="clear" w:color="auto" w:fill="FFFFFF"/>
        </w:rPr>
        <w:t xml:space="preserve">, jo šo nozari Covid-19 krīze un ar to saistītie ierobežojumi praktiski neietekmēja. Turklāt turpmākajos periodos būvniecības izaugsmi veicinās tieši Covid-19 krīzes pārvarēšanai un ekonomikas stimulēšanai novirzītie līdzekļi, kā arī ES fondu investīcijas un </w:t>
      </w:r>
      <w:r w:rsidRPr="00E53059">
        <w:rPr>
          <w:rFonts w:cs="Times New Roman"/>
          <w:i/>
          <w:szCs w:val="28"/>
          <w:shd w:val="clear" w:color="auto" w:fill="FFFFFF"/>
        </w:rPr>
        <w:t>Rail</w:t>
      </w:r>
      <w:r>
        <w:rPr>
          <w:rFonts w:cs="Times New Roman"/>
          <w:i/>
          <w:szCs w:val="28"/>
          <w:shd w:val="clear" w:color="auto" w:fill="FFFFFF"/>
        </w:rPr>
        <w:t xml:space="preserve"> </w:t>
      </w:r>
      <w:r w:rsidRPr="00E53059">
        <w:rPr>
          <w:rFonts w:cs="Times New Roman"/>
          <w:i/>
          <w:szCs w:val="28"/>
          <w:shd w:val="clear" w:color="auto" w:fill="FFFFFF"/>
        </w:rPr>
        <w:t>Baltica</w:t>
      </w:r>
      <w:r w:rsidRPr="00E53059">
        <w:rPr>
          <w:rFonts w:cs="Times New Roman"/>
          <w:szCs w:val="28"/>
          <w:shd w:val="clear" w:color="auto" w:fill="FFFFFF"/>
        </w:rPr>
        <w:t xml:space="preserve"> būvniecības uzsākšana. 2020. gadā būvniecības kāpumu noteica specializēto būvdarbu apjomi, kas salīdzinājumā ar 2019. gadu pieauga par 8,0%. Ēku būvniecības apjomi pērn saglabājās iepriekšējā gada līmenī, palielinoties vien par 0,9%. Tikmēr inženierbūvniecībā tika reģistrēts neliels apjomu kritums – par 1,5%. Savukārt pagājušajā gadā izsniegtajās būvatļaujās paredzamā būvniecības platība saruka par 16,9%, ko noteica kritums rūpnieciskās ražošanas ēku un noliktavu plānotajā celtniecības platībā augstās iepriekšējā gada bāzes dēļ, kā arī pieticīgie tirdzniecības ēku būvniecības plāni. Tas liecina par nedzīvojamo ēku būvniecības apjomu iespējamu samazinājumu turpmākajos periodos, tikmēr nozares attīstību veicinās infrastruktūras projektu realizācija.</w:t>
      </w:r>
    </w:p>
    <w:p w:rsidR="00BF4753" w:rsidRPr="00E53059" w:rsidRDefault="00BF4753" w:rsidP="00BF4753">
      <w:pPr>
        <w:rPr>
          <w:rFonts w:cs="Times New Roman"/>
          <w:szCs w:val="28"/>
          <w:shd w:val="clear" w:color="auto" w:fill="FFFFFF"/>
        </w:rPr>
      </w:pPr>
      <w:r w:rsidRPr="00E53059">
        <w:rPr>
          <w:rFonts w:cs="Times New Roman"/>
          <w:szCs w:val="28"/>
          <w:shd w:val="clear" w:color="auto" w:fill="FFFFFF"/>
        </w:rPr>
        <w:t xml:space="preserve">Starp Latvijas tautsaimniecības nozarēm pērn izaugsmi uzrādīja arī </w:t>
      </w:r>
      <w:r w:rsidRPr="00E53059">
        <w:rPr>
          <w:rFonts w:cs="Times New Roman"/>
          <w:b/>
          <w:szCs w:val="28"/>
          <w:shd w:val="clear" w:color="auto" w:fill="FFFFFF"/>
        </w:rPr>
        <w:t>lauksaimniecība</w:t>
      </w:r>
      <w:r w:rsidRPr="00E53059">
        <w:rPr>
          <w:rFonts w:cs="Times New Roman"/>
          <w:szCs w:val="28"/>
          <w:shd w:val="clear" w:color="auto" w:fill="FFFFFF"/>
        </w:rPr>
        <w:t xml:space="preserve">, kurā pievienotā vērtība gada laika palielinājusies par 1,8%. Izaugsmi lauksaimniecībā noteica 2020. gada otrajā pusē reģistrētais pieaugums, pateicoties pērnā gada graudaugu ražai, kas bijusi augstākā Latvijas vēsturē. Kā liecina provizoriskie dati, pērn tika ievākti </w:t>
      </w:r>
      <w:r>
        <w:rPr>
          <w:rFonts w:cs="Times New Roman"/>
          <w:bCs/>
          <w:szCs w:val="28"/>
          <w:shd w:val="clear" w:color="auto" w:fill="FFFFFF"/>
        </w:rPr>
        <w:t>3,5 milj.</w:t>
      </w:r>
      <w:r w:rsidRPr="00E53059">
        <w:rPr>
          <w:rFonts w:cs="Times New Roman"/>
          <w:bCs/>
          <w:szCs w:val="28"/>
          <w:shd w:val="clear" w:color="auto" w:fill="FFFFFF"/>
        </w:rPr>
        <w:t> tonnu graudaugu, kas bija par 10,6 % vairāk nekā iepriekšējā gadā</w:t>
      </w:r>
      <w:r w:rsidRPr="00E53059">
        <w:rPr>
          <w:rFonts w:cs="Times New Roman"/>
          <w:szCs w:val="28"/>
          <w:shd w:val="clear" w:color="auto" w:fill="FFFFFF"/>
        </w:rPr>
        <w:t xml:space="preserve">. Turklāt 2020. gadā tika sasniegta arī augstākā graudaugu ražība, ko veicināja labvēlīgie laikapstākļi ziemāju kultūru pārziemošanai un vēlāk arī ražas novākšanai. Augstā graudaugu raža sekmējusi arī preču eksporta pieaugumu, eksportētajai graudaugu produktu vērtībai laika periodā no septembra līdz pat gada beigām uzrādot ļoti straujus pieauguma tempus. </w:t>
      </w:r>
    </w:p>
    <w:p w:rsidR="00BF4753" w:rsidRPr="00E53059" w:rsidRDefault="00BF4753" w:rsidP="00BF4753">
      <w:pPr>
        <w:pStyle w:val="H4"/>
        <w:ind w:left="0" w:firstLine="720"/>
        <w:jc w:val="both"/>
        <w:rPr>
          <w:rFonts w:ascii="Times New Roman" w:hAnsi="Times New Roman"/>
          <w:i/>
          <w:szCs w:val="24"/>
        </w:rPr>
      </w:pPr>
      <w:r w:rsidRPr="00E53059">
        <w:rPr>
          <w:rFonts w:ascii="Times New Roman" w:hAnsi="Times New Roman"/>
          <w:i/>
          <w:szCs w:val="24"/>
        </w:rPr>
        <w:t>Investīcijas</w:t>
      </w:r>
    </w:p>
    <w:p w:rsidR="00BF4753" w:rsidRPr="00E53059" w:rsidRDefault="00BF4753" w:rsidP="00BF4753">
      <w:pPr>
        <w:rPr>
          <w:rFonts w:cs="Times New Roman"/>
          <w:szCs w:val="24"/>
        </w:rPr>
      </w:pPr>
      <w:r w:rsidRPr="00E53059">
        <w:rPr>
          <w:rFonts w:cs="Times New Roman"/>
          <w:szCs w:val="24"/>
        </w:rPr>
        <w:t>Par spīti ekonomikas aktivitātes kritumam 2020.</w:t>
      </w:r>
      <w:r>
        <w:rPr>
          <w:rFonts w:cs="Times New Roman"/>
          <w:szCs w:val="24"/>
        </w:rPr>
        <w:t xml:space="preserve"> </w:t>
      </w:r>
      <w:r w:rsidRPr="00E53059">
        <w:rPr>
          <w:rFonts w:cs="Times New Roman"/>
          <w:szCs w:val="24"/>
        </w:rPr>
        <w:t xml:space="preserve">gadā, investīciju apjoms Latvijā nedaudz palielinājās. Bruto pamatkapitāla veidošana pērnajā gadā bija 6280 milj. </w:t>
      </w:r>
      <w:r w:rsidRPr="00E53059">
        <w:rPr>
          <w:rFonts w:cs="Times New Roman"/>
          <w:i/>
          <w:szCs w:val="24"/>
        </w:rPr>
        <w:t>euro</w:t>
      </w:r>
      <w:r w:rsidRPr="00E53059">
        <w:rPr>
          <w:rFonts w:cs="Times New Roman"/>
          <w:szCs w:val="24"/>
        </w:rPr>
        <w:t xml:space="preserve"> apmērā, kas salīdzināmajās cenās bija par 0,2% vairāk nekā 2019.</w:t>
      </w:r>
      <w:r>
        <w:rPr>
          <w:rFonts w:cs="Times New Roman"/>
          <w:szCs w:val="24"/>
        </w:rPr>
        <w:t xml:space="preserve"> </w:t>
      </w:r>
      <w:r w:rsidRPr="00E53059">
        <w:rPr>
          <w:rFonts w:cs="Times New Roman"/>
          <w:szCs w:val="24"/>
        </w:rPr>
        <w:t>gadā. Tādējādi jāsecina, ka Covid-19 krīzes negatīvā ietekme uz investīciju aktivitāti bija būtiski mazāka nekā uz privāto patēriņu vai ārējo tirdzniecību. 2020.</w:t>
      </w:r>
      <w:r>
        <w:rPr>
          <w:rFonts w:cs="Times New Roman"/>
          <w:szCs w:val="24"/>
        </w:rPr>
        <w:t> </w:t>
      </w:r>
      <w:r w:rsidRPr="00E53059">
        <w:rPr>
          <w:rFonts w:cs="Times New Roman"/>
          <w:szCs w:val="24"/>
        </w:rPr>
        <w:t>gada otrajā ceturksnī tika fiksēts investīciju kritums par 4,8% salīdzinājumā ar iepriekšējā gada attiecīgo ceturksni. Tas bija pandēmijas sākumā un laikā, kad būtiski pasliktinājās uzņēmumu noskaņojums, pastāvot lielai nenoteiktībai. Situācijai stabilizējoties un mēreni palielinoties ekonomikas aktivitātei, trešajā ceturksnī investīcijas samazinājās vien par 0,9%, bet jau ceturtajā ceturksnī atsākās investīciju kāpums un bruto pamatkapitāla veidošanas apjoms bija par 2,6% lielāks nekā 2019.</w:t>
      </w:r>
      <w:r>
        <w:rPr>
          <w:rFonts w:cs="Times New Roman"/>
          <w:szCs w:val="24"/>
        </w:rPr>
        <w:t xml:space="preserve"> </w:t>
      </w:r>
      <w:r w:rsidRPr="00E53059">
        <w:rPr>
          <w:rFonts w:cs="Times New Roman"/>
          <w:szCs w:val="24"/>
        </w:rPr>
        <w:t>gada ceturtajā ceturksnī. Investīciju aktivitāte tradicionāli ir svārstīgāka</w:t>
      </w:r>
      <w:r>
        <w:rPr>
          <w:rFonts w:cs="Times New Roman"/>
          <w:szCs w:val="24"/>
        </w:rPr>
        <w:t xml:space="preserve"> nekā iekšzemes kopprodukta</w:t>
      </w:r>
      <w:r w:rsidRPr="00E53059">
        <w:rPr>
          <w:rFonts w:cs="Times New Roman"/>
          <w:szCs w:val="24"/>
        </w:rPr>
        <w:t xml:space="preserve"> vidējās izmaiņas. Bez tam investīcijas </w:t>
      </w:r>
      <w:r w:rsidRPr="00E53059">
        <w:rPr>
          <w:rFonts w:cs="Times New Roman"/>
          <w:szCs w:val="24"/>
        </w:rPr>
        <w:lastRenderedPageBreak/>
        <w:t xml:space="preserve">ir tā </w:t>
      </w:r>
      <w:r>
        <w:rPr>
          <w:rFonts w:cs="Times New Roman"/>
          <w:szCs w:val="24"/>
        </w:rPr>
        <w:t>iekšzemes kopprodukta</w:t>
      </w:r>
      <w:r w:rsidRPr="00E53059">
        <w:rPr>
          <w:rFonts w:cs="Times New Roman"/>
          <w:szCs w:val="24"/>
        </w:rPr>
        <w:t xml:space="preserve"> komponente, kas vairāk pakļauta biznesa ciklam. Tā kā Covid-19 krīze nav saistīta ar biznesa ciklu kā tādu, tad mājsaimniecību un uzņēmēju rīcība attiecībā uz uzkrājumiem un investīcijām var būt atšķirīga kā iepriekšējās finanšu un ekonomikas krīzēs. Ar to arī skaidrojams investīciju pieaugums pērnā gada nogalē. </w:t>
      </w:r>
    </w:p>
    <w:p w:rsidR="00BF4753" w:rsidRPr="00E53059" w:rsidRDefault="00BF4753" w:rsidP="00BF4753">
      <w:pPr>
        <w:rPr>
          <w:rFonts w:cs="Times New Roman"/>
          <w:szCs w:val="28"/>
        </w:rPr>
      </w:pPr>
      <w:r w:rsidRPr="00E53059">
        <w:rPr>
          <w:rFonts w:cs="Times New Roman"/>
          <w:szCs w:val="24"/>
        </w:rPr>
        <w:t>Investīcijas biroju, mājokļu, noliktavu un citu ēku būvniecībā, kā arī jau esošo ēku un būvju renovācijā joprojām saglabājās kā galvenais investīciju veids. 2020.</w:t>
      </w:r>
      <w:r>
        <w:rPr>
          <w:rFonts w:cs="Times New Roman"/>
          <w:szCs w:val="24"/>
        </w:rPr>
        <w:t xml:space="preserve"> </w:t>
      </w:r>
      <w:r w:rsidRPr="00E53059">
        <w:rPr>
          <w:rFonts w:cs="Times New Roman"/>
          <w:szCs w:val="24"/>
        </w:rPr>
        <w:t xml:space="preserve">gadā investīcijas ēkās un būvēs veidoja 51,9% </w:t>
      </w:r>
      <w:r w:rsidRPr="00E53059">
        <w:rPr>
          <w:rFonts w:cs="Times New Roman"/>
          <w:szCs w:val="20"/>
        </w:rPr>
        <w:t>no kopējām investīcijām un, salīdzinot ar 2019.</w:t>
      </w:r>
      <w:r>
        <w:rPr>
          <w:rFonts w:cs="Times New Roman"/>
          <w:szCs w:val="20"/>
        </w:rPr>
        <w:t xml:space="preserve"> </w:t>
      </w:r>
      <w:r w:rsidRPr="00E53059">
        <w:rPr>
          <w:rFonts w:cs="Times New Roman"/>
          <w:szCs w:val="20"/>
        </w:rPr>
        <w:t>gadu, palielinājās par 1,5% salīdzināmajās cenās. Pateicoties labvēlīgiem laika apstākļiem gada sākumā un realizētajiem būvniecības objektiem gan privātajā, gan sabiedriskajā sektorā, būvniecības produkcijas apjoms salīdzinājumā ar 2019.</w:t>
      </w:r>
      <w:r>
        <w:rPr>
          <w:rFonts w:cs="Times New Roman"/>
          <w:szCs w:val="20"/>
        </w:rPr>
        <w:t xml:space="preserve"> </w:t>
      </w:r>
      <w:r w:rsidRPr="00E53059">
        <w:rPr>
          <w:rFonts w:cs="Times New Roman"/>
          <w:szCs w:val="20"/>
        </w:rPr>
        <w:t xml:space="preserve">gadu palielinājās par 2,7%. </w:t>
      </w:r>
      <w:r w:rsidRPr="00E53059">
        <w:rPr>
          <w:rFonts w:cs="Times New Roman"/>
          <w:szCs w:val="28"/>
        </w:rPr>
        <w:t>Covid-19 pandēmija ietekmēja visas tautsaimniecības nozares, tomēr noskaņojuma kritums būvniecības nozarē nebija tik liels kā citās nozarēs, it īpaši pakalpojumu nozarēs. Būvniecības pasūtījumu apjoms 2020.</w:t>
      </w:r>
      <w:r>
        <w:rPr>
          <w:rFonts w:cs="Times New Roman"/>
          <w:szCs w:val="28"/>
        </w:rPr>
        <w:t xml:space="preserve"> </w:t>
      </w:r>
      <w:r w:rsidRPr="00E53059">
        <w:rPr>
          <w:rFonts w:cs="Times New Roman"/>
          <w:szCs w:val="28"/>
        </w:rPr>
        <w:t>gada aprīlī un maijā noslīdēja līdz 2016.</w:t>
      </w:r>
      <w:r>
        <w:rPr>
          <w:rFonts w:cs="Times New Roman"/>
          <w:szCs w:val="28"/>
        </w:rPr>
        <w:t xml:space="preserve"> </w:t>
      </w:r>
      <w:r w:rsidRPr="00E53059">
        <w:rPr>
          <w:rFonts w:cs="Times New Roman"/>
          <w:szCs w:val="28"/>
        </w:rPr>
        <w:t>gada vidējam līmenim, kad būvniecības produkcijas apjoms kopumā samazinājās par 16,6%. Tomēr jau pērnā gada jūnijā konfidences līmenis būvniecības nozarē sāka uzlaboties, tuvāk gada nogalei stabilizējoties.</w:t>
      </w:r>
    </w:p>
    <w:p w:rsidR="00BF4753" w:rsidRPr="00E53059" w:rsidRDefault="00BF4753" w:rsidP="00BF4753">
      <w:pPr>
        <w:rPr>
          <w:rFonts w:cs="Times New Roman"/>
          <w:szCs w:val="20"/>
        </w:rPr>
      </w:pPr>
      <w:r w:rsidRPr="00E53059">
        <w:rPr>
          <w:rFonts w:cs="Times New Roman"/>
          <w:szCs w:val="20"/>
        </w:rPr>
        <w:t>Investīcijas tehnoloģiskajās iekārtās un mašīnās, kas 2020.</w:t>
      </w:r>
      <w:r>
        <w:rPr>
          <w:rFonts w:cs="Times New Roman"/>
          <w:szCs w:val="20"/>
        </w:rPr>
        <w:t xml:space="preserve"> </w:t>
      </w:r>
      <w:r w:rsidRPr="00E53059">
        <w:rPr>
          <w:rFonts w:cs="Times New Roman"/>
          <w:szCs w:val="20"/>
        </w:rPr>
        <w:t>gadā veidoja 39,5% no kopējām investīcijām, salīdzinājumā ar iepriekšējo gadu samazinājās par 2,2%. Covid-19 krīze negatīvi ietekmēja jau tā vājo investoru aktivitāti jauno ieguldījumu veikšanā iekārtās un mašīnās. Neskatoties uz to, ka pirms pandēmijas investīciju apjoms šajos aktīvos bija augošs un 2019.</w:t>
      </w:r>
      <w:r>
        <w:rPr>
          <w:rFonts w:cs="Times New Roman"/>
          <w:szCs w:val="20"/>
        </w:rPr>
        <w:t xml:space="preserve"> </w:t>
      </w:r>
      <w:r w:rsidRPr="00E53059">
        <w:rPr>
          <w:rFonts w:cs="Times New Roman"/>
          <w:szCs w:val="20"/>
        </w:rPr>
        <w:t>gadā sasniedza augstāko līmeni desmitgadē, tas nebija pietiekošs, lai spētu būtiski veicināt un nodrošināt produktivitātes pieaugumu un inovāciju ieviešanu. Investīciju apjoms tehnoloģiskajās iekārtās un mašīnās 2019.</w:t>
      </w:r>
      <w:r>
        <w:rPr>
          <w:rFonts w:cs="Times New Roman"/>
          <w:szCs w:val="20"/>
        </w:rPr>
        <w:t xml:space="preserve"> </w:t>
      </w:r>
      <w:r w:rsidRPr="00E53059">
        <w:rPr>
          <w:rFonts w:cs="Times New Roman"/>
          <w:szCs w:val="20"/>
        </w:rPr>
        <w:t>-</w:t>
      </w:r>
      <w:r>
        <w:rPr>
          <w:rFonts w:cs="Times New Roman"/>
          <w:szCs w:val="20"/>
        </w:rPr>
        <w:t xml:space="preserve"> </w:t>
      </w:r>
      <w:r w:rsidRPr="00E53059">
        <w:rPr>
          <w:rFonts w:cs="Times New Roman"/>
          <w:szCs w:val="20"/>
        </w:rPr>
        <w:t>2020.</w:t>
      </w:r>
      <w:r>
        <w:rPr>
          <w:rFonts w:cs="Times New Roman"/>
          <w:szCs w:val="20"/>
        </w:rPr>
        <w:t xml:space="preserve"> </w:t>
      </w:r>
      <w:r w:rsidRPr="00E53059">
        <w:rPr>
          <w:rFonts w:cs="Times New Roman"/>
          <w:szCs w:val="20"/>
        </w:rPr>
        <w:t xml:space="preserve">gadā vidēji </w:t>
      </w:r>
      <w:r>
        <w:rPr>
          <w:rFonts w:cs="Times New Roman"/>
          <w:szCs w:val="20"/>
        </w:rPr>
        <w:t>bija 2,5 mljrd.</w:t>
      </w:r>
      <w:r w:rsidRPr="00E53059">
        <w:rPr>
          <w:rFonts w:cs="Times New Roman"/>
          <w:szCs w:val="20"/>
        </w:rPr>
        <w:t xml:space="preserve"> </w:t>
      </w:r>
      <w:r w:rsidRPr="00E53059">
        <w:rPr>
          <w:rFonts w:cs="Times New Roman"/>
          <w:i/>
          <w:szCs w:val="20"/>
        </w:rPr>
        <w:t>euro</w:t>
      </w:r>
      <w:r w:rsidRPr="00E53059">
        <w:rPr>
          <w:rFonts w:cs="Times New Roman"/>
          <w:szCs w:val="20"/>
        </w:rPr>
        <w:t>, kas atbilst vien 2005.</w:t>
      </w:r>
      <w:r>
        <w:rPr>
          <w:rFonts w:cs="Times New Roman"/>
          <w:szCs w:val="20"/>
        </w:rPr>
        <w:t xml:space="preserve"> </w:t>
      </w:r>
      <w:r w:rsidRPr="00E53059">
        <w:rPr>
          <w:rFonts w:cs="Times New Roman"/>
          <w:szCs w:val="20"/>
        </w:rPr>
        <w:t xml:space="preserve">gada līmenim. Tas norāda uz uzņēmēju piesardzību veikt investīcijas un paplašināt savu </w:t>
      </w:r>
      <w:r w:rsidRPr="00E53059">
        <w:rPr>
          <w:rFonts w:cs="Times New Roman"/>
          <w:color w:val="000000" w:themeColor="text1"/>
          <w:szCs w:val="20"/>
        </w:rPr>
        <w:t xml:space="preserve">uzņēmējdarbību. </w:t>
      </w:r>
      <w:r w:rsidRPr="00E53059">
        <w:rPr>
          <w:rFonts w:cs="Times New Roman"/>
          <w:szCs w:val="20"/>
        </w:rPr>
        <w:t>Savukārt Covid-19 sekas tikai pasliktina šo situāciju. Papildus tam jāatzīmē, ka aktuālākie apstrādes rūpniecības nozarē strādājošo uzņēmēju aptaujas dati par investīcijas ietekmējošiem faktoriem rāda, ka 56% no 2021.</w:t>
      </w:r>
      <w:r>
        <w:rPr>
          <w:rFonts w:cs="Times New Roman"/>
          <w:szCs w:val="20"/>
        </w:rPr>
        <w:t xml:space="preserve"> </w:t>
      </w:r>
      <w:r w:rsidRPr="00E53059">
        <w:rPr>
          <w:rFonts w:cs="Times New Roman"/>
          <w:szCs w:val="20"/>
        </w:rPr>
        <w:t xml:space="preserve">gadā plānotajām investīcijām būs vērstas uz veco iekārtu aizvietošanu un ražošanas procesu optimizāciju, bet tikai 30% uz ražošanas paplašināšanu. </w:t>
      </w:r>
    </w:p>
    <w:p w:rsidR="00BF4753" w:rsidRPr="00E53059" w:rsidRDefault="00BF4753" w:rsidP="00BF4753">
      <w:pPr>
        <w:rPr>
          <w:rFonts w:cs="Times New Roman"/>
          <w:szCs w:val="24"/>
        </w:rPr>
      </w:pPr>
      <w:r w:rsidRPr="00E53059">
        <w:rPr>
          <w:rFonts w:cs="Times New Roman"/>
          <w:szCs w:val="24"/>
        </w:rPr>
        <w:t xml:space="preserve">Pandēmijas dēļ tādās nozarēs kā izmitināšana, ēdināšana, izklaide un kultūra, kā arī transports, būtiski mazinājies apgrozījums un pasliktinājušies peļņas rādītāji. Visticamāk, šīs nozares atteiksies no jauniem kredītiem un investīciju veikšanas vidējā termiņā. Savukārt darba organizācijas ieradumu maiņa un masveidīga attālināta darba prakses ieviešana varētu mazināt pieprasījumu pēc birojiem, kas arī negatīvi ietekmēs investīciju aktivitāti. Tādējādi šajā ekonomikas krīzē būtiska loma ir valdības īstenotajiem ekonomikas atbalsta un izaugsmes veicināšanas pasākumiem. Salīdzinājumā ar iepriekšējo </w:t>
      </w:r>
      <w:r w:rsidRPr="00E53059">
        <w:rPr>
          <w:rFonts w:cs="Times New Roman"/>
          <w:szCs w:val="24"/>
        </w:rPr>
        <w:lastRenderedPageBreak/>
        <w:t xml:space="preserve">ekonomikas krīzi šobrīd Latvijas finanšu stāvoklis ir labāks un pieejamie finanšu resursi ir ievērojami plašāki. Valsts atbalsts uzņēmumiem, izmaksājot dīkstāves pabalstus, un grantu piešķiršana apgrozāmo līdzekļu plūsmas nodrošināšanai palīdz mazināt Covid-19 krīzes negatīvo ietekmi uz uzņēmumu darbību. Savukārt vidējā termiņā Latvijai būs pieejamas ES struktūrfondu investīcijas, Atveseļošanas un noturības mehānisma līdzekļi, kā arī investīcijas </w:t>
      </w:r>
      <w:r w:rsidRPr="00E53059">
        <w:rPr>
          <w:rFonts w:cs="Times New Roman"/>
          <w:i/>
          <w:szCs w:val="24"/>
        </w:rPr>
        <w:t>Rail Baltica</w:t>
      </w:r>
      <w:r w:rsidRPr="00E53059">
        <w:rPr>
          <w:rFonts w:cs="Times New Roman"/>
          <w:szCs w:val="24"/>
        </w:rPr>
        <w:t xml:space="preserve"> projekta realizācijai. Tādējādi valdībai būs būtiska loma investīciju aktivitātes veicināšanā. </w:t>
      </w:r>
    </w:p>
    <w:p w:rsidR="00BF4753" w:rsidRPr="00FE61A4" w:rsidRDefault="00BF4753" w:rsidP="00BF4753">
      <w:pPr>
        <w:pStyle w:val="H4"/>
        <w:ind w:left="0" w:firstLine="720"/>
        <w:jc w:val="both"/>
        <w:rPr>
          <w:rFonts w:ascii="Times New Roman" w:hAnsi="Times New Roman"/>
          <w:i/>
          <w:szCs w:val="24"/>
        </w:rPr>
      </w:pPr>
      <w:r w:rsidRPr="00FE61A4">
        <w:rPr>
          <w:rFonts w:ascii="Times New Roman" w:hAnsi="Times New Roman"/>
          <w:i/>
          <w:szCs w:val="24"/>
        </w:rPr>
        <w:t>Ārējā tirdzniecība</w:t>
      </w:r>
    </w:p>
    <w:p w:rsidR="00BF4753" w:rsidRPr="00FE61A4" w:rsidRDefault="00BF4753" w:rsidP="00BF4753">
      <w:pPr>
        <w:ind w:firstLine="709"/>
        <w:rPr>
          <w:rFonts w:cs="Times New Roman"/>
          <w:szCs w:val="24"/>
        </w:rPr>
      </w:pPr>
      <w:r w:rsidRPr="00FE61A4">
        <w:rPr>
          <w:rFonts w:cs="Times New Roman"/>
          <w:szCs w:val="24"/>
        </w:rPr>
        <w:t xml:space="preserve">Latvijas </w:t>
      </w:r>
      <w:r w:rsidRPr="00FE61A4">
        <w:rPr>
          <w:rFonts w:cs="Times New Roman"/>
          <w:b/>
          <w:szCs w:val="24"/>
        </w:rPr>
        <w:t>preču un pakalpojumu ārējās tirdzniecības apgrozījums</w:t>
      </w:r>
      <w:r w:rsidRPr="00FE61A4">
        <w:rPr>
          <w:rFonts w:cs="Times New Roman"/>
          <w:szCs w:val="24"/>
        </w:rPr>
        <w:t xml:space="preserve"> salīdzināmās cenās 2020.</w:t>
      </w:r>
      <w:r>
        <w:rPr>
          <w:rFonts w:cs="Times New Roman"/>
          <w:szCs w:val="24"/>
        </w:rPr>
        <w:t xml:space="preserve"> </w:t>
      </w:r>
      <w:r w:rsidRPr="00FE61A4">
        <w:rPr>
          <w:rFonts w:cs="Times New Roman"/>
          <w:szCs w:val="24"/>
        </w:rPr>
        <w:t>gadā samazinājās par 3,0%, uzrādot sliktāko sniegumu kopš 2010.</w:t>
      </w:r>
      <w:r>
        <w:rPr>
          <w:rFonts w:cs="Times New Roman"/>
          <w:szCs w:val="24"/>
        </w:rPr>
        <w:t xml:space="preserve"> </w:t>
      </w:r>
      <w:r w:rsidRPr="00FE61A4">
        <w:rPr>
          <w:rFonts w:cs="Times New Roman"/>
          <w:szCs w:val="24"/>
        </w:rPr>
        <w:t>gada. Covid-19 krīze vairāk ietekmēja preču un pakalpojumu importu, tam samazinoties par 3,3% salīdzinājumā ar 2019.</w:t>
      </w:r>
      <w:r>
        <w:rPr>
          <w:rFonts w:cs="Times New Roman"/>
          <w:szCs w:val="24"/>
        </w:rPr>
        <w:t xml:space="preserve"> </w:t>
      </w:r>
      <w:r w:rsidRPr="00FE61A4">
        <w:rPr>
          <w:rFonts w:cs="Times New Roman"/>
          <w:szCs w:val="24"/>
        </w:rPr>
        <w:t>gadu. Savukārt eksports salīdzināmās cenās samazinājās par 2,7%, ko ietekmēja straujš pakalpojumu eksporta kritums. Latvijas preču un pakalpojumu eksports pērnajā gadā samazinājies pirmo reizi 11 gadu laikā, tomēr eksporta kritums b</w:t>
      </w:r>
      <w:r>
        <w:rPr>
          <w:rFonts w:cs="Times New Roman"/>
          <w:szCs w:val="24"/>
        </w:rPr>
        <w:t>ija viens no mazākajiem starp Eiropas Savienības</w:t>
      </w:r>
      <w:r w:rsidRPr="00FE61A4">
        <w:rPr>
          <w:rFonts w:cs="Times New Roman"/>
          <w:szCs w:val="24"/>
        </w:rPr>
        <w:t xml:space="preserve"> valstīm</w:t>
      </w:r>
      <w:r>
        <w:rPr>
          <w:rFonts w:cs="Times New Roman"/>
          <w:szCs w:val="24"/>
        </w:rPr>
        <w:t xml:space="preserve"> un būtiski zemāks nekā vidēji Eiropas Savienībā</w:t>
      </w:r>
      <w:r w:rsidRPr="00FE61A4">
        <w:rPr>
          <w:rFonts w:cs="Times New Roman"/>
          <w:szCs w:val="24"/>
        </w:rPr>
        <w:t xml:space="preserve"> (-8,8%), tādējādi apliecinot savu konkurētspēju un noturību pandēmijas periodā. Zemāks</w:t>
      </w:r>
      <w:r>
        <w:rPr>
          <w:rFonts w:cs="Times New Roman"/>
          <w:szCs w:val="24"/>
        </w:rPr>
        <w:t xml:space="preserve"> eksporta kritums nekā vidēji Eiropas Savienībā</w:t>
      </w:r>
      <w:r w:rsidRPr="00FE61A4">
        <w:rPr>
          <w:rFonts w:cs="Times New Roman"/>
          <w:szCs w:val="24"/>
        </w:rPr>
        <w:t xml:space="preserve"> ir saistīts ar vairākiem faktoriem. Pirmkārt, 2020.</w:t>
      </w:r>
      <w:r>
        <w:rPr>
          <w:rFonts w:cs="Times New Roman"/>
          <w:szCs w:val="24"/>
        </w:rPr>
        <w:t xml:space="preserve"> </w:t>
      </w:r>
      <w:r w:rsidRPr="00FE61A4">
        <w:rPr>
          <w:rFonts w:cs="Times New Roman"/>
          <w:szCs w:val="24"/>
        </w:rPr>
        <w:t>gadā kopumā epidemioloģiskā situācija Latvijā bija labāka nekā lielākajā daļā</w:t>
      </w:r>
      <w:r>
        <w:rPr>
          <w:rFonts w:cs="Times New Roman"/>
          <w:szCs w:val="24"/>
        </w:rPr>
        <w:t xml:space="preserve"> Eiropas Savienības</w:t>
      </w:r>
      <w:r w:rsidRPr="00FE61A4">
        <w:rPr>
          <w:rFonts w:cs="Times New Roman"/>
          <w:szCs w:val="24"/>
        </w:rPr>
        <w:t xml:space="preserve"> valstu</w:t>
      </w:r>
      <w:r w:rsidRPr="00FE61A4">
        <w:rPr>
          <w:rFonts w:cs="Times New Roman"/>
          <w:szCs w:val="24"/>
          <w:shd w:val="clear" w:color="auto" w:fill="FFFFFF"/>
        </w:rPr>
        <w:t xml:space="preserve">, kas ļāva ražojošajiem uzņēmumiem turpināt darbu. Otrkārt, Latvijā ir mazāks ar tūrisma nozari saistīto pakalpojumu īpatsvars pakalpojumu eksportā, it īpaši salīdzinājumā ar Dienvideiropas valstīm. Treškārt, rekordaugstā graudaugu raža Latvijā, kas veicināja graudaugu eksportu. </w:t>
      </w:r>
      <w:r w:rsidRPr="00FE61A4">
        <w:rPr>
          <w:rFonts w:cs="Times New Roman"/>
          <w:szCs w:val="24"/>
        </w:rPr>
        <w:t xml:space="preserve">Ņemot vērā, ka Latvijas reālā </w:t>
      </w:r>
      <w:r>
        <w:rPr>
          <w:rFonts w:cs="Times New Roman"/>
          <w:szCs w:val="24"/>
        </w:rPr>
        <w:t>iekšzemes kopprodukta</w:t>
      </w:r>
      <w:r w:rsidRPr="00FE61A4">
        <w:rPr>
          <w:rFonts w:cs="Times New Roman"/>
          <w:szCs w:val="24"/>
        </w:rPr>
        <w:t xml:space="preserve"> kritums bija straujāks nekā eksporta samazinājums, eksporta īpatsvars </w:t>
      </w:r>
      <w:r>
        <w:rPr>
          <w:rFonts w:cs="Times New Roman"/>
          <w:szCs w:val="24"/>
        </w:rPr>
        <w:t>iekšzemes kopproduktā</w:t>
      </w:r>
      <w:r w:rsidRPr="00FE61A4">
        <w:rPr>
          <w:rFonts w:cs="Times New Roman"/>
          <w:szCs w:val="24"/>
        </w:rPr>
        <w:t xml:space="preserve"> palielinājās līdz 63,9%, sasniedzot vēsturiski augstāko līmeni. Faktiskajās cenās kopējā preču un pakalpojumu eksporta vērtība 2020.</w:t>
      </w:r>
      <w:r>
        <w:rPr>
          <w:rFonts w:cs="Times New Roman"/>
          <w:szCs w:val="24"/>
        </w:rPr>
        <w:t xml:space="preserve"> </w:t>
      </w:r>
      <w:r w:rsidRPr="00FE61A4">
        <w:rPr>
          <w:rFonts w:cs="Times New Roman"/>
          <w:szCs w:val="24"/>
        </w:rPr>
        <w:t xml:space="preserve">gadā samazinājās par 3,5%. </w:t>
      </w:r>
    </w:p>
    <w:p w:rsidR="00BF4753" w:rsidRPr="00FE61A4" w:rsidRDefault="00BF4753" w:rsidP="00BF4753">
      <w:pPr>
        <w:ind w:firstLine="709"/>
        <w:rPr>
          <w:rFonts w:cs="Times New Roman"/>
          <w:szCs w:val="24"/>
        </w:rPr>
      </w:pPr>
      <w:r w:rsidRPr="00FE61A4">
        <w:rPr>
          <w:rFonts w:cs="Times New Roman"/>
          <w:szCs w:val="24"/>
        </w:rPr>
        <w:t>2020.</w:t>
      </w:r>
      <w:r>
        <w:rPr>
          <w:rFonts w:cs="Times New Roman"/>
          <w:szCs w:val="24"/>
        </w:rPr>
        <w:t xml:space="preserve"> </w:t>
      </w:r>
      <w:r w:rsidRPr="00FE61A4">
        <w:rPr>
          <w:rFonts w:cs="Times New Roman"/>
          <w:szCs w:val="24"/>
        </w:rPr>
        <w:t xml:space="preserve">gads Latvijas eksportētājiem bija ļoti izaicinošs, jo ekonomiskās aktivitātes kritums visā pasaulē, robežu slēgšana, izejvielu un starppatēriņa preču piegādes ķēžu traucējumi, </w:t>
      </w:r>
      <w:r w:rsidRPr="00FE61A4">
        <w:rPr>
          <w:rFonts w:eastAsia="Times New Roman" w:cs="Times New Roman"/>
          <w:szCs w:val="24"/>
          <w:lang w:eastAsia="lv-LV"/>
        </w:rPr>
        <w:t>nenoteiktība saistībā ar</w:t>
      </w:r>
      <w:r>
        <w:rPr>
          <w:rFonts w:eastAsia="Times New Roman" w:cs="Times New Roman"/>
          <w:szCs w:val="24"/>
          <w:lang w:eastAsia="lv-LV"/>
        </w:rPr>
        <w:t xml:space="preserve"> Lielbritānijas izstāšanos no Eiropas Savienības</w:t>
      </w:r>
      <w:r w:rsidRPr="00FE61A4">
        <w:rPr>
          <w:rFonts w:eastAsia="Times New Roman" w:cs="Times New Roman"/>
          <w:szCs w:val="24"/>
          <w:lang w:eastAsia="lv-LV"/>
        </w:rPr>
        <w:t>, kas ir viens no lielākajiem Latvijas eksporta tirgiem, negatīvi ietekmēja Latvijas preču eksporta attīstību. Tomēr par spīti pandēmijai un citiem negatīvajiem faktoriem, Latvijas preču eksporta vērtība 2020.</w:t>
      </w:r>
      <w:r>
        <w:rPr>
          <w:rFonts w:eastAsia="Times New Roman" w:cs="Times New Roman"/>
          <w:szCs w:val="24"/>
          <w:lang w:eastAsia="lv-LV"/>
        </w:rPr>
        <w:t xml:space="preserve"> </w:t>
      </w:r>
      <w:r w:rsidRPr="00FE61A4">
        <w:rPr>
          <w:rFonts w:eastAsia="Times New Roman" w:cs="Times New Roman"/>
          <w:szCs w:val="24"/>
          <w:lang w:eastAsia="lv-LV"/>
        </w:rPr>
        <w:t>gadā bija lielāka nekā 2019.</w:t>
      </w:r>
      <w:r>
        <w:rPr>
          <w:rFonts w:eastAsia="Times New Roman" w:cs="Times New Roman"/>
          <w:szCs w:val="24"/>
          <w:lang w:eastAsia="lv-LV"/>
        </w:rPr>
        <w:t xml:space="preserve"> </w:t>
      </w:r>
      <w:r w:rsidRPr="00FE61A4">
        <w:rPr>
          <w:rFonts w:eastAsia="Times New Roman" w:cs="Times New Roman"/>
          <w:szCs w:val="24"/>
          <w:lang w:eastAsia="lv-LV"/>
        </w:rPr>
        <w:t>gadā, palielinoties par 1,8% un tādējā</w:t>
      </w:r>
      <w:r>
        <w:rPr>
          <w:rFonts w:eastAsia="Times New Roman" w:cs="Times New Roman"/>
          <w:szCs w:val="24"/>
          <w:lang w:eastAsia="lv-LV"/>
        </w:rPr>
        <w:t>di sasniedzot 13,2 mljrd.</w:t>
      </w:r>
      <w:r w:rsidRPr="00FE61A4">
        <w:rPr>
          <w:rFonts w:eastAsia="Times New Roman" w:cs="Times New Roman"/>
          <w:szCs w:val="24"/>
          <w:lang w:eastAsia="lv-LV"/>
        </w:rPr>
        <w:t xml:space="preserve"> </w:t>
      </w:r>
      <w:r w:rsidRPr="00FE61A4">
        <w:rPr>
          <w:rFonts w:eastAsia="Times New Roman" w:cs="Times New Roman"/>
          <w:i/>
          <w:szCs w:val="24"/>
          <w:lang w:eastAsia="lv-LV"/>
        </w:rPr>
        <w:t>euro</w:t>
      </w:r>
      <w:r w:rsidRPr="00FE61A4">
        <w:rPr>
          <w:rFonts w:eastAsia="Times New Roman" w:cs="Times New Roman"/>
          <w:szCs w:val="24"/>
          <w:lang w:eastAsia="lv-LV"/>
        </w:rPr>
        <w:t xml:space="preserve"> faktiskajās cenās. Covid-19 krīzes negatīvā ietekme bija īpaši redzama pandēmijas sākumā, kad pērnā gada aprīlī un maijā, Latvijas preču eksporta kritums gada griezumā sasniedza 15%, kas bija </w:t>
      </w:r>
      <w:r w:rsidRPr="00FE61A4">
        <w:rPr>
          <w:rFonts w:cs="Times New Roman"/>
          <w:szCs w:val="24"/>
        </w:rPr>
        <w:t>straujākais eksporta samazinājums kopš 2009.</w:t>
      </w:r>
      <w:r>
        <w:rPr>
          <w:rFonts w:cs="Times New Roman"/>
          <w:szCs w:val="24"/>
        </w:rPr>
        <w:t xml:space="preserve"> </w:t>
      </w:r>
      <w:r w:rsidRPr="00FE61A4">
        <w:rPr>
          <w:rFonts w:cs="Times New Roman"/>
          <w:szCs w:val="24"/>
        </w:rPr>
        <w:t xml:space="preserve">gada oktobra. Pērnā gada vasarā ārējais pieprasījums </w:t>
      </w:r>
      <w:r w:rsidRPr="00FE61A4">
        <w:rPr>
          <w:rFonts w:cs="Times New Roman"/>
          <w:szCs w:val="24"/>
        </w:rPr>
        <w:lastRenderedPageBreak/>
        <w:t xml:space="preserve">stabilizējās, bet </w:t>
      </w:r>
      <w:r w:rsidRPr="00FE61A4">
        <w:rPr>
          <w:rFonts w:eastAsia="Times New Roman" w:cs="Times New Roman"/>
          <w:szCs w:val="24"/>
          <w:lang w:eastAsia="lv-LV"/>
        </w:rPr>
        <w:t xml:space="preserve">pozitīvu eksporta izaugsmi izdevās sasniegt tieši gada pēdējos mēnešos. </w:t>
      </w:r>
      <w:r w:rsidRPr="00FE61A4">
        <w:rPr>
          <w:rFonts w:cs="Times New Roman"/>
          <w:szCs w:val="24"/>
        </w:rPr>
        <w:t>Tā, pagājušā gada septembrī preču eksporta vērtība gada griezumā palielinājās par 13,7%, oktobrī par 8,4%, novembrī par 9,1% un decembrī par 12,5%, ko veicināja rekordaugstā graudaugu raža, koksnes un koka izstrādājumu eksports, kā arī elektroiekārtu reeksporta kāpums. Pašreizējos pandēmijas apstākļos, kad ārējā tirdzniecība visā pasaulē ir būtiski sarukusi, šādu Latvijas preču eksporta sniegumu gan 2020.</w:t>
      </w:r>
      <w:r>
        <w:rPr>
          <w:rFonts w:cs="Times New Roman"/>
          <w:szCs w:val="24"/>
        </w:rPr>
        <w:t xml:space="preserve"> </w:t>
      </w:r>
      <w:r w:rsidRPr="00FE61A4">
        <w:rPr>
          <w:rFonts w:cs="Times New Roman"/>
          <w:szCs w:val="24"/>
        </w:rPr>
        <w:t xml:space="preserve">gadā kopumā, gan pērnā gada nogalē var vērtēt kā pozitīvu. </w:t>
      </w:r>
    </w:p>
    <w:p w:rsidR="00BF4753" w:rsidRPr="00FE61A4" w:rsidRDefault="00BF4753" w:rsidP="00BF4753">
      <w:pPr>
        <w:ind w:firstLine="709"/>
        <w:rPr>
          <w:rFonts w:cs="Times New Roman"/>
          <w:szCs w:val="24"/>
        </w:rPr>
      </w:pPr>
      <w:r w:rsidRPr="00FE61A4">
        <w:rPr>
          <w:rFonts w:cs="Times New Roman"/>
          <w:szCs w:val="24"/>
        </w:rPr>
        <w:t>Lielāko devumu eksporta izaugsmē pērnajā gadā nodrošināja elektroierīces un elektroiekārtas, kā arī mehāniskās ierīces, to eksportam palielinoties par 16,0%. Šeit gan jāatzīmē, ka šo preču eksporta grupu labvēlīgi ietekmēja reeksporta apjoma pieaugums, jo strauji pieauguma tempi bija fiksēti telefonu aparātu, monitoru un projektoru, automātiskās datu apstrādes iekārtu eksportā. Uz to norāda arī importa dati, jo visām iepriekš minētajām precēm bija fiksēts straujš importa pieaugums. Šajā preču grupā fiksēts arī straujākais eksporta kāpums 2020.</w:t>
      </w:r>
      <w:r>
        <w:rPr>
          <w:rFonts w:cs="Times New Roman"/>
          <w:szCs w:val="24"/>
        </w:rPr>
        <w:t xml:space="preserve"> </w:t>
      </w:r>
      <w:r w:rsidRPr="00FE61A4">
        <w:rPr>
          <w:rFonts w:cs="Times New Roman"/>
          <w:szCs w:val="24"/>
        </w:rPr>
        <w:t>gadā kopumā, tādējādi nodrošinot 2,6 procentpunktus kopējā preču eksporta izaugsmē.</w:t>
      </w:r>
    </w:p>
    <w:p w:rsidR="00BF4753" w:rsidRPr="00FE61A4" w:rsidRDefault="00BF4753" w:rsidP="00BF4753">
      <w:pPr>
        <w:ind w:firstLine="709"/>
        <w:rPr>
          <w:rFonts w:cs="Times New Roman"/>
          <w:szCs w:val="24"/>
          <w:shd w:val="clear" w:color="auto" w:fill="FFFFFF"/>
        </w:rPr>
      </w:pPr>
      <w:r w:rsidRPr="00FE61A4">
        <w:rPr>
          <w:rFonts w:cs="Times New Roman"/>
          <w:szCs w:val="24"/>
        </w:rPr>
        <w:t>Būtisku devumu eksporta kāpumā 2020.</w:t>
      </w:r>
      <w:r>
        <w:rPr>
          <w:rFonts w:cs="Times New Roman"/>
          <w:szCs w:val="24"/>
        </w:rPr>
        <w:t xml:space="preserve"> </w:t>
      </w:r>
      <w:r w:rsidRPr="00FE61A4">
        <w:rPr>
          <w:rFonts w:cs="Times New Roman"/>
          <w:szCs w:val="24"/>
        </w:rPr>
        <w:t>gadā kopumā nodrošināja lauksaimniecības un pārtikas preces. Šīs preču grupas eksports salīdzinājumā ar 2019.</w:t>
      </w:r>
      <w:r>
        <w:rPr>
          <w:rFonts w:cs="Times New Roman"/>
          <w:szCs w:val="24"/>
        </w:rPr>
        <w:t xml:space="preserve"> </w:t>
      </w:r>
      <w:r w:rsidRPr="00FE61A4">
        <w:rPr>
          <w:rFonts w:cs="Times New Roman"/>
          <w:szCs w:val="24"/>
        </w:rPr>
        <w:t xml:space="preserve">gadu palielinājās par 6,0%. </w:t>
      </w:r>
      <w:r w:rsidRPr="00FE61A4">
        <w:rPr>
          <w:rFonts w:cs="Times New Roman"/>
          <w:szCs w:val="24"/>
          <w:shd w:val="clear" w:color="auto" w:fill="FFFFFF"/>
        </w:rPr>
        <w:t xml:space="preserve">Šeit visbūtiskākā ietekme bija graudaugu produktu un eļļas augu sēklu (rapša) eksportam, kas salīdzinājumā ar iepriekšējo gadu ir palielinājies attiecīgi par 19,3% un 52,8%. </w:t>
      </w:r>
      <w:r w:rsidRPr="00FE61A4">
        <w:rPr>
          <w:rFonts w:cs="Times New Roman"/>
          <w:szCs w:val="24"/>
        </w:rPr>
        <w:t xml:space="preserve">Graudaugu un </w:t>
      </w:r>
      <w:r w:rsidRPr="00FE61A4">
        <w:rPr>
          <w:rFonts w:cs="Times New Roman"/>
          <w:szCs w:val="24"/>
          <w:shd w:val="clear" w:color="auto" w:fill="FFFFFF"/>
        </w:rPr>
        <w:t xml:space="preserve">eļļas augu sēklu eksporta kāpumu veicināja rekordaugstā šo lauksaimniecības kultūru raža. Graudaugu eksporta vērtību veicināja arī cenu pieaugums pasaules biržās, saistībā ar ierobežoto graudaugu piedāvājumu un augošo pieprasījumu pasaulē kopumā. </w:t>
      </w:r>
    </w:p>
    <w:p w:rsidR="00BF4753" w:rsidRPr="00FE61A4" w:rsidRDefault="00BF4753" w:rsidP="00BF4753">
      <w:pPr>
        <w:ind w:firstLine="709"/>
        <w:rPr>
          <w:rFonts w:cs="Times New Roman"/>
          <w:szCs w:val="24"/>
          <w:shd w:val="clear" w:color="auto" w:fill="FFFFFF"/>
        </w:rPr>
      </w:pPr>
      <w:r w:rsidRPr="00FE61A4">
        <w:rPr>
          <w:rFonts w:cs="Times New Roman"/>
          <w:szCs w:val="24"/>
          <w:shd w:val="clear" w:color="auto" w:fill="FFFFFF"/>
        </w:rPr>
        <w:t>2020.</w:t>
      </w:r>
      <w:r>
        <w:rPr>
          <w:rFonts w:cs="Times New Roman"/>
          <w:szCs w:val="24"/>
          <w:shd w:val="clear" w:color="auto" w:fill="FFFFFF"/>
        </w:rPr>
        <w:t xml:space="preserve"> </w:t>
      </w:r>
      <w:r w:rsidRPr="00FE61A4">
        <w:rPr>
          <w:rFonts w:cs="Times New Roman"/>
          <w:szCs w:val="24"/>
          <w:shd w:val="clear" w:color="auto" w:fill="FFFFFF"/>
        </w:rPr>
        <w:t xml:space="preserve">gadā palielinājies arī ķīmiskās rūpniecības ražojumu un plastmasas izstrādājumu eksports, attiecīgi par 2,3% un 7,9%. </w:t>
      </w:r>
    </w:p>
    <w:p w:rsidR="00BF4753" w:rsidRPr="00FE61A4" w:rsidRDefault="00BF4753" w:rsidP="00BF4753">
      <w:pPr>
        <w:ind w:firstLine="709"/>
        <w:rPr>
          <w:rFonts w:cs="Times New Roman"/>
          <w:szCs w:val="24"/>
        </w:rPr>
      </w:pPr>
      <w:r w:rsidRPr="00FE61A4">
        <w:rPr>
          <w:rFonts w:cs="Times New Roman"/>
          <w:szCs w:val="24"/>
          <w:shd w:val="clear" w:color="auto" w:fill="FFFFFF"/>
        </w:rPr>
        <w:t>Vienlaicīgi tādas preču eksporta grupās kā satiksmes līdzekļi, minerālprodukti un koksne 2020.</w:t>
      </w:r>
      <w:r>
        <w:rPr>
          <w:rFonts w:cs="Times New Roman"/>
          <w:szCs w:val="24"/>
          <w:shd w:val="clear" w:color="auto" w:fill="FFFFFF"/>
        </w:rPr>
        <w:t xml:space="preserve"> </w:t>
      </w:r>
      <w:r w:rsidRPr="00FE61A4">
        <w:rPr>
          <w:rFonts w:cs="Times New Roman"/>
          <w:szCs w:val="24"/>
          <w:shd w:val="clear" w:color="auto" w:fill="FFFFFF"/>
        </w:rPr>
        <w:t xml:space="preserve">gadā bija fiksēts būtisks eksporta kritums. </w:t>
      </w:r>
      <w:r w:rsidRPr="00FE61A4">
        <w:rPr>
          <w:rFonts w:cs="Times New Roman"/>
          <w:szCs w:val="24"/>
        </w:rPr>
        <w:t>Satiksmes līdzekļu eksports salīdzinājumā ar 2019.</w:t>
      </w:r>
      <w:r>
        <w:rPr>
          <w:rFonts w:cs="Times New Roman"/>
          <w:szCs w:val="24"/>
        </w:rPr>
        <w:t xml:space="preserve"> </w:t>
      </w:r>
      <w:r w:rsidRPr="00FE61A4">
        <w:rPr>
          <w:rFonts w:cs="Times New Roman"/>
          <w:szCs w:val="24"/>
        </w:rPr>
        <w:t xml:space="preserve">gadu samazinājās par 17,0%. Eksporta kritums šajā preču grupā bija tiešā veidā saistīts ar pandēmijas sekām un pieprasījuma samazinājumu. Tādējādi eksporta kritums bija fiksēts praktiski visiem satiksmes līdzekļu veidiem. Tomēr lielākais samazinājums bija fiksēts automobiļu un to detaļu eksportā – kopumā par 18,6%. Automobiļu un to detaļu eksports samazinājies uz Igauniju, Lietuvu, Zviedriju un Krieviju. Minerālproduktu eksports samazinājās par 17,0%, ko noteica elektroenerģijas un naftas produktu eksporta kritums. Elektroenerģijas eksportu negatīvi ietekmēja gan </w:t>
      </w:r>
      <w:r w:rsidRPr="00FE61A4">
        <w:rPr>
          <w:rFonts w:eastAsia="Calibri" w:cs="Times New Roman"/>
          <w:szCs w:val="24"/>
        </w:rPr>
        <w:t xml:space="preserve">elektroenerģijas cenu samazinājums, gan elektroenerģijas patēriņa kritums Baltijas valstīs. Savukārt naftas </w:t>
      </w:r>
      <w:r w:rsidRPr="00FE61A4">
        <w:rPr>
          <w:rFonts w:cs="Times New Roman"/>
          <w:szCs w:val="24"/>
        </w:rPr>
        <w:t>pārstrādes produktu</w:t>
      </w:r>
      <w:r w:rsidRPr="00FE61A4">
        <w:rPr>
          <w:rFonts w:eastAsia="Calibri" w:cs="Times New Roman"/>
          <w:szCs w:val="24"/>
        </w:rPr>
        <w:t xml:space="preserve"> eksporta kritumu ietekmēja naftas cenu kritums pasaules biržās, kā arī </w:t>
      </w:r>
      <w:r w:rsidRPr="00FE61A4">
        <w:rPr>
          <w:rFonts w:cs="Times New Roman"/>
          <w:szCs w:val="24"/>
        </w:rPr>
        <w:t>zemāks naftas produktu apgrozījums Latvijas ostās.</w:t>
      </w:r>
    </w:p>
    <w:p w:rsidR="00BF4753" w:rsidRPr="00FE61A4" w:rsidRDefault="00BF4753" w:rsidP="00BF4753">
      <w:pPr>
        <w:ind w:firstLine="709"/>
        <w:rPr>
          <w:rFonts w:cs="Times New Roman"/>
          <w:szCs w:val="24"/>
        </w:rPr>
      </w:pPr>
      <w:r w:rsidRPr="00FE61A4">
        <w:rPr>
          <w:rFonts w:cs="Times New Roman"/>
          <w:szCs w:val="24"/>
        </w:rPr>
        <w:lastRenderedPageBreak/>
        <w:t>Lai arī 2020.</w:t>
      </w:r>
      <w:r>
        <w:rPr>
          <w:rFonts w:cs="Times New Roman"/>
          <w:szCs w:val="24"/>
        </w:rPr>
        <w:t xml:space="preserve"> </w:t>
      </w:r>
      <w:r w:rsidRPr="00FE61A4">
        <w:rPr>
          <w:rFonts w:cs="Times New Roman"/>
          <w:szCs w:val="24"/>
        </w:rPr>
        <w:t>gada nogalē koksnes un koka izstrādājumu eksports strauji pieauga, it īpaši uz Apvienoto Karalisti, tomēr pērnajā gadā kopumā šīs preču grupas eksporta vērtība ir samazinājusies par 2,8%. Kritumu noteica neapstrādāto kokmateriālu, garumā sazāģēto, kā arī kokskaidu plātņu eksporta kritums uz Zviedriju, Poliju, Ķīnu, Vāciju 2020.</w:t>
      </w:r>
      <w:r>
        <w:rPr>
          <w:rFonts w:cs="Times New Roman"/>
          <w:szCs w:val="24"/>
        </w:rPr>
        <w:t xml:space="preserve"> </w:t>
      </w:r>
      <w:r w:rsidRPr="00FE61A4">
        <w:rPr>
          <w:rFonts w:cs="Times New Roman"/>
          <w:szCs w:val="24"/>
        </w:rPr>
        <w:t>gadā pirmajā pusē. Straujais koksnes un koka izstrādājumu eksporta kāpums uz Apvienoto Karalisti gada nogalē nespēja kompensēt šis preču grupas eksporta samazinājumu uz citiem tirgiem. Koka un koka izstrādājumu eksports uz Apvienoto Karalisti 2020.</w:t>
      </w:r>
      <w:r>
        <w:rPr>
          <w:rFonts w:cs="Times New Roman"/>
          <w:szCs w:val="24"/>
        </w:rPr>
        <w:t xml:space="preserve"> </w:t>
      </w:r>
      <w:r w:rsidRPr="00FE61A4">
        <w:rPr>
          <w:rFonts w:cs="Times New Roman"/>
          <w:szCs w:val="24"/>
        </w:rPr>
        <w:t>gadā kopumā palielinājās par 7,6%. Pozitīvi vērtējams, ka 2020.</w:t>
      </w:r>
      <w:r>
        <w:rPr>
          <w:rFonts w:cs="Times New Roman"/>
          <w:szCs w:val="24"/>
        </w:rPr>
        <w:t xml:space="preserve"> </w:t>
      </w:r>
      <w:r w:rsidRPr="00FE61A4">
        <w:rPr>
          <w:rFonts w:cs="Times New Roman"/>
          <w:szCs w:val="24"/>
        </w:rPr>
        <w:t>gada decembrī starp Apvienoto Karalisti un ES tika panākta vienošanās par tirdzniecības nosacījumiem un muitas tarifu nepielietošanu, sākot ar 2021.</w:t>
      </w:r>
      <w:r>
        <w:rPr>
          <w:rFonts w:cs="Times New Roman"/>
          <w:szCs w:val="24"/>
        </w:rPr>
        <w:t xml:space="preserve"> </w:t>
      </w:r>
      <w:r w:rsidRPr="00FE61A4">
        <w:rPr>
          <w:rFonts w:cs="Times New Roman"/>
          <w:szCs w:val="24"/>
        </w:rPr>
        <w:t xml:space="preserve">gadu. </w:t>
      </w:r>
    </w:p>
    <w:p w:rsidR="00BF4753" w:rsidRPr="00FE61A4" w:rsidRDefault="00BF4753" w:rsidP="00BF4753">
      <w:pPr>
        <w:rPr>
          <w:rFonts w:cs="Times New Roman"/>
          <w:szCs w:val="20"/>
        </w:rPr>
      </w:pPr>
      <w:r w:rsidRPr="00FE61A4">
        <w:rPr>
          <w:rFonts w:cs="Times New Roman"/>
          <w:szCs w:val="20"/>
        </w:rPr>
        <w:t>Ja Covid-19 pandēmijas negatīvā ietekme uz preču eksportu bija samērā īslaicīga, tad ietekme uz pakalpojumu eksportu vērojama joprojām. Kopumā pakalpojumu eksporta vērtība 2020.</w:t>
      </w:r>
      <w:r>
        <w:rPr>
          <w:rFonts w:cs="Times New Roman"/>
          <w:szCs w:val="20"/>
        </w:rPr>
        <w:t xml:space="preserve"> </w:t>
      </w:r>
      <w:r w:rsidRPr="00FE61A4">
        <w:rPr>
          <w:rFonts w:cs="Times New Roman"/>
          <w:szCs w:val="20"/>
        </w:rPr>
        <w:t>gadā samazinājās par 21,2%. Spēcīgākā ietekme vērojama transporta pakalpojumu eksportā, kur eksporta vērtība saruka par 34,2% salīdzinājumā ar 2019.</w:t>
      </w:r>
      <w:r>
        <w:rPr>
          <w:rFonts w:cs="Times New Roman"/>
          <w:szCs w:val="20"/>
        </w:rPr>
        <w:t xml:space="preserve"> </w:t>
      </w:r>
      <w:r w:rsidRPr="00FE61A4">
        <w:rPr>
          <w:rFonts w:cs="Times New Roman"/>
          <w:szCs w:val="20"/>
        </w:rPr>
        <w:t>gadu, tādējādi izskaidrojot gandrīz divas trešdaļas no kopējā pakalpojumu eksporta krituma. Transporta pakalpojumu eksports sāka samazināties vēl 2019.</w:t>
      </w:r>
      <w:r>
        <w:rPr>
          <w:rFonts w:cs="Times New Roman"/>
          <w:szCs w:val="20"/>
        </w:rPr>
        <w:t xml:space="preserve"> </w:t>
      </w:r>
      <w:r w:rsidRPr="00FE61A4">
        <w:rPr>
          <w:rFonts w:cs="Times New Roman"/>
          <w:szCs w:val="20"/>
        </w:rPr>
        <w:t>gada nogalē, ko negatīvi ietekmēja spēcīgs kritums jūras un dzelzceļa transporta pakalpojumos saistībā ar ogļu un naftas produktu kravu samazināšanos no Krievijas. 2020.</w:t>
      </w:r>
      <w:r>
        <w:rPr>
          <w:rFonts w:cs="Times New Roman"/>
          <w:szCs w:val="20"/>
        </w:rPr>
        <w:t xml:space="preserve"> </w:t>
      </w:r>
      <w:r w:rsidRPr="00FE61A4">
        <w:rPr>
          <w:rFonts w:cs="Times New Roman"/>
          <w:szCs w:val="20"/>
        </w:rPr>
        <w:t>gadā jūras un dzelzceļa transporta pakalpojumu eksports turpināja samazināties un kopumā bija par 30,0% un 46,1% mazāks nekā 2019.</w:t>
      </w:r>
      <w:r>
        <w:rPr>
          <w:rFonts w:cs="Times New Roman"/>
          <w:szCs w:val="20"/>
        </w:rPr>
        <w:t xml:space="preserve"> </w:t>
      </w:r>
      <w:r w:rsidRPr="00FE61A4">
        <w:rPr>
          <w:rFonts w:cs="Times New Roman"/>
          <w:szCs w:val="20"/>
        </w:rPr>
        <w:t>gadā. Savukārt no pērnā gada marta negatīvo ietekmi uz transporta pakalpojumu eksporta attīstību pastiprināja būtisks gaisa transporta pakalpojumu eksporta kritums saistībā ar pandēmiju un izsludināto ārkārtējo stāvokli gan Latvijā, gan citās pasaules valstīs.</w:t>
      </w:r>
    </w:p>
    <w:p w:rsidR="00BF4753" w:rsidRPr="00FE61A4" w:rsidRDefault="00BF4753" w:rsidP="00BF4753">
      <w:pPr>
        <w:rPr>
          <w:rFonts w:cs="Times New Roman"/>
          <w:szCs w:val="20"/>
        </w:rPr>
      </w:pPr>
      <w:r w:rsidRPr="00FE61A4">
        <w:rPr>
          <w:rFonts w:cs="Times New Roman"/>
          <w:szCs w:val="20"/>
        </w:rPr>
        <w:t>Tūrisma nozare visā pasaulē ir visvairāk cietusī nozare pandēmijas dēļ. Būtiski samazinoties iebraucošo tūristu skaitam, pieprasījums pēc gaisa transporta pakalpojumiem saruka. Latvijas gaisa transporta pakalpojumu eksporta vērtība 2020.</w:t>
      </w:r>
      <w:r>
        <w:rPr>
          <w:rFonts w:cs="Times New Roman"/>
          <w:szCs w:val="20"/>
        </w:rPr>
        <w:t xml:space="preserve"> </w:t>
      </w:r>
      <w:r w:rsidRPr="00FE61A4">
        <w:rPr>
          <w:rFonts w:cs="Times New Roman"/>
          <w:szCs w:val="20"/>
        </w:rPr>
        <w:t xml:space="preserve">gadā bija vien 127 milj. </w:t>
      </w:r>
      <w:r w:rsidRPr="00FE61A4">
        <w:rPr>
          <w:rFonts w:cs="Times New Roman"/>
          <w:i/>
          <w:szCs w:val="20"/>
        </w:rPr>
        <w:t>euro</w:t>
      </w:r>
      <w:r w:rsidRPr="00FE61A4">
        <w:rPr>
          <w:rFonts w:cs="Times New Roman"/>
          <w:szCs w:val="20"/>
        </w:rPr>
        <w:t xml:space="preserve"> pretstatā 537 milj. </w:t>
      </w:r>
      <w:r w:rsidRPr="00FE61A4">
        <w:rPr>
          <w:rFonts w:cs="Times New Roman"/>
          <w:i/>
          <w:szCs w:val="20"/>
        </w:rPr>
        <w:t xml:space="preserve">euro </w:t>
      </w:r>
      <w:r w:rsidRPr="00FE61A4">
        <w:rPr>
          <w:rFonts w:cs="Times New Roman"/>
          <w:szCs w:val="20"/>
        </w:rPr>
        <w:t>2019.</w:t>
      </w:r>
      <w:r>
        <w:rPr>
          <w:rFonts w:cs="Times New Roman"/>
          <w:szCs w:val="20"/>
        </w:rPr>
        <w:t xml:space="preserve"> </w:t>
      </w:r>
      <w:r w:rsidRPr="00FE61A4">
        <w:rPr>
          <w:rFonts w:cs="Times New Roman"/>
          <w:szCs w:val="20"/>
        </w:rPr>
        <w:t>gadā, kas ir 76,4% kritums. Tādējādi gaisa transporta pakalpojumu eksports ir samazinājies līdz 2005.</w:t>
      </w:r>
      <w:r>
        <w:rPr>
          <w:rFonts w:cs="Times New Roman"/>
          <w:szCs w:val="20"/>
        </w:rPr>
        <w:t xml:space="preserve"> </w:t>
      </w:r>
      <w:r w:rsidRPr="00FE61A4">
        <w:rPr>
          <w:rFonts w:cs="Times New Roman"/>
          <w:szCs w:val="20"/>
        </w:rPr>
        <w:t xml:space="preserve">gada līmenim. </w:t>
      </w:r>
    </w:p>
    <w:p w:rsidR="00BF4753" w:rsidRPr="00FE61A4" w:rsidRDefault="00BF4753" w:rsidP="00BF4753">
      <w:pPr>
        <w:rPr>
          <w:rFonts w:cs="Times New Roman"/>
          <w:szCs w:val="20"/>
        </w:rPr>
      </w:pPr>
      <w:r w:rsidRPr="00FE61A4">
        <w:rPr>
          <w:rFonts w:cs="Times New Roman"/>
          <w:szCs w:val="20"/>
        </w:rPr>
        <w:t>Autotransporta pakalpojumu eksports pandēmijas dēļ cieta vismazāk, 2020.</w:t>
      </w:r>
      <w:r>
        <w:rPr>
          <w:rFonts w:cs="Times New Roman"/>
          <w:szCs w:val="20"/>
        </w:rPr>
        <w:t xml:space="preserve"> </w:t>
      </w:r>
      <w:r w:rsidRPr="00FE61A4">
        <w:rPr>
          <w:rFonts w:cs="Times New Roman"/>
          <w:szCs w:val="20"/>
        </w:rPr>
        <w:t xml:space="preserve">gadā samazinoties par 7,3%. Mazāks autotransporta eksporta kritums salīdzinājumā ar pārējiem transporta pakalpojumu veidiem saistīts ar to, ka kravu pārvadājumiem nebija ieviesti tik strikti ierobežojumi kā pasažieru pārvadājumiem. </w:t>
      </w:r>
    </w:p>
    <w:p w:rsidR="00BF4753" w:rsidRPr="00FE61A4" w:rsidRDefault="00BF4753" w:rsidP="00BF4753">
      <w:pPr>
        <w:rPr>
          <w:rFonts w:cs="Times New Roman"/>
          <w:szCs w:val="24"/>
        </w:rPr>
      </w:pPr>
      <w:r w:rsidRPr="00FE61A4">
        <w:rPr>
          <w:rFonts w:cs="Times New Roman"/>
          <w:szCs w:val="20"/>
        </w:rPr>
        <w:t>Robežu slēgšana, karantīnas ieviešana un cilvēku pulcēšanās ierobežojumi būtisk</w:t>
      </w:r>
      <w:r w:rsidRPr="00FE61A4">
        <w:rPr>
          <w:rFonts w:cs="Times New Roman"/>
          <w:szCs w:val="24"/>
        </w:rPr>
        <w:t xml:space="preserve">i ietekmēja iebraukušo ārvalstu tūristu skaitu Latvijā. Pērnajā gadā </w:t>
      </w:r>
      <w:r w:rsidRPr="00FE61A4">
        <w:rPr>
          <w:rFonts w:eastAsia="Calibri" w:cs="Times New Roman"/>
          <w:szCs w:val="24"/>
        </w:rPr>
        <w:t>ārvalstu tūristu skaits Latvijā ir samazinājies par 63%.</w:t>
      </w:r>
      <w:r w:rsidRPr="00FE61A4">
        <w:rPr>
          <w:rFonts w:cs="Times New Roman"/>
          <w:szCs w:val="24"/>
        </w:rPr>
        <w:t xml:space="preserve"> Tādējādi būtiski saruka arī ārvalstu tūristu izdevumi, kopumā par 55,5% salīdzinājumā ar 2019.</w:t>
      </w:r>
      <w:r>
        <w:rPr>
          <w:rFonts w:cs="Times New Roman"/>
          <w:szCs w:val="24"/>
        </w:rPr>
        <w:t xml:space="preserve"> </w:t>
      </w:r>
      <w:r w:rsidRPr="00FE61A4">
        <w:rPr>
          <w:rFonts w:cs="Times New Roman"/>
          <w:szCs w:val="24"/>
        </w:rPr>
        <w:t xml:space="preserve">gadu. </w:t>
      </w:r>
    </w:p>
    <w:p w:rsidR="00BF4753" w:rsidRPr="00FE61A4" w:rsidRDefault="00BF4753" w:rsidP="00BF4753">
      <w:pPr>
        <w:ind w:firstLine="567"/>
        <w:rPr>
          <w:rFonts w:cs="Times New Roman"/>
          <w:szCs w:val="24"/>
        </w:rPr>
      </w:pPr>
      <w:r w:rsidRPr="00FE61A4">
        <w:rPr>
          <w:rFonts w:cs="Times New Roman"/>
          <w:szCs w:val="24"/>
        </w:rPr>
        <w:lastRenderedPageBreak/>
        <w:t xml:space="preserve">Tāpat kā eksports, arī </w:t>
      </w:r>
      <w:r w:rsidRPr="00FE61A4">
        <w:rPr>
          <w:rFonts w:cs="Times New Roman"/>
          <w:b/>
          <w:szCs w:val="24"/>
        </w:rPr>
        <w:t>preču un pakalpojumu imports</w:t>
      </w:r>
      <w:r w:rsidRPr="00FE61A4">
        <w:rPr>
          <w:rFonts w:cs="Times New Roman"/>
          <w:szCs w:val="24"/>
        </w:rPr>
        <w:t xml:space="preserve"> 2020.</w:t>
      </w:r>
      <w:r>
        <w:rPr>
          <w:rFonts w:cs="Times New Roman"/>
          <w:szCs w:val="24"/>
        </w:rPr>
        <w:t xml:space="preserve"> </w:t>
      </w:r>
      <w:r w:rsidRPr="00FE61A4">
        <w:rPr>
          <w:rFonts w:cs="Times New Roman"/>
          <w:szCs w:val="24"/>
        </w:rPr>
        <w:t>gadā saruka. Mazinoties ekonomikas aktivitātei Latvijā, mazinājās arī pieprasījums pēc importa precēm, galvenokārt starppatēriņa precēm, kas tiek izmantotas ražošanas procesā. Savukārt ārējā pieprasījuma kritums negatīvi ietekmēja satiksmes līdzekļu reeksporta apjomus, tādējādi mazinot kapitālpreču importu. Kopējais preču un pakalpojumu imports salīdzināmās cenās 2020.</w:t>
      </w:r>
      <w:r>
        <w:rPr>
          <w:rFonts w:cs="Times New Roman"/>
          <w:szCs w:val="24"/>
        </w:rPr>
        <w:t xml:space="preserve"> </w:t>
      </w:r>
      <w:r w:rsidRPr="00FE61A4">
        <w:rPr>
          <w:rFonts w:cs="Times New Roman"/>
          <w:szCs w:val="24"/>
        </w:rPr>
        <w:t>gadā bija par 3,3% mazāks nekā iepriekšējā gadā. Ņemot vērā, ka importa kritums bija straujāks par eksportu, tādējād</w:t>
      </w:r>
      <w:r>
        <w:rPr>
          <w:rFonts w:cs="Times New Roman"/>
          <w:szCs w:val="24"/>
        </w:rPr>
        <w:t>i neto eksporta devums reālā iekšzemes kopprodukta</w:t>
      </w:r>
      <w:r w:rsidRPr="00FE61A4">
        <w:rPr>
          <w:rFonts w:cs="Times New Roman"/>
          <w:szCs w:val="24"/>
        </w:rPr>
        <w:t xml:space="preserve"> pieaugumā 2020.</w:t>
      </w:r>
      <w:r>
        <w:rPr>
          <w:rFonts w:cs="Times New Roman"/>
          <w:szCs w:val="24"/>
        </w:rPr>
        <w:t xml:space="preserve"> </w:t>
      </w:r>
      <w:r w:rsidRPr="00FE61A4">
        <w:rPr>
          <w:rFonts w:cs="Times New Roman"/>
          <w:szCs w:val="24"/>
        </w:rPr>
        <w:t>gadā bija pozitīvs, proti, 0,5 procentpunkti.</w:t>
      </w:r>
    </w:p>
    <w:p w:rsidR="00BF4753" w:rsidRPr="00FE61A4" w:rsidRDefault="00BF4753" w:rsidP="00BF4753">
      <w:pPr>
        <w:rPr>
          <w:rFonts w:cs="Times New Roman"/>
          <w:szCs w:val="24"/>
        </w:rPr>
      </w:pPr>
      <w:r w:rsidRPr="00FE61A4">
        <w:rPr>
          <w:rFonts w:cs="Times New Roman"/>
          <w:szCs w:val="20"/>
        </w:rPr>
        <w:t>Preču importa vērtība 2020.</w:t>
      </w:r>
      <w:r>
        <w:rPr>
          <w:rFonts w:cs="Times New Roman"/>
          <w:szCs w:val="20"/>
        </w:rPr>
        <w:t xml:space="preserve"> </w:t>
      </w:r>
      <w:r w:rsidRPr="00FE61A4">
        <w:rPr>
          <w:rFonts w:cs="Times New Roman"/>
          <w:szCs w:val="20"/>
        </w:rPr>
        <w:t xml:space="preserve">gadā faktiskajās cenās samazinājās par 5,1%. Zīmīgi, ka lielākie importa kritumi ir fiksēti tām pašām preču grupām kā eksportā, proti satiksmes līdzekļiem un minerālproduktiem. Lielākā negatīvā ietekme preču importā bija satiksmes līdzekļu importa samazinājumam par 33,9% jeb 695 milj. </w:t>
      </w:r>
      <w:r w:rsidRPr="00FE61A4">
        <w:rPr>
          <w:rFonts w:cs="Times New Roman"/>
          <w:i/>
          <w:szCs w:val="20"/>
        </w:rPr>
        <w:t xml:space="preserve">euro, </w:t>
      </w:r>
      <w:r w:rsidRPr="00FE61A4">
        <w:rPr>
          <w:rFonts w:cs="Times New Roman"/>
          <w:szCs w:val="20"/>
        </w:rPr>
        <w:t xml:space="preserve">kamēr kopējā </w:t>
      </w:r>
      <w:r w:rsidRPr="00FE61A4">
        <w:rPr>
          <w:rFonts w:cs="Times New Roman"/>
          <w:szCs w:val="24"/>
        </w:rPr>
        <w:t xml:space="preserve">preču importa vērtība samazinājās par 814 milj. </w:t>
      </w:r>
      <w:r w:rsidRPr="00FE61A4">
        <w:rPr>
          <w:rFonts w:cs="Times New Roman"/>
          <w:i/>
          <w:szCs w:val="24"/>
        </w:rPr>
        <w:t>euro</w:t>
      </w:r>
      <w:r w:rsidRPr="00FE61A4">
        <w:rPr>
          <w:rFonts w:cs="Times New Roman"/>
          <w:szCs w:val="24"/>
        </w:rPr>
        <w:t xml:space="preserve">, Satiksmes līdzekļu importa samazinājumu noteica automobiļu un gaisa kuģu importa samazinājums attiecīgi par 22,0% un 58,3%. Būtisks importa kritums fiksēts arī minerālproduktiem, kopumā par 31,3% jeb 456 milj. </w:t>
      </w:r>
      <w:r w:rsidRPr="00FE61A4">
        <w:rPr>
          <w:rFonts w:cs="Times New Roman"/>
          <w:i/>
          <w:szCs w:val="24"/>
        </w:rPr>
        <w:t>euro.</w:t>
      </w:r>
      <w:r w:rsidRPr="00FE61A4">
        <w:rPr>
          <w:rFonts w:cs="Times New Roman"/>
          <w:szCs w:val="24"/>
        </w:rPr>
        <w:t xml:space="preserve"> Šajā preču grupā importa samazinājumu noteica elektroenerģijas un naftas produktu importa samazinājums no Baltijas valstīm un Krievijas. </w:t>
      </w:r>
    </w:p>
    <w:p w:rsidR="00BF4753" w:rsidRPr="00FE61A4" w:rsidRDefault="00BF4753" w:rsidP="00BF4753">
      <w:pPr>
        <w:rPr>
          <w:rFonts w:cs="Times New Roman"/>
          <w:szCs w:val="24"/>
        </w:rPr>
      </w:pPr>
      <w:r w:rsidRPr="00FE61A4">
        <w:rPr>
          <w:rFonts w:cs="Times New Roman"/>
          <w:szCs w:val="24"/>
        </w:rPr>
        <w:t>Preču importa kritumu mazināja lauksaimniecības un pārtikas preču importa pieaugums par 5,4% salīdzinājumā ar 2019.</w:t>
      </w:r>
      <w:r>
        <w:rPr>
          <w:rFonts w:cs="Times New Roman"/>
          <w:szCs w:val="24"/>
        </w:rPr>
        <w:t xml:space="preserve"> </w:t>
      </w:r>
      <w:r w:rsidRPr="00FE61A4">
        <w:rPr>
          <w:rFonts w:cs="Times New Roman"/>
          <w:szCs w:val="24"/>
        </w:rPr>
        <w:t xml:space="preserve">gadu. Šo preču importa grupas pieaugumu veicināja augļu, eļļu, kafijas, tējas un graudaugu importa palielinājums. Savukārt elektroierīču un elektroiekārtu, kā arī mehānisko ierīču importu kāpumu par 6,4% galvenokārt veicināja telefonu aparātu, monitoru un projektoru importa pieaugums. </w:t>
      </w:r>
    </w:p>
    <w:p w:rsidR="00BF4753" w:rsidRPr="00FE61A4" w:rsidRDefault="00BF4753" w:rsidP="00BF4753">
      <w:pPr>
        <w:rPr>
          <w:rFonts w:cs="Times New Roman"/>
          <w:szCs w:val="20"/>
        </w:rPr>
      </w:pPr>
      <w:r w:rsidRPr="00FE61A4">
        <w:rPr>
          <w:rFonts w:cs="Times New Roman"/>
          <w:szCs w:val="20"/>
        </w:rPr>
        <w:t xml:space="preserve">Nozīmīga pandēmijas negatīvā ietekme redzama arī </w:t>
      </w:r>
      <w:r w:rsidRPr="00FE61A4">
        <w:rPr>
          <w:rFonts w:cs="Times New Roman"/>
          <w:b/>
          <w:szCs w:val="20"/>
        </w:rPr>
        <w:t>pakalpojumu importā</w:t>
      </w:r>
      <w:r w:rsidRPr="00FE61A4">
        <w:rPr>
          <w:rFonts w:cs="Times New Roman"/>
          <w:szCs w:val="20"/>
        </w:rPr>
        <w:t>, jo pakalpojumu importa vērtība 2020.gadā samazinājās par 18,2%. Uz Covid-19 pandēmijas radīto krīzi ātrāk ir reaģējis transporta pakalpojumu imports un Latvijas iedzīvotāju tēriņi ārvalstīs. Šo pakalpojumu importa vērtība samazinājās attiecīgi par 24,2% un 58,3%. Savukārt pārējo pakalpojumu imports palielinājies par 2,9%.</w:t>
      </w:r>
    </w:p>
    <w:p w:rsidR="00BF4753" w:rsidRPr="00FE61A4" w:rsidRDefault="00BF4753" w:rsidP="00BF4753">
      <w:pPr>
        <w:pStyle w:val="H4"/>
        <w:ind w:left="0" w:firstLine="720"/>
        <w:jc w:val="both"/>
        <w:rPr>
          <w:rFonts w:ascii="Times New Roman" w:hAnsi="Times New Roman"/>
          <w:i/>
          <w:szCs w:val="28"/>
        </w:rPr>
      </w:pPr>
      <w:r w:rsidRPr="00FE61A4">
        <w:rPr>
          <w:rFonts w:ascii="Times New Roman" w:hAnsi="Times New Roman"/>
          <w:i/>
          <w:szCs w:val="28"/>
        </w:rPr>
        <w:t>Tekošais konts</w:t>
      </w:r>
    </w:p>
    <w:p w:rsidR="00BF4753" w:rsidRPr="00FE61A4" w:rsidRDefault="00BF4753" w:rsidP="00BF4753">
      <w:pPr>
        <w:rPr>
          <w:rFonts w:cs="Times New Roman"/>
          <w:szCs w:val="28"/>
        </w:rPr>
      </w:pPr>
      <w:r w:rsidRPr="00FE61A4">
        <w:rPr>
          <w:rFonts w:cs="Times New Roman"/>
          <w:szCs w:val="28"/>
        </w:rPr>
        <w:t>Covid-19 pandēmijas izraisītās sekas ietekmēja arī Latvijas maksājumu bilances tekošo kontu. 2020.</w:t>
      </w:r>
      <w:r>
        <w:rPr>
          <w:rFonts w:cs="Times New Roman"/>
          <w:szCs w:val="28"/>
        </w:rPr>
        <w:t xml:space="preserve"> </w:t>
      </w:r>
      <w:r w:rsidRPr="00FE61A4">
        <w:rPr>
          <w:rFonts w:cs="Times New Roman"/>
          <w:szCs w:val="28"/>
        </w:rPr>
        <w:t xml:space="preserve">gadā tekošajā kontā bija fiksēts pārpalikums 866 milj. </w:t>
      </w:r>
      <w:r w:rsidRPr="00FE61A4">
        <w:rPr>
          <w:rFonts w:cs="Times New Roman"/>
          <w:i/>
          <w:szCs w:val="28"/>
        </w:rPr>
        <w:t>euro</w:t>
      </w:r>
      <w:r w:rsidRPr="00FE61A4">
        <w:rPr>
          <w:rFonts w:cs="Times New Roman"/>
          <w:szCs w:val="28"/>
        </w:rPr>
        <w:t xml:space="preserve"> apmērā pretstatā 197 milj. </w:t>
      </w:r>
      <w:r w:rsidRPr="00FE61A4">
        <w:rPr>
          <w:rFonts w:cs="Times New Roman"/>
          <w:i/>
          <w:szCs w:val="28"/>
        </w:rPr>
        <w:t>euro</w:t>
      </w:r>
      <w:r w:rsidRPr="00FE61A4">
        <w:rPr>
          <w:rFonts w:cs="Times New Roman"/>
          <w:szCs w:val="28"/>
        </w:rPr>
        <w:t xml:space="preserve"> deficītam 2019.</w:t>
      </w:r>
      <w:r>
        <w:rPr>
          <w:rFonts w:cs="Times New Roman"/>
          <w:szCs w:val="28"/>
        </w:rPr>
        <w:t xml:space="preserve"> </w:t>
      </w:r>
      <w:r w:rsidRPr="00FE61A4">
        <w:rPr>
          <w:rFonts w:cs="Times New Roman"/>
          <w:szCs w:val="28"/>
        </w:rPr>
        <w:t xml:space="preserve">gadā. Izmaiņas ir fiksētas visos tekošā konta apakškontos, tomēr noteicošo lomu pārpalikuma pieaugumā nodrošināja izmaiņas preču kontā. Palielinoties preču eksportam un vienlaicīgi samazinoties preču importam, preču konta deficīts samazinājās no 2677 milj. </w:t>
      </w:r>
      <w:r w:rsidRPr="00FE61A4">
        <w:rPr>
          <w:rFonts w:cs="Times New Roman"/>
          <w:i/>
          <w:szCs w:val="28"/>
        </w:rPr>
        <w:t>euro</w:t>
      </w:r>
      <w:r w:rsidRPr="00FE61A4">
        <w:rPr>
          <w:rFonts w:cs="Times New Roman"/>
          <w:szCs w:val="28"/>
        </w:rPr>
        <w:t xml:space="preserve"> 2019.</w:t>
      </w:r>
      <w:r>
        <w:rPr>
          <w:rFonts w:cs="Times New Roman"/>
          <w:szCs w:val="28"/>
        </w:rPr>
        <w:t xml:space="preserve"> </w:t>
      </w:r>
      <w:r w:rsidRPr="00FE61A4">
        <w:rPr>
          <w:rFonts w:cs="Times New Roman"/>
          <w:szCs w:val="28"/>
        </w:rPr>
        <w:t xml:space="preserve">gadā līdz 1474 milj. </w:t>
      </w:r>
      <w:r w:rsidRPr="00FE61A4">
        <w:rPr>
          <w:rFonts w:cs="Times New Roman"/>
          <w:i/>
          <w:szCs w:val="28"/>
        </w:rPr>
        <w:t>euro</w:t>
      </w:r>
      <w:r w:rsidRPr="00FE61A4">
        <w:rPr>
          <w:rFonts w:cs="Times New Roman"/>
          <w:szCs w:val="28"/>
        </w:rPr>
        <w:t xml:space="preserve"> 2020.</w:t>
      </w:r>
      <w:r>
        <w:rPr>
          <w:rFonts w:cs="Times New Roman"/>
          <w:szCs w:val="28"/>
        </w:rPr>
        <w:t xml:space="preserve"> </w:t>
      </w:r>
      <w:r w:rsidRPr="00FE61A4">
        <w:rPr>
          <w:rFonts w:cs="Times New Roman"/>
          <w:szCs w:val="28"/>
        </w:rPr>
        <w:t xml:space="preserve">gadā. </w:t>
      </w:r>
    </w:p>
    <w:p w:rsidR="00BF4753" w:rsidRPr="00FE61A4" w:rsidRDefault="00BF4753" w:rsidP="00BF4753">
      <w:pPr>
        <w:rPr>
          <w:rFonts w:cs="Times New Roman"/>
          <w:szCs w:val="28"/>
        </w:rPr>
      </w:pPr>
      <w:r w:rsidRPr="00FE61A4">
        <w:rPr>
          <w:rFonts w:cs="Times New Roman"/>
          <w:szCs w:val="28"/>
        </w:rPr>
        <w:lastRenderedPageBreak/>
        <w:t xml:space="preserve">Savukārt pakalpojumu konta bilance pērnajā gadā pasliktinājās. Ņemot vērā, ka pakalpojumu eksports ir samazinājies straujāk par importu, konta pārpalikums saruka par 609 milj. </w:t>
      </w:r>
      <w:r w:rsidRPr="00FE61A4">
        <w:rPr>
          <w:rFonts w:cs="Times New Roman"/>
          <w:i/>
          <w:szCs w:val="28"/>
        </w:rPr>
        <w:t>euro</w:t>
      </w:r>
      <w:r w:rsidRPr="00FE61A4">
        <w:rPr>
          <w:rFonts w:cs="Times New Roman"/>
          <w:szCs w:val="28"/>
        </w:rPr>
        <w:t xml:space="preserve"> līdz 1813 milj. </w:t>
      </w:r>
      <w:r w:rsidRPr="00FE61A4">
        <w:rPr>
          <w:rFonts w:cs="Times New Roman"/>
          <w:i/>
          <w:szCs w:val="28"/>
        </w:rPr>
        <w:t>euro</w:t>
      </w:r>
      <w:r w:rsidRPr="00FE61A4">
        <w:rPr>
          <w:rFonts w:cs="Times New Roman"/>
          <w:szCs w:val="28"/>
        </w:rPr>
        <w:t>. Tomēr kopumā ārējās tirdzniecības bilance 2020.</w:t>
      </w:r>
      <w:r>
        <w:rPr>
          <w:rFonts w:cs="Times New Roman"/>
          <w:szCs w:val="28"/>
        </w:rPr>
        <w:t xml:space="preserve"> </w:t>
      </w:r>
      <w:r w:rsidRPr="00FE61A4">
        <w:rPr>
          <w:rFonts w:cs="Times New Roman"/>
          <w:szCs w:val="28"/>
        </w:rPr>
        <w:t xml:space="preserve">gadā bija pozitīva un pakalpojumu konta pārpalikums bija par 339 milj. </w:t>
      </w:r>
      <w:r w:rsidRPr="00FE61A4">
        <w:rPr>
          <w:rFonts w:cs="Times New Roman"/>
          <w:i/>
          <w:szCs w:val="28"/>
        </w:rPr>
        <w:t>euro</w:t>
      </w:r>
      <w:r w:rsidRPr="00FE61A4">
        <w:rPr>
          <w:rFonts w:cs="Times New Roman"/>
          <w:szCs w:val="28"/>
        </w:rPr>
        <w:t xml:space="preserve"> lielāks nekā preču konta deficīts. Latvijas maksājumu bilances tekošā konta komponentes ir atspoguļotas 2.2.</w:t>
      </w:r>
      <w:r>
        <w:rPr>
          <w:rFonts w:cs="Times New Roman"/>
          <w:szCs w:val="28"/>
        </w:rPr>
        <w:t xml:space="preserve"> </w:t>
      </w:r>
      <w:r w:rsidRPr="00FE61A4">
        <w:rPr>
          <w:rFonts w:cs="Times New Roman"/>
          <w:szCs w:val="28"/>
        </w:rPr>
        <w:t xml:space="preserve">attēlā. </w:t>
      </w:r>
    </w:p>
    <w:p w:rsidR="00BF4753" w:rsidRPr="00FE61A4" w:rsidRDefault="00BF4753" w:rsidP="00BF4753">
      <w:pPr>
        <w:rPr>
          <w:rFonts w:cs="Times New Roman"/>
          <w:szCs w:val="28"/>
        </w:rPr>
      </w:pPr>
    </w:p>
    <w:p w:rsidR="00BF4753" w:rsidRPr="00FE61A4" w:rsidRDefault="00BF4753" w:rsidP="00BF4753">
      <w:pPr>
        <w:ind w:firstLine="0"/>
        <w:rPr>
          <w:rFonts w:cs="Times New Roman"/>
          <w:szCs w:val="28"/>
        </w:rPr>
      </w:pPr>
      <w:r w:rsidRPr="00FE61A4">
        <w:rPr>
          <w:noProof/>
          <w:szCs w:val="28"/>
          <w:lang w:eastAsia="lv-LV"/>
        </w:rPr>
        <w:drawing>
          <wp:inline distT="0" distB="0" distL="0" distR="0" wp14:anchorId="13CA66A9" wp14:editId="56D10FED">
            <wp:extent cx="5811981" cy="32829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F4753" w:rsidRPr="004440A2" w:rsidRDefault="00BF4753" w:rsidP="00BF4753">
      <w:pPr>
        <w:spacing w:after="120"/>
        <w:jc w:val="center"/>
        <w:rPr>
          <w:rFonts w:cs="Times New Roman"/>
          <w:b/>
          <w:i/>
          <w:sz w:val="24"/>
          <w:szCs w:val="28"/>
          <w:vertAlign w:val="superscript"/>
        </w:rPr>
      </w:pPr>
      <w:r w:rsidRPr="00FE61A4">
        <w:rPr>
          <w:rFonts w:cs="Times New Roman"/>
          <w:b/>
          <w:i/>
          <w:sz w:val="24"/>
          <w:szCs w:val="28"/>
        </w:rPr>
        <w:t>2.2</w:t>
      </w:r>
      <w:r>
        <w:rPr>
          <w:rFonts w:cs="Times New Roman"/>
          <w:b/>
          <w:i/>
          <w:sz w:val="24"/>
          <w:szCs w:val="28"/>
        </w:rPr>
        <w:t>. att</w:t>
      </w:r>
      <w:r w:rsidRPr="00FE61A4">
        <w:rPr>
          <w:rFonts w:cs="Times New Roman"/>
          <w:b/>
          <w:i/>
          <w:sz w:val="24"/>
          <w:szCs w:val="28"/>
        </w:rPr>
        <w:t>. Latvijas maksājumu bilances tekošā konta komponentes (milj. euro) un tekošais un</w:t>
      </w:r>
      <w:r>
        <w:rPr>
          <w:rFonts w:cs="Times New Roman"/>
          <w:b/>
          <w:i/>
          <w:sz w:val="24"/>
          <w:szCs w:val="28"/>
        </w:rPr>
        <w:t xml:space="preserve"> kapitāla konti procentos no </w:t>
      </w:r>
      <w:r w:rsidRPr="004440A2">
        <w:rPr>
          <w:rFonts w:cs="Times New Roman"/>
          <w:b/>
          <w:i/>
          <w:sz w:val="24"/>
          <w:szCs w:val="28"/>
        </w:rPr>
        <w:t xml:space="preserve">iekšzemes kopprodukta </w:t>
      </w:r>
      <w:r w:rsidRPr="00FE61A4">
        <w:rPr>
          <w:b/>
          <w:i/>
          <w:sz w:val="24"/>
          <w:szCs w:val="28"/>
          <w:vertAlign w:val="superscript"/>
        </w:rPr>
        <w:footnoteReference w:id="1"/>
      </w:r>
    </w:p>
    <w:p w:rsidR="00BF4753" w:rsidRPr="00CC3EAE" w:rsidRDefault="00BF4753" w:rsidP="00BF4753">
      <w:pPr>
        <w:rPr>
          <w:rFonts w:cs="Times New Roman"/>
          <w:szCs w:val="28"/>
        </w:rPr>
      </w:pPr>
      <w:r w:rsidRPr="00FE61A4">
        <w:rPr>
          <w:rFonts w:cs="Times New Roman"/>
          <w:szCs w:val="28"/>
        </w:rPr>
        <w:t>Sākotnējo ienākumu kontā 2020.</w:t>
      </w:r>
      <w:r>
        <w:rPr>
          <w:rFonts w:cs="Times New Roman"/>
          <w:szCs w:val="28"/>
        </w:rPr>
        <w:t xml:space="preserve"> </w:t>
      </w:r>
      <w:r w:rsidRPr="00FE61A4">
        <w:rPr>
          <w:rFonts w:cs="Times New Roman"/>
          <w:szCs w:val="28"/>
        </w:rPr>
        <w:t xml:space="preserve">gadā bija fiksēts pārpalikums 43 milj. </w:t>
      </w:r>
      <w:r w:rsidRPr="00FE61A4">
        <w:rPr>
          <w:rFonts w:cs="Times New Roman"/>
          <w:i/>
          <w:szCs w:val="28"/>
        </w:rPr>
        <w:t>euro</w:t>
      </w:r>
      <w:r w:rsidRPr="00FE61A4">
        <w:rPr>
          <w:rFonts w:cs="Times New Roman"/>
          <w:szCs w:val="28"/>
        </w:rPr>
        <w:t xml:space="preserve"> apmērā pretstatā 430 milj. </w:t>
      </w:r>
      <w:r w:rsidRPr="00FE61A4">
        <w:rPr>
          <w:rFonts w:cs="Times New Roman"/>
          <w:i/>
          <w:szCs w:val="28"/>
        </w:rPr>
        <w:t>euro</w:t>
      </w:r>
      <w:r w:rsidRPr="00FE61A4">
        <w:rPr>
          <w:rFonts w:cs="Times New Roman"/>
          <w:szCs w:val="28"/>
        </w:rPr>
        <w:t xml:space="preserve"> deficītam 2019.</w:t>
      </w:r>
      <w:r>
        <w:rPr>
          <w:rFonts w:cs="Times New Roman"/>
          <w:szCs w:val="28"/>
        </w:rPr>
        <w:t xml:space="preserve"> </w:t>
      </w:r>
      <w:r w:rsidRPr="00FE61A4">
        <w:rPr>
          <w:rFonts w:cs="Times New Roman"/>
          <w:szCs w:val="28"/>
        </w:rPr>
        <w:t xml:space="preserve">gadā. Šī konta bilances uzlabošanos lielā mērā noteica zemāks izmaksāto dividenžu apjoms ārvalstu investoriem, jo to apjoms samazinājies par 518 milj. </w:t>
      </w:r>
      <w:r w:rsidRPr="00FE61A4">
        <w:rPr>
          <w:rFonts w:cs="Times New Roman"/>
          <w:i/>
          <w:szCs w:val="28"/>
        </w:rPr>
        <w:t xml:space="preserve">euro. </w:t>
      </w:r>
      <w:r w:rsidRPr="00FE61A4">
        <w:rPr>
          <w:rFonts w:cs="Times New Roman"/>
          <w:szCs w:val="28"/>
        </w:rPr>
        <w:t xml:space="preserve">Savukārt otrreizējo ienākumu konta bilances izmaiņas bija nebūtiskas, jo pārpalikums samazinājies vien par 6 milj. </w:t>
      </w:r>
      <w:r w:rsidRPr="00FE61A4">
        <w:rPr>
          <w:rFonts w:cs="Times New Roman"/>
          <w:i/>
          <w:szCs w:val="28"/>
        </w:rPr>
        <w:t>euro</w:t>
      </w:r>
      <w:r w:rsidRPr="00FE61A4">
        <w:rPr>
          <w:rFonts w:cs="Times New Roman"/>
          <w:szCs w:val="28"/>
        </w:rPr>
        <w:t xml:space="preserve"> līdz 483 milj. </w:t>
      </w:r>
      <w:r w:rsidRPr="00FE61A4">
        <w:rPr>
          <w:rFonts w:cs="Times New Roman"/>
          <w:i/>
          <w:szCs w:val="28"/>
        </w:rPr>
        <w:t>euro</w:t>
      </w:r>
      <w:r>
        <w:rPr>
          <w:rFonts w:cs="Times New Roman"/>
          <w:szCs w:val="28"/>
        </w:rPr>
        <w:t>.</w:t>
      </w:r>
    </w:p>
    <w:p w:rsidR="00BF4753" w:rsidRPr="004440A2" w:rsidRDefault="00BF4753" w:rsidP="00BF4753">
      <w:pPr>
        <w:pStyle w:val="H4"/>
        <w:ind w:left="0" w:firstLine="720"/>
        <w:jc w:val="both"/>
        <w:rPr>
          <w:rFonts w:ascii="Times New Roman" w:hAnsi="Times New Roman"/>
          <w:i/>
          <w:szCs w:val="28"/>
        </w:rPr>
      </w:pPr>
      <w:r w:rsidRPr="004440A2">
        <w:rPr>
          <w:rFonts w:ascii="Times New Roman" w:hAnsi="Times New Roman"/>
          <w:i/>
          <w:szCs w:val="28"/>
        </w:rPr>
        <w:t>Inflācija</w:t>
      </w:r>
    </w:p>
    <w:p w:rsidR="00BF4753" w:rsidRPr="004440A2" w:rsidRDefault="00BF4753" w:rsidP="00BF4753">
      <w:pPr>
        <w:rPr>
          <w:rFonts w:cs="Times New Roman"/>
          <w:szCs w:val="28"/>
        </w:rPr>
      </w:pPr>
      <w:r w:rsidRPr="004440A2">
        <w:rPr>
          <w:rFonts w:cs="Times New Roman"/>
          <w:szCs w:val="28"/>
        </w:rPr>
        <w:t>2020.</w:t>
      </w:r>
      <w:r>
        <w:rPr>
          <w:rFonts w:cs="Times New Roman"/>
          <w:szCs w:val="28"/>
        </w:rPr>
        <w:t xml:space="preserve"> </w:t>
      </w:r>
      <w:r w:rsidRPr="004440A2">
        <w:rPr>
          <w:rFonts w:cs="Times New Roman"/>
          <w:szCs w:val="28"/>
        </w:rPr>
        <w:t>gadā salīdzinājumā ar iepriekšējo gadu patēriņa cenas Latvijā pieauga par 0,2%. Pandēmija būtiski izmainīja patēriņa cenu dinamiku gan Eiropā, gan Latvijā. Ja vēl pērn janvārī un februārī gada inflācija Latvijā pārsniedza 2%, tad 2020.</w:t>
      </w:r>
      <w:r>
        <w:rPr>
          <w:rFonts w:cs="Times New Roman"/>
          <w:szCs w:val="28"/>
        </w:rPr>
        <w:t xml:space="preserve"> </w:t>
      </w:r>
      <w:r w:rsidRPr="004440A2">
        <w:rPr>
          <w:rFonts w:cs="Times New Roman"/>
          <w:szCs w:val="28"/>
        </w:rPr>
        <w:t>gada maijā un jūnijā pirmo reizi kopš 2016.</w:t>
      </w:r>
      <w:r>
        <w:rPr>
          <w:rFonts w:cs="Times New Roman"/>
          <w:szCs w:val="28"/>
        </w:rPr>
        <w:t xml:space="preserve"> </w:t>
      </w:r>
      <w:r w:rsidRPr="004440A2">
        <w:rPr>
          <w:rFonts w:cs="Times New Roman"/>
          <w:szCs w:val="28"/>
        </w:rPr>
        <w:t xml:space="preserve">gada vidus bija fiksēta deflācija. Jūlijā bija atgriezusies inflācija un patēriņa cenas gada laikā pieauga par 0,5%, ko lielā mērā ietekmēja pārtikas cenu pieaugums. Savukārt jau </w:t>
      </w:r>
      <w:r w:rsidRPr="004440A2">
        <w:rPr>
          <w:rFonts w:cs="Times New Roman"/>
          <w:szCs w:val="28"/>
        </w:rPr>
        <w:lastRenderedPageBreak/>
        <w:t>augustā atkal bija fiksēta deflācija, ar paātrinājumu turpmākajos mēnešos līdz 2020.</w:t>
      </w:r>
      <w:r>
        <w:rPr>
          <w:rFonts w:cs="Times New Roman"/>
          <w:szCs w:val="28"/>
        </w:rPr>
        <w:t xml:space="preserve"> </w:t>
      </w:r>
      <w:r w:rsidRPr="004440A2">
        <w:rPr>
          <w:rFonts w:cs="Times New Roman"/>
          <w:szCs w:val="28"/>
        </w:rPr>
        <w:t>gada beigām. Strauju patēriņa cenu kritumu samērā īsā laika periodā noteica gan ārējie, gan iekšējie faktori, tomēr abos gadījumos cenu kritums ir saistīts ar Covid-19 pandēmijas izraisītajām sekām. Pandēmijas dēļ visā pasaulē ir samazinājusies ekonomiskā aktivitāte un pieprasījums pēc energoresursiem, tādējādi, naftas cena 2020.</w:t>
      </w:r>
      <w:r>
        <w:rPr>
          <w:rFonts w:cs="Times New Roman"/>
          <w:szCs w:val="28"/>
        </w:rPr>
        <w:t xml:space="preserve"> </w:t>
      </w:r>
      <w:r w:rsidRPr="004440A2">
        <w:rPr>
          <w:rFonts w:cs="Times New Roman"/>
          <w:szCs w:val="28"/>
        </w:rPr>
        <w:t>gada aprīlī būtiski samazinājās, sasniedzot zemāko līmeni pēdējo 16 gadu periodā. Tā rezultātā Latvijā strauji samazinājās gāzes, degvielas un siltumenerģijas cenas. Savukārt ārkārtējās situācijas izsludināšana gan Latvijā, gan pārējās pasaules valstīs un ieviestie pa</w:t>
      </w:r>
      <w:r>
        <w:rPr>
          <w:rFonts w:cs="Times New Roman"/>
          <w:szCs w:val="28"/>
        </w:rPr>
        <w:t>sākumiem cīņai pret Covid-19</w:t>
      </w:r>
      <w:r w:rsidRPr="004440A2">
        <w:rPr>
          <w:rFonts w:cs="Times New Roman"/>
          <w:szCs w:val="28"/>
        </w:rPr>
        <w:t xml:space="preserve"> izplatību, mazināja pieprasījumu ar tūrisma nozari saistītiem pakalpojumiem, kā piemēram, aviopārvadājumiem un izmitināšanas pakalpojumiem. Tā rezultātā saruka arī šo pakalpojumu cenas. Kopumā 2020.gadā preču cenas vidēji samazinājās par 0,5%, bet pakalpojumi vidēji bija par 1,9% dārgāki nekā iepriekšējā gadā. </w:t>
      </w:r>
    </w:p>
    <w:p w:rsidR="00BF4753" w:rsidRPr="004440A2" w:rsidRDefault="00BF4753" w:rsidP="00BF4753">
      <w:pPr>
        <w:rPr>
          <w:rFonts w:cs="Times New Roman"/>
          <w:szCs w:val="28"/>
        </w:rPr>
      </w:pPr>
      <w:r w:rsidRPr="004440A2">
        <w:rPr>
          <w:rFonts w:cs="Times New Roman"/>
          <w:szCs w:val="28"/>
        </w:rPr>
        <w:t>Patēriņa cenu izmaiņas 2020.</w:t>
      </w:r>
      <w:r>
        <w:rPr>
          <w:rFonts w:cs="Times New Roman"/>
          <w:szCs w:val="28"/>
        </w:rPr>
        <w:t xml:space="preserve"> </w:t>
      </w:r>
      <w:r w:rsidRPr="004440A2">
        <w:rPr>
          <w:rFonts w:cs="Times New Roman"/>
          <w:szCs w:val="28"/>
        </w:rPr>
        <w:t>gadā pa svarīgākajām preču un pakalpojumu grupām ir atspoguļotas 2.1. tabulā. Savukārt 2.3. attēlā ir atspoguļots devums gada inflācijā pēc izcelsmes avota pa mēnešiem laikā no 2019.</w:t>
      </w:r>
      <w:r>
        <w:rPr>
          <w:rFonts w:cs="Times New Roman"/>
          <w:szCs w:val="28"/>
        </w:rPr>
        <w:t xml:space="preserve"> </w:t>
      </w:r>
      <w:r w:rsidRPr="004440A2">
        <w:rPr>
          <w:rFonts w:cs="Times New Roman"/>
          <w:szCs w:val="28"/>
        </w:rPr>
        <w:t>gada janvāra līdz 2021.</w:t>
      </w:r>
      <w:r>
        <w:rPr>
          <w:rFonts w:cs="Times New Roman"/>
          <w:szCs w:val="28"/>
        </w:rPr>
        <w:t xml:space="preserve"> </w:t>
      </w:r>
      <w:r w:rsidRPr="004440A2">
        <w:rPr>
          <w:rFonts w:cs="Times New Roman"/>
          <w:szCs w:val="28"/>
        </w:rPr>
        <w:t xml:space="preserve">gada februārim. </w:t>
      </w:r>
    </w:p>
    <w:p w:rsidR="00BF4753" w:rsidRPr="004440A2" w:rsidRDefault="00BF4753" w:rsidP="00BF4753">
      <w:pPr>
        <w:rPr>
          <w:rFonts w:cs="Times New Roman"/>
          <w:szCs w:val="28"/>
        </w:rPr>
      </w:pPr>
    </w:p>
    <w:tbl>
      <w:tblPr>
        <w:tblStyle w:val="TableGrid"/>
        <w:tblW w:w="0" w:type="auto"/>
        <w:tblLook w:val="04A0" w:firstRow="1" w:lastRow="0" w:firstColumn="1" w:lastColumn="0" w:noHBand="0" w:noVBand="1"/>
      </w:tblPr>
      <w:tblGrid>
        <w:gridCol w:w="3196"/>
        <w:gridCol w:w="5875"/>
      </w:tblGrid>
      <w:tr w:rsidR="00BF4753" w:rsidRPr="004440A2" w:rsidTr="002D7CA8">
        <w:tc>
          <w:tcPr>
            <w:tcW w:w="2830" w:type="dxa"/>
            <w:tcBorders>
              <w:top w:val="nil"/>
              <w:left w:val="nil"/>
              <w:bottom w:val="nil"/>
              <w:right w:val="nil"/>
            </w:tcBorders>
          </w:tcPr>
          <w:tbl>
            <w:tblPr>
              <w:tblW w:w="3006" w:type="dxa"/>
              <w:tblCellMar>
                <w:left w:w="0" w:type="dxa"/>
                <w:right w:w="0" w:type="dxa"/>
              </w:tblCellMar>
              <w:tblLook w:val="0600" w:firstRow="0" w:lastRow="0" w:firstColumn="0" w:lastColumn="0" w:noHBand="1" w:noVBand="1"/>
            </w:tblPr>
            <w:tblGrid>
              <w:gridCol w:w="1763"/>
              <w:gridCol w:w="1243"/>
            </w:tblGrid>
            <w:tr w:rsidR="00BF4753" w:rsidRPr="004440A2" w:rsidTr="002D7CA8">
              <w:trPr>
                <w:trHeight w:val="361"/>
              </w:trPr>
              <w:tc>
                <w:tcPr>
                  <w:tcW w:w="1763" w:type="dxa"/>
                  <w:shd w:val="clear" w:color="auto" w:fill="BDD6EE" w:themeFill="accent1" w:themeFillTint="66"/>
                  <w:tcMar>
                    <w:top w:w="12" w:type="dxa"/>
                    <w:left w:w="12" w:type="dxa"/>
                    <w:bottom w:w="0" w:type="dxa"/>
                    <w:right w:w="12" w:type="dxa"/>
                  </w:tcMar>
                  <w:vAlign w:val="center"/>
                  <w:hideMark/>
                </w:tcPr>
                <w:p w:rsidR="00BF4753" w:rsidRPr="004440A2" w:rsidRDefault="00BF4753" w:rsidP="002D7CA8">
                  <w:pPr>
                    <w:ind w:left="-23" w:firstLine="0"/>
                    <w:jc w:val="center"/>
                    <w:rPr>
                      <w:rFonts w:cs="Times New Roman"/>
                      <w:sz w:val="20"/>
                      <w:szCs w:val="28"/>
                    </w:rPr>
                  </w:pPr>
                  <w:r w:rsidRPr="004440A2">
                    <w:rPr>
                      <w:rFonts w:cs="Times New Roman"/>
                      <w:b/>
                      <w:bCs/>
                      <w:sz w:val="20"/>
                      <w:szCs w:val="28"/>
                    </w:rPr>
                    <w:t>Grupas un apakšgrupas</w:t>
                  </w:r>
                </w:p>
              </w:tc>
              <w:tc>
                <w:tcPr>
                  <w:tcW w:w="1243" w:type="dxa"/>
                  <w:shd w:val="clear" w:color="auto" w:fill="BDD6EE" w:themeFill="accent1" w:themeFillTint="66"/>
                  <w:tcMar>
                    <w:top w:w="12" w:type="dxa"/>
                    <w:left w:w="12" w:type="dxa"/>
                    <w:bottom w:w="0" w:type="dxa"/>
                    <w:right w:w="12" w:type="dxa"/>
                  </w:tcMar>
                  <w:vAlign w:val="center"/>
                  <w:hideMark/>
                </w:tcPr>
                <w:p w:rsidR="00BF4753" w:rsidRPr="004440A2" w:rsidRDefault="00BF4753" w:rsidP="002D7CA8">
                  <w:pPr>
                    <w:ind w:left="-23" w:firstLine="431"/>
                    <w:jc w:val="center"/>
                    <w:rPr>
                      <w:rFonts w:cs="Times New Roman"/>
                      <w:sz w:val="20"/>
                      <w:szCs w:val="28"/>
                    </w:rPr>
                  </w:pPr>
                  <w:r>
                    <w:rPr>
                      <w:rFonts w:cs="Times New Roman"/>
                      <w:b/>
                      <w:bCs/>
                      <w:sz w:val="20"/>
                      <w:szCs w:val="28"/>
                      <w:lang w:val="nn-NO"/>
                    </w:rPr>
                    <w:t>2020</w:t>
                  </w:r>
                </w:p>
              </w:tc>
            </w:tr>
            <w:tr w:rsidR="00BF4753" w:rsidRPr="004440A2" w:rsidTr="002D7CA8">
              <w:trPr>
                <w:trHeight w:val="142"/>
              </w:trPr>
              <w:tc>
                <w:tcPr>
                  <w:tcW w:w="1763" w:type="dxa"/>
                  <w:shd w:val="clear" w:color="auto" w:fill="DEEAF6" w:themeFill="accent1" w:themeFillTint="33"/>
                  <w:tcMar>
                    <w:top w:w="12" w:type="dxa"/>
                    <w:left w:w="12" w:type="dxa"/>
                    <w:bottom w:w="0" w:type="dxa"/>
                    <w:right w:w="12" w:type="dxa"/>
                  </w:tcMar>
                  <w:vAlign w:val="center"/>
                  <w:hideMark/>
                </w:tcPr>
                <w:p w:rsidR="00BF4753" w:rsidRPr="004440A2" w:rsidRDefault="00BF4753" w:rsidP="002D7CA8">
                  <w:pPr>
                    <w:ind w:left="-23" w:firstLine="0"/>
                    <w:rPr>
                      <w:rFonts w:cs="Times New Roman"/>
                      <w:sz w:val="20"/>
                      <w:szCs w:val="28"/>
                    </w:rPr>
                  </w:pPr>
                  <w:r w:rsidRPr="004440A2">
                    <w:rPr>
                      <w:rFonts w:cs="Times New Roman"/>
                      <w:b/>
                      <w:bCs/>
                      <w:sz w:val="20"/>
                      <w:szCs w:val="28"/>
                    </w:rPr>
                    <w:t>Vidējā inflācija</w:t>
                  </w:r>
                </w:p>
              </w:tc>
              <w:tc>
                <w:tcPr>
                  <w:tcW w:w="1243" w:type="dxa"/>
                  <w:shd w:val="clear" w:color="auto" w:fill="DEEAF6" w:themeFill="accent1" w:themeFillTint="33"/>
                  <w:tcMar>
                    <w:top w:w="12" w:type="dxa"/>
                    <w:left w:w="12" w:type="dxa"/>
                    <w:bottom w:w="0" w:type="dxa"/>
                    <w:right w:w="12" w:type="dxa"/>
                  </w:tcMar>
                  <w:vAlign w:val="center"/>
                  <w:hideMark/>
                </w:tcPr>
                <w:p w:rsidR="00BF4753" w:rsidRPr="004440A2" w:rsidRDefault="00BF4753" w:rsidP="002D7CA8">
                  <w:pPr>
                    <w:ind w:left="-23"/>
                    <w:jc w:val="center"/>
                    <w:rPr>
                      <w:rFonts w:cs="Times New Roman"/>
                      <w:sz w:val="20"/>
                      <w:szCs w:val="28"/>
                    </w:rPr>
                  </w:pPr>
                  <w:r w:rsidRPr="004440A2">
                    <w:rPr>
                      <w:rFonts w:cs="Times New Roman"/>
                      <w:b/>
                      <w:bCs/>
                      <w:sz w:val="20"/>
                      <w:szCs w:val="28"/>
                    </w:rPr>
                    <w:t>0,2</w:t>
                  </w:r>
                </w:p>
              </w:tc>
            </w:tr>
            <w:tr w:rsidR="00BF4753" w:rsidRPr="004440A2" w:rsidTr="002D7CA8">
              <w:trPr>
                <w:trHeight w:val="360"/>
              </w:trPr>
              <w:tc>
                <w:tcPr>
                  <w:tcW w:w="1763" w:type="dxa"/>
                  <w:shd w:val="clear" w:color="auto" w:fill="auto"/>
                  <w:tcMar>
                    <w:top w:w="12" w:type="dxa"/>
                    <w:left w:w="12" w:type="dxa"/>
                    <w:bottom w:w="0" w:type="dxa"/>
                    <w:right w:w="12" w:type="dxa"/>
                  </w:tcMar>
                  <w:vAlign w:val="center"/>
                </w:tcPr>
                <w:p w:rsidR="00BF4753" w:rsidRPr="004440A2" w:rsidRDefault="00BF4753" w:rsidP="002D7CA8">
                  <w:pPr>
                    <w:ind w:left="-23" w:firstLine="0"/>
                    <w:rPr>
                      <w:rFonts w:cs="Times New Roman"/>
                      <w:bCs/>
                      <w:sz w:val="20"/>
                      <w:szCs w:val="28"/>
                    </w:rPr>
                  </w:pPr>
                  <w:r w:rsidRPr="004440A2">
                    <w:rPr>
                      <w:rFonts w:cs="Times New Roman"/>
                      <w:bCs/>
                      <w:sz w:val="20"/>
                      <w:szCs w:val="28"/>
                    </w:rPr>
                    <w:t>Ēdināšanas pakalpojumi</w:t>
                  </w:r>
                </w:p>
              </w:tc>
              <w:tc>
                <w:tcPr>
                  <w:tcW w:w="1243" w:type="dxa"/>
                  <w:shd w:val="clear" w:color="auto" w:fill="auto"/>
                  <w:tcMar>
                    <w:top w:w="12" w:type="dxa"/>
                    <w:left w:w="12" w:type="dxa"/>
                    <w:bottom w:w="0" w:type="dxa"/>
                    <w:right w:w="12" w:type="dxa"/>
                  </w:tcMar>
                  <w:vAlign w:val="center"/>
                </w:tcPr>
                <w:p w:rsidR="00BF4753" w:rsidRPr="004440A2" w:rsidRDefault="00BF4753" w:rsidP="002D7CA8">
                  <w:pPr>
                    <w:ind w:left="-23"/>
                    <w:jc w:val="center"/>
                    <w:rPr>
                      <w:rFonts w:cs="Times New Roman"/>
                      <w:bCs/>
                      <w:sz w:val="20"/>
                      <w:szCs w:val="28"/>
                    </w:rPr>
                  </w:pPr>
                  <w:r w:rsidRPr="004440A2">
                    <w:rPr>
                      <w:rFonts w:cs="Times New Roman"/>
                      <w:bCs/>
                      <w:sz w:val="20"/>
                      <w:szCs w:val="28"/>
                    </w:rPr>
                    <w:t>3,3</w:t>
                  </w:r>
                </w:p>
              </w:tc>
            </w:tr>
            <w:tr w:rsidR="00BF4753" w:rsidRPr="004440A2" w:rsidTr="002D7CA8">
              <w:trPr>
                <w:trHeight w:val="211"/>
              </w:trPr>
              <w:tc>
                <w:tcPr>
                  <w:tcW w:w="1763" w:type="dxa"/>
                  <w:shd w:val="clear" w:color="auto" w:fill="auto"/>
                  <w:tcMar>
                    <w:top w:w="12" w:type="dxa"/>
                    <w:left w:w="12" w:type="dxa"/>
                    <w:bottom w:w="0" w:type="dxa"/>
                    <w:right w:w="12" w:type="dxa"/>
                  </w:tcMar>
                  <w:vAlign w:val="center"/>
                </w:tcPr>
                <w:p w:rsidR="00BF4753" w:rsidRPr="004440A2" w:rsidRDefault="00BF4753" w:rsidP="002D7CA8">
                  <w:pPr>
                    <w:ind w:left="-23" w:firstLine="0"/>
                    <w:rPr>
                      <w:rFonts w:cs="Times New Roman"/>
                      <w:sz w:val="20"/>
                      <w:szCs w:val="28"/>
                    </w:rPr>
                  </w:pPr>
                  <w:r w:rsidRPr="004440A2">
                    <w:rPr>
                      <w:rFonts w:cs="Times New Roman"/>
                      <w:sz w:val="20"/>
                      <w:szCs w:val="28"/>
                    </w:rPr>
                    <w:t>Veselības aprūpe</w:t>
                  </w:r>
                </w:p>
              </w:tc>
              <w:tc>
                <w:tcPr>
                  <w:tcW w:w="1243" w:type="dxa"/>
                  <w:shd w:val="clear" w:color="auto" w:fill="auto"/>
                  <w:tcMar>
                    <w:top w:w="12" w:type="dxa"/>
                    <w:left w:w="12" w:type="dxa"/>
                    <w:bottom w:w="0" w:type="dxa"/>
                    <w:right w:w="12" w:type="dxa"/>
                  </w:tcMar>
                  <w:vAlign w:val="center"/>
                </w:tcPr>
                <w:p w:rsidR="00BF4753" w:rsidRPr="004440A2" w:rsidRDefault="00BF4753" w:rsidP="002D7CA8">
                  <w:pPr>
                    <w:ind w:left="-23"/>
                    <w:jc w:val="center"/>
                    <w:rPr>
                      <w:rFonts w:cs="Times New Roman"/>
                      <w:sz w:val="20"/>
                      <w:szCs w:val="28"/>
                    </w:rPr>
                  </w:pPr>
                  <w:r w:rsidRPr="004440A2">
                    <w:rPr>
                      <w:rFonts w:cs="Times New Roman"/>
                      <w:sz w:val="20"/>
                      <w:szCs w:val="28"/>
                    </w:rPr>
                    <w:t>3,0</w:t>
                  </w:r>
                </w:p>
              </w:tc>
            </w:tr>
            <w:tr w:rsidR="00BF4753" w:rsidRPr="004440A2" w:rsidTr="002D7CA8">
              <w:trPr>
                <w:trHeight w:val="537"/>
              </w:trPr>
              <w:tc>
                <w:tcPr>
                  <w:tcW w:w="1763" w:type="dxa"/>
                  <w:shd w:val="clear" w:color="auto" w:fill="auto"/>
                  <w:tcMar>
                    <w:top w:w="12" w:type="dxa"/>
                    <w:left w:w="12" w:type="dxa"/>
                    <w:bottom w:w="0" w:type="dxa"/>
                    <w:right w:w="12" w:type="dxa"/>
                  </w:tcMar>
                  <w:vAlign w:val="center"/>
                  <w:hideMark/>
                </w:tcPr>
                <w:p w:rsidR="00BF4753" w:rsidRPr="004440A2" w:rsidRDefault="00BF4753" w:rsidP="002D7CA8">
                  <w:pPr>
                    <w:ind w:left="-23" w:firstLine="0"/>
                    <w:jc w:val="left"/>
                    <w:rPr>
                      <w:rFonts w:cs="Times New Roman"/>
                      <w:sz w:val="20"/>
                      <w:szCs w:val="28"/>
                    </w:rPr>
                  </w:pPr>
                  <w:r w:rsidRPr="004440A2">
                    <w:rPr>
                      <w:rFonts w:cs="Times New Roman"/>
                      <w:sz w:val="20"/>
                      <w:szCs w:val="28"/>
                    </w:rPr>
                    <w:t>Pārtika un bezalkoholiskie dzērieni</w:t>
                  </w:r>
                </w:p>
              </w:tc>
              <w:tc>
                <w:tcPr>
                  <w:tcW w:w="1243" w:type="dxa"/>
                  <w:shd w:val="clear" w:color="auto" w:fill="auto"/>
                  <w:tcMar>
                    <w:top w:w="12" w:type="dxa"/>
                    <w:left w:w="12" w:type="dxa"/>
                    <w:bottom w:w="0" w:type="dxa"/>
                    <w:right w:w="12" w:type="dxa"/>
                  </w:tcMar>
                  <w:vAlign w:val="center"/>
                  <w:hideMark/>
                </w:tcPr>
                <w:p w:rsidR="00BF4753" w:rsidRPr="004440A2" w:rsidRDefault="00BF4753" w:rsidP="002D7CA8">
                  <w:pPr>
                    <w:ind w:left="-23"/>
                    <w:jc w:val="center"/>
                    <w:rPr>
                      <w:rFonts w:cs="Times New Roman"/>
                      <w:sz w:val="20"/>
                      <w:szCs w:val="28"/>
                    </w:rPr>
                  </w:pPr>
                  <w:r w:rsidRPr="004440A2">
                    <w:rPr>
                      <w:rFonts w:cs="Times New Roman"/>
                      <w:sz w:val="20"/>
                      <w:szCs w:val="28"/>
                    </w:rPr>
                    <w:t>2,4</w:t>
                  </w:r>
                </w:p>
              </w:tc>
            </w:tr>
            <w:tr w:rsidR="00BF4753" w:rsidRPr="004440A2" w:rsidTr="002D7CA8">
              <w:trPr>
                <w:trHeight w:val="138"/>
              </w:trPr>
              <w:tc>
                <w:tcPr>
                  <w:tcW w:w="1763" w:type="dxa"/>
                  <w:shd w:val="clear" w:color="auto" w:fill="auto"/>
                  <w:tcMar>
                    <w:top w:w="12" w:type="dxa"/>
                    <w:left w:w="12" w:type="dxa"/>
                    <w:bottom w:w="0" w:type="dxa"/>
                    <w:right w:w="12" w:type="dxa"/>
                  </w:tcMar>
                  <w:vAlign w:val="center"/>
                </w:tcPr>
                <w:p w:rsidR="00BF4753" w:rsidRPr="004440A2" w:rsidRDefault="00BF4753" w:rsidP="002D7CA8">
                  <w:pPr>
                    <w:ind w:left="-23" w:firstLine="0"/>
                    <w:rPr>
                      <w:rFonts w:cs="Times New Roman"/>
                      <w:sz w:val="20"/>
                      <w:szCs w:val="28"/>
                    </w:rPr>
                  </w:pPr>
                  <w:r w:rsidRPr="004440A2">
                    <w:rPr>
                      <w:rFonts w:cs="Times New Roman"/>
                      <w:sz w:val="20"/>
                      <w:szCs w:val="28"/>
                    </w:rPr>
                    <w:t>Atpūta un kultūra</w:t>
                  </w:r>
                </w:p>
              </w:tc>
              <w:tc>
                <w:tcPr>
                  <w:tcW w:w="1243" w:type="dxa"/>
                  <w:shd w:val="clear" w:color="auto" w:fill="auto"/>
                  <w:tcMar>
                    <w:top w:w="12" w:type="dxa"/>
                    <w:left w:w="12" w:type="dxa"/>
                    <w:bottom w:w="0" w:type="dxa"/>
                    <w:right w:w="12" w:type="dxa"/>
                  </w:tcMar>
                  <w:vAlign w:val="center"/>
                </w:tcPr>
                <w:p w:rsidR="00BF4753" w:rsidRPr="004440A2" w:rsidRDefault="00BF4753" w:rsidP="002D7CA8">
                  <w:pPr>
                    <w:ind w:left="-23"/>
                    <w:jc w:val="center"/>
                    <w:rPr>
                      <w:rFonts w:cs="Times New Roman"/>
                      <w:sz w:val="20"/>
                      <w:szCs w:val="28"/>
                    </w:rPr>
                  </w:pPr>
                  <w:r w:rsidRPr="004440A2">
                    <w:rPr>
                      <w:rFonts w:cs="Times New Roman"/>
                      <w:sz w:val="20"/>
                      <w:szCs w:val="28"/>
                    </w:rPr>
                    <w:t>2,0</w:t>
                  </w:r>
                </w:p>
              </w:tc>
            </w:tr>
            <w:tr w:rsidR="00BF4753" w:rsidRPr="004440A2" w:rsidTr="002D7CA8">
              <w:trPr>
                <w:trHeight w:val="272"/>
              </w:trPr>
              <w:tc>
                <w:tcPr>
                  <w:tcW w:w="1763" w:type="dxa"/>
                  <w:shd w:val="clear" w:color="auto" w:fill="auto"/>
                  <w:tcMar>
                    <w:top w:w="12" w:type="dxa"/>
                    <w:left w:w="12" w:type="dxa"/>
                    <w:bottom w:w="0" w:type="dxa"/>
                    <w:right w:w="12" w:type="dxa"/>
                  </w:tcMar>
                  <w:vAlign w:val="center"/>
                </w:tcPr>
                <w:p w:rsidR="00BF4753" w:rsidRPr="004440A2" w:rsidRDefault="00BF4753" w:rsidP="002D7CA8">
                  <w:pPr>
                    <w:ind w:left="-23" w:firstLine="0"/>
                    <w:rPr>
                      <w:rFonts w:cs="Times New Roman"/>
                      <w:sz w:val="20"/>
                      <w:szCs w:val="28"/>
                    </w:rPr>
                  </w:pPr>
                  <w:r w:rsidRPr="004440A2">
                    <w:rPr>
                      <w:rFonts w:cs="Times New Roman"/>
                      <w:sz w:val="20"/>
                      <w:szCs w:val="28"/>
                    </w:rPr>
                    <w:t>Pārvadājumu pakalpojumi</w:t>
                  </w:r>
                </w:p>
              </w:tc>
              <w:tc>
                <w:tcPr>
                  <w:tcW w:w="1243" w:type="dxa"/>
                  <w:shd w:val="clear" w:color="auto" w:fill="auto"/>
                  <w:tcMar>
                    <w:top w:w="12" w:type="dxa"/>
                    <w:left w:w="12" w:type="dxa"/>
                    <w:bottom w:w="0" w:type="dxa"/>
                    <w:right w:w="12" w:type="dxa"/>
                  </w:tcMar>
                  <w:vAlign w:val="center"/>
                </w:tcPr>
                <w:p w:rsidR="00BF4753" w:rsidRPr="004440A2" w:rsidRDefault="00BF4753" w:rsidP="002D7CA8">
                  <w:pPr>
                    <w:ind w:left="-23"/>
                    <w:jc w:val="center"/>
                    <w:rPr>
                      <w:rFonts w:cs="Times New Roman"/>
                      <w:sz w:val="20"/>
                      <w:szCs w:val="28"/>
                    </w:rPr>
                  </w:pPr>
                  <w:r w:rsidRPr="004440A2">
                    <w:rPr>
                      <w:rFonts w:cs="Times New Roman"/>
                      <w:sz w:val="20"/>
                      <w:szCs w:val="28"/>
                    </w:rPr>
                    <w:t>0,0</w:t>
                  </w:r>
                </w:p>
              </w:tc>
            </w:tr>
            <w:tr w:rsidR="00BF4753" w:rsidRPr="004440A2" w:rsidTr="002D7CA8">
              <w:trPr>
                <w:trHeight w:val="260"/>
              </w:trPr>
              <w:tc>
                <w:tcPr>
                  <w:tcW w:w="1763" w:type="dxa"/>
                  <w:shd w:val="clear" w:color="auto" w:fill="auto"/>
                  <w:tcMar>
                    <w:top w:w="12" w:type="dxa"/>
                    <w:left w:w="12" w:type="dxa"/>
                    <w:bottom w:w="0" w:type="dxa"/>
                    <w:right w:w="12" w:type="dxa"/>
                  </w:tcMar>
                  <w:vAlign w:val="center"/>
                  <w:hideMark/>
                </w:tcPr>
                <w:p w:rsidR="00BF4753" w:rsidRPr="004440A2" w:rsidRDefault="00BF4753" w:rsidP="002D7CA8">
                  <w:pPr>
                    <w:ind w:left="-23" w:firstLine="0"/>
                    <w:rPr>
                      <w:rFonts w:cs="Times New Roman"/>
                      <w:sz w:val="20"/>
                      <w:szCs w:val="28"/>
                    </w:rPr>
                  </w:pPr>
                  <w:r w:rsidRPr="004440A2">
                    <w:rPr>
                      <w:rFonts w:cs="Times New Roman"/>
                      <w:sz w:val="20"/>
                      <w:szCs w:val="28"/>
                    </w:rPr>
                    <w:t>Mājokļa īres maksa</w:t>
                  </w:r>
                </w:p>
              </w:tc>
              <w:tc>
                <w:tcPr>
                  <w:tcW w:w="1243" w:type="dxa"/>
                  <w:shd w:val="clear" w:color="auto" w:fill="auto"/>
                  <w:tcMar>
                    <w:top w:w="12" w:type="dxa"/>
                    <w:left w:w="12" w:type="dxa"/>
                    <w:bottom w:w="0" w:type="dxa"/>
                    <w:right w:w="12" w:type="dxa"/>
                  </w:tcMar>
                  <w:vAlign w:val="center"/>
                  <w:hideMark/>
                </w:tcPr>
                <w:p w:rsidR="00BF4753" w:rsidRPr="004440A2" w:rsidRDefault="00BF4753" w:rsidP="002D7CA8">
                  <w:pPr>
                    <w:ind w:left="-23"/>
                    <w:jc w:val="center"/>
                    <w:rPr>
                      <w:rFonts w:cs="Times New Roman"/>
                      <w:sz w:val="20"/>
                      <w:szCs w:val="28"/>
                    </w:rPr>
                  </w:pPr>
                  <w:r w:rsidRPr="004440A2">
                    <w:rPr>
                      <w:rFonts w:cs="Times New Roman"/>
                      <w:sz w:val="20"/>
                      <w:szCs w:val="28"/>
                    </w:rPr>
                    <w:t>-2,2</w:t>
                  </w:r>
                </w:p>
              </w:tc>
            </w:tr>
            <w:tr w:rsidR="00BF4753" w:rsidRPr="004440A2" w:rsidTr="002D7CA8">
              <w:trPr>
                <w:trHeight w:val="321"/>
              </w:trPr>
              <w:tc>
                <w:tcPr>
                  <w:tcW w:w="1763" w:type="dxa"/>
                  <w:shd w:val="clear" w:color="auto" w:fill="auto"/>
                  <w:tcMar>
                    <w:top w:w="12" w:type="dxa"/>
                    <w:left w:w="12" w:type="dxa"/>
                    <w:bottom w:w="0" w:type="dxa"/>
                    <w:right w:w="12" w:type="dxa"/>
                  </w:tcMar>
                  <w:vAlign w:val="center"/>
                  <w:hideMark/>
                </w:tcPr>
                <w:p w:rsidR="00BF4753" w:rsidRPr="004440A2" w:rsidRDefault="00BF4753" w:rsidP="002D7CA8">
                  <w:pPr>
                    <w:ind w:firstLine="0"/>
                    <w:rPr>
                      <w:rFonts w:cs="Times New Roman"/>
                      <w:sz w:val="20"/>
                      <w:szCs w:val="28"/>
                    </w:rPr>
                  </w:pPr>
                  <w:r w:rsidRPr="004440A2">
                    <w:rPr>
                      <w:rFonts w:cs="Times New Roman"/>
                      <w:bCs/>
                      <w:sz w:val="20"/>
                      <w:szCs w:val="28"/>
                    </w:rPr>
                    <w:t>Elektroenerģija</w:t>
                  </w:r>
                </w:p>
              </w:tc>
              <w:tc>
                <w:tcPr>
                  <w:tcW w:w="1243" w:type="dxa"/>
                  <w:shd w:val="clear" w:color="auto" w:fill="auto"/>
                  <w:tcMar>
                    <w:top w:w="12" w:type="dxa"/>
                    <w:left w:w="12" w:type="dxa"/>
                    <w:bottom w:w="0" w:type="dxa"/>
                    <w:right w:w="12" w:type="dxa"/>
                  </w:tcMar>
                  <w:vAlign w:val="center"/>
                  <w:hideMark/>
                </w:tcPr>
                <w:p w:rsidR="00BF4753" w:rsidRPr="004440A2" w:rsidRDefault="00BF4753" w:rsidP="002D7CA8">
                  <w:pPr>
                    <w:ind w:left="-23"/>
                    <w:jc w:val="center"/>
                    <w:rPr>
                      <w:rFonts w:cs="Times New Roman"/>
                      <w:sz w:val="20"/>
                      <w:szCs w:val="28"/>
                    </w:rPr>
                  </w:pPr>
                  <w:r w:rsidRPr="004440A2">
                    <w:rPr>
                      <w:rFonts w:cs="Times New Roman"/>
                      <w:bCs/>
                      <w:sz w:val="20"/>
                      <w:szCs w:val="28"/>
                    </w:rPr>
                    <w:t>-2,9</w:t>
                  </w:r>
                </w:p>
              </w:tc>
            </w:tr>
            <w:tr w:rsidR="00BF4753" w:rsidRPr="004440A2" w:rsidTr="002D7CA8">
              <w:trPr>
                <w:trHeight w:val="227"/>
              </w:trPr>
              <w:tc>
                <w:tcPr>
                  <w:tcW w:w="1763" w:type="dxa"/>
                  <w:shd w:val="clear" w:color="auto" w:fill="auto"/>
                  <w:tcMar>
                    <w:top w:w="12" w:type="dxa"/>
                    <w:left w:w="12" w:type="dxa"/>
                    <w:bottom w:w="0" w:type="dxa"/>
                    <w:right w:w="12" w:type="dxa"/>
                  </w:tcMar>
                  <w:vAlign w:val="center"/>
                </w:tcPr>
                <w:p w:rsidR="00BF4753" w:rsidRPr="004440A2" w:rsidRDefault="00BF4753" w:rsidP="002D7CA8">
                  <w:pPr>
                    <w:ind w:firstLine="0"/>
                    <w:rPr>
                      <w:rFonts w:cs="Times New Roman"/>
                      <w:sz w:val="20"/>
                      <w:szCs w:val="28"/>
                    </w:rPr>
                  </w:pPr>
                  <w:r w:rsidRPr="004440A2">
                    <w:rPr>
                      <w:rFonts w:cs="Times New Roman"/>
                      <w:bCs/>
                      <w:sz w:val="20"/>
                      <w:szCs w:val="28"/>
                    </w:rPr>
                    <w:t>Siltumenerģija</w:t>
                  </w:r>
                </w:p>
              </w:tc>
              <w:tc>
                <w:tcPr>
                  <w:tcW w:w="1243" w:type="dxa"/>
                  <w:shd w:val="clear" w:color="auto" w:fill="auto"/>
                  <w:tcMar>
                    <w:top w:w="12" w:type="dxa"/>
                    <w:left w:w="12" w:type="dxa"/>
                    <w:bottom w:w="0" w:type="dxa"/>
                    <w:right w:w="12" w:type="dxa"/>
                  </w:tcMar>
                  <w:vAlign w:val="center"/>
                </w:tcPr>
                <w:p w:rsidR="00BF4753" w:rsidRPr="004440A2" w:rsidRDefault="00BF4753" w:rsidP="002D7CA8">
                  <w:pPr>
                    <w:ind w:left="-23"/>
                    <w:jc w:val="center"/>
                    <w:rPr>
                      <w:rFonts w:cs="Times New Roman"/>
                      <w:sz w:val="20"/>
                      <w:szCs w:val="28"/>
                    </w:rPr>
                  </w:pPr>
                  <w:r w:rsidRPr="004440A2">
                    <w:rPr>
                      <w:rFonts w:cs="Times New Roman"/>
                      <w:bCs/>
                      <w:sz w:val="20"/>
                      <w:szCs w:val="28"/>
                    </w:rPr>
                    <w:t>-3,6</w:t>
                  </w:r>
                </w:p>
              </w:tc>
            </w:tr>
            <w:tr w:rsidR="00BF4753" w:rsidRPr="004440A2" w:rsidTr="002D7CA8">
              <w:trPr>
                <w:trHeight w:val="360"/>
              </w:trPr>
              <w:tc>
                <w:tcPr>
                  <w:tcW w:w="1763" w:type="dxa"/>
                  <w:shd w:val="clear" w:color="auto" w:fill="auto"/>
                  <w:tcMar>
                    <w:top w:w="12" w:type="dxa"/>
                    <w:left w:w="12" w:type="dxa"/>
                    <w:bottom w:w="0" w:type="dxa"/>
                    <w:right w:w="12" w:type="dxa"/>
                  </w:tcMar>
                  <w:vAlign w:val="center"/>
                </w:tcPr>
                <w:p w:rsidR="00BF4753" w:rsidRPr="004440A2" w:rsidRDefault="00BF4753" w:rsidP="002D7CA8">
                  <w:pPr>
                    <w:ind w:left="-23" w:firstLine="0"/>
                    <w:rPr>
                      <w:rFonts w:cs="Times New Roman"/>
                      <w:bCs/>
                      <w:sz w:val="20"/>
                      <w:szCs w:val="28"/>
                    </w:rPr>
                  </w:pPr>
                  <w:r w:rsidRPr="004440A2">
                    <w:rPr>
                      <w:rFonts w:cs="Times New Roman"/>
                      <w:bCs/>
                      <w:sz w:val="20"/>
                      <w:szCs w:val="28"/>
                    </w:rPr>
                    <w:t>Izmitināšanas pakalpojumi</w:t>
                  </w:r>
                </w:p>
              </w:tc>
              <w:tc>
                <w:tcPr>
                  <w:tcW w:w="1243" w:type="dxa"/>
                  <w:shd w:val="clear" w:color="auto" w:fill="auto"/>
                  <w:tcMar>
                    <w:top w:w="12" w:type="dxa"/>
                    <w:left w:w="12" w:type="dxa"/>
                    <w:bottom w:w="0" w:type="dxa"/>
                    <w:right w:w="12" w:type="dxa"/>
                  </w:tcMar>
                  <w:vAlign w:val="center"/>
                </w:tcPr>
                <w:p w:rsidR="00BF4753" w:rsidRPr="004440A2" w:rsidRDefault="00BF4753" w:rsidP="002D7CA8">
                  <w:pPr>
                    <w:ind w:left="-23"/>
                    <w:jc w:val="center"/>
                    <w:rPr>
                      <w:rFonts w:cs="Times New Roman"/>
                      <w:bCs/>
                      <w:sz w:val="20"/>
                      <w:szCs w:val="28"/>
                    </w:rPr>
                  </w:pPr>
                  <w:r w:rsidRPr="004440A2">
                    <w:rPr>
                      <w:rFonts w:cs="Times New Roman"/>
                      <w:bCs/>
                      <w:sz w:val="20"/>
                      <w:szCs w:val="28"/>
                    </w:rPr>
                    <w:t>-8,2</w:t>
                  </w:r>
                </w:p>
              </w:tc>
            </w:tr>
            <w:tr w:rsidR="00BF4753" w:rsidRPr="004440A2" w:rsidTr="002D7CA8">
              <w:trPr>
                <w:trHeight w:val="360"/>
              </w:trPr>
              <w:tc>
                <w:tcPr>
                  <w:tcW w:w="1763" w:type="dxa"/>
                  <w:shd w:val="clear" w:color="auto" w:fill="auto"/>
                  <w:tcMar>
                    <w:top w:w="12" w:type="dxa"/>
                    <w:left w:w="12" w:type="dxa"/>
                    <w:bottom w:w="0" w:type="dxa"/>
                    <w:right w:w="12" w:type="dxa"/>
                  </w:tcMar>
                  <w:vAlign w:val="center"/>
                </w:tcPr>
                <w:p w:rsidR="00BF4753" w:rsidRPr="004440A2" w:rsidRDefault="00BF4753" w:rsidP="002D7CA8">
                  <w:pPr>
                    <w:ind w:firstLine="0"/>
                    <w:rPr>
                      <w:rFonts w:cs="Times New Roman"/>
                      <w:sz w:val="20"/>
                      <w:szCs w:val="28"/>
                    </w:rPr>
                  </w:pPr>
                  <w:r w:rsidRPr="004440A2">
                    <w:rPr>
                      <w:rFonts w:cs="Times New Roman"/>
                      <w:bCs/>
                      <w:sz w:val="20"/>
                      <w:szCs w:val="28"/>
                    </w:rPr>
                    <w:t>Degviela</w:t>
                  </w:r>
                </w:p>
              </w:tc>
              <w:tc>
                <w:tcPr>
                  <w:tcW w:w="1243" w:type="dxa"/>
                  <w:shd w:val="clear" w:color="auto" w:fill="auto"/>
                  <w:tcMar>
                    <w:top w:w="12" w:type="dxa"/>
                    <w:left w:w="12" w:type="dxa"/>
                    <w:bottom w:w="0" w:type="dxa"/>
                    <w:right w:w="12" w:type="dxa"/>
                  </w:tcMar>
                  <w:vAlign w:val="center"/>
                </w:tcPr>
                <w:p w:rsidR="00BF4753" w:rsidRPr="004440A2" w:rsidRDefault="00BF4753" w:rsidP="002D7CA8">
                  <w:pPr>
                    <w:ind w:left="-23"/>
                    <w:jc w:val="center"/>
                    <w:rPr>
                      <w:rFonts w:cs="Times New Roman"/>
                      <w:sz w:val="20"/>
                      <w:szCs w:val="28"/>
                    </w:rPr>
                  </w:pPr>
                  <w:r w:rsidRPr="004440A2">
                    <w:rPr>
                      <w:rFonts w:cs="Times New Roman"/>
                      <w:bCs/>
                      <w:sz w:val="20"/>
                      <w:szCs w:val="28"/>
                    </w:rPr>
                    <w:t>-10,6</w:t>
                  </w:r>
                </w:p>
              </w:tc>
            </w:tr>
            <w:tr w:rsidR="00BF4753" w:rsidRPr="004440A2" w:rsidTr="002D7CA8">
              <w:trPr>
                <w:trHeight w:val="175"/>
              </w:trPr>
              <w:tc>
                <w:tcPr>
                  <w:tcW w:w="1763" w:type="dxa"/>
                  <w:shd w:val="clear" w:color="auto" w:fill="auto"/>
                  <w:tcMar>
                    <w:top w:w="12" w:type="dxa"/>
                    <w:left w:w="12" w:type="dxa"/>
                    <w:bottom w:w="0" w:type="dxa"/>
                    <w:right w:w="12" w:type="dxa"/>
                  </w:tcMar>
                  <w:vAlign w:val="center"/>
                  <w:hideMark/>
                </w:tcPr>
                <w:p w:rsidR="00BF4753" w:rsidRPr="004440A2" w:rsidRDefault="00BF4753" w:rsidP="002D7CA8">
                  <w:pPr>
                    <w:ind w:firstLine="0"/>
                    <w:rPr>
                      <w:rFonts w:cs="Times New Roman"/>
                      <w:sz w:val="20"/>
                      <w:szCs w:val="28"/>
                    </w:rPr>
                  </w:pPr>
                  <w:r w:rsidRPr="004440A2">
                    <w:rPr>
                      <w:rFonts w:cs="Times New Roman"/>
                      <w:bCs/>
                      <w:sz w:val="20"/>
                      <w:szCs w:val="28"/>
                    </w:rPr>
                    <w:t>Gāze</w:t>
                  </w:r>
                </w:p>
              </w:tc>
              <w:tc>
                <w:tcPr>
                  <w:tcW w:w="1243" w:type="dxa"/>
                  <w:shd w:val="clear" w:color="auto" w:fill="auto"/>
                  <w:tcMar>
                    <w:top w:w="12" w:type="dxa"/>
                    <w:left w:w="12" w:type="dxa"/>
                    <w:bottom w:w="0" w:type="dxa"/>
                    <w:right w:w="12" w:type="dxa"/>
                  </w:tcMar>
                  <w:vAlign w:val="center"/>
                  <w:hideMark/>
                </w:tcPr>
                <w:p w:rsidR="00BF4753" w:rsidRPr="004440A2" w:rsidRDefault="00BF4753" w:rsidP="002D7CA8">
                  <w:pPr>
                    <w:ind w:left="-23"/>
                    <w:jc w:val="center"/>
                    <w:rPr>
                      <w:rFonts w:cs="Times New Roman"/>
                      <w:sz w:val="20"/>
                      <w:szCs w:val="28"/>
                    </w:rPr>
                  </w:pPr>
                  <w:r w:rsidRPr="004440A2">
                    <w:rPr>
                      <w:rFonts w:cs="Times New Roman"/>
                      <w:bCs/>
                      <w:sz w:val="20"/>
                      <w:szCs w:val="28"/>
                    </w:rPr>
                    <w:t>-15,5</w:t>
                  </w:r>
                </w:p>
              </w:tc>
            </w:tr>
            <w:tr w:rsidR="00BF4753" w:rsidRPr="004440A2" w:rsidTr="002D7CA8">
              <w:trPr>
                <w:trHeight w:val="379"/>
              </w:trPr>
              <w:tc>
                <w:tcPr>
                  <w:tcW w:w="1763" w:type="dxa"/>
                  <w:shd w:val="clear" w:color="auto" w:fill="auto"/>
                  <w:tcMar>
                    <w:top w:w="12" w:type="dxa"/>
                    <w:left w:w="12" w:type="dxa"/>
                    <w:bottom w:w="0" w:type="dxa"/>
                    <w:right w:w="12" w:type="dxa"/>
                  </w:tcMar>
                  <w:vAlign w:val="center"/>
                  <w:hideMark/>
                </w:tcPr>
                <w:p w:rsidR="00BF4753" w:rsidRPr="004440A2" w:rsidRDefault="00BF4753" w:rsidP="002D7CA8">
                  <w:pPr>
                    <w:ind w:left="-23" w:firstLine="0"/>
                    <w:jc w:val="left"/>
                    <w:rPr>
                      <w:rFonts w:cs="Times New Roman"/>
                      <w:sz w:val="20"/>
                      <w:szCs w:val="28"/>
                    </w:rPr>
                  </w:pPr>
                  <w:r w:rsidRPr="004440A2">
                    <w:rPr>
                      <w:rFonts w:cs="Times New Roman"/>
                      <w:sz w:val="20"/>
                      <w:szCs w:val="28"/>
                    </w:rPr>
                    <w:t>Dažādas preces un pakalpojumi</w:t>
                  </w:r>
                </w:p>
              </w:tc>
              <w:tc>
                <w:tcPr>
                  <w:tcW w:w="1243" w:type="dxa"/>
                  <w:shd w:val="clear" w:color="auto" w:fill="auto"/>
                  <w:tcMar>
                    <w:top w:w="12" w:type="dxa"/>
                    <w:left w:w="12" w:type="dxa"/>
                    <w:bottom w:w="0" w:type="dxa"/>
                    <w:right w:w="12" w:type="dxa"/>
                  </w:tcMar>
                  <w:vAlign w:val="center"/>
                  <w:hideMark/>
                </w:tcPr>
                <w:p w:rsidR="00BF4753" w:rsidRPr="004440A2" w:rsidRDefault="00BF4753" w:rsidP="002D7CA8">
                  <w:pPr>
                    <w:ind w:left="-23"/>
                    <w:jc w:val="center"/>
                    <w:rPr>
                      <w:rFonts w:cs="Times New Roman"/>
                      <w:sz w:val="20"/>
                      <w:szCs w:val="28"/>
                    </w:rPr>
                  </w:pPr>
                  <w:r w:rsidRPr="004440A2">
                    <w:rPr>
                      <w:rFonts w:cs="Times New Roman"/>
                      <w:sz w:val="20"/>
                      <w:szCs w:val="28"/>
                    </w:rPr>
                    <w:t>-0,1</w:t>
                  </w:r>
                </w:p>
              </w:tc>
            </w:tr>
          </w:tbl>
          <w:p w:rsidR="00BF4753" w:rsidRPr="004440A2" w:rsidRDefault="00BF4753" w:rsidP="002D7CA8">
            <w:pPr>
              <w:rPr>
                <w:szCs w:val="28"/>
              </w:rPr>
            </w:pPr>
          </w:p>
        </w:tc>
        <w:tc>
          <w:tcPr>
            <w:tcW w:w="6012" w:type="dxa"/>
            <w:tcBorders>
              <w:top w:val="nil"/>
              <w:left w:val="nil"/>
              <w:bottom w:val="nil"/>
              <w:right w:val="nil"/>
            </w:tcBorders>
          </w:tcPr>
          <w:p w:rsidR="00BF4753" w:rsidRPr="004440A2" w:rsidRDefault="00BF4753" w:rsidP="002D7CA8">
            <w:pPr>
              <w:rPr>
                <w:szCs w:val="28"/>
              </w:rPr>
            </w:pPr>
            <w:r w:rsidRPr="004440A2">
              <w:rPr>
                <w:noProof/>
                <w:szCs w:val="28"/>
              </w:rPr>
              <w:drawing>
                <wp:inline distT="0" distB="0" distL="0" distR="0" wp14:anchorId="2D5CC938" wp14:editId="5BA0462E">
                  <wp:extent cx="3168015" cy="2697480"/>
                  <wp:effectExtent l="0" t="0" r="0" b="762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BF4753" w:rsidRPr="004440A2" w:rsidTr="002D7CA8">
        <w:tc>
          <w:tcPr>
            <w:tcW w:w="2830" w:type="dxa"/>
            <w:tcBorders>
              <w:top w:val="nil"/>
              <w:left w:val="nil"/>
              <w:bottom w:val="nil"/>
              <w:right w:val="nil"/>
            </w:tcBorders>
          </w:tcPr>
          <w:p w:rsidR="00BF4753" w:rsidRPr="004440A2" w:rsidRDefault="00BF4753" w:rsidP="002D7CA8">
            <w:pPr>
              <w:ind w:firstLine="0"/>
              <w:jc w:val="center"/>
              <w:rPr>
                <w:b/>
                <w:bCs/>
                <w:i/>
                <w:szCs w:val="28"/>
              </w:rPr>
            </w:pPr>
            <w:r w:rsidRPr="004440A2">
              <w:rPr>
                <w:b/>
                <w:bCs/>
                <w:i/>
                <w:sz w:val="24"/>
                <w:szCs w:val="28"/>
              </w:rPr>
              <w:t>2.1</w:t>
            </w:r>
            <w:r>
              <w:rPr>
                <w:b/>
                <w:bCs/>
                <w:i/>
                <w:sz w:val="24"/>
                <w:szCs w:val="28"/>
              </w:rPr>
              <w:t>. tabula. patēriņa cenu indeksa</w:t>
            </w:r>
            <w:r w:rsidRPr="004440A2">
              <w:rPr>
                <w:b/>
                <w:bCs/>
                <w:i/>
                <w:sz w:val="24"/>
                <w:szCs w:val="28"/>
              </w:rPr>
              <w:t xml:space="preserve"> izmaiņas pa grupām 2020.</w:t>
            </w:r>
            <w:r>
              <w:rPr>
                <w:b/>
                <w:bCs/>
                <w:i/>
                <w:sz w:val="24"/>
                <w:szCs w:val="28"/>
              </w:rPr>
              <w:t xml:space="preserve"> </w:t>
            </w:r>
            <w:r w:rsidRPr="004440A2">
              <w:rPr>
                <w:b/>
                <w:bCs/>
                <w:i/>
                <w:sz w:val="24"/>
                <w:szCs w:val="28"/>
              </w:rPr>
              <w:t>gadā, %</w:t>
            </w:r>
          </w:p>
        </w:tc>
        <w:tc>
          <w:tcPr>
            <w:tcW w:w="6012" w:type="dxa"/>
            <w:tcBorders>
              <w:top w:val="nil"/>
              <w:left w:val="nil"/>
              <w:bottom w:val="nil"/>
              <w:right w:val="nil"/>
            </w:tcBorders>
          </w:tcPr>
          <w:p w:rsidR="00BF4753" w:rsidRPr="004440A2" w:rsidRDefault="00BF4753" w:rsidP="002D7CA8">
            <w:pPr>
              <w:jc w:val="center"/>
              <w:rPr>
                <w:b/>
                <w:i/>
                <w:noProof/>
                <w:szCs w:val="28"/>
              </w:rPr>
            </w:pPr>
            <w:r w:rsidRPr="004440A2">
              <w:rPr>
                <w:b/>
                <w:i/>
                <w:noProof/>
                <w:sz w:val="24"/>
                <w:szCs w:val="28"/>
              </w:rPr>
              <w:t>2.3</w:t>
            </w:r>
            <w:r>
              <w:rPr>
                <w:b/>
                <w:i/>
                <w:noProof/>
                <w:sz w:val="24"/>
                <w:szCs w:val="28"/>
              </w:rPr>
              <w:t>. att</w:t>
            </w:r>
            <w:r w:rsidRPr="004440A2">
              <w:rPr>
                <w:b/>
                <w:i/>
                <w:noProof/>
                <w:sz w:val="24"/>
                <w:szCs w:val="28"/>
              </w:rPr>
              <w:t>. Devums gada inflācijā pēc iz</w:t>
            </w:r>
            <w:r>
              <w:rPr>
                <w:b/>
                <w:i/>
                <w:noProof/>
                <w:sz w:val="24"/>
                <w:szCs w:val="28"/>
              </w:rPr>
              <w:t>celsmes avota, procentpunkti un</w:t>
            </w:r>
            <w:r>
              <w:rPr>
                <w:b/>
                <w:bCs/>
                <w:i/>
                <w:sz w:val="24"/>
                <w:szCs w:val="28"/>
              </w:rPr>
              <w:t xml:space="preserve"> patēriņa cenu indekss</w:t>
            </w:r>
            <w:r w:rsidRPr="004440A2">
              <w:rPr>
                <w:b/>
                <w:i/>
                <w:noProof/>
                <w:sz w:val="24"/>
                <w:szCs w:val="28"/>
              </w:rPr>
              <w:t>, %</w:t>
            </w:r>
            <w:r w:rsidRPr="004440A2">
              <w:rPr>
                <w:rStyle w:val="FootnoteReference"/>
                <w:rFonts w:ascii="Times New Roman" w:hAnsi="Times New Roman"/>
                <w:b/>
                <w:i/>
                <w:noProof/>
                <w:sz w:val="24"/>
                <w:szCs w:val="28"/>
              </w:rPr>
              <w:footnoteReference w:id="2"/>
            </w:r>
          </w:p>
        </w:tc>
      </w:tr>
    </w:tbl>
    <w:p w:rsidR="00BF4753" w:rsidRPr="004440A2" w:rsidRDefault="00BF4753" w:rsidP="00BF4753">
      <w:pPr>
        <w:rPr>
          <w:rFonts w:cs="Times New Roman"/>
          <w:szCs w:val="28"/>
        </w:rPr>
      </w:pPr>
    </w:p>
    <w:p w:rsidR="00BF4753" w:rsidRPr="004440A2" w:rsidRDefault="00BF4753" w:rsidP="00BF4753">
      <w:pPr>
        <w:rPr>
          <w:rFonts w:cs="Times New Roman"/>
          <w:szCs w:val="28"/>
        </w:rPr>
      </w:pPr>
      <w:r w:rsidRPr="004440A2">
        <w:rPr>
          <w:rFonts w:cs="Times New Roman"/>
          <w:szCs w:val="28"/>
        </w:rPr>
        <w:lastRenderedPageBreak/>
        <w:t>Lielāko devumu patēriņa cenu izmaiņās gan 2020.</w:t>
      </w:r>
      <w:r>
        <w:rPr>
          <w:rFonts w:cs="Times New Roman"/>
          <w:szCs w:val="28"/>
        </w:rPr>
        <w:t xml:space="preserve"> </w:t>
      </w:r>
      <w:r w:rsidRPr="004440A2">
        <w:rPr>
          <w:rFonts w:cs="Times New Roman"/>
          <w:szCs w:val="28"/>
        </w:rPr>
        <w:t>gada decembrī, gan 2020.</w:t>
      </w:r>
      <w:r>
        <w:rPr>
          <w:rFonts w:cs="Times New Roman"/>
          <w:szCs w:val="28"/>
        </w:rPr>
        <w:t xml:space="preserve"> </w:t>
      </w:r>
      <w:r w:rsidRPr="004440A2">
        <w:rPr>
          <w:rFonts w:cs="Times New Roman"/>
          <w:szCs w:val="28"/>
        </w:rPr>
        <w:t>gadā kopumā nodrošināja degvielas cenu kritums, kas bija saistīts ar strauju naftas cenu kritumu pasaules biržās pērnā gada pavasarī. Ja vēl 2020.</w:t>
      </w:r>
      <w:r>
        <w:rPr>
          <w:rFonts w:cs="Times New Roman"/>
          <w:szCs w:val="28"/>
        </w:rPr>
        <w:t xml:space="preserve"> </w:t>
      </w:r>
      <w:r w:rsidRPr="004440A2">
        <w:rPr>
          <w:rFonts w:cs="Times New Roman"/>
          <w:szCs w:val="28"/>
        </w:rPr>
        <w:t>gada janvārī 95. markas benzīna vidējā cena Latvi</w:t>
      </w:r>
      <w:r>
        <w:rPr>
          <w:rFonts w:cs="Times New Roman"/>
          <w:szCs w:val="28"/>
        </w:rPr>
        <w:t xml:space="preserve">jas benzīntankos bija 1,331 </w:t>
      </w:r>
      <w:r w:rsidRPr="002F7C62">
        <w:rPr>
          <w:rFonts w:cs="Times New Roman"/>
          <w:i/>
          <w:szCs w:val="28"/>
        </w:rPr>
        <w:t>euro</w:t>
      </w:r>
      <w:r w:rsidRPr="004440A2">
        <w:rPr>
          <w:rFonts w:cs="Times New Roman"/>
          <w:szCs w:val="28"/>
        </w:rPr>
        <w:t xml:space="preserve"> par litru, kas bija par 12,6% vairāk nekā iepriekšējā gada janvārī, tad maijā šīs markas benzīna vidējā cena samazinājās līdz 1,001 </w:t>
      </w:r>
      <w:r w:rsidRPr="002F7C62">
        <w:rPr>
          <w:rFonts w:cs="Times New Roman"/>
          <w:i/>
          <w:szCs w:val="28"/>
        </w:rPr>
        <w:t>euro</w:t>
      </w:r>
      <w:r w:rsidRPr="004440A2">
        <w:rPr>
          <w:rFonts w:cs="Times New Roman"/>
          <w:szCs w:val="28"/>
        </w:rPr>
        <w:t xml:space="preserve"> par litru, kas bija jau par 24,1% mazāk nekā 2019.</w:t>
      </w:r>
      <w:r>
        <w:rPr>
          <w:rFonts w:cs="Times New Roman"/>
          <w:szCs w:val="28"/>
        </w:rPr>
        <w:t xml:space="preserve"> </w:t>
      </w:r>
      <w:r w:rsidRPr="004440A2">
        <w:rPr>
          <w:rFonts w:cs="Times New Roman"/>
          <w:szCs w:val="28"/>
        </w:rPr>
        <w:t>gada maijā. Tādējādi, pērnā gada maijā fiksētais benzīna cenu samazinājums bija straujākais kopš 1998.</w:t>
      </w:r>
      <w:r>
        <w:rPr>
          <w:rFonts w:cs="Times New Roman"/>
          <w:szCs w:val="28"/>
        </w:rPr>
        <w:t xml:space="preserve"> </w:t>
      </w:r>
      <w:r w:rsidRPr="004440A2">
        <w:rPr>
          <w:rFonts w:cs="Times New Roman"/>
          <w:szCs w:val="28"/>
        </w:rPr>
        <w:t>gada. Dīzeļdegvielas cenu izmaiņas šajā periodā arī bija līdzīgas. Kopumā 2020.</w:t>
      </w:r>
      <w:r>
        <w:rPr>
          <w:rFonts w:cs="Times New Roman"/>
          <w:szCs w:val="28"/>
        </w:rPr>
        <w:t xml:space="preserve"> </w:t>
      </w:r>
      <w:r w:rsidRPr="004440A2">
        <w:rPr>
          <w:rFonts w:cs="Times New Roman"/>
          <w:szCs w:val="28"/>
        </w:rPr>
        <w:t>gadā degviela bija par 10,6% lētāka nekā 2019. gadā un tās devums patēriņa cenu izmaiņās veidoja -0,6 procentpunktus. 2020.</w:t>
      </w:r>
      <w:r>
        <w:rPr>
          <w:rFonts w:cs="Times New Roman"/>
          <w:szCs w:val="28"/>
        </w:rPr>
        <w:t xml:space="preserve"> </w:t>
      </w:r>
      <w:r w:rsidRPr="004440A2">
        <w:rPr>
          <w:rFonts w:cs="Times New Roman"/>
          <w:szCs w:val="28"/>
        </w:rPr>
        <w:t xml:space="preserve">gadā vidēja </w:t>
      </w:r>
      <w:r w:rsidRPr="004440A2">
        <w:rPr>
          <w:rFonts w:cs="Times New Roman"/>
          <w:i/>
          <w:szCs w:val="28"/>
        </w:rPr>
        <w:t xml:space="preserve">Brent </w:t>
      </w:r>
      <w:r w:rsidRPr="004440A2">
        <w:rPr>
          <w:rFonts w:cs="Times New Roman"/>
          <w:szCs w:val="28"/>
        </w:rPr>
        <w:t>mark</w:t>
      </w:r>
      <w:r>
        <w:rPr>
          <w:rFonts w:cs="Times New Roman"/>
          <w:szCs w:val="28"/>
        </w:rPr>
        <w:t>as jēlnaftas cena bija 41,96 Amerikas Savienoto Valstu</w:t>
      </w:r>
      <w:r w:rsidRPr="004440A2">
        <w:rPr>
          <w:rFonts w:cs="Times New Roman"/>
          <w:szCs w:val="28"/>
        </w:rPr>
        <w:t xml:space="preserve"> dolāru par barelu, kas bija par 34,7% mazāk nekā iepriekšējā gadā. Kamēr zemākajā punktā jeb pērnā gada aprīlī naftas cenas samazinājās līdz 18,38 </w:t>
      </w:r>
      <w:r>
        <w:rPr>
          <w:rFonts w:cs="Times New Roman"/>
          <w:szCs w:val="28"/>
        </w:rPr>
        <w:t>Amerikas Savienoto Valstu</w:t>
      </w:r>
      <w:r w:rsidRPr="004440A2">
        <w:rPr>
          <w:rFonts w:cs="Times New Roman"/>
          <w:szCs w:val="28"/>
        </w:rPr>
        <w:t xml:space="preserve"> dolāru par barelu, sasniedzot zemāko līmeni kopš 1999.</w:t>
      </w:r>
      <w:r>
        <w:rPr>
          <w:rFonts w:cs="Times New Roman"/>
          <w:szCs w:val="28"/>
        </w:rPr>
        <w:t xml:space="preserve"> </w:t>
      </w:r>
      <w:r w:rsidRPr="004440A2">
        <w:rPr>
          <w:rFonts w:cs="Times New Roman"/>
          <w:szCs w:val="28"/>
        </w:rPr>
        <w:t xml:space="preserve">gada vidus. </w:t>
      </w:r>
    </w:p>
    <w:p w:rsidR="00BF4753" w:rsidRPr="004440A2" w:rsidRDefault="00BF4753" w:rsidP="00BF4753">
      <w:pPr>
        <w:rPr>
          <w:rFonts w:cs="Times New Roman"/>
          <w:szCs w:val="28"/>
        </w:rPr>
      </w:pPr>
      <w:r w:rsidRPr="004440A2">
        <w:rPr>
          <w:rFonts w:cs="Times New Roman"/>
          <w:szCs w:val="28"/>
        </w:rPr>
        <w:t>Būtisks jēlnaftas cenu samazinājums ietekmēja ne tikai degvielas, bet arī citu energoresursu cenas Latvijā. Tā, gāzes un siltumenerģijas cena bija attiecīgi par 15,5% un 3,6% zemākas nekā 2019. gadā. Gāzes un siltumenerģijas tarifi ir administratīvi regulējami, tomēr tiek pielietota atšķirīga tarifa metodoloģija, tāpēc gāzes un siltumenerģijas cenu izmaiņas 2020.</w:t>
      </w:r>
      <w:r>
        <w:rPr>
          <w:rFonts w:cs="Times New Roman"/>
          <w:szCs w:val="28"/>
        </w:rPr>
        <w:t xml:space="preserve"> </w:t>
      </w:r>
      <w:r w:rsidRPr="004440A2">
        <w:rPr>
          <w:rFonts w:cs="Times New Roman"/>
          <w:szCs w:val="28"/>
        </w:rPr>
        <w:t>gadā kopumā jūtami atšķiras. Gāzes tarifi tika pārskatīti divas reizes gadā, ko ietekmē naftas produktu cenu dinamika pasaules biržās. Savukārt siltumenerģijas tarifi ir elastīgāki un tiek pārskatīti biežāk atkarībā no dabasgāzes un biomasas cenu dinamikas. Tā, lielākais siltum</w:t>
      </w:r>
      <w:r>
        <w:rPr>
          <w:rFonts w:cs="Times New Roman"/>
          <w:szCs w:val="28"/>
        </w:rPr>
        <w:t>enerģijas piegādātājs Latvijā akciju sabiedrība</w:t>
      </w:r>
      <w:r w:rsidRPr="004440A2">
        <w:rPr>
          <w:rFonts w:cs="Times New Roman"/>
          <w:szCs w:val="28"/>
        </w:rPr>
        <w:t xml:space="preserve"> </w:t>
      </w:r>
      <w:r>
        <w:rPr>
          <w:rFonts w:cs="Times New Roman"/>
          <w:szCs w:val="28"/>
        </w:rPr>
        <w:t>“</w:t>
      </w:r>
      <w:r w:rsidRPr="002F7C62">
        <w:rPr>
          <w:rFonts w:cs="Times New Roman"/>
          <w:szCs w:val="28"/>
        </w:rPr>
        <w:t>Rīgas Siltums</w:t>
      </w:r>
      <w:r>
        <w:rPr>
          <w:rFonts w:cs="Times New Roman"/>
          <w:szCs w:val="28"/>
        </w:rPr>
        <w:t>”</w:t>
      </w:r>
      <w:r w:rsidRPr="004440A2">
        <w:rPr>
          <w:rFonts w:cs="Times New Roman"/>
          <w:i/>
          <w:szCs w:val="28"/>
        </w:rPr>
        <w:t xml:space="preserve">, </w:t>
      </w:r>
      <w:r w:rsidRPr="004440A2">
        <w:rPr>
          <w:rFonts w:cs="Times New Roman"/>
          <w:szCs w:val="28"/>
        </w:rPr>
        <w:t>2020.</w:t>
      </w:r>
      <w:r>
        <w:rPr>
          <w:rFonts w:cs="Times New Roman"/>
          <w:szCs w:val="28"/>
        </w:rPr>
        <w:t xml:space="preserve"> </w:t>
      </w:r>
      <w:r w:rsidRPr="004440A2">
        <w:rPr>
          <w:rFonts w:cs="Times New Roman"/>
          <w:szCs w:val="28"/>
        </w:rPr>
        <w:t>gadā</w:t>
      </w:r>
      <w:r w:rsidRPr="004440A2">
        <w:rPr>
          <w:rFonts w:cs="Times New Roman"/>
          <w:i/>
          <w:szCs w:val="28"/>
        </w:rPr>
        <w:t xml:space="preserve"> </w:t>
      </w:r>
      <w:r w:rsidRPr="004440A2">
        <w:rPr>
          <w:rFonts w:cs="Times New Roman"/>
          <w:szCs w:val="28"/>
        </w:rPr>
        <w:t>četras reizes samazināja tarifu un gadā nogalē vienu reizi palielināja siltumenerģijas tarifu. Lai arī gadā vidēji siltumenerģijas cenas samazinājās par 3,6%, tomēr gada pēdējos mēnešos kritums veidoja ap 11%. Ņemot vērā gāzes un siltumenerģijas tarifa aprēķināšanas metodoloģiju, arī 2021.</w:t>
      </w:r>
      <w:r>
        <w:rPr>
          <w:rFonts w:cs="Times New Roman"/>
          <w:szCs w:val="28"/>
        </w:rPr>
        <w:t xml:space="preserve"> </w:t>
      </w:r>
      <w:r w:rsidRPr="004440A2">
        <w:rPr>
          <w:rFonts w:cs="Times New Roman"/>
          <w:szCs w:val="28"/>
        </w:rPr>
        <w:t>gada pirmajā pusē gāzes un siltumenerģijas cena gada izteiksmē būs mazāka nekā 2020.</w:t>
      </w:r>
      <w:r>
        <w:rPr>
          <w:rFonts w:cs="Times New Roman"/>
          <w:szCs w:val="28"/>
        </w:rPr>
        <w:t xml:space="preserve"> </w:t>
      </w:r>
      <w:r w:rsidRPr="004440A2">
        <w:rPr>
          <w:rFonts w:cs="Times New Roman"/>
          <w:szCs w:val="28"/>
        </w:rPr>
        <w:t xml:space="preserve">gada attiecīgajā periodā. </w:t>
      </w:r>
    </w:p>
    <w:p w:rsidR="00BF4753" w:rsidRPr="004440A2" w:rsidRDefault="00BF4753" w:rsidP="00BF4753">
      <w:pPr>
        <w:rPr>
          <w:rFonts w:cs="Times New Roman"/>
          <w:szCs w:val="28"/>
        </w:rPr>
      </w:pPr>
      <w:r w:rsidRPr="004440A2">
        <w:rPr>
          <w:rFonts w:cs="Times New Roman"/>
          <w:szCs w:val="28"/>
        </w:rPr>
        <w:t>Cenu kritums bija vērojams arī elektroenerģijai, kas bija par 2,9% lētāka nekā 2019. gadā. Cenu kritumu noteica elektroenerģijas patēriņa kritums zemākas ekonomiskās aktivitātes dēļ ārkārtas situācijas laikā. Svarīgi atzīmēt, ka lētāka gāze, siltumenerģija un elektroenerģija, kam ir liels īpatsvars tieši mazāk turīgo iedzīvotāju patēriņā, pašreizējos pandēmijas apstākļos ir vērtējami pozitīvi, jo mazina iedzīvotāju ikmēneša izmaksas.</w:t>
      </w:r>
    </w:p>
    <w:p w:rsidR="00BF4753" w:rsidRPr="004440A2" w:rsidRDefault="00BF4753" w:rsidP="00BF4753">
      <w:pPr>
        <w:rPr>
          <w:rFonts w:cs="Times New Roman"/>
          <w:szCs w:val="28"/>
        </w:rPr>
      </w:pPr>
      <w:r w:rsidRPr="004440A2">
        <w:rPr>
          <w:rFonts w:cs="Times New Roman"/>
          <w:szCs w:val="28"/>
        </w:rPr>
        <w:t>Robežu slēgšana un ārvalstu tūristu skaita būtisks kritums negatīvi ietekmēja to pakalpojumu cenu dinamiku, kas izteikti orientēti uz ārvalstu tūristiem. Tā, izmitināšanas pakalpojumu cenas 2020.</w:t>
      </w:r>
      <w:r>
        <w:rPr>
          <w:rFonts w:cs="Times New Roman"/>
          <w:szCs w:val="28"/>
        </w:rPr>
        <w:t xml:space="preserve"> </w:t>
      </w:r>
      <w:r w:rsidRPr="004440A2">
        <w:rPr>
          <w:rFonts w:cs="Times New Roman"/>
          <w:szCs w:val="28"/>
        </w:rPr>
        <w:t xml:space="preserve">gadā samazinājās par 8,2%. Arī īres tirgu, kurā toni galvenokārt nosaka aktivitāte Rīgā, ietekmēja pandēmijas ierobežojošie pasākumi. Mazāks pieprasījums pēc īres dzīvokļiem Vecrīgā un </w:t>
      </w:r>
      <w:r w:rsidRPr="004440A2">
        <w:rPr>
          <w:rFonts w:cs="Times New Roman"/>
          <w:szCs w:val="28"/>
        </w:rPr>
        <w:lastRenderedPageBreak/>
        <w:t>Rīgas centrā, ko izīrē galvenokārt ārvalstu viesiem, mazināja mājokļa īres cenu par 2,2%. Jāatzīmē, ka iebraucošo ārvalstu tūristu skaits Latvijā, 2020.</w:t>
      </w:r>
      <w:r>
        <w:rPr>
          <w:rFonts w:cs="Times New Roman"/>
          <w:szCs w:val="28"/>
        </w:rPr>
        <w:t xml:space="preserve"> </w:t>
      </w:r>
      <w:r w:rsidRPr="004440A2">
        <w:rPr>
          <w:rFonts w:cs="Times New Roman"/>
          <w:szCs w:val="28"/>
        </w:rPr>
        <w:t xml:space="preserve">gadā laikā periodā no marta līdz decembrim bija par 71% mazāks nekā attiecīgā periodā iepriekšējā gadā. Ieviestie ierobežojumi Covid-19 vīrusa izplatības mazināšanai ietekmēja ne tikai iebraucošo tūristu skaitu no ārvalstīm, bet ierobežoja arī Latvijas iedzīvotāju iespēju doties uz ārvalstīm. Tādējādi pasažieru aviopārvadājumu cenas arī būtiski samazinājās - 2020.gadā vidēji par 4,3%, bet gada pēdējā ceturksnī kritums veidoja 14,1%. </w:t>
      </w:r>
    </w:p>
    <w:p w:rsidR="00BF4753" w:rsidRPr="004440A2" w:rsidRDefault="00BF4753" w:rsidP="00BF4753">
      <w:pPr>
        <w:rPr>
          <w:rFonts w:cs="Times New Roman"/>
          <w:szCs w:val="28"/>
        </w:rPr>
      </w:pPr>
      <w:r w:rsidRPr="004440A2">
        <w:rPr>
          <w:rFonts w:cs="Times New Roman"/>
          <w:szCs w:val="28"/>
        </w:rPr>
        <w:t>Augstākminēto preču un pakalpojumu cenu kritumu 2020.</w:t>
      </w:r>
      <w:r>
        <w:rPr>
          <w:rFonts w:cs="Times New Roman"/>
          <w:szCs w:val="28"/>
        </w:rPr>
        <w:t xml:space="preserve"> </w:t>
      </w:r>
      <w:r w:rsidRPr="004440A2">
        <w:rPr>
          <w:rFonts w:cs="Times New Roman"/>
          <w:szCs w:val="28"/>
        </w:rPr>
        <w:t>gadā kopumā nedaudz kompensēja pārtikas un bezalkoholisko dzērienu cenu pieaugums. Pērnajā gadā pārtikas un bezalkoholisko dzērienu preces sadārdzinājās par 2,4%. Pārtikas cenas lielā mērā ir atkarīgas no tendencēm pasaulē un pērn pasaulē kopumā bija vērojams pārtikas cenu pieaugums, ko lielā mērā ietekmēja Āfrikas cūku mēra uzliesmojums Ķīnā, kā arī atsevišķu pārtikas kultūru sliktā raža. Vienlaicīgi Covid-19 krīzes dēļ mazinājās atsevišķu pārtikas produktu patēriņš restorānos un viesnīcās, tādējādi atsevišķiem produktiem, piemēram, jūras veltēm, bija cenu kritums.</w:t>
      </w:r>
    </w:p>
    <w:p w:rsidR="00BF4753" w:rsidRPr="004440A2" w:rsidRDefault="00BF4753" w:rsidP="00BF4753">
      <w:pPr>
        <w:rPr>
          <w:rFonts w:cs="Times New Roman"/>
          <w:szCs w:val="28"/>
        </w:rPr>
      </w:pPr>
      <w:r w:rsidRPr="004440A2">
        <w:rPr>
          <w:rFonts w:cs="Times New Roman"/>
          <w:szCs w:val="28"/>
        </w:rPr>
        <w:t>2021.</w:t>
      </w:r>
      <w:r>
        <w:rPr>
          <w:rFonts w:cs="Times New Roman"/>
          <w:szCs w:val="28"/>
        </w:rPr>
        <w:t xml:space="preserve"> </w:t>
      </w:r>
      <w:r w:rsidRPr="004440A2">
        <w:rPr>
          <w:rFonts w:cs="Times New Roman"/>
          <w:szCs w:val="28"/>
        </w:rPr>
        <w:t>gada sākumā patēriņa cenu dinamiku turpina noteikt Covid-19 pandēmijas sekas. Janvārī un februārī patēriņa cenas samazinājās attiecīgi par 0,5% un 0,2%. Tādējādi Latvijā septīto mēnesi pēc kārtas tika fiksēta deflācija un patēriņa cenas ietekmējošie faktori kopš pandēmijas sākuma praktiski nebija mainījušies. Deflācija ir saistīta ar energoresursu cenu kritumu un cenu samazinājumu tajos pakalpojumos, kuri visbūtiskāk cieta no pandēmijas, proti, aviopārvadājumi un izmitināšanas pakalpojumi. Atšķirībā no pērnā gada patēriņa cenas ietekmējošiem faktoriem, korekcijas cenu izmaiņās 2021.</w:t>
      </w:r>
      <w:r>
        <w:rPr>
          <w:rFonts w:cs="Times New Roman"/>
          <w:szCs w:val="28"/>
        </w:rPr>
        <w:t xml:space="preserve"> </w:t>
      </w:r>
      <w:r w:rsidRPr="004440A2">
        <w:rPr>
          <w:rFonts w:cs="Times New Roman"/>
          <w:szCs w:val="28"/>
        </w:rPr>
        <w:t>gada sākumā ieviesa nebūtisks pārtikas un bezalkoholisko dzērienu cenu kritums.</w:t>
      </w:r>
    </w:p>
    <w:p w:rsidR="00BF4753" w:rsidRDefault="00BF4753" w:rsidP="00BF4753">
      <w:pPr>
        <w:rPr>
          <w:rFonts w:cs="Times New Roman"/>
          <w:szCs w:val="28"/>
        </w:rPr>
      </w:pPr>
      <w:r w:rsidRPr="004440A2">
        <w:rPr>
          <w:rFonts w:cs="Times New Roman"/>
          <w:szCs w:val="28"/>
        </w:rPr>
        <w:t>Aktuālākie Eiropas Komisijas apkopotie patērētāju konfidences rādītāji liecina, ka inflācijas gaidas Latvijā salīdzinājumā ar iepriekšējiem mēnešiem 2021.</w:t>
      </w:r>
      <w:r>
        <w:rPr>
          <w:rFonts w:cs="Times New Roman"/>
          <w:szCs w:val="28"/>
        </w:rPr>
        <w:t xml:space="preserve"> </w:t>
      </w:r>
      <w:r w:rsidRPr="004440A2">
        <w:rPr>
          <w:rFonts w:cs="Times New Roman"/>
          <w:szCs w:val="28"/>
        </w:rPr>
        <w:t>gada februārī nedaudz samazinājās un atpalika gan no pērnā gada vidējā līmeņa, gan no pirms Covid-19 krīzes līmeņa. Tas liecina, ka straujas patēriņa cenu izmaiņas tuvākajos mēnešos nav sagaidāmas. Deflāc</w:t>
      </w:r>
      <w:r>
        <w:rPr>
          <w:rFonts w:cs="Times New Roman"/>
          <w:szCs w:val="28"/>
        </w:rPr>
        <w:t>ija Latvijā saglabāsies arī šī gada</w:t>
      </w:r>
      <w:r w:rsidRPr="004440A2">
        <w:rPr>
          <w:rFonts w:cs="Times New Roman"/>
          <w:szCs w:val="28"/>
        </w:rPr>
        <w:t xml:space="preserve"> martā, bet sākot ar otro ceturksni sagaidāms mērens patēriņa cenu pieaugums. Tas ir saistīts ar to, ka pērn aprīlī pandēmija ieviesa būtiskas korekcijas patēriņa cenu dinamikā, līdz ar to </w:t>
      </w:r>
      <w:r>
        <w:rPr>
          <w:rFonts w:cs="Times New Roman"/>
          <w:szCs w:val="28"/>
        </w:rPr>
        <w:t>tās ietekme saglabāsies arī šī gada</w:t>
      </w:r>
      <w:r w:rsidRPr="004440A2">
        <w:rPr>
          <w:rFonts w:cs="Times New Roman"/>
          <w:szCs w:val="28"/>
        </w:rPr>
        <w:t xml:space="preserve"> pirmajā ceturksnī. Savukārt, pazūdot bāzes efektiem un ņemot vērā, ka pārtikas un naftas cenas pasaules biržās palielinās, sasniedzot augtāko līmeni kopš pandēmijas sākuma, palielināsies arī patēriņa cenu līmenis Latvijā, bet galvenokārt šī gada otrajā pusē. Pēc Finanšu ministrijas prognozēm patēriņa cenas šogad palielināsies par 1,4%.</w:t>
      </w:r>
    </w:p>
    <w:p w:rsidR="00437D0F" w:rsidRPr="002F7C62" w:rsidRDefault="00437D0F" w:rsidP="00BF4753">
      <w:pPr>
        <w:rPr>
          <w:rFonts w:cs="Times New Roman"/>
          <w:szCs w:val="28"/>
        </w:rPr>
      </w:pPr>
    </w:p>
    <w:p w:rsidR="00BF4753" w:rsidRPr="002F7C62" w:rsidRDefault="00BF4753" w:rsidP="00BF4753">
      <w:pPr>
        <w:pStyle w:val="H4"/>
        <w:ind w:left="0" w:firstLine="720"/>
        <w:jc w:val="both"/>
        <w:rPr>
          <w:rFonts w:ascii="Times New Roman" w:hAnsi="Times New Roman"/>
          <w:i/>
          <w:szCs w:val="24"/>
        </w:rPr>
      </w:pPr>
      <w:r w:rsidRPr="00824137">
        <w:rPr>
          <w:rFonts w:ascii="Times New Roman" w:hAnsi="Times New Roman"/>
          <w:i/>
          <w:szCs w:val="24"/>
        </w:rPr>
        <w:lastRenderedPageBreak/>
        <w:t>Darba tirgus</w:t>
      </w:r>
    </w:p>
    <w:p w:rsidR="00BF4753" w:rsidRPr="002F7C62" w:rsidRDefault="00BF4753" w:rsidP="00BF4753">
      <w:pPr>
        <w:pStyle w:val="Default"/>
        <w:ind w:firstLine="720"/>
        <w:jc w:val="both"/>
        <w:rPr>
          <w:color w:val="auto"/>
          <w:sz w:val="28"/>
        </w:rPr>
      </w:pPr>
      <w:r w:rsidRPr="002F7C62">
        <w:rPr>
          <w:color w:val="auto"/>
          <w:sz w:val="28"/>
          <w:szCs w:val="23"/>
        </w:rPr>
        <w:t xml:space="preserve">Situāciju darba tirgū jau kopš pagājušā gada marta nosaka Covid-19 pandēmija un slimības izplatības mazināšanai noteiktie ierobežojumi. </w:t>
      </w:r>
      <w:r w:rsidRPr="002F7C62">
        <w:rPr>
          <w:color w:val="auto"/>
          <w:sz w:val="28"/>
        </w:rPr>
        <w:t>Tautsaimniecībā nodarbināto iedzīvotāju skaits 2020.</w:t>
      </w:r>
      <w:r>
        <w:rPr>
          <w:color w:val="auto"/>
          <w:sz w:val="28"/>
        </w:rPr>
        <w:t xml:space="preserve"> </w:t>
      </w:r>
      <w:r w:rsidRPr="002F7C62">
        <w:rPr>
          <w:color w:val="auto"/>
          <w:sz w:val="28"/>
        </w:rPr>
        <w:t>ga</w:t>
      </w:r>
      <w:r>
        <w:rPr>
          <w:color w:val="auto"/>
          <w:sz w:val="28"/>
        </w:rPr>
        <w:t>dā samazinājās par 17 tūkst.</w:t>
      </w:r>
      <w:r w:rsidRPr="002F7C62">
        <w:rPr>
          <w:color w:val="auto"/>
          <w:sz w:val="28"/>
        </w:rPr>
        <w:t xml:space="preserve"> j</w:t>
      </w:r>
      <w:r>
        <w:rPr>
          <w:color w:val="auto"/>
          <w:sz w:val="28"/>
        </w:rPr>
        <w:t>eb 1,9% un veidoja 893 tūkst.</w:t>
      </w:r>
      <w:r w:rsidRPr="002F7C62">
        <w:rPr>
          <w:color w:val="auto"/>
          <w:sz w:val="28"/>
        </w:rPr>
        <w:t>, bet b</w:t>
      </w:r>
      <w:r w:rsidRPr="002F7C62">
        <w:rPr>
          <w:color w:val="auto"/>
          <w:sz w:val="28"/>
          <w:szCs w:val="23"/>
        </w:rPr>
        <w:t>ezdarba līmenis pēc desmit gadus ilguša krituma pieauga par 1,8 procentpunktiem, sasniedzot 8,1%.  Šāds bezdarba pieaugums bija mērenāks, nekā tika prognozēts Covid</w:t>
      </w:r>
      <w:r>
        <w:rPr>
          <w:color w:val="auto"/>
          <w:sz w:val="28"/>
          <w:szCs w:val="23"/>
        </w:rPr>
        <w:t>-19</w:t>
      </w:r>
      <w:r w:rsidRPr="002F7C62">
        <w:rPr>
          <w:color w:val="auto"/>
          <w:sz w:val="28"/>
          <w:szCs w:val="23"/>
        </w:rPr>
        <w:t xml:space="preserve"> krīzes sākumā,  un tālu atpalika no rekordaugstajiem līmeņiem, kas bija fiksēti 2009.</w:t>
      </w:r>
      <w:r>
        <w:rPr>
          <w:color w:val="auto"/>
          <w:sz w:val="28"/>
          <w:szCs w:val="23"/>
        </w:rPr>
        <w:t xml:space="preserve"> </w:t>
      </w:r>
      <w:r w:rsidRPr="002F7C62">
        <w:rPr>
          <w:color w:val="auto"/>
          <w:sz w:val="28"/>
          <w:szCs w:val="23"/>
        </w:rPr>
        <w:t>-</w:t>
      </w:r>
      <w:r>
        <w:rPr>
          <w:color w:val="auto"/>
          <w:sz w:val="28"/>
          <w:szCs w:val="23"/>
        </w:rPr>
        <w:t> </w:t>
      </w:r>
      <w:r w:rsidRPr="002F7C62">
        <w:rPr>
          <w:color w:val="auto"/>
          <w:sz w:val="28"/>
          <w:szCs w:val="23"/>
        </w:rPr>
        <w:t>2010.</w:t>
      </w:r>
      <w:r>
        <w:rPr>
          <w:color w:val="auto"/>
          <w:sz w:val="28"/>
          <w:szCs w:val="23"/>
        </w:rPr>
        <w:t> </w:t>
      </w:r>
      <w:r w:rsidRPr="002F7C62">
        <w:rPr>
          <w:color w:val="auto"/>
          <w:sz w:val="28"/>
          <w:szCs w:val="23"/>
        </w:rPr>
        <w:t xml:space="preserve">gada ekonomiskās krīzes laikā. Tāpat arī bezdarba pieaugums Latvijā bija lēnāks nekā kaimiņvalstīs Lietuvā un Igaunijā, ko noteica gan </w:t>
      </w:r>
      <w:r w:rsidRPr="002F7C62">
        <w:rPr>
          <w:color w:val="auto"/>
          <w:sz w:val="28"/>
        </w:rPr>
        <w:t>nodarbinātības un dīkstāves atbalsta mehānismi, gan arī tas, ka atbalsts tieši bezdarbnieku pabalstu veidā nebija apjomīgs, mudinot cilvēkus palikt darba tirgū.</w:t>
      </w:r>
    </w:p>
    <w:p w:rsidR="00BF4753" w:rsidRPr="00BD2805" w:rsidRDefault="00BF4753" w:rsidP="00BF4753">
      <w:pPr>
        <w:pStyle w:val="Zpar"/>
        <w:spacing w:before="120" w:after="120"/>
        <w:ind w:left="0" w:right="-57" w:firstLine="0"/>
        <w:jc w:val="center"/>
        <w:rPr>
          <w:rFonts w:ascii="Times New Roman" w:hAnsi="Times New Roman"/>
          <w:b/>
          <w:i w:val="0"/>
          <w:noProof/>
          <w:sz w:val="24"/>
          <w:highlight w:val="yellow"/>
        </w:rPr>
      </w:pPr>
      <w:r w:rsidRPr="00BD2805">
        <w:rPr>
          <w:noProof/>
          <w:lang w:eastAsia="lv-LV"/>
        </w:rPr>
        <w:drawing>
          <wp:inline distT="0" distB="0" distL="0" distR="0" wp14:anchorId="2EB12E93" wp14:editId="5E548B67">
            <wp:extent cx="5274310" cy="2933700"/>
            <wp:effectExtent l="0" t="0" r="254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F4753" w:rsidRPr="002F7C62" w:rsidRDefault="00BF4753" w:rsidP="00BF4753">
      <w:pPr>
        <w:pStyle w:val="Zpar"/>
        <w:spacing w:before="120" w:after="120"/>
        <w:ind w:left="0" w:right="-57" w:firstLine="0"/>
        <w:jc w:val="center"/>
        <w:rPr>
          <w:rFonts w:ascii="Times New Roman" w:hAnsi="Times New Roman"/>
          <w:b/>
          <w:sz w:val="24"/>
        </w:rPr>
      </w:pPr>
      <w:r>
        <w:rPr>
          <w:rFonts w:ascii="Times New Roman" w:hAnsi="Times New Roman"/>
          <w:b/>
          <w:noProof/>
          <w:sz w:val="24"/>
        </w:rPr>
        <w:t>2.4. att</w:t>
      </w:r>
      <w:r w:rsidRPr="002F7C62">
        <w:rPr>
          <w:rFonts w:ascii="Times New Roman" w:hAnsi="Times New Roman"/>
          <w:b/>
          <w:noProof/>
          <w:sz w:val="24"/>
        </w:rPr>
        <w:t>.</w:t>
      </w:r>
      <w:r w:rsidRPr="002F7C62">
        <w:rPr>
          <w:rFonts w:ascii="Times New Roman" w:hAnsi="Times New Roman"/>
          <w:b/>
          <w:sz w:val="24"/>
        </w:rPr>
        <w:t xml:space="preserve"> Nodarbinātība un bezdarbs 2008.</w:t>
      </w:r>
      <w:r w:rsidR="002D7CA8">
        <w:rPr>
          <w:rFonts w:ascii="Times New Roman" w:hAnsi="Times New Roman"/>
          <w:b/>
          <w:sz w:val="24"/>
        </w:rPr>
        <w:t>-</w:t>
      </w:r>
      <w:r w:rsidRPr="002F7C62">
        <w:rPr>
          <w:rFonts w:ascii="Times New Roman" w:hAnsi="Times New Roman"/>
          <w:b/>
          <w:sz w:val="24"/>
        </w:rPr>
        <w:t>2020.</w:t>
      </w:r>
      <w:r>
        <w:rPr>
          <w:rFonts w:ascii="Times New Roman" w:hAnsi="Times New Roman"/>
          <w:b/>
          <w:sz w:val="24"/>
        </w:rPr>
        <w:t xml:space="preserve"> </w:t>
      </w:r>
      <w:r w:rsidRPr="002F7C62">
        <w:rPr>
          <w:rFonts w:ascii="Times New Roman" w:hAnsi="Times New Roman"/>
          <w:b/>
          <w:sz w:val="24"/>
        </w:rPr>
        <w:t>gadā</w:t>
      </w:r>
    </w:p>
    <w:p w:rsidR="00BF4753" w:rsidRPr="002F7C62" w:rsidRDefault="00BF4753" w:rsidP="00BF4753">
      <w:pPr>
        <w:pStyle w:val="Default"/>
        <w:ind w:firstLine="720"/>
        <w:jc w:val="both"/>
        <w:rPr>
          <w:color w:val="auto"/>
          <w:sz w:val="28"/>
          <w:szCs w:val="23"/>
        </w:rPr>
      </w:pPr>
      <w:r w:rsidRPr="002F7C62">
        <w:rPr>
          <w:color w:val="auto"/>
          <w:sz w:val="28"/>
          <w:szCs w:val="23"/>
        </w:rPr>
        <w:t>Kopējo bezdarba līmeni valstī laikā no 2020.</w:t>
      </w:r>
      <w:r>
        <w:rPr>
          <w:color w:val="auto"/>
          <w:sz w:val="28"/>
          <w:szCs w:val="23"/>
        </w:rPr>
        <w:t xml:space="preserve"> </w:t>
      </w:r>
      <w:r w:rsidRPr="002F7C62">
        <w:rPr>
          <w:color w:val="auto"/>
          <w:sz w:val="28"/>
          <w:szCs w:val="23"/>
        </w:rPr>
        <w:t>gada marta līdz jūnijam palīdzēja ierobežot dīkstāves pabalstu piešķiršana to uzņēmumu darbiniekiem, kuriem krīzes laikā bija būtiski kritušies darbības apjomi. Reģistrētā bezdarba līmenis jūnijā sasniedza 2020.</w:t>
      </w:r>
      <w:r>
        <w:rPr>
          <w:color w:val="auto"/>
          <w:sz w:val="28"/>
          <w:szCs w:val="23"/>
        </w:rPr>
        <w:t xml:space="preserve"> </w:t>
      </w:r>
      <w:r w:rsidRPr="002F7C62">
        <w:rPr>
          <w:color w:val="auto"/>
          <w:sz w:val="28"/>
          <w:szCs w:val="23"/>
        </w:rPr>
        <w:t>gada maksimumu – 8,6%, bet bez dīkstāves pabalstiem tas varētu būt pietuvojies 12,5%, līmenim, kādā tas bija 2011.</w:t>
      </w:r>
      <w:r>
        <w:rPr>
          <w:color w:val="auto"/>
          <w:sz w:val="28"/>
          <w:szCs w:val="23"/>
        </w:rPr>
        <w:t> </w:t>
      </w:r>
      <w:r w:rsidRPr="002F7C62">
        <w:rPr>
          <w:color w:val="auto"/>
          <w:sz w:val="28"/>
          <w:szCs w:val="23"/>
        </w:rPr>
        <w:t>-</w:t>
      </w:r>
      <w:r>
        <w:rPr>
          <w:color w:val="auto"/>
          <w:sz w:val="28"/>
          <w:szCs w:val="23"/>
        </w:rPr>
        <w:t> </w:t>
      </w:r>
      <w:r w:rsidRPr="002F7C62">
        <w:rPr>
          <w:color w:val="auto"/>
          <w:sz w:val="28"/>
          <w:szCs w:val="23"/>
        </w:rPr>
        <w:t>2012.</w:t>
      </w:r>
      <w:r>
        <w:rPr>
          <w:color w:val="auto"/>
          <w:sz w:val="28"/>
          <w:szCs w:val="23"/>
        </w:rPr>
        <w:t> </w:t>
      </w:r>
      <w:r w:rsidRPr="002F7C62">
        <w:rPr>
          <w:color w:val="auto"/>
          <w:sz w:val="28"/>
          <w:szCs w:val="23"/>
        </w:rPr>
        <w:t>gadā īsi pēc globālās finanšu krīzes pārvarēšanas. Laikā no marta līdz jūnijam dīkstāves pabalstus vi</w:t>
      </w:r>
      <w:r>
        <w:rPr>
          <w:color w:val="auto"/>
          <w:sz w:val="28"/>
          <w:szCs w:val="23"/>
        </w:rPr>
        <w:t>dēji mēnesī saņēma 31,7 tūkst.</w:t>
      </w:r>
      <w:r w:rsidRPr="002F7C62">
        <w:rPr>
          <w:color w:val="auto"/>
          <w:sz w:val="28"/>
          <w:szCs w:val="23"/>
        </w:rPr>
        <w:t xml:space="preserve"> cilvēku. Vislielākais dīkstāves pabalstu saņēmēju ska</w:t>
      </w:r>
      <w:r>
        <w:rPr>
          <w:color w:val="auto"/>
          <w:sz w:val="28"/>
          <w:szCs w:val="23"/>
        </w:rPr>
        <w:t>its bija aprīlī  - 42,4 tūkst.</w:t>
      </w:r>
      <w:r w:rsidRPr="002F7C62">
        <w:rPr>
          <w:color w:val="auto"/>
          <w:sz w:val="28"/>
          <w:szCs w:val="23"/>
        </w:rPr>
        <w:t xml:space="preserve">, bet līdz jūnijam līdz ar krīzes mazināšanos pabalstu saņēmēju skaits saruka </w:t>
      </w:r>
      <w:r>
        <w:rPr>
          <w:color w:val="auto"/>
          <w:sz w:val="28"/>
          <w:szCs w:val="23"/>
        </w:rPr>
        <w:t>līdz 25,6 tūkst</w:t>
      </w:r>
      <w:r w:rsidRPr="002F7C62">
        <w:rPr>
          <w:color w:val="auto"/>
          <w:sz w:val="28"/>
          <w:szCs w:val="23"/>
        </w:rPr>
        <w:t xml:space="preserve">. </w:t>
      </w:r>
    </w:p>
    <w:p w:rsidR="00BF4753" w:rsidRPr="002F7C62" w:rsidRDefault="00BF4753" w:rsidP="00BF4753">
      <w:pPr>
        <w:pStyle w:val="Default"/>
        <w:ind w:firstLine="720"/>
        <w:jc w:val="both"/>
        <w:rPr>
          <w:color w:val="auto"/>
          <w:sz w:val="28"/>
          <w:szCs w:val="23"/>
        </w:rPr>
      </w:pPr>
      <w:r w:rsidRPr="002F7C62">
        <w:rPr>
          <w:color w:val="auto"/>
          <w:sz w:val="28"/>
          <w:szCs w:val="23"/>
        </w:rPr>
        <w:t xml:space="preserve">Vienlaikus ar kopējo nosacīti pozitīvo kopējo situāciju, darba tirgū ir ļoti atšķirīga gan nozaru, gan profesiju, gan reģionālajā griezumā. Covid-19 krīze </w:t>
      </w:r>
      <w:r w:rsidRPr="002F7C62">
        <w:rPr>
          <w:color w:val="auto"/>
          <w:sz w:val="28"/>
          <w:szCs w:val="23"/>
        </w:rPr>
        <w:lastRenderedPageBreak/>
        <w:t>smagi skāra atsevišķas nozares un strādājošo grupas, kas jau iepriekš zemāk atalgotas, jūtami palielinot nevienlīdzību darbspējas vecuma iedzīvotāju vidū.</w:t>
      </w:r>
    </w:p>
    <w:p w:rsidR="00BF4753" w:rsidRPr="002F7C62" w:rsidRDefault="00BF4753" w:rsidP="00BF4753">
      <w:pPr>
        <w:pStyle w:val="Default"/>
        <w:ind w:firstLine="720"/>
        <w:jc w:val="both"/>
        <w:rPr>
          <w:color w:val="auto"/>
          <w:sz w:val="28"/>
        </w:rPr>
      </w:pPr>
      <w:r w:rsidRPr="002F7C62">
        <w:rPr>
          <w:color w:val="auto"/>
          <w:sz w:val="28"/>
          <w:szCs w:val="23"/>
        </w:rPr>
        <w:t>Dati par aizņemtajām darba vietām rāda, ka 2020.</w:t>
      </w:r>
      <w:r>
        <w:rPr>
          <w:color w:val="auto"/>
          <w:sz w:val="28"/>
          <w:szCs w:val="23"/>
        </w:rPr>
        <w:t xml:space="preserve"> </w:t>
      </w:r>
      <w:r w:rsidRPr="002F7C62">
        <w:rPr>
          <w:color w:val="auto"/>
          <w:sz w:val="28"/>
          <w:szCs w:val="23"/>
        </w:rPr>
        <w:t xml:space="preserve">gadā lielākais strādājošo skaita kritums bijis Covid-19 krīzes tieši skartajās nozarēs, tajā skaitā izmitināšanas un ēdināšanas nozarē aizņemto darba vietu skaits samazinājās par 21,4%, citu pakalpojumu nozarēs – par 8,1%, transporta nozarē – par 7,1% un mākslas izklaides un atpūtas nozarē – par 6,5%. </w:t>
      </w:r>
      <w:r w:rsidRPr="002F7C62">
        <w:rPr>
          <w:color w:val="auto"/>
          <w:sz w:val="28"/>
        </w:rPr>
        <w:t>Tajā pašā laikā darba vietu skaits veselības nozarē pieauga par 3,0%, informācijas un komunikācijas pakalpojumu nozarē – par 2,9%, ieguves rūpniecībā – par 2,1% un izglītības nozarē – par 1,2%.</w:t>
      </w:r>
    </w:p>
    <w:p w:rsidR="00BF4753" w:rsidRPr="002F7C62" w:rsidRDefault="00BF4753" w:rsidP="00BF4753">
      <w:pPr>
        <w:pStyle w:val="Default"/>
        <w:ind w:firstLine="720"/>
        <w:jc w:val="both"/>
        <w:rPr>
          <w:color w:val="auto"/>
          <w:sz w:val="28"/>
          <w:szCs w:val="23"/>
        </w:rPr>
      </w:pPr>
      <w:r w:rsidRPr="002F7C62">
        <w:rPr>
          <w:color w:val="auto"/>
          <w:sz w:val="28"/>
          <w:szCs w:val="23"/>
        </w:rPr>
        <w:t>Līdzīgi neviendabīgu situāciju darba tirgū parāda reģistrētā bezdarba dati, kur skaitliski lielākais reģistrēto bezdarbnieku skaita pieaugums pērn bijis Rīgas reģionā, kamēr novados bezdarbnieku skaits un bezdarba līmenis palielinājās salīdzinoši nebūtiski. Tāpat bezdarba pieaugums vairāk skāris gados jaunākos iedzīvotājus un cilvēkus ar zemāku izglītības līmeni, ņemot vērā šo strādājošo grupu augstāko īpatsvaru krīzes tieši skartajās pakalpojumu nozarēs, tajā skaitā izmitināšanā, ēdināšanā un citu pakalpojumu nozarēs. Latvijā kopā reģistrēto bezdarbnieku skaits 2020.</w:t>
      </w:r>
      <w:r>
        <w:rPr>
          <w:color w:val="auto"/>
          <w:sz w:val="28"/>
          <w:szCs w:val="23"/>
        </w:rPr>
        <w:t xml:space="preserve"> </w:t>
      </w:r>
      <w:r w:rsidRPr="002F7C62">
        <w:rPr>
          <w:color w:val="auto"/>
          <w:sz w:val="28"/>
          <w:szCs w:val="23"/>
        </w:rPr>
        <w:t xml:space="preserve">gadā </w:t>
      </w:r>
      <w:r>
        <w:rPr>
          <w:color w:val="auto"/>
          <w:sz w:val="28"/>
          <w:szCs w:val="23"/>
        </w:rPr>
        <w:t>palielinājās par 11,8 tūkst.</w:t>
      </w:r>
      <w:r w:rsidRPr="002F7C62">
        <w:rPr>
          <w:color w:val="auto"/>
          <w:sz w:val="28"/>
          <w:szCs w:val="23"/>
        </w:rPr>
        <w:t>, tajā skaitā bezdarbnieku skaits Rīgas re</w:t>
      </w:r>
      <w:r>
        <w:rPr>
          <w:color w:val="auto"/>
          <w:sz w:val="28"/>
          <w:szCs w:val="23"/>
        </w:rPr>
        <w:t>ģionā pieauga par 7,7 tūkst.</w:t>
      </w:r>
      <w:r w:rsidRPr="002F7C62">
        <w:rPr>
          <w:color w:val="auto"/>
          <w:sz w:val="28"/>
          <w:szCs w:val="23"/>
        </w:rPr>
        <w:t xml:space="preserve"> jeb 36,3%. Savukārt Latgalē, kur darba tirgus situācija vēl pirms krīzes bija daudz nelabvēlīgāka, bezdarbnieku skaits Covid</w:t>
      </w:r>
      <w:r>
        <w:rPr>
          <w:color w:val="auto"/>
          <w:sz w:val="28"/>
          <w:szCs w:val="23"/>
        </w:rPr>
        <w:t>-19</w:t>
      </w:r>
      <w:r w:rsidRPr="002F7C62">
        <w:rPr>
          <w:color w:val="auto"/>
          <w:sz w:val="28"/>
          <w:szCs w:val="23"/>
        </w:rPr>
        <w:t xml:space="preserve"> krīzes ietekmē palie</w:t>
      </w:r>
      <w:r>
        <w:rPr>
          <w:color w:val="auto"/>
          <w:sz w:val="28"/>
          <w:szCs w:val="23"/>
        </w:rPr>
        <w:t>linājās tikai par 1,3 tūkst.</w:t>
      </w:r>
      <w:r w:rsidRPr="002F7C62">
        <w:rPr>
          <w:color w:val="auto"/>
          <w:sz w:val="28"/>
          <w:szCs w:val="23"/>
        </w:rPr>
        <w:t xml:space="preserve"> jeb 7,9%, bet pārējos reģionos bezdarbnieku skaita pieaugums gada l</w:t>
      </w:r>
      <w:r>
        <w:rPr>
          <w:color w:val="auto"/>
          <w:sz w:val="28"/>
          <w:szCs w:val="23"/>
        </w:rPr>
        <w:t>aikā nepārsniedza vienu tūkst</w:t>
      </w:r>
      <w:r w:rsidRPr="002F7C62">
        <w:rPr>
          <w:color w:val="auto"/>
          <w:sz w:val="28"/>
          <w:szCs w:val="23"/>
        </w:rPr>
        <w:t>.</w:t>
      </w:r>
    </w:p>
    <w:p w:rsidR="00BF4753" w:rsidRPr="002F7C62" w:rsidRDefault="00BF4753" w:rsidP="00BF4753">
      <w:pPr>
        <w:pStyle w:val="Default"/>
        <w:ind w:firstLine="720"/>
        <w:jc w:val="both"/>
        <w:rPr>
          <w:color w:val="auto"/>
          <w:sz w:val="28"/>
          <w:szCs w:val="23"/>
        </w:rPr>
      </w:pPr>
      <w:r w:rsidRPr="002F7C62">
        <w:rPr>
          <w:color w:val="auto"/>
          <w:sz w:val="28"/>
          <w:szCs w:val="23"/>
        </w:rPr>
        <w:t>2021.</w:t>
      </w:r>
      <w:r>
        <w:rPr>
          <w:color w:val="auto"/>
          <w:sz w:val="28"/>
          <w:szCs w:val="23"/>
        </w:rPr>
        <w:t xml:space="preserve"> </w:t>
      </w:r>
      <w:r w:rsidRPr="002F7C62">
        <w:rPr>
          <w:color w:val="auto"/>
          <w:sz w:val="28"/>
          <w:szCs w:val="23"/>
        </w:rPr>
        <w:t>gada pirmajos mēnešos situāciju darba tirgū turpināja noteikt Covid-19 pandēmija – slimības atkārtotais uzliesmojums, kas sākās pagājušā gada rudenī, un vairāku nozaru darbības apturēšana vai ierobežošana. Reģistrētā bezdarba līmenis, kas pagājušā gada oktobra beigās bija samazinājies līdz 7,4%, 2021.</w:t>
      </w:r>
      <w:r>
        <w:rPr>
          <w:color w:val="auto"/>
          <w:sz w:val="28"/>
          <w:szCs w:val="23"/>
        </w:rPr>
        <w:t xml:space="preserve"> </w:t>
      </w:r>
      <w:r w:rsidRPr="002F7C62">
        <w:rPr>
          <w:color w:val="auto"/>
          <w:sz w:val="28"/>
          <w:szCs w:val="23"/>
        </w:rPr>
        <w:t>gada februāra beigās atkal pieauga līdz 8,2% un bija par 1,9 procentpunktiem augstāks nekā pirms gada. Tomēr pašlaik bezdarba pieaugums ir daudz lēnāks, nekā tas bija Covid-19 pirmajā vilnī laikā no pagājušā gada marta līdz jūnijam, un arī vairāk sezonāls, būtiskāk ietekmējot tieši Latvijas reģionus. Tāpat kā krīzes pirmajā vilnī 2020.</w:t>
      </w:r>
      <w:r>
        <w:rPr>
          <w:color w:val="auto"/>
          <w:sz w:val="28"/>
          <w:szCs w:val="23"/>
        </w:rPr>
        <w:t xml:space="preserve"> </w:t>
      </w:r>
      <w:r w:rsidRPr="002F7C62">
        <w:rPr>
          <w:color w:val="auto"/>
          <w:sz w:val="28"/>
          <w:szCs w:val="23"/>
        </w:rPr>
        <w:t>gadā, arī 2021.</w:t>
      </w:r>
      <w:r>
        <w:rPr>
          <w:color w:val="auto"/>
          <w:sz w:val="28"/>
          <w:szCs w:val="23"/>
        </w:rPr>
        <w:t xml:space="preserve"> </w:t>
      </w:r>
      <w:r w:rsidRPr="002F7C62">
        <w:rPr>
          <w:color w:val="auto"/>
          <w:sz w:val="28"/>
          <w:szCs w:val="23"/>
        </w:rPr>
        <w:t>gada sākumā bezdarba pieaugumu būtiski ierobežoja dīkstāves pabalsti, kā arī papildus ieviestās nodarbinātības subsīdijas. Līdz 2021.</w:t>
      </w:r>
      <w:r>
        <w:rPr>
          <w:color w:val="auto"/>
          <w:sz w:val="28"/>
          <w:szCs w:val="23"/>
        </w:rPr>
        <w:t xml:space="preserve"> </w:t>
      </w:r>
      <w:r w:rsidRPr="002F7C62">
        <w:rPr>
          <w:color w:val="auto"/>
          <w:sz w:val="28"/>
          <w:szCs w:val="23"/>
        </w:rPr>
        <w:t>gada marta vidum dīkstāves pabals</w:t>
      </w:r>
      <w:r>
        <w:rPr>
          <w:color w:val="auto"/>
          <w:sz w:val="28"/>
          <w:szCs w:val="23"/>
        </w:rPr>
        <w:t xml:space="preserve">tus bija saņēmuši 52,4 tūkst. </w:t>
      </w:r>
      <w:r w:rsidRPr="002F7C62">
        <w:rPr>
          <w:color w:val="auto"/>
          <w:sz w:val="28"/>
          <w:szCs w:val="23"/>
        </w:rPr>
        <w:t>darba ņēmēju, bet nodarbinātības at</w:t>
      </w:r>
      <w:r>
        <w:rPr>
          <w:color w:val="auto"/>
          <w:sz w:val="28"/>
          <w:szCs w:val="23"/>
        </w:rPr>
        <w:t>balsts izmaksāts 24,5 tūkst.</w:t>
      </w:r>
      <w:r w:rsidRPr="002F7C62">
        <w:rPr>
          <w:color w:val="auto"/>
          <w:sz w:val="28"/>
          <w:szCs w:val="23"/>
        </w:rPr>
        <w:t xml:space="preserve"> darba ņēmēju. Bez šī atbalsta reģistrētais bezdarbs februārī varētu būt paaugstinājies līdz 11,5-12,5% līmenim.</w:t>
      </w:r>
    </w:p>
    <w:p w:rsidR="00BF4753" w:rsidRPr="002F7C62" w:rsidRDefault="00BF4753" w:rsidP="00BF4753">
      <w:pPr>
        <w:pStyle w:val="Default"/>
        <w:ind w:firstLine="720"/>
        <w:jc w:val="both"/>
        <w:rPr>
          <w:color w:val="auto"/>
          <w:sz w:val="28"/>
          <w:szCs w:val="23"/>
        </w:rPr>
      </w:pPr>
      <w:r w:rsidRPr="002F7C62">
        <w:rPr>
          <w:color w:val="auto"/>
          <w:sz w:val="28"/>
          <w:szCs w:val="23"/>
        </w:rPr>
        <w:t>Neskatoties uz Covid-19 krīzi, mēneša vidējā bruto darba samaksa 2020.</w:t>
      </w:r>
      <w:r>
        <w:rPr>
          <w:color w:val="auto"/>
          <w:sz w:val="28"/>
          <w:szCs w:val="23"/>
        </w:rPr>
        <w:t xml:space="preserve"> </w:t>
      </w:r>
      <w:r w:rsidRPr="002F7C62">
        <w:rPr>
          <w:color w:val="auto"/>
          <w:sz w:val="28"/>
          <w:szCs w:val="23"/>
        </w:rPr>
        <w:t xml:space="preserve">gadā, salīdzinot ar iepriekšējo gadu, palielinājās par 6,2% līdz 1143 </w:t>
      </w:r>
      <w:r w:rsidRPr="002F7C62">
        <w:rPr>
          <w:i/>
          <w:color w:val="auto"/>
          <w:sz w:val="28"/>
          <w:szCs w:val="23"/>
        </w:rPr>
        <w:t>euro</w:t>
      </w:r>
      <w:r w:rsidRPr="002F7C62">
        <w:rPr>
          <w:color w:val="auto"/>
          <w:sz w:val="28"/>
          <w:szCs w:val="23"/>
        </w:rPr>
        <w:t>. Tas bija tikai nedaudz lēnāks pieaugums nekā iepriekšējā gadā, kad darba samaksa bija augusi par 7,2%. Nedaudz straujāks darba samaksas pieaugums 2020.</w:t>
      </w:r>
      <w:r>
        <w:rPr>
          <w:color w:val="auto"/>
          <w:sz w:val="28"/>
          <w:szCs w:val="23"/>
        </w:rPr>
        <w:t xml:space="preserve"> </w:t>
      </w:r>
      <w:r w:rsidRPr="002F7C62">
        <w:rPr>
          <w:color w:val="auto"/>
          <w:sz w:val="28"/>
          <w:szCs w:val="23"/>
        </w:rPr>
        <w:t xml:space="preserve">gadā bija privātajā sektorā, kur mēneša vidējā bruto darba samaksa palielinājās par 6,7%, </w:t>
      </w:r>
      <w:r w:rsidRPr="002F7C62">
        <w:rPr>
          <w:color w:val="auto"/>
          <w:sz w:val="28"/>
          <w:szCs w:val="23"/>
        </w:rPr>
        <w:lastRenderedPageBreak/>
        <w:t>kamēr sabiedriskajā sektorā tā auga par 4,9%. Tomēr vēl joprojām augstāks darba samaksas līmenis saglabājās sabiedriskajā sektorā, kur vidējā alga 2020.</w:t>
      </w:r>
      <w:r>
        <w:rPr>
          <w:color w:val="auto"/>
          <w:sz w:val="28"/>
          <w:szCs w:val="23"/>
        </w:rPr>
        <w:t xml:space="preserve"> </w:t>
      </w:r>
      <w:r w:rsidRPr="002F7C62">
        <w:rPr>
          <w:color w:val="auto"/>
          <w:sz w:val="28"/>
          <w:szCs w:val="23"/>
        </w:rPr>
        <w:t xml:space="preserve">gadā bija 1156 </w:t>
      </w:r>
      <w:r w:rsidRPr="002F7C62">
        <w:rPr>
          <w:i/>
          <w:color w:val="auto"/>
          <w:sz w:val="28"/>
          <w:szCs w:val="23"/>
        </w:rPr>
        <w:t>euro</w:t>
      </w:r>
      <w:r w:rsidRPr="002F7C62">
        <w:rPr>
          <w:color w:val="auto"/>
          <w:sz w:val="28"/>
          <w:szCs w:val="23"/>
        </w:rPr>
        <w:t xml:space="preserve">, kamēr privātajā sektorā tā veidoja 1138 </w:t>
      </w:r>
      <w:r w:rsidRPr="002F7C62">
        <w:rPr>
          <w:i/>
          <w:color w:val="auto"/>
          <w:sz w:val="28"/>
          <w:szCs w:val="23"/>
        </w:rPr>
        <w:t>euro</w:t>
      </w:r>
      <w:r w:rsidRPr="002F7C62">
        <w:rPr>
          <w:color w:val="auto"/>
          <w:sz w:val="28"/>
          <w:szCs w:val="23"/>
        </w:rPr>
        <w:t xml:space="preserve">. </w:t>
      </w:r>
    </w:p>
    <w:p w:rsidR="00BF4753" w:rsidRPr="002F7C62" w:rsidRDefault="00BF4753" w:rsidP="00BF4753">
      <w:pPr>
        <w:pStyle w:val="Default"/>
        <w:ind w:firstLine="720"/>
        <w:jc w:val="both"/>
        <w:rPr>
          <w:color w:val="auto"/>
          <w:sz w:val="28"/>
          <w:szCs w:val="23"/>
        </w:rPr>
      </w:pPr>
      <w:r w:rsidRPr="002F7C62">
        <w:rPr>
          <w:color w:val="auto"/>
          <w:sz w:val="28"/>
          <w:szCs w:val="23"/>
        </w:rPr>
        <w:t>Vidējās darba samaksas pārmaiņas pērn būtiski ietekmēja ne tikai darbinieku algu izmaiņas, bet arī darba tirgus strukturālās pārmaiņas, tajā skaitā gada laikā darbību uzsākušie un pārtraukušie uzņēmumi un darbinieku skaita un slodžu izmaiņas gada laikā. Algoto darbinieku skaits, pārrēķināts pilnā slodzē, 2020.</w:t>
      </w:r>
      <w:r>
        <w:rPr>
          <w:color w:val="auto"/>
          <w:sz w:val="28"/>
          <w:szCs w:val="23"/>
        </w:rPr>
        <w:t xml:space="preserve"> </w:t>
      </w:r>
      <w:r w:rsidRPr="002F7C62">
        <w:rPr>
          <w:color w:val="auto"/>
          <w:sz w:val="28"/>
          <w:szCs w:val="23"/>
        </w:rPr>
        <w:t>gadā samazinājās par  3,9%, ko ietekmēja darbinieku atlaišana, darba slodžu samazināšana un pilnas slodzes darbinieku skaita kritums. Savukārt darba samaksas fonds pērn pieauga par 2,0%.</w:t>
      </w:r>
    </w:p>
    <w:p w:rsidR="00BF4753" w:rsidRPr="002F7C62" w:rsidRDefault="00BF4753" w:rsidP="00BF4753">
      <w:pPr>
        <w:pStyle w:val="Default"/>
        <w:ind w:firstLine="720"/>
        <w:jc w:val="both"/>
        <w:rPr>
          <w:color w:val="auto"/>
          <w:sz w:val="28"/>
          <w:szCs w:val="23"/>
        </w:rPr>
      </w:pPr>
    </w:p>
    <w:p w:rsidR="00BF4753" w:rsidRPr="00BD2805" w:rsidRDefault="00BF4753" w:rsidP="00BF4753">
      <w:pPr>
        <w:pStyle w:val="Zpar"/>
        <w:spacing w:before="120" w:after="120"/>
        <w:ind w:left="0" w:right="-57" w:firstLine="0"/>
        <w:jc w:val="center"/>
        <w:rPr>
          <w:rFonts w:ascii="Times New Roman" w:hAnsi="Times New Roman"/>
          <w:b/>
          <w:i w:val="0"/>
          <w:sz w:val="24"/>
        </w:rPr>
      </w:pPr>
      <w:r w:rsidRPr="00BD2805">
        <w:rPr>
          <w:noProof/>
          <w:lang w:eastAsia="lv-LV"/>
        </w:rPr>
        <w:drawing>
          <wp:inline distT="0" distB="0" distL="0" distR="0" wp14:anchorId="6C74CBA0" wp14:editId="57B4B7D4">
            <wp:extent cx="5274310" cy="2571750"/>
            <wp:effectExtent l="0" t="0" r="254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F4753" w:rsidRPr="002F7C62" w:rsidRDefault="00BF4753" w:rsidP="00BF4753">
      <w:pPr>
        <w:pStyle w:val="Zpar"/>
        <w:spacing w:before="120" w:after="120"/>
        <w:ind w:left="0" w:right="-57" w:firstLine="0"/>
        <w:jc w:val="center"/>
        <w:rPr>
          <w:rFonts w:ascii="Times New Roman" w:hAnsi="Times New Roman"/>
          <w:b/>
          <w:noProof/>
          <w:sz w:val="24"/>
        </w:rPr>
      </w:pPr>
      <w:r>
        <w:rPr>
          <w:rFonts w:ascii="Times New Roman" w:hAnsi="Times New Roman"/>
          <w:b/>
          <w:noProof/>
          <w:sz w:val="24"/>
        </w:rPr>
        <w:t>2.5. att</w:t>
      </w:r>
      <w:r w:rsidRPr="002F7C62">
        <w:rPr>
          <w:rFonts w:ascii="Times New Roman" w:hAnsi="Times New Roman"/>
          <w:b/>
          <w:noProof/>
          <w:sz w:val="24"/>
        </w:rPr>
        <w:t>. Produktivitātes un reālās darba samaksas izmaiņas, % pret iepriekšējo periodu</w:t>
      </w:r>
    </w:p>
    <w:p w:rsidR="00BF4753" w:rsidRPr="002F7C62" w:rsidRDefault="00BF4753" w:rsidP="00BF4753">
      <w:pPr>
        <w:pStyle w:val="Default"/>
        <w:ind w:firstLine="720"/>
        <w:jc w:val="both"/>
        <w:rPr>
          <w:color w:val="auto"/>
          <w:sz w:val="28"/>
          <w:szCs w:val="23"/>
        </w:rPr>
      </w:pPr>
      <w:r w:rsidRPr="002F7C62">
        <w:rPr>
          <w:color w:val="auto"/>
          <w:sz w:val="28"/>
          <w:szCs w:val="23"/>
        </w:rPr>
        <w:t>Nozaru griezumā darba samaksas pārmaiņas bija līdzīgas tām, kas skāra nodarbināto skaitu. Covid</w:t>
      </w:r>
      <w:r>
        <w:rPr>
          <w:color w:val="auto"/>
          <w:sz w:val="28"/>
          <w:szCs w:val="23"/>
        </w:rPr>
        <w:t>-19</w:t>
      </w:r>
      <w:r w:rsidRPr="002F7C62">
        <w:rPr>
          <w:color w:val="auto"/>
          <w:sz w:val="28"/>
          <w:szCs w:val="23"/>
        </w:rPr>
        <w:t xml:space="preserve"> krīzes un ierobežojumu tieši skartajās izmitināšanas un ēdināšanas un transporta nozarēs mēneša vidējā bruto darba samaksa samazinājās attiecīgi par 5,3% un 0,3%, kamēr pārējās nozarēs saglabājās lielāks vai mazāks vidējās darba samaksas pieaugums. Lielākais vidējās algas pieaugums pērn bija profesionālo pakalpojumu nozarē – par 11,1%,  ieguves rūpniecībā – par 9,7% un veselības un sociālās aprūpes nozarē – par 9,7%. Augstākā mēneša bruto darba samaksa saglabājās finanšu pakalpojumu nozarē, kur tā bija 2161 </w:t>
      </w:r>
      <w:r w:rsidRPr="002F7C62">
        <w:rPr>
          <w:i/>
          <w:color w:val="auto"/>
          <w:sz w:val="28"/>
          <w:szCs w:val="23"/>
        </w:rPr>
        <w:t>euro</w:t>
      </w:r>
      <w:r w:rsidRPr="002F7C62">
        <w:rPr>
          <w:color w:val="auto"/>
          <w:sz w:val="28"/>
          <w:szCs w:val="23"/>
        </w:rPr>
        <w:t xml:space="preserve">, un informācijas un komunikācijas pakalpojumu nozarē – 1866 </w:t>
      </w:r>
      <w:r w:rsidRPr="002F7C62">
        <w:rPr>
          <w:i/>
          <w:color w:val="auto"/>
          <w:sz w:val="28"/>
          <w:szCs w:val="23"/>
        </w:rPr>
        <w:t>euro</w:t>
      </w:r>
      <w:r w:rsidRPr="002F7C62">
        <w:rPr>
          <w:color w:val="auto"/>
          <w:sz w:val="28"/>
          <w:szCs w:val="23"/>
        </w:rPr>
        <w:t xml:space="preserve">. Savukārt zemākā alga bija izmitināšanas un ēdināšanas nozarē – 726 </w:t>
      </w:r>
      <w:r w:rsidRPr="002F7C62">
        <w:rPr>
          <w:i/>
          <w:color w:val="auto"/>
          <w:sz w:val="28"/>
          <w:szCs w:val="23"/>
        </w:rPr>
        <w:t>euro</w:t>
      </w:r>
      <w:r w:rsidRPr="002F7C62">
        <w:rPr>
          <w:color w:val="auto"/>
          <w:sz w:val="28"/>
          <w:szCs w:val="23"/>
        </w:rPr>
        <w:t xml:space="preserve"> un starpība starp algu līmeņiem augstāk un zemāk apmaksātajās nozarēs pērn vēl tikai pieauga.</w:t>
      </w:r>
    </w:p>
    <w:p w:rsidR="00BF4753" w:rsidRPr="002F7C62" w:rsidRDefault="00BF4753" w:rsidP="00BF4753">
      <w:pPr>
        <w:pStyle w:val="Default"/>
        <w:ind w:firstLine="720"/>
        <w:jc w:val="both"/>
        <w:rPr>
          <w:color w:val="auto"/>
          <w:sz w:val="28"/>
          <w:szCs w:val="23"/>
        </w:rPr>
      </w:pPr>
      <w:r w:rsidRPr="002F7C62">
        <w:rPr>
          <w:color w:val="auto"/>
          <w:sz w:val="28"/>
          <w:szCs w:val="23"/>
        </w:rPr>
        <w:t>Reālās darba samaksas pieaugums, kas jau kopš 2013.</w:t>
      </w:r>
      <w:r>
        <w:rPr>
          <w:color w:val="auto"/>
          <w:sz w:val="28"/>
          <w:szCs w:val="23"/>
        </w:rPr>
        <w:t xml:space="preserve"> </w:t>
      </w:r>
      <w:r w:rsidRPr="002F7C62">
        <w:rPr>
          <w:color w:val="auto"/>
          <w:sz w:val="28"/>
          <w:szCs w:val="23"/>
        </w:rPr>
        <w:t>gada bija straujāks par produktivitātes kāpumu, 2020.</w:t>
      </w:r>
      <w:r>
        <w:rPr>
          <w:color w:val="auto"/>
          <w:sz w:val="28"/>
          <w:szCs w:val="23"/>
        </w:rPr>
        <w:t xml:space="preserve"> </w:t>
      </w:r>
      <w:r w:rsidRPr="002F7C62">
        <w:rPr>
          <w:color w:val="auto"/>
          <w:sz w:val="28"/>
          <w:szCs w:val="23"/>
        </w:rPr>
        <w:t>gadā sasniedza 6,0%, kamēr produktivitāte uz nodarbināto kritās par 1,8%. Šāda pretēja dinamika nav ilgtspējīga un jau 2021.</w:t>
      </w:r>
      <w:r>
        <w:rPr>
          <w:color w:val="auto"/>
          <w:sz w:val="28"/>
          <w:szCs w:val="23"/>
        </w:rPr>
        <w:t xml:space="preserve"> </w:t>
      </w:r>
      <w:r w:rsidRPr="002F7C62">
        <w:rPr>
          <w:color w:val="auto"/>
          <w:sz w:val="28"/>
          <w:szCs w:val="23"/>
        </w:rPr>
        <w:lastRenderedPageBreak/>
        <w:t>gadā sagaidāms lēnāks darba samaksas pieaugums vienlaikus ar straujāku produktivitātes kāpumu, nodarbināto skaitam turpinot samazināties.</w:t>
      </w:r>
    </w:p>
    <w:p w:rsidR="00BF4753" w:rsidRPr="00515E21" w:rsidRDefault="00BF4753" w:rsidP="00BF4753">
      <w:pPr>
        <w:pStyle w:val="Heading2"/>
        <w:numPr>
          <w:ilvl w:val="1"/>
          <w:numId w:val="20"/>
        </w:numPr>
        <w:ind w:left="0" w:firstLine="0"/>
      </w:pPr>
      <w:bookmarkStart w:id="9" w:name="_Toc5196196"/>
      <w:bookmarkStart w:id="10" w:name="_Toc38637020"/>
      <w:bookmarkStart w:id="11" w:name="_Toc68334995"/>
      <w:r w:rsidRPr="00515E21">
        <w:t>Makroekonomiskās attīstības scenārijs</w:t>
      </w:r>
      <w:bookmarkEnd w:id="9"/>
      <w:bookmarkEnd w:id="10"/>
      <w:bookmarkEnd w:id="11"/>
    </w:p>
    <w:p w:rsidR="00BF4753" w:rsidRPr="004B3633" w:rsidRDefault="00BF4753" w:rsidP="00BF4753">
      <w:pPr>
        <w:pStyle w:val="H4"/>
        <w:spacing w:before="0"/>
        <w:ind w:left="0" w:firstLine="720"/>
        <w:jc w:val="both"/>
        <w:rPr>
          <w:rFonts w:ascii="Times New Roman" w:hAnsi="Times New Roman"/>
          <w:i/>
          <w:szCs w:val="24"/>
        </w:rPr>
      </w:pPr>
      <w:bookmarkStart w:id="12" w:name="_Toc38637021"/>
      <w:r>
        <w:rPr>
          <w:rFonts w:ascii="Times New Roman" w:hAnsi="Times New Roman"/>
          <w:i/>
          <w:sz w:val="24"/>
          <w:szCs w:val="24"/>
        </w:rPr>
        <w:br/>
      </w:r>
      <w:r w:rsidRPr="004B3633">
        <w:rPr>
          <w:rFonts w:ascii="Times New Roman" w:hAnsi="Times New Roman"/>
          <w:i/>
          <w:szCs w:val="24"/>
        </w:rPr>
        <w:t>Bāzes scenārijs</w:t>
      </w:r>
      <w:bookmarkEnd w:id="12"/>
    </w:p>
    <w:p w:rsidR="00BF4753" w:rsidRPr="004B3633" w:rsidRDefault="00BF4753" w:rsidP="00BF4753">
      <w:pPr>
        <w:ind w:firstLine="567"/>
        <w:rPr>
          <w:rFonts w:cs="Times New Roman"/>
          <w:szCs w:val="24"/>
        </w:rPr>
      </w:pPr>
      <w:r w:rsidRPr="004B3633">
        <w:rPr>
          <w:rFonts w:cs="Times New Roman"/>
          <w:szCs w:val="24"/>
        </w:rPr>
        <w:t>Makroekonomiskās attīstības bāzes scenārijs vidējam termiņ</w:t>
      </w:r>
      <w:r>
        <w:rPr>
          <w:rFonts w:cs="Times New Roman"/>
          <w:szCs w:val="24"/>
        </w:rPr>
        <w:t>am – 2021.-</w:t>
      </w:r>
      <w:r w:rsidRPr="004B3633">
        <w:rPr>
          <w:rFonts w:cs="Times New Roman"/>
          <w:szCs w:val="24"/>
        </w:rPr>
        <w:t>2024. gadam – tika izstrādāts 2021. gada februārī. Prognozes tika izstrādātas, konsultējoties ar Latvijas Bankas un Ekonomikas ministrijas, kā arī Eiropas Komisijas un Starptautiskā Valūtas fonda ekspertiem. Makroekonomisko rādītāju prognozes apstiprināja Fiskālās disciplīnas padome, 2021. gada 17. februārī publicējot savu atzinumu. Par pamatu ārējās vides pieņēmumiem un situācijas attīstībai Latvijas galvenajās ārējās tirdzniecības p</w:t>
      </w:r>
      <w:r>
        <w:rPr>
          <w:rFonts w:cs="Times New Roman"/>
          <w:szCs w:val="24"/>
        </w:rPr>
        <w:t>artnervalstīs tika izmantotas Eiropas Komisijas</w:t>
      </w:r>
      <w:r w:rsidRPr="004B3633">
        <w:rPr>
          <w:rFonts w:cs="Times New Roman"/>
          <w:szCs w:val="24"/>
        </w:rPr>
        <w:t xml:space="preserve"> un Starptautiskā Valūtas fonda tā brīža jaunākās – 2021. gada ziemas prognozes.</w:t>
      </w:r>
    </w:p>
    <w:p w:rsidR="00BF4753" w:rsidRPr="007E2C64" w:rsidRDefault="00BF4753" w:rsidP="00BF4753">
      <w:pPr>
        <w:ind w:firstLine="567"/>
        <w:jc w:val="right"/>
        <w:rPr>
          <w:rFonts w:cs="Times New Roman"/>
          <w:i/>
          <w:sz w:val="24"/>
          <w:szCs w:val="24"/>
        </w:rPr>
      </w:pPr>
    </w:p>
    <w:p w:rsidR="00BF4753" w:rsidRPr="007E2C64" w:rsidRDefault="00BF4753" w:rsidP="00BF4753">
      <w:pPr>
        <w:spacing w:after="120"/>
        <w:ind w:firstLine="567"/>
        <w:jc w:val="right"/>
        <w:rPr>
          <w:rFonts w:cs="Times New Roman"/>
          <w:b/>
          <w:i/>
          <w:sz w:val="24"/>
          <w:szCs w:val="24"/>
        </w:rPr>
      </w:pPr>
      <w:r w:rsidRPr="007E2C64">
        <w:rPr>
          <w:rFonts w:cs="Times New Roman"/>
          <w:b/>
          <w:i/>
          <w:sz w:val="24"/>
          <w:szCs w:val="24"/>
        </w:rPr>
        <w:t>2.</w:t>
      </w:r>
      <w:r>
        <w:rPr>
          <w:rFonts w:cs="Times New Roman"/>
          <w:b/>
          <w:i/>
          <w:sz w:val="24"/>
          <w:szCs w:val="24"/>
        </w:rPr>
        <w:t xml:space="preserve">2. </w:t>
      </w:r>
      <w:r w:rsidRPr="007E2C64">
        <w:rPr>
          <w:rFonts w:cs="Times New Roman"/>
          <w:b/>
          <w:i/>
          <w:sz w:val="24"/>
          <w:szCs w:val="24"/>
        </w:rPr>
        <w:t>tabula. Izaugsme un ar to saistītie faktori</w:t>
      </w:r>
    </w:p>
    <w:tbl>
      <w:tblPr>
        <w:tblStyle w:val="GridTable6Colorful-Accent1"/>
        <w:tblW w:w="9351" w:type="dxa"/>
        <w:jc w:val="center"/>
        <w:tblLayout w:type="fixed"/>
        <w:tblCellMar>
          <w:left w:w="28" w:type="dxa"/>
          <w:right w:w="28" w:type="dxa"/>
        </w:tblCellMar>
        <w:tblLook w:val="04A0" w:firstRow="1" w:lastRow="0" w:firstColumn="1" w:lastColumn="0" w:noHBand="0" w:noVBand="1"/>
      </w:tblPr>
      <w:tblGrid>
        <w:gridCol w:w="1980"/>
        <w:gridCol w:w="567"/>
        <w:gridCol w:w="1417"/>
        <w:gridCol w:w="709"/>
        <w:gridCol w:w="1276"/>
        <w:gridCol w:w="1134"/>
        <w:gridCol w:w="1134"/>
        <w:gridCol w:w="1134"/>
      </w:tblGrid>
      <w:tr w:rsidR="00BF4753" w:rsidRPr="007E2C64" w:rsidTr="002D7CA8">
        <w:trPr>
          <w:cnfStyle w:val="100000000000" w:firstRow="1" w:lastRow="0"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rsidR="00BF4753" w:rsidRPr="007E2C64" w:rsidRDefault="00BF4753" w:rsidP="002D7CA8">
            <w:pPr>
              <w:rPr>
                <w:rFonts w:cs="Times New Roman"/>
                <w:b w:val="0"/>
                <w:color w:val="auto"/>
                <w:sz w:val="20"/>
                <w:szCs w:val="20"/>
              </w:rPr>
            </w:pPr>
          </w:p>
        </w:tc>
        <w:tc>
          <w:tcPr>
            <w:tcW w:w="567" w:type="dxa"/>
            <w:vMerge w:val="restart"/>
            <w:noWrap/>
            <w:vAlign w:val="center"/>
            <w:hideMark/>
          </w:tcPr>
          <w:p w:rsidR="00BF4753" w:rsidRPr="007E2C64"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7E2C64">
              <w:rPr>
                <w:rFonts w:cs="Times New Roman"/>
                <w:b w:val="0"/>
                <w:color w:val="auto"/>
                <w:sz w:val="20"/>
                <w:szCs w:val="20"/>
              </w:rPr>
              <w:t>EKS Kods</w:t>
            </w:r>
          </w:p>
        </w:tc>
        <w:tc>
          <w:tcPr>
            <w:tcW w:w="1417" w:type="dxa"/>
            <w:noWrap/>
            <w:hideMark/>
          </w:tcPr>
          <w:p w:rsidR="00BF4753" w:rsidRPr="007E2C64"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0"/>
                <w:szCs w:val="20"/>
              </w:rPr>
            </w:pPr>
            <w:r w:rsidRPr="007E2C64">
              <w:rPr>
                <w:rFonts w:cs="Times New Roman"/>
                <w:b w:val="0"/>
                <w:color w:val="auto"/>
                <w:sz w:val="20"/>
                <w:szCs w:val="20"/>
              </w:rPr>
              <w:t>2020</w:t>
            </w:r>
          </w:p>
        </w:tc>
        <w:tc>
          <w:tcPr>
            <w:tcW w:w="709" w:type="dxa"/>
            <w:noWrap/>
          </w:tcPr>
          <w:p w:rsidR="00BF4753" w:rsidRPr="007E2C64"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0"/>
                <w:szCs w:val="20"/>
              </w:rPr>
            </w:pPr>
            <w:r w:rsidRPr="007E2C64">
              <w:rPr>
                <w:rFonts w:cs="Times New Roman"/>
                <w:b w:val="0"/>
                <w:color w:val="auto"/>
                <w:sz w:val="20"/>
                <w:szCs w:val="20"/>
              </w:rPr>
              <w:t>2020</w:t>
            </w:r>
          </w:p>
        </w:tc>
        <w:tc>
          <w:tcPr>
            <w:tcW w:w="1276" w:type="dxa"/>
            <w:noWrap/>
          </w:tcPr>
          <w:p w:rsidR="00BF4753" w:rsidRPr="007E2C64"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0"/>
                <w:szCs w:val="20"/>
              </w:rPr>
            </w:pPr>
            <w:r w:rsidRPr="007E2C64">
              <w:rPr>
                <w:rFonts w:cs="Times New Roman"/>
                <w:b w:val="0"/>
                <w:color w:val="auto"/>
                <w:sz w:val="20"/>
                <w:szCs w:val="20"/>
              </w:rPr>
              <w:t>2021</w:t>
            </w:r>
          </w:p>
        </w:tc>
        <w:tc>
          <w:tcPr>
            <w:tcW w:w="1134" w:type="dxa"/>
            <w:noWrap/>
          </w:tcPr>
          <w:p w:rsidR="00BF4753" w:rsidRPr="007E2C64"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0"/>
                <w:szCs w:val="20"/>
              </w:rPr>
            </w:pPr>
            <w:r w:rsidRPr="007E2C64">
              <w:rPr>
                <w:rFonts w:cs="Times New Roman"/>
                <w:b w:val="0"/>
                <w:color w:val="auto"/>
                <w:sz w:val="20"/>
                <w:szCs w:val="20"/>
              </w:rPr>
              <w:t>2022</w:t>
            </w:r>
          </w:p>
        </w:tc>
        <w:tc>
          <w:tcPr>
            <w:tcW w:w="1134" w:type="dxa"/>
            <w:noWrap/>
          </w:tcPr>
          <w:p w:rsidR="00BF4753" w:rsidRPr="007E2C64"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0"/>
                <w:szCs w:val="20"/>
              </w:rPr>
            </w:pPr>
            <w:r w:rsidRPr="007E2C64">
              <w:rPr>
                <w:rFonts w:cs="Times New Roman"/>
                <w:b w:val="0"/>
                <w:color w:val="auto"/>
                <w:sz w:val="20"/>
                <w:szCs w:val="20"/>
              </w:rPr>
              <w:t>2023</w:t>
            </w:r>
          </w:p>
        </w:tc>
        <w:tc>
          <w:tcPr>
            <w:tcW w:w="1134" w:type="dxa"/>
            <w:noWrap/>
          </w:tcPr>
          <w:p w:rsidR="00BF4753" w:rsidRPr="007E2C64"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0"/>
                <w:szCs w:val="20"/>
              </w:rPr>
            </w:pPr>
            <w:r w:rsidRPr="007E2C64">
              <w:rPr>
                <w:rFonts w:cs="Times New Roman"/>
                <w:b w:val="0"/>
                <w:color w:val="auto"/>
                <w:sz w:val="20"/>
                <w:szCs w:val="20"/>
              </w:rPr>
              <w:t>2024</w:t>
            </w:r>
          </w:p>
        </w:tc>
      </w:tr>
      <w:tr w:rsidR="00BF4753" w:rsidRPr="007E2C64" w:rsidTr="002D7CA8">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rsidR="00BF4753" w:rsidRPr="007E2C64" w:rsidRDefault="00BF4753" w:rsidP="002D7CA8">
            <w:pPr>
              <w:rPr>
                <w:rFonts w:cs="Times New Roman"/>
                <w:b w:val="0"/>
                <w:color w:val="auto"/>
                <w:sz w:val="20"/>
                <w:szCs w:val="20"/>
              </w:rPr>
            </w:pPr>
          </w:p>
        </w:tc>
        <w:tc>
          <w:tcPr>
            <w:tcW w:w="567" w:type="dxa"/>
            <w:vMerge/>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p>
        </w:tc>
        <w:tc>
          <w:tcPr>
            <w:tcW w:w="1417" w:type="dxa"/>
            <w:noWrap/>
            <w:hideMark/>
          </w:tcPr>
          <w:p w:rsidR="00BF4753" w:rsidRPr="007E2C64"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7E2C64">
              <w:rPr>
                <w:rFonts w:cs="Times New Roman"/>
                <w:color w:val="auto"/>
                <w:sz w:val="20"/>
                <w:szCs w:val="20"/>
              </w:rPr>
              <w:t xml:space="preserve">milj. </w:t>
            </w:r>
            <w:r w:rsidRPr="007E2C64">
              <w:rPr>
                <w:rFonts w:cs="Times New Roman"/>
                <w:i/>
                <w:iCs/>
                <w:color w:val="auto"/>
                <w:sz w:val="20"/>
                <w:szCs w:val="20"/>
              </w:rPr>
              <w:t>euro</w:t>
            </w:r>
          </w:p>
        </w:tc>
        <w:tc>
          <w:tcPr>
            <w:tcW w:w="5387" w:type="dxa"/>
            <w:gridSpan w:val="5"/>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7E2C64">
              <w:rPr>
                <w:rFonts w:cs="Times New Roman"/>
                <w:color w:val="auto"/>
                <w:sz w:val="20"/>
                <w:szCs w:val="20"/>
              </w:rPr>
              <w:t>Pieaugums %</w:t>
            </w:r>
          </w:p>
        </w:tc>
      </w:tr>
      <w:tr w:rsidR="00BF4753" w:rsidRPr="007E2C64" w:rsidTr="002D7CA8">
        <w:trPr>
          <w:trHeight w:val="168"/>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BF4753" w:rsidRPr="007E2C64" w:rsidRDefault="00BF4753" w:rsidP="002D7CA8">
            <w:pPr>
              <w:ind w:firstLine="0"/>
              <w:rPr>
                <w:rFonts w:cs="Times New Roman"/>
                <w:b w:val="0"/>
                <w:color w:val="auto"/>
                <w:sz w:val="20"/>
                <w:szCs w:val="20"/>
              </w:rPr>
            </w:pPr>
            <w:r>
              <w:rPr>
                <w:rFonts w:cs="Times New Roman"/>
                <w:b w:val="0"/>
                <w:color w:val="auto"/>
                <w:sz w:val="20"/>
                <w:szCs w:val="20"/>
              </w:rPr>
              <w:t>1.</w:t>
            </w:r>
            <w:r w:rsidRPr="007E2C64">
              <w:rPr>
                <w:rFonts w:cs="Times New Roman"/>
                <w:b w:val="0"/>
                <w:color w:val="auto"/>
                <w:sz w:val="20"/>
                <w:szCs w:val="20"/>
              </w:rPr>
              <w:t>IKP faktiskajās cenās</w:t>
            </w:r>
          </w:p>
        </w:tc>
        <w:tc>
          <w:tcPr>
            <w:tcW w:w="567" w:type="dxa"/>
            <w:noWrap/>
            <w:vAlign w:val="center"/>
            <w:hideMark/>
          </w:tcPr>
          <w:p w:rsidR="00BF4753" w:rsidRPr="007E2C64" w:rsidRDefault="00BF4753" w:rsidP="002D7CA8">
            <w:pPr>
              <w:ind w:firstLine="0"/>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7E2C64">
              <w:rPr>
                <w:rFonts w:cs="Times New Roman"/>
                <w:color w:val="auto"/>
                <w:sz w:val="20"/>
                <w:szCs w:val="20"/>
              </w:rPr>
              <w:t>B1*g</w:t>
            </w:r>
          </w:p>
        </w:tc>
        <w:tc>
          <w:tcPr>
            <w:tcW w:w="1417" w:type="dxa"/>
            <w:noWrap/>
            <w:vAlign w:val="center"/>
            <w:hideMark/>
          </w:tcPr>
          <w:p w:rsidR="00BF4753" w:rsidRPr="007E2C64"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29 334</w:t>
            </w:r>
          </w:p>
        </w:tc>
        <w:tc>
          <w:tcPr>
            <w:tcW w:w="709" w:type="dxa"/>
            <w:noWrap/>
            <w:vAlign w:val="center"/>
            <w:hideMark/>
          </w:tcPr>
          <w:p w:rsidR="00BF4753" w:rsidRPr="007E2C64"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-3,6</w:t>
            </w:r>
          </w:p>
        </w:tc>
        <w:tc>
          <w:tcPr>
            <w:tcW w:w="1276" w:type="dxa"/>
            <w:noWrap/>
            <w:vAlign w:val="center"/>
            <w:hideMark/>
          </w:tcPr>
          <w:p w:rsidR="00BF4753" w:rsidRPr="007E2C64" w:rsidRDefault="00BF4753" w:rsidP="002D7CA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4,4</w:t>
            </w:r>
          </w:p>
        </w:tc>
        <w:tc>
          <w:tcPr>
            <w:tcW w:w="1134" w:type="dxa"/>
            <w:noWrap/>
            <w:vAlign w:val="center"/>
            <w:hideMark/>
          </w:tcPr>
          <w:p w:rsidR="00BF4753" w:rsidRPr="007E2C64" w:rsidRDefault="00BF4753" w:rsidP="002D7CA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6,4</w:t>
            </w:r>
          </w:p>
        </w:tc>
        <w:tc>
          <w:tcPr>
            <w:tcW w:w="1134" w:type="dxa"/>
            <w:noWrap/>
            <w:vAlign w:val="center"/>
            <w:hideMark/>
          </w:tcPr>
          <w:p w:rsidR="00BF4753" w:rsidRPr="007E2C64" w:rsidRDefault="00BF4753" w:rsidP="002D7CA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5,2</w:t>
            </w:r>
          </w:p>
        </w:tc>
        <w:tc>
          <w:tcPr>
            <w:tcW w:w="1134" w:type="dxa"/>
            <w:noWrap/>
            <w:vAlign w:val="center"/>
            <w:hideMark/>
          </w:tcPr>
          <w:p w:rsidR="00BF4753" w:rsidRPr="007E2C64" w:rsidRDefault="00BF4753" w:rsidP="002D7CA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5,0</w:t>
            </w:r>
          </w:p>
        </w:tc>
      </w:tr>
      <w:tr w:rsidR="00BF4753" w:rsidRPr="007E2C64" w:rsidTr="002D7CA8">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BF4753" w:rsidRPr="007E2C64" w:rsidRDefault="00BF4753" w:rsidP="002D7CA8">
            <w:pPr>
              <w:ind w:firstLine="0"/>
              <w:rPr>
                <w:rFonts w:cs="Times New Roman"/>
                <w:b w:val="0"/>
                <w:color w:val="auto"/>
                <w:sz w:val="20"/>
                <w:szCs w:val="20"/>
              </w:rPr>
            </w:pPr>
            <w:r>
              <w:rPr>
                <w:rFonts w:cs="Times New Roman"/>
                <w:b w:val="0"/>
                <w:color w:val="auto"/>
                <w:sz w:val="20"/>
                <w:szCs w:val="20"/>
              </w:rPr>
              <w:t>2.</w:t>
            </w:r>
            <w:r w:rsidRPr="007E2C64">
              <w:rPr>
                <w:rFonts w:cs="Times New Roman"/>
                <w:b w:val="0"/>
                <w:color w:val="auto"/>
                <w:sz w:val="20"/>
                <w:szCs w:val="20"/>
              </w:rPr>
              <w:t>IKP 2015. gada cenās</w:t>
            </w:r>
          </w:p>
        </w:tc>
        <w:tc>
          <w:tcPr>
            <w:tcW w:w="567" w:type="dxa"/>
            <w:noWrap/>
            <w:vAlign w:val="center"/>
            <w:hideMark/>
          </w:tcPr>
          <w:p w:rsidR="00BF4753" w:rsidRPr="007E2C64" w:rsidRDefault="00BF4753" w:rsidP="002D7CA8">
            <w:pPr>
              <w:ind w:firstLine="0"/>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7E2C64">
              <w:rPr>
                <w:rFonts w:cs="Times New Roman"/>
                <w:color w:val="auto"/>
                <w:sz w:val="20"/>
                <w:szCs w:val="20"/>
              </w:rPr>
              <w:t>B1*g</w:t>
            </w:r>
          </w:p>
        </w:tc>
        <w:tc>
          <w:tcPr>
            <w:tcW w:w="1417"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heme="minorHAnsi" w:cs="Times New Roman"/>
                <w:color w:val="auto"/>
                <w:sz w:val="20"/>
                <w:szCs w:val="20"/>
                <w:lang w:eastAsia="lv-LV"/>
              </w:rPr>
            </w:pPr>
            <w:r w:rsidRPr="007E2C64">
              <w:rPr>
                <w:rFonts w:cs="Times New Roman"/>
                <w:color w:val="auto"/>
                <w:sz w:val="20"/>
                <w:szCs w:val="20"/>
                <w:lang w:eastAsia="lv-LV"/>
              </w:rPr>
              <w:t>26 555</w:t>
            </w:r>
          </w:p>
        </w:tc>
        <w:tc>
          <w:tcPr>
            <w:tcW w:w="709" w:type="dxa"/>
            <w:noWrap/>
            <w:vAlign w:val="center"/>
            <w:hideMark/>
          </w:tcPr>
          <w:p w:rsidR="00BF4753" w:rsidRPr="007E2C64" w:rsidRDefault="00BF4753" w:rsidP="002D7CA8">
            <w:pPr>
              <w:ind w:hanging="28"/>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eastAsia="lv-LV"/>
              </w:rPr>
            </w:pPr>
            <w:r w:rsidRPr="007E2C64">
              <w:rPr>
                <w:rFonts w:cs="Times New Roman"/>
                <w:color w:val="auto"/>
                <w:sz w:val="20"/>
                <w:szCs w:val="20"/>
                <w:lang w:eastAsia="lv-LV"/>
              </w:rPr>
              <w:t>-3,6</w:t>
            </w:r>
          </w:p>
        </w:tc>
        <w:tc>
          <w:tcPr>
            <w:tcW w:w="1276"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eastAsia="lv-LV"/>
              </w:rPr>
            </w:pPr>
            <w:r w:rsidRPr="007E2C64">
              <w:rPr>
                <w:rFonts w:cs="Times New Roman"/>
                <w:color w:val="auto"/>
                <w:sz w:val="20"/>
                <w:szCs w:val="20"/>
                <w:lang w:eastAsia="lv-LV"/>
              </w:rPr>
              <w:t>3,0</w:t>
            </w:r>
          </w:p>
        </w:tc>
        <w:tc>
          <w:tcPr>
            <w:tcW w:w="1134"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eastAsia="lv-LV"/>
              </w:rPr>
            </w:pPr>
            <w:r w:rsidRPr="007E2C64">
              <w:rPr>
                <w:rFonts w:cs="Times New Roman"/>
                <w:color w:val="auto"/>
                <w:sz w:val="20"/>
                <w:szCs w:val="20"/>
                <w:lang w:eastAsia="lv-LV"/>
              </w:rPr>
              <w:t>4,5</w:t>
            </w:r>
          </w:p>
        </w:tc>
        <w:tc>
          <w:tcPr>
            <w:tcW w:w="1134"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eastAsia="lv-LV"/>
              </w:rPr>
            </w:pPr>
            <w:r w:rsidRPr="007E2C64">
              <w:rPr>
                <w:rFonts w:cs="Times New Roman"/>
                <w:color w:val="auto"/>
                <w:sz w:val="20"/>
                <w:szCs w:val="20"/>
                <w:lang w:eastAsia="lv-LV"/>
              </w:rPr>
              <w:t>3,2</w:t>
            </w:r>
          </w:p>
        </w:tc>
        <w:tc>
          <w:tcPr>
            <w:tcW w:w="1134"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lang w:eastAsia="lv-LV"/>
              </w:rPr>
            </w:pPr>
            <w:r w:rsidRPr="007E2C64">
              <w:rPr>
                <w:rFonts w:cs="Times New Roman"/>
                <w:color w:val="auto"/>
                <w:sz w:val="20"/>
                <w:szCs w:val="20"/>
                <w:lang w:eastAsia="lv-LV"/>
              </w:rPr>
              <w:t>2,8</w:t>
            </w:r>
          </w:p>
        </w:tc>
      </w:tr>
      <w:tr w:rsidR="00BF4753" w:rsidRPr="007E2C64" w:rsidTr="002D7CA8">
        <w:trPr>
          <w:trHeight w:val="118"/>
          <w:jc w:val="center"/>
        </w:trPr>
        <w:tc>
          <w:tcPr>
            <w:cnfStyle w:val="001000000000" w:firstRow="0" w:lastRow="0" w:firstColumn="1" w:lastColumn="0" w:oddVBand="0" w:evenVBand="0" w:oddHBand="0" w:evenHBand="0" w:firstRowFirstColumn="0" w:firstRowLastColumn="0" w:lastRowFirstColumn="0" w:lastRowLastColumn="0"/>
            <w:tcW w:w="9351" w:type="dxa"/>
            <w:gridSpan w:val="8"/>
            <w:noWrap/>
            <w:hideMark/>
          </w:tcPr>
          <w:p w:rsidR="00BF4753" w:rsidRPr="007E2C64" w:rsidRDefault="00BF4753" w:rsidP="002D7CA8">
            <w:pPr>
              <w:jc w:val="center"/>
              <w:rPr>
                <w:rFonts w:eastAsia="Times New Roman" w:cs="Times New Roman"/>
                <w:b w:val="0"/>
                <w:color w:val="auto"/>
                <w:sz w:val="20"/>
                <w:szCs w:val="20"/>
                <w:lang w:eastAsia="lv-LV"/>
              </w:rPr>
            </w:pPr>
            <w:r w:rsidRPr="007E2C64">
              <w:rPr>
                <w:rFonts w:eastAsia="Times New Roman" w:cs="Times New Roman"/>
                <w:b w:val="0"/>
                <w:color w:val="auto"/>
                <w:sz w:val="20"/>
                <w:szCs w:val="20"/>
                <w:lang w:eastAsia="lv-LV"/>
              </w:rPr>
              <w:t>IKP pēc izlietojuma 2015. gada cenās</w:t>
            </w:r>
          </w:p>
        </w:tc>
      </w:tr>
      <w:tr w:rsidR="00BF4753" w:rsidRPr="007E2C64" w:rsidTr="002D7CA8">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1980" w:type="dxa"/>
            <w:hideMark/>
          </w:tcPr>
          <w:p w:rsidR="00BF4753" w:rsidRPr="007E2C64" w:rsidRDefault="00BF4753" w:rsidP="002D7CA8">
            <w:pPr>
              <w:ind w:firstLine="0"/>
              <w:rPr>
                <w:rFonts w:cs="Times New Roman"/>
                <w:b w:val="0"/>
                <w:color w:val="auto"/>
                <w:sz w:val="20"/>
                <w:szCs w:val="20"/>
              </w:rPr>
            </w:pPr>
            <w:r>
              <w:rPr>
                <w:rFonts w:cs="Times New Roman"/>
                <w:b w:val="0"/>
                <w:color w:val="auto"/>
                <w:sz w:val="20"/>
                <w:szCs w:val="20"/>
              </w:rPr>
              <w:t>3.</w:t>
            </w:r>
            <w:r w:rsidRPr="007E2C64">
              <w:rPr>
                <w:rFonts w:cs="Times New Roman"/>
                <w:b w:val="0"/>
                <w:color w:val="auto"/>
                <w:sz w:val="20"/>
                <w:szCs w:val="20"/>
              </w:rPr>
              <w:t>Privātais patēriņš</w:t>
            </w:r>
          </w:p>
        </w:tc>
        <w:tc>
          <w:tcPr>
            <w:tcW w:w="567" w:type="dxa"/>
            <w:noWrap/>
            <w:vAlign w:val="center"/>
            <w:hideMark/>
          </w:tcPr>
          <w:p w:rsidR="00BF4753" w:rsidRPr="007E2C64" w:rsidRDefault="00BF4753" w:rsidP="002D7CA8">
            <w:pPr>
              <w:ind w:firstLine="0"/>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7E2C64">
              <w:rPr>
                <w:rFonts w:cs="Times New Roman"/>
                <w:color w:val="auto"/>
                <w:sz w:val="20"/>
                <w:szCs w:val="20"/>
              </w:rPr>
              <w:t>P3</w:t>
            </w:r>
          </w:p>
        </w:tc>
        <w:tc>
          <w:tcPr>
            <w:tcW w:w="1417"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14 740</w:t>
            </w:r>
          </w:p>
        </w:tc>
        <w:tc>
          <w:tcPr>
            <w:tcW w:w="709" w:type="dxa"/>
            <w:noWrap/>
            <w:vAlign w:val="center"/>
            <w:hideMark/>
          </w:tcPr>
          <w:p w:rsidR="00BF4753" w:rsidRPr="007E2C64" w:rsidRDefault="00BF4753" w:rsidP="002D7CA8">
            <w:pPr>
              <w:ind w:hanging="28"/>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-10,0</w:t>
            </w:r>
          </w:p>
        </w:tc>
        <w:tc>
          <w:tcPr>
            <w:tcW w:w="1276"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4,0</w:t>
            </w:r>
          </w:p>
        </w:tc>
        <w:tc>
          <w:tcPr>
            <w:tcW w:w="1134"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10,1</w:t>
            </w:r>
          </w:p>
        </w:tc>
        <w:tc>
          <w:tcPr>
            <w:tcW w:w="1134"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4,0</w:t>
            </w:r>
          </w:p>
        </w:tc>
        <w:tc>
          <w:tcPr>
            <w:tcW w:w="1134"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2,6</w:t>
            </w:r>
          </w:p>
        </w:tc>
      </w:tr>
      <w:tr w:rsidR="00BF4753" w:rsidRPr="007E2C64" w:rsidTr="002D7CA8">
        <w:trPr>
          <w:trHeight w:val="209"/>
          <w:jc w:val="center"/>
        </w:trPr>
        <w:tc>
          <w:tcPr>
            <w:cnfStyle w:val="001000000000" w:firstRow="0" w:lastRow="0" w:firstColumn="1" w:lastColumn="0" w:oddVBand="0" w:evenVBand="0" w:oddHBand="0" w:evenHBand="0" w:firstRowFirstColumn="0" w:firstRowLastColumn="0" w:lastRowFirstColumn="0" w:lastRowLastColumn="0"/>
            <w:tcW w:w="1980" w:type="dxa"/>
            <w:hideMark/>
          </w:tcPr>
          <w:p w:rsidR="00BF4753" w:rsidRPr="007E2C64" w:rsidRDefault="00BF4753" w:rsidP="002D7CA8">
            <w:pPr>
              <w:ind w:firstLine="0"/>
              <w:rPr>
                <w:rFonts w:cs="Times New Roman"/>
                <w:b w:val="0"/>
                <w:color w:val="auto"/>
                <w:sz w:val="20"/>
                <w:szCs w:val="20"/>
              </w:rPr>
            </w:pPr>
            <w:r>
              <w:rPr>
                <w:rFonts w:cs="Times New Roman"/>
                <w:b w:val="0"/>
                <w:color w:val="auto"/>
                <w:sz w:val="20"/>
                <w:szCs w:val="20"/>
              </w:rPr>
              <w:t>4.</w:t>
            </w:r>
            <w:r w:rsidRPr="007E2C64">
              <w:rPr>
                <w:rFonts w:cs="Times New Roman"/>
                <w:b w:val="0"/>
                <w:color w:val="auto"/>
                <w:sz w:val="20"/>
                <w:szCs w:val="20"/>
              </w:rPr>
              <w:t>Sabiedriskais patēriņš</w:t>
            </w:r>
          </w:p>
        </w:tc>
        <w:tc>
          <w:tcPr>
            <w:tcW w:w="567" w:type="dxa"/>
            <w:noWrap/>
            <w:vAlign w:val="center"/>
            <w:hideMark/>
          </w:tcPr>
          <w:p w:rsidR="00BF4753" w:rsidRPr="007E2C64" w:rsidRDefault="00BF4753" w:rsidP="002D7CA8">
            <w:pPr>
              <w:ind w:firstLine="0"/>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7E2C64">
              <w:rPr>
                <w:rFonts w:cs="Times New Roman"/>
                <w:color w:val="auto"/>
                <w:sz w:val="20"/>
                <w:szCs w:val="20"/>
              </w:rPr>
              <w:t>P3</w:t>
            </w:r>
          </w:p>
        </w:tc>
        <w:tc>
          <w:tcPr>
            <w:tcW w:w="1417"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5 056</w:t>
            </w:r>
          </w:p>
        </w:tc>
        <w:tc>
          <w:tcPr>
            <w:tcW w:w="709" w:type="dxa"/>
            <w:noWrap/>
            <w:vAlign w:val="center"/>
            <w:hideMark/>
          </w:tcPr>
          <w:p w:rsidR="00BF4753" w:rsidRPr="007E2C64" w:rsidRDefault="00BF4753" w:rsidP="002D7CA8">
            <w:pPr>
              <w:ind w:hanging="28"/>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2,6</w:t>
            </w:r>
          </w:p>
        </w:tc>
        <w:tc>
          <w:tcPr>
            <w:tcW w:w="1276"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2,4</w:t>
            </w:r>
          </w:p>
        </w:tc>
        <w:tc>
          <w:tcPr>
            <w:tcW w:w="1134"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2,4</w:t>
            </w:r>
          </w:p>
        </w:tc>
        <w:tc>
          <w:tcPr>
            <w:tcW w:w="1134"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2,4</w:t>
            </w:r>
          </w:p>
        </w:tc>
        <w:tc>
          <w:tcPr>
            <w:tcW w:w="1134"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2,4</w:t>
            </w:r>
          </w:p>
        </w:tc>
      </w:tr>
      <w:tr w:rsidR="00BF4753" w:rsidRPr="007E2C64" w:rsidTr="002D7C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980" w:type="dxa"/>
            <w:hideMark/>
          </w:tcPr>
          <w:p w:rsidR="00BF4753" w:rsidRPr="007E2C64" w:rsidRDefault="00BF4753" w:rsidP="002D7CA8">
            <w:pPr>
              <w:tabs>
                <w:tab w:val="left" w:pos="248"/>
              </w:tabs>
              <w:ind w:firstLine="0"/>
              <w:rPr>
                <w:rFonts w:cs="Times New Roman"/>
                <w:b w:val="0"/>
                <w:color w:val="auto"/>
                <w:sz w:val="20"/>
                <w:szCs w:val="20"/>
              </w:rPr>
            </w:pPr>
            <w:r>
              <w:rPr>
                <w:rFonts w:cs="Times New Roman"/>
                <w:b w:val="0"/>
                <w:color w:val="auto"/>
                <w:sz w:val="20"/>
                <w:szCs w:val="20"/>
              </w:rPr>
              <w:t>5.</w:t>
            </w:r>
            <w:r w:rsidRPr="007E2C64">
              <w:rPr>
                <w:rFonts w:cs="Times New Roman"/>
                <w:b w:val="0"/>
                <w:color w:val="auto"/>
                <w:sz w:val="20"/>
                <w:szCs w:val="20"/>
              </w:rPr>
              <w:t>Kopējā pamatkapitāla veidošana</w:t>
            </w:r>
          </w:p>
        </w:tc>
        <w:tc>
          <w:tcPr>
            <w:tcW w:w="567" w:type="dxa"/>
            <w:noWrap/>
            <w:vAlign w:val="center"/>
            <w:hideMark/>
          </w:tcPr>
          <w:p w:rsidR="00BF4753" w:rsidRPr="007E2C64" w:rsidRDefault="00BF4753" w:rsidP="002D7CA8">
            <w:pPr>
              <w:ind w:firstLine="0"/>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7E2C64">
              <w:rPr>
                <w:rFonts w:cs="Times New Roman"/>
                <w:color w:val="auto"/>
                <w:sz w:val="20"/>
                <w:szCs w:val="20"/>
              </w:rPr>
              <w:t>P51</w:t>
            </w:r>
          </w:p>
        </w:tc>
        <w:tc>
          <w:tcPr>
            <w:tcW w:w="1417"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6 280</w:t>
            </w:r>
          </w:p>
        </w:tc>
        <w:tc>
          <w:tcPr>
            <w:tcW w:w="709" w:type="dxa"/>
            <w:noWrap/>
            <w:vAlign w:val="center"/>
            <w:hideMark/>
          </w:tcPr>
          <w:p w:rsidR="00BF4753" w:rsidRPr="007E2C64" w:rsidRDefault="00BF4753" w:rsidP="002D7CA8">
            <w:pPr>
              <w:ind w:hanging="28"/>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0,2</w:t>
            </w:r>
          </w:p>
        </w:tc>
        <w:tc>
          <w:tcPr>
            <w:tcW w:w="1276"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4,1</w:t>
            </w:r>
          </w:p>
        </w:tc>
        <w:tc>
          <w:tcPr>
            <w:tcW w:w="1134"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7,6</w:t>
            </w:r>
          </w:p>
        </w:tc>
        <w:tc>
          <w:tcPr>
            <w:tcW w:w="1134"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2,5</w:t>
            </w:r>
          </w:p>
        </w:tc>
        <w:tc>
          <w:tcPr>
            <w:tcW w:w="1134"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2,5</w:t>
            </w:r>
          </w:p>
        </w:tc>
      </w:tr>
      <w:tr w:rsidR="00BF4753" w:rsidRPr="007E2C64" w:rsidTr="002D7CA8">
        <w:trPr>
          <w:trHeight w:val="248"/>
          <w:jc w:val="center"/>
        </w:trPr>
        <w:tc>
          <w:tcPr>
            <w:cnfStyle w:val="001000000000" w:firstRow="0" w:lastRow="0" w:firstColumn="1" w:lastColumn="0" w:oddVBand="0" w:evenVBand="0" w:oddHBand="0" w:evenHBand="0" w:firstRowFirstColumn="0" w:firstRowLastColumn="0" w:lastRowFirstColumn="0" w:lastRowLastColumn="0"/>
            <w:tcW w:w="1980" w:type="dxa"/>
            <w:hideMark/>
          </w:tcPr>
          <w:p w:rsidR="00BF4753" w:rsidRPr="007E2C64" w:rsidRDefault="00BF4753" w:rsidP="002D7CA8">
            <w:pPr>
              <w:ind w:firstLine="0"/>
              <w:rPr>
                <w:rFonts w:cs="Times New Roman"/>
                <w:b w:val="0"/>
                <w:color w:val="auto"/>
                <w:sz w:val="20"/>
                <w:szCs w:val="20"/>
              </w:rPr>
            </w:pPr>
            <w:r>
              <w:rPr>
                <w:rFonts w:cs="Times New Roman"/>
                <w:b w:val="0"/>
                <w:color w:val="auto"/>
                <w:sz w:val="20"/>
                <w:szCs w:val="20"/>
              </w:rPr>
              <w:t>6.</w:t>
            </w:r>
            <w:r w:rsidRPr="007E2C64">
              <w:rPr>
                <w:rFonts w:cs="Times New Roman"/>
                <w:b w:val="0"/>
                <w:color w:val="auto"/>
                <w:sz w:val="20"/>
                <w:szCs w:val="20"/>
              </w:rPr>
              <w:t>Krājumu pārmaiņas un vērtslietu iegāde</w:t>
            </w:r>
          </w:p>
        </w:tc>
        <w:tc>
          <w:tcPr>
            <w:tcW w:w="567" w:type="dxa"/>
            <w:noWrap/>
            <w:vAlign w:val="center"/>
            <w:hideMark/>
          </w:tcPr>
          <w:p w:rsidR="00BF4753" w:rsidRPr="007E2C64" w:rsidRDefault="00BF4753" w:rsidP="002D7CA8">
            <w:pPr>
              <w:ind w:firstLine="0"/>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7E2C64">
              <w:rPr>
                <w:rFonts w:cs="Times New Roman"/>
                <w:color w:val="auto"/>
                <w:sz w:val="20"/>
                <w:szCs w:val="20"/>
              </w:rPr>
              <w:t>P52+P53</w:t>
            </w:r>
          </w:p>
        </w:tc>
        <w:tc>
          <w:tcPr>
            <w:tcW w:w="1417"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1661</w:t>
            </w:r>
          </w:p>
        </w:tc>
        <w:tc>
          <w:tcPr>
            <w:tcW w:w="709" w:type="dxa"/>
            <w:noWrap/>
            <w:vAlign w:val="center"/>
          </w:tcPr>
          <w:p w:rsidR="00BF4753" w:rsidRPr="007E2C64" w:rsidRDefault="00BF4753" w:rsidP="002D7CA8">
            <w:pPr>
              <w:ind w:hanging="28"/>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w:t>
            </w:r>
          </w:p>
        </w:tc>
        <w:tc>
          <w:tcPr>
            <w:tcW w:w="1276" w:type="dxa"/>
            <w:noWrap/>
            <w:vAlign w:val="center"/>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w:t>
            </w:r>
          </w:p>
        </w:tc>
        <w:tc>
          <w:tcPr>
            <w:tcW w:w="1134" w:type="dxa"/>
            <w:noWrap/>
            <w:vAlign w:val="center"/>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w:t>
            </w:r>
          </w:p>
        </w:tc>
        <w:tc>
          <w:tcPr>
            <w:tcW w:w="1134" w:type="dxa"/>
            <w:noWrap/>
            <w:vAlign w:val="center"/>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w:t>
            </w:r>
          </w:p>
        </w:tc>
        <w:tc>
          <w:tcPr>
            <w:tcW w:w="1134" w:type="dxa"/>
            <w:noWrap/>
            <w:vAlign w:val="center"/>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w:t>
            </w:r>
          </w:p>
        </w:tc>
      </w:tr>
      <w:tr w:rsidR="00BF4753" w:rsidRPr="007E2C64" w:rsidTr="002D7CA8">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980" w:type="dxa"/>
            <w:hideMark/>
          </w:tcPr>
          <w:p w:rsidR="00BF4753" w:rsidRPr="007E2C64" w:rsidRDefault="00BF4753" w:rsidP="002D7CA8">
            <w:pPr>
              <w:ind w:firstLine="0"/>
              <w:rPr>
                <w:rFonts w:cs="Times New Roman"/>
                <w:b w:val="0"/>
                <w:color w:val="auto"/>
                <w:sz w:val="20"/>
                <w:szCs w:val="20"/>
              </w:rPr>
            </w:pPr>
            <w:r>
              <w:rPr>
                <w:rFonts w:cs="Times New Roman"/>
                <w:b w:val="0"/>
                <w:color w:val="auto"/>
                <w:sz w:val="20"/>
                <w:szCs w:val="20"/>
              </w:rPr>
              <w:t>7.</w:t>
            </w:r>
            <w:r w:rsidRPr="007E2C64">
              <w:rPr>
                <w:rFonts w:cs="Times New Roman"/>
                <w:b w:val="0"/>
                <w:color w:val="auto"/>
                <w:sz w:val="20"/>
                <w:szCs w:val="20"/>
              </w:rPr>
              <w:t>Eksports</w:t>
            </w:r>
          </w:p>
        </w:tc>
        <w:tc>
          <w:tcPr>
            <w:tcW w:w="567" w:type="dxa"/>
            <w:noWrap/>
            <w:vAlign w:val="center"/>
            <w:hideMark/>
          </w:tcPr>
          <w:p w:rsidR="00BF4753" w:rsidRPr="007E2C64" w:rsidRDefault="00BF4753" w:rsidP="002D7CA8">
            <w:pPr>
              <w:ind w:firstLine="0"/>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7E2C64">
              <w:rPr>
                <w:rFonts w:cs="Times New Roman"/>
                <w:color w:val="auto"/>
                <w:sz w:val="20"/>
                <w:szCs w:val="20"/>
              </w:rPr>
              <w:t>P6</w:t>
            </w:r>
          </w:p>
        </w:tc>
        <w:tc>
          <w:tcPr>
            <w:tcW w:w="1417"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16 967</w:t>
            </w:r>
          </w:p>
        </w:tc>
        <w:tc>
          <w:tcPr>
            <w:tcW w:w="709" w:type="dxa"/>
            <w:noWrap/>
            <w:vAlign w:val="center"/>
            <w:hideMark/>
          </w:tcPr>
          <w:p w:rsidR="00BF4753" w:rsidRPr="007E2C64" w:rsidRDefault="00BF4753" w:rsidP="002D7CA8">
            <w:pPr>
              <w:ind w:hanging="28"/>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-2,7</w:t>
            </w:r>
          </w:p>
        </w:tc>
        <w:tc>
          <w:tcPr>
            <w:tcW w:w="1276"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4,3</w:t>
            </w:r>
          </w:p>
        </w:tc>
        <w:tc>
          <w:tcPr>
            <w:tcW w:w="1134"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4,7</w:t>
            </w:r>
          </w:p>
        </w:tc>
        <w:tc>
          <w:tcPr>
            <w:tcW w:w="1134"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4,0</w:t>
            </w:r>
          </w:p>
        </w:tc>
        <w:tc>
          <w:tcPr>
            <w:tcW w:w="1134"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4,0</w:t>
            </w:r>
          </w:p>
        </w:tc>
      </w:tr>
      <w:tr w:rsidR="00BF4753" w:rsidRPr="007E2C64" w:rsidTr="002D7CA8">
        <w:trPr>
          <w:trHeight w:val="201"/>
          <w:jc w:val="center"/>
        </w:trPr>
        <w:tc>
          <w:tcPr>
            <w:cnfStyle w:val="001000000000" w:firstRow="0" w:lastRow="0" w:firstColumn="1" w:lastColumn="0" w:oddVBand="0" w:evenVBand="0" w:oddHBand="0" w:evenHBand="0" w:firstRowFirstColumn="0" w:firstRowLastColumn="0" w:lastRowFirstColumn="0" w:lastRowLastColumn="0"/>
            <w:tcW w:w="1980" w:type="dxa"/>
            <w:hideMark/>
          </w:tcPr>
          <w:p w:rsidR="00BF4753" w:rsidRPr="007E2C64" w:rsidRDefault="00BF4753" w:rsidP="002D7CA8">
            <w:pPr>
              <w:ind w:firstLine="0"/>
              <w:rPr>
                <w:rFonts w:cs="Times New Roman"/>
                <w:b w:val="0"/>
                <w:color w:val="auto"/>
                <w:sz w:val="20"/>
                <w:szCs w:val="20"/>
              </w:rPr>
            </w:pPr>
            <w:r>
              <w:rPr>
                <w:rFonts w:cs="Times New Roman"/>
                <w:b w:val="0"/>
                <w:color w:val="auto"/>
                <w:sz w:val="20"/>
                <w:szCs w:val="20"/>
              </w:rPr>
              <w:t>8.</w:t>
            </w:r>
            <w:r w:rsidRPr="007E2C64">
              <w:rPr>
                <w:rFonts w:cs="Times New Roman"/>
                <w:b w:val="0"/>
                <w:color w:val="auto"/>
                <w:sz w:val="20"/>
                <w:szCs w:val="20"/>
              </w:rPr>
              <w:t>Imports</w:t>
            </w:r>
          </w:p>
        </w:tc>
        <w:tc>
          <w:tcPr>
            <w:tcW w:w="567" w:type="dxa"/>
            <w:noWrap/>
            <w:vAlign w:val="center"/>
            <w:hideMark/>
          </w:tcPr>
          <w:p w:rsidR="00BF4753" w:rsidRPr="007E2C64" w:rsidRDefault="00BF4753" w:rsidP="002D7CA8">
            <w:pPr>
              <w:ind w:firstLine="0"/>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7E2C64">
              <w:rPr>
                <w:rFonts w:cs="Times New Roman"/>
                <w:color w:val="auto"/>
                <w:sz w:val="20"/>
                <w:szCs w:val="20"/>
              </w:rPr>
              <w:t>P7</w:t>
            </w:r>
          </w:p>
        </w:tc>
        <w:tc>
          <w:tcPr>
            <w:tcW w:w="1417"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18 149</w:t>
            </w:r>
          </w:p>
        </w:tc>
        <w:tc>
          <w:tcPr>
            <w:tcW w:w="709" w:type="dxa"/>
            <w:noWrap/>
            <w:vAlign w:val="center"/>
            <w:hideMark/>
          </w:tcPr>
          <w:p w:rsidR="00BF4753" w:rsidRPr="007E2C64"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-3,3</w:t>
            </w:r>
          </w:p>
        </w:tc>
        <w:tc>
          <w:tcPr>
            <w:tcW w:w="1276"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4,9</w:t>
            </w:r>
          </w:p>
        </w:tc>
        <w:tc>
          <w:tcPr>
            <w:tcW w:w="1134"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5,4</w:t>
            </w:r>
          </w:p>
        </w:tc>
        <w:tc>
          <w:tcPr>
            <w:tcW w:w="1134"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4,0</w:t>
            </w:r>
          </w:p>
        </w:tc>
        <w:tc>
          <w:tcPr>
            <w:tcW w:w="1134"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3,3</w:t>
            </w:r>
          </w:p>
        </w:tc>
      </w:tr>
      <w:tr w:rsidR="00BF4753" w:rsidRPr="007E2C64" w:rsidTr="002D7CA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9351" w:type="dxa"/>
            <w:gridSpan w:val="8"/>
            <w:noWrap/>
            <w:hideMark/>
          </w:tcPr>
          <w:p w:rsidR="00BF4753" w:rsidRPr="007E2C64" w:rsidRDefault="00BF4753" w:rsidP="002D7CA8">
            <w:pPr>
              <w:jc w:val="center"/>
              <w:rPr>
                <w:rFonts w:eastAsia="Times New Roman" w:cs="Times New Roman"/>
                <w:b w:val="0"/>
                <w:color w:val="auto"/>
                <w:sz w:val="20"/>
                <w:szCs w:val="20"/>
                <w:lang w:eastAsia="lv-LV"/>
              </w:rPr>
            </w:pPr>
            <w:r w:rsidRPr="007E2C64">
              <w:rPr>
                <w:rFonts w:eastAsia="Times New Roman" w:cs="Times New Roman"/>
                <w:b w:val="0"/>
                <w:color w:val="auto"/>
                <w:sz w:val="20"/>
                <w:szCs w:val="20"/>
                <w:lang w:eastAsia="lv-LV"/>
              </w:rPr>
              <w:t>Ieguldījums IKP izaugsmē</w:t>
            </w:r>
          </w:p>
        </w:tc>
      </w:tr>
      <w:tr w:rsidR="00BF4753" w:rsidRPr="007E2C64" w:rsidTr="002D7CA8">
        <w:trPr>
          <w:trHeight w:val="149"/>
          <w:jc w:val="center"/>
        </w:trPr>
        <w:tc>
          <w:tcPr>
            <w:cnfStyle w:val="001000000000" w:firstRow="0" w:lastRow="0" w:firstColumn="1" w:lastColumn="0" w:oddVBand="0" w:evenVBand="0" w:oddHBand="0" w:evenHBand="0" w:firstRowFirstColumn="0" w:firstRowLastColumn="0" w:lastRowFirstColumn="0" w:lastRowLastColumn="0"/>
            <w:tcW w:w="1980" w:type="dxa"/>
            <w:hideMark/>
          </w:tcPr>
          <w:p w:rsidR="00BF4753" w:rsidRPr="007E2C64" w:rsidRDefault="00BF4753" w:rsidP="002D7CA8">
            <w:pPr>
              <w:ind w:firstLine="0"/>
              <w:rPr>
                <w:rFonts w:cs="Times New Roman"/>
                <w:b w:val="0"/>
                <w:color w:val="auto"/>
                <w:sz w:val="20"/>
                <w:szCs w:val="20"/>
              </w:rPr>
            </w:pPr>
            <w:r>
              <w:rPr>
                <w:rFonts w:cs="Times New Roman"/>
                <w:b w:val="0"/>
                <w:color w:val="auto"/>
                <w:sz w:val="20"/>
                <w:szCs w:val="20"/>
              </w:rPr>
              <w:t>9.</w:t>
            </w:r>
            <w:r w:rsidRPr="007E2C64">
              <w:rPr>
                <w:rFonts w:cs="Times New Roman"/>
                <w:b w:val="0"/>
                <w:color w:val="auto"/>
                <w:sz w:val="20"/>
                <w:szCs w:val="20"/>
              </w:rPr>
              <w:t>Kopējais iekšzemes pieprasījums</w:t>
            </w:r>
          </w:p>
        </w:tc>
        <w:tc>
          <w:tcPr>
            <w:tcW w:w="567" w:type="dxa"/>
            <w:noWrap/>
            <w:vAlign w:val="center"/>
            <w:hideMark/>
          </w:tcPr>
          <w:p w:rsidR="00BF4753" w:rsidRPr="007E2C64" w:rsidRDefault="00BF4753" w:rsidP="002D7CA8">
            <w:pPr>
              <w:ind w:firstLine="0"/>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7E2C64">
              <w:rPr>
                <w:rFonts w:cs="Times New Roman"/>
                <w:color w:val="auto"/>
                <w:sz w:val="20"/>
                <w:szCs w:val="20"/>
              </w:rPr>
              <w:t>P3+P51</w:t>
            </w:r>
          </w:p>
        </w:tc>
        <w:tc>
          <w:tcPr>
            <w:tcW w:w="1417" w:type="dxa"/>
            <w:noWrap/>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p>
        </w:tc>
        <w:tc>
          <w:tcPr>
            <w:tcW w:w="709" w:type="dxa"/>
            <w:noWrap/>
            <w:vAlign w:val="center"/>
            <w:hideMark/>
          </w:tcPr>
          <w:p w:rsidR="00BF4753" w:rsidRPr="007E2C64"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-5,4</w:t>
            </w:r>
          </w:p>
        </w:tc>
        <w:tc>
          <w:tcPr>
            <w:tcW w:w="1276"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3,7</w:t>
            </w:r>
          </w:p>
        </w:tc>
        <w:tc>
          <w:tcPr>
            <w:tcW w:w="1134"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8,0</w:t>
            </w:r>
          </w:p>
        </w:tc>
        <w:tc>
          <w:tcPr>
            <w:tcW w:w="1134"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3,4</w:t>
            </w:r>
          </w:p>
        </w:tc>
        <w:tc>
          <w:tcPr>
            <w:tcW w:w="1134"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2,6</w:t>
            </w:r>
          </w:p>
        </w:tc>
      </w:tr>
      <w:tr w:rsidR="00BF4753" w:rsidRPr="007E2C64" w:rsidTr="002D7CA8">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1980" w:type="dxa"/>
            <w:hideMark/>
          </w:tcPr>
          <w:p w:rsidR="00BF4753" w:rsidRPr="007E2C64" w:rsidRDefault="00BF4753" w:rsidP="002D7CA8">
            <w:pPr>
              <w:ind w:firstLine="0"/>
              <w:rPr>
                <w:rFonts w:cs="Times New Roman"/>
                <w:b w:val="0"/>
                <w:color w:val="auto"/>
                <w:sz w:val="20"/>
                <w:szCs w:val="20"/>
              </w:rPr>
            </w:pPr>
            <w:r>
              <w:rPr>
                <w:rFonts w:cs="Times New Roman"/>
                <w:b w:val="0"/>
                <w:color w:val="auto"/>
                <w:sz w:val="20"/>
                <w:szCs w:val="20"/>
              </w:rPr>
              <w:t>10.</w:t>
            </w:r>
            <w:r w:rsidRPr="007E2C64">
              <w:rPr>
                <w:rFonts w:cs="Times New Roman"/>
                <w:b w:val="0"/>
                <w:color w:val="auto"/>
                <w:sz w:val="20"/>
                <w:szCs w:val="20"/>
              </w:rPr>
              <w:t xml:space="preserve">Krājumu pārmaiņas un vērtslietu iegāde </w:t>
            </w:r>
          </w:p>
        </w:tc>
        <w:tc>
          <w:tcPr>
            <w:tcW w:w="567" w:type="dxa"/>
            <w:noWrap/>
            <w:vAlign w:val="center"/>
            <w:hideMark/>
          </w:tcPr>
          <w:p w:rsidR="00BF4753" w:rsidRPr="007E2C64" w:rsidRDefault="00BF4753" w:rsidP="002D7CA8">
            <w:pPr>
              <w:ind w:firstLine="0"/>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7E2C64">
              <w:rPr>
                <w:rFonts w:cs="Times New Roman"/>
                <w:color w:val="auto"/>
                <w:sz w:val="20"/>
                <w:szCs w:val="20"/>
              </w:rPr>
              <w:t>P52+P53</w:t>
            </w:r>
          </w:p>
        </w:tc>
        <w:tc>
          <w:tcPr>
            <w:tcW w:w="1417" w:type="dxa"/>
            <w:noWrap/>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p>
        </w:tc>
        <w:tc>
          <w:tcPr>
            <w:tcW w:w="709" w:type="dxa"/>
            <w:noWrap/>
            <w:vAlign w:val="center"/>
            <w:hideMark/>
          </w:tcPr>
          <w:p w:rsidR="00BF4753" w:rsidRPr="007E2C64"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1,3</w:t>
            </w:r>
          </w:p>
        </w:tc>
        <w:tc>
          <w:tcPr>
            <w:tcW w:w="1276"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-0,1</w:t>
            </w:r>
          </w:p>
        </w:tc>
        <w:tc>
          <w:tcPr>
            <w:tcW w:w="1134"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-2,7</w:t>
            </w:r>
          </w:p>
        </w:tc>
        <w:tc>
          <w:tcPr>
            <w:tcW w:w="1134"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-0,1</w:t>
            </w:r>
          </w:p>
        </w:tc>
        <w:tc>
          <w:tcPr>
            <w:tcW w:w="1134" w:type="dxa"/>
            <w:noWrap/>
            <w:vAlign w:val="center"/>
            <w:hideMark/>
          </w:tcPr>
          <w:p w:rsidR="00BF4753" w:rsidRPr="007E2C64" w:rsidRDefault="00BF4753" w:rsidP="002D7CA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-0,1</w:t>
            </w:r>
          </w:p>
        </w:tc>
      </w:tr>
      <w:tr w:rsidR="00BF4753" w:rsidRPr="007E2C64" w:rsidTr="002D7CA8">
        <w:trPr>
          <w:trHeight w:val="345"/>
          <w:jc w:val="center"/>
        </w:trPr>
        <w:tc>
          <w:tcPr>
            <w:cnfStyle w:val="001000000000" w:firstRow="0" w:lastRow="0" w:firstColumn="1" w:lastColumn="0" w:oddVBand="0" w:evenVBand="0" w:oddHBand="0" w:evenHBand="0" w:firstRowFirstColumn="0" w:firstRowLastColumn="0" w:lastRowFirstColumn="0" w:lastRowLastColumn="0"/>
            <w:tcW w:w="1980" w:type="dxa"/>
            <w:hideMark/>
          </w:tcPr>
          <w:p w:rsidR="00BF4753" w:rsidRPr="007E2C64" w:rsidRDefault="00BF4753" w:rsidP="002D7CA8">
            <w:pPr>
              <w:ind w:firstLine="0"/>
              <w:rPr>
                <w:rFonts w:cs="Times New Roman"/>
                <w:b w:val="0"/>
                <w:color w:val="auto"/>
                <w:sz w:val="20"/>
                <w:szCs w:val="20"/>
              </w:rPr>
            </w:pPr>
            <w:r>
              <w:rPr>
                <w:rFonts w:cs="Times New Roman"/>
                <w:b w:val="0"/>
                <w:color w:val="auto"/>
                <w:sz w:val="20"/>
                <w:szCs w:val="20"/>
              </w:rPr>
              <w:t>11.</w:t>
            </w:r>
            <w:r w:rsidRPr="007E2C64">
              <w:rPr>
                <w:rFonts w:cs="Times New Roman"/>
                <w:b w:val="0"/>
                <w:color w:val="auto"/>
                <w:sz w:val="20"/>
                <w:szCs w:val="20"/>
              </w:rPr>
              <w:t>Eksporta-importa bilance</w:t>
            </w:r>
          </w:p>
        </w:tc>
        <w:tc>
          <w:tcPr>
            <w:tcW w:w="567" w:type="dxa"/>
            <w:noWrap/>
            <w:vAlign w:val="center"/>
            <w:hideMark/>
          </w:tcPr>
          <w:p w:rsidR="00BF4753" w:rsidRPr="007E2C64" w:rsidRDefault="00BF4753" w:rsidP="002D7CA8">
            <w:pPr>
              <w:ind w:firstLine="0"/>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7E2C64">
              <w:rPr>
                <w:rFonts w:cs="Times New Roman"/>
                <w:color w:val="auto"/>
                <w:sz w:val="20"/>
                <w:szCs w:val="20"/>
              </w:rPr>
              <w:t>B11</w:t>
            </w:r>
          </w:p>
        </w:tc>
        <w:tc>
          <w:tcPr>
            <w:tcW w:w="1417" w:type="dxa"/>
            <w:noWrap/>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p>
        </w:tc>
        <w:tc>
          <w:tcPr>
            <w:tcW w:w="709" w:type="dxa"/>
            <w:noWrap/>
            <w:vAlign w:val="center"/>
            <w:hideMark/>
          </w:tcPr>
          <w:p w:rsidR="00BF4753" w:rsidRPr="007E2C64"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0,5</w:t>
            </w:r>
          </w:p>
        </w:tc>
        <w:tc>
          <w:tcPr>
            <w:tcW w:w="1276"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-0,6</w:t>
            </w:r>
          </w:p>
        </w:tc>
        <w:tc>
          <w:tcPr>
            <w:tcW w:w="1134"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-0,7</w:t>
            </w:r>
          </w:p>
        </w:tc>
        <w:tc>
          <w:tcPr>
            <w:tcW w:w="1134"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-0,2</w:t>
            </w:r>
          </w:p>
        </w:tc>
        <w:tc>
          <w:tcPr>
            <w:tcW w:w="1134" w:type="dxa"/>
            <w:noWrap/>
            <w:vAlign w:val="center"/>
            <w:hideMark/>
          </w:tcPr>
          <w:p w:rsidR="00BF4753" w:rsidRPr="007E2C64" w:rsidRDefault="00BF4753" w:rsidP="002D7CA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lv-LV"/>
              </w:rPr>
            </w:pPr>
            <w:r w:rsidRPr="007E2C64">
              <w:rPr>
                <w:rFonts w:eastAsia="Times New Roman" w:cs="Times New Roman"/>
                <w:color w:val="auto"/>
                <w:sz w:val="20"/>
                <w:szCs w:val="20"/>
                <w:lang w:eastAsia="lv-LV"/>
              </w:rPr>
              <w:t>0,3</w:t>
            </w:r>
          </w:p>
        </w:tc>
      </w:tr>
    </w:tbl>
    <w:p w:rsidR="00BF4753" w:rsidRPr="00BD2805" w:rsidRDefault="00BF4753" w:rsidP="00BF4753">
      <w:pPr>
        <w:rPr>
          <w:rFonts w:cs="Times New Roman"/>
          <w:b/>
          <w:sz w:val="24"/>
          <w:szCs w:val="24"/>
        </w:rPr>
      </w:pPr>
    </w:p>
    <w:p w:rsidR="00BF4753" w:rsidRPr="007E2C64" w:rsidRDefault="00BF4753" w:rsidP="00BF4753">
      <w:pPr>
        <w:ind w:firstLine="567"/>
        <w:rPr>
          <w:rFonts w:cs="Times New Roman"/>
          <w:szCs w:val="24"/>
        </w:rPr>
      </w:pPr>
      <w:r w:rsidRPr="007E2C64">
        <w:rPr>
          <w:rFonts w:cs="Times New Roman"/>
          <w:szCs w:val="24"/>
        </w:rPr>
        <w:t>Bāzes scenārijs ir izstrādāts augstas nenoteiktības apstākļos, kad ekonomiku ietekmē Covid-19 ierobežojošie pasākumi un neskaidrība par pandēmijas attīstību. Tāpēc šo prognožu pamatā ir likts uzsvars uz aktīvu un veiksmīgu valdības rīcības plānu, kas izriet no Veselības ministrijas vakcinācijas plāna.</w:t>
      </w:r>
    </w:p>
    <w:p w:rsidR="00BF4753" w:rsidRPr="007E2C64" w:rsidRDefault="00BF4753" w:rsidP="00BF4753">
      <w:pPr>
        <w:ind w:firstLine="567"/>
        <w:rPr>
          <w:rFonts w:cs="Times New Roman"/>
          <w:szCs w:val="24"/>
        </w:rPr>
      </w:pPr>
      <w:r w:rsidRPr="007E2C64">
        <w:rPr>
          <w:rFonts w:cs="Times New Roman"/>
          <w:szCs w:val="24"/>
        </w:rPr>
        <w:t>Vakcinācijas plāns paredz, ka līdz 2021.</w:t>
      </w:r>
      <w:r>
        <w:rPr>
          <w:rFonts w:cs="Times New Roman"/>
          <w:szCs w:val="24"/>
        </w:rPr>
        <w:t xml:space="preserve"> </w:t>
      </w:r>
      <w:r w:rsidRPr="007E2C64">
        <w:rPr>
          <w:rFonts w:cs="Times New Roman"/>
          <w:szCs w:val="24"/>
        </w:rPr>
        <w:t>gada vasaras beigām būs vakcinēti 70% Latvijas iedzīvotāju, līdz ar to atkārtots C</w:t>
      </w:r>
      <w:r>
        <w:rPr>
          <w:rFonts w:cs="Times New Roman"/>
          <w:szCs w:val="24"/>
        </w:rPr>
        <w:t>ovid-19 saslimstības vilnis šī gada</w:t>
      </w:r>
      <w:r w:rsidRPr="007E2C64">
        <w:rPr>
          <w:rFonts w:cs="Times New Roman"/>
          <w:szCs w:val="24"/>
        </w:rPr>
        <w:t xml:space="preserve"> rudenī nav sagaidāms, tādējādi ekonom</w:t>
      </w:r>
      <w:r>
        <w:rPr>
          <w:rFonts w:cs="Times New Roman"/>
          <w:szCs w:val="24"/>
        </w:rPr>
        <w:t>ikas atgūšanās sagaidāma ar šī gada</w:t>
      </w:r>
      <w:r w:rsidRPr="007E2C64">
        <w:rPr>
          <w:rFonts w:cs="Times New Roman"/>
          <w:szCs w:val="24"/>
        </w:rPr>
        <w:t xml:space="preserve"> trešo </w:t>
      </w:r>
      <w:r w:rsidRPr="007E2C64">
        <w:rPr>
          <w:rFonts w:cs="Times New Roman"/>
          <w:szCs w:val="24"/>
        </w:rPr>
        <w:lastRenderedPageBreak/>
        <w:t>ceturksni. Stingri ierobežojumi mazumtirdzniecības nozarē saglabājas līdz februāra beigām, martā-aprīlī tie pakāpeniski tiek mīkstināti, savukārt, sākot ar maiju, nozare darbojas praktiski bez ierobežojumiem. Līdzīgā tempā notiek arī ierobežojumu samazinājums pārējās pakalpojumu nozar</w:t>
      </w:r>
      <w:r>
        <w:rPr>
          <w:rFonts w:cs="Times New Roman"/>
          <w:szCs w:val="24"/>
        </w:rPr>
        <w:t>ēs. Scenārijs paredz būtiskas Eiropas Savienības</w:t>
      </w:r>
      <w:r w:rsidRPr="007E2C64">
        <w:rPr>
          <w:rFonts w:cs="Times New Roman"/>
          <w:szCs w:val="24"/>
        </w:rPr>
        <w:t xml:space="preserve"> investīcijas 2021.-2027.</w:t>
      </w:r>
      <w:r>
        <w:rPr>
          <w:rFonts w:cs="Times New Roman"/>
          <w:szCs w:val="24"/>
        </w:rPr>
        <w:t xml:space="preserve"> </w:t>
      </w:r>
      <w:r w:rsidRPr="007E2C64">
        <w:rPr>
          <w:rFonts w:cs="Times New Roman"/>
          <w:szCs w:val="24"/>
        </w:rPr>
        <w:t xml:space="preserve">gada plānošanas </w:t>
      </w:r>
      <w:r>
        <w:rPr>
          <w:rFonts w:cs="Times New Roman"/>
          <w:szCs w:val="24"/>
        </w:rPr>
        <w:t>periodā, ņemot vērā paredzamo Eiropas Savienības</w:t>
      </w:r>
      <w:r w:rsidRPr="007E2C64">
        <w:rPr>
          <w:rFonts w:cs="Times New Roman"/>
          <w:szCs w:val="24"/>
        </w:rPr>
        <w:t xml:space="preserve"> struktūrfondu, </w:t>
      </w:r>
      <w:r w:rsidRPr="007E2C64">
        <w:rPr>
          <w:rFonts w:cs="Times New Roman"/>
          <w:i/>
          <w:szCs w:val="24"/>
        </w:rPr>
        <w:t>Rail</w:t>
      </w:r>
      <w:r>
        <w:rPr>
          <w:rFonts w:cs="Times New Roman"/>
          <w:i/>
          <w:szCs w:val="24"/>
        </w:rPr>
        <w:t xml:space="preserve"> </w:t>
      </w:r>
      <w:r w:rsidRPr="007E2C64">
        <w:rPr>
          <w:rFonts w:cs="Times New Roman"/>
          <w:i/>
          <w:szCs w:val="24"/>
        </w:rPr>
        <w:t>Baltica</w:t>
      </w:r>
      <w:r w:rsidRPr="007E2C64">
        <w:rPr>
          <w:rFonts w:cs="Times New Roman"/>
          <w:szCs w:val="24"/>
        </w:rPr>
        <w:t xml:space="preserve"> un Atveseļošanās un noturības mehānisma plānoto finansējumu.</w:t>
      </w:r>
    </w:p>
    <w:p w:rsidR="00BF4753" w:rsidRPr="007E2C64" w:rsidRDefault="00BF4753" w:rsidP="00BF4753">
      <w:pPr>
        <w:ind w:firstLine="567"/>
        <w:rPr>
          <w:rFonts w:cs="Times New Roman"/>
          <w:szCs w:val="24"/>
        </w:rPr>
      </w:pPr>
      <w:r w:rsidRPr="007E2C64">
        <w:rPr>
          <w:rFonts w:cs="Times New Roman"/>
          <w:szCs w:val="24"/>
        </w:rPr>
        <w:t>Lai arī 2020. gadā ekonomikas kritums 3,6% apmērā bija par 3,4 procentpunktiem mazāks nekā prognozēts, Covid-19 atkārtotā uzliesmojuma un slimības izplatības mazināšanai noteikto i</w:t>
      </w:r>
      <w:r>
        <w:rPr>
          <w:rFonts w:cs="Times New Roman"/>
          <w:szCs w:val="24"/>
        </w:rPr>
        <w:t>erobežojumu dēļ iekšzemes kopprodukta</w:t>
      </w:r>
      <w:r w:rsidRPr="007E2C64">
        <w:rPr>
          <w:rFonts w:cs="Times New Roman"/>
          <w:szCs w:val="24"/>
        </w:rPr>
        <w:t xml:space="preserve"> pieaugums 2021.</w:t>
      </w:r>
      <w:r>
        <w:rPr>
          <w:rFonts w:cs="Times New Roman"/>
          <w:szCs w:val="24"/>
        </w:rPr>
        <w:t xml:space="preserve"> </w:t>
      </w:r>
      <w:r w:rsidRPr="007E2C64">
        <w:rPr>
          <w:rFonts w:cs="Times New Roman"/>
          <w:szCs w:val="24"/>
        </w:rPr>
        <w:t>gadā būs zemāks nekā prognozēts pagājušā gada jūnijā. Bāzes scenārijā pieņemts, ka ekonomikas attīstību vēl līdz pat 2021. gada vidum turpinās negatīvi ietekmēt Covid</w:t>
      </w:r>
      <w:r w:rsidRPr="007E2C64">
        <w:rPr>
          <w:rFonts w:cs="Times New Roman"/>
          <w:szCs w:val="24"/>
        </w:rPr>
        <w:noBreakHyphen/>
        <w:t>19 izplatība, bet pēc tam, atceļot lielāko daļu ierobežojumu, izaugsme strauji sāks atjaunoties. Salīdzinot ar iepriekšējām, 2020.</w:t>
      </w:r>
      <w:r>
        <w:rPr>
          <w:rFonts w:cs="Times New Roman"/>
          <w:szCs w:val="24"/>
        </w:rPr>
        <w:t xml:space="preserve"> </w:t>
      </w:r>
      <w:r w:rsidRPr="007E2C64">
        <w:rPr>
          <w:rFonts w:cs="Times New Roman"/>
          <w:szCs w:val="24"/>
        </w:rPr>
        <w:t xml:space="preserve">gada jūnijā izstrādātajām prognozēm, </w:t>
      </w:r>
      <w:r>
        <w:rPr>
          <w:rFonts w:cs="Times New Roman"/>
          <w:szCs w:val="24"/>
        </w:rPr>
        <w:t>iekšzemes kopprodukta</w:t>
      </w:r>
      <w:r w:rsidRPr="007E2C64">
        <w:rPr>
          <w:rFonts w:cs="Times New Roman"/>
          <w:szCs w:val="24"/>
        </w:rPr>
        <w:t xml:space="preserve"> pieaugums 2021.</w:t>
      </w:r>
      <w:r>
        <w:rPr>
          <w:rFonts w:cs="Times New Roman"/>
          <w:szCs w:val="24"/>
        </w:rPr>
        <w:t xml:space="preserve"> </w:t>
      </w:r>
      <w:r w:rsidRPr="007E2C64">
        <w:rPr>
          <w:rFonts w:cs="Times New Roman"/>
          <w:szCs w:val="24"/>
        </w:rPr>
        <w:t>gadam ir samazināts par 2,1 procentpunktu, prognozējot 3,0% izaugsmi,  bet 2022.</w:t>
      </w:r>
      <w:r>
        <w:rPr>
          <w:rFonts w:cs="Times New Roman"/>
          <w:szCs w:val="24"/>
        </w:rPr>
        <w:t xml:space="preserve"> </w:t>
      </w:r>
      <w:r w:rsidRPr="007E2C64">
        <w:rPr>
          <w:rFonts w:cs="Times New Roman"/>
          <w:szCs w:val="24"/>
        </w:rPr>
        <w:t xml:space="preserve">gadam </w:t>
      </w:r>
      <w:r>
        <w:rPr>
          <w:rFonts w:cs="Times New Roman"/>
          <w:szCs w:val="24"/>
        </w:rPr>
        <w:t>iekšzemes kopprodukta</w:t>
      </w:r>
      <w:r w:rsidRPr="007E2C64">
        <w:rPr>
          <w:rFonts w:cs="Times New Roman"/>
          <w:szCs w:val="24"/>
        </w:rPr>
        <w:t xml:space="preserve"> pieaugums prognozēts par 1,4 procentpunktiem augstāks nekā pagājušā gada jūnijā, paredzot izaugsmi 4,5% apmērā. Divos nākamajos gados ekonomikas izaugsme tiek prognozēta tuvu ekonomikas potenciālās izaugsmes tempam.</w:t>
      </w:r>
    </w:p>
    <w:p w:rsidR="00BF4753" w:rsidRPr="007E2C64" w:rsidRDefault="00BF4753" w:rsidP="00BF4753">
      <w:pPr>
        <w:rPr>
          <w:rFonts w:cs="Times New Roman"/>
          <w:szCs w:val="24"/>
        </w:rPr>
      </w:pPr>
      <w:r w:rsidRPr="007E2C64">
        <w:rPr>
          <w:rFonts w:cs="Times New Roman"/>
          <w:szCs w:val="24"/>
        </w:rPr>
        <w:t>Ekonomikas izaugsmi 2021.</w:t>
      </w:r>
      <w:r>
        <w:rPr>
          <w:rFonts w:cs="Times New Roman"/>
          <w:szCs w:val="24"/>
        </w:rPr>
        <w:t xml:space="preserve"> </w:t>
      </w:r>
      <w:r w:rsidRPr="007E2C64">
        <w:rPr>
          <w:rFonts w:cs="Times New Roman"/>
          <w:szCs w:val="24"/>
        </w:rPr>
        <w:t>gadā nodrošinās gan privātā patēriņa pieauguma atjaunošanās 4% apmērā, gan investīciju pieaugums un eksporta kāpums attiecīgi par 4,1% un 4,3%, kamēr sabiedriskā patēriņa pieaugums saglabāsies pagājušā gada līmenī un veidos 2,4%. Sabiedriskā patēriņa pieaugumu nodrošinās valdības plānotais atbalsta apjoms Covid-19 seku mazināšanai, kas 2021.</w:t>
      </w:r>
      <w:r>
        <w:rPr>
          <w:rFonts w:cs="Times New Roman"/>
          <w:szCs w:val="24"/>
        </w:rPr>
        <w:t xml:space="preserve"> </w:t>
      </w:r>
      <w:r w:rsidRPr="007E2C64">
        <w:rPr>
          <w:rFonts w:cs="Times New Roman"/>
          <w:szCs w:val="24"/>
        </w:rPr>
        <w:t>gadā plānots</w:t>
      </w:r>
      <w:r>
        <w:rPr>
          <w:rFonts w:cs="Times New Roman"/>
          <w:szCs w:val="24"/>
        </w:rPr>
        <w:t xml:space="preserve"> 2,9 mljrd. </w:t>
      </w:r>
      <w:r w:rsidRPr="001C736B">
        <w:rPr>
          <w:rFonts w:cs="Times New Roman"/>
          <w:i/>
          <w:szCs w:val="24"/>
        </w:rPr>
        <w:t>euro</w:t>
      </w:r>
      <w:r>
        <w:rPr>
          <w:rFonts w:cs="Times New Roman"/>
          <w:szCs w:val="24"/>
        </w:rPr>
        <w:t xml:space="preserve"> ( 9,6% no iekšzemes kopprodukta</w:t>
      </w:r>
      <w:r w:rsidRPr="007E2C64">
        <w:rPr>
          <w:rFonts w:cs="Times New Roman"/>
          <w:szCs w:val="24"/>
        </w:rPr>
        <w:t xml:space="preserve">) apmērā. </w:t>
      </w:r>
    </w:p>
    <w:p w:rsidR="00BF4753" w:rsidRPr="007E2C64" w:rsidRDefault="00BF4753" w:rsidP="00BF4753">
      <w:pPr>
        <w:ind w:firstLine="567"/>
        <w:rPr>
          <w:rFonts w:cs="Times New Roman"/>
          <w:szCs w:val="24"/>
        </w:rPr>
      </w:pPr>
      <w:r w:rsidRPr="007E2C64">
        <w:rPr>
          <w:rFonts w:cs="Times New Roman"/>
          <w:szCs w:val="24"/>
        </w:rPr>
        <w:t>2021.</w:t>
      </w:r>
      <w:r>
        <w:rPr>
          <w:rFonts w:cs="Times New Roman"/>
          <w:szCs w:val="24"/>
        </w:rPr>
        <w:t xml:space="preserve"> </w:t>
      </w:r>
      <w:r w:rsidRPr="007E2C64">
        <w:rPr>
          <w:rFonts w:cs="Times New Roman"/>
          <w:szCs w:val="24"/>
        </w:rPr>
        <w:t>gada sākumā privātais patēriņš joprojām varētu piedzīvot nelielu kritumu, bet jau gada otrajā pusē, līdz ar ierobežojumu atcelšanu mājsaimniecības varētu tērēt krīzes laikā izveidotos uzkrājumus, kā rezultātā privātā patēriņa pieaugums 2022. gadā sasniegtu 10,1%. Savukārt investīciju kāpums 2022.</w:t>
      </w:r>
      <w:r>
        <w:rPr>
          <w:rFonts w:cs="Times New Roman"/>
          <w:szCs w:val="24"/>
        </w:rPr>
        <w:t xml:space="preserve"> </w:t>
      </w:r>
      <w:r w:rsidRPr="007E2C64">
        <w:rPr>
          <w:rFonts w:cs="Times New Roman"/>
          <w:szCs w:val="24"/>
        </w:rPr>
        <w:t>gadā sasniegs 7,6%, galvenokārt</w:t>
      </w:r>
      <w:r>
        <w:rPr>
          <w:rFonts w:cs="Times New Roman"/>
          <w:szCs w:val="24"/>
        </w:rPr>
        <w:t xml:space="preserve"> sakarā ar būtiski pieaugušām Eiropas Savienības</w:t>
      </w:r>
      <w:r w:rsidRPr="007E2C64">
        <w:rPr>
          <w:rFonts w:cs="Times New Roman"/>
          <w:szCs w:val="24"/>
        </w:rPr>
        <w:t xml:space="preserve"> fondu investīcijām, kas ir saistīti, gan ar </w:t>
      </w:r>
      <w:r w:rsidRPr="007E2C64">
        <w:rPr>
          <w:rFonts w:cs="Times New Roman"/>
          <w:i/>
          <w:szCs w:val="24"/>
        </w:rPr>
        <w:t>Rail</w:t>
      </w:r>
      <w:r>
        <w:rPr>
          <w:rFonts w:cs="Times New Roman"/>
          <w:i/>
          <w:szCs w:val="24"/>
        </w:rPr>
        <w:t xml:space="preserve"> </w:t>
      </w:r>
      <w:r w:rsidRPr="007E2C64">
        <w:rPr>
          <w:rFonts w:cs="Times New Roman"/>
          <w:i/>
          <w:szCs w:val="24"/>
        </w:rPr>
        <w:t>Baltica</w:t>
      </w:r>
      <w:r w:rsidRPr="007E2C64">
        <w:rPr>
          <w:rFonts w:cs="Times New Roman"/>
          <w:szCs w:val="24"/>
        </w:rPr>
        <w:t xml:space="preserve"> projekta b</w:t>
      </w:r>
      <w:r>
        <w:rPr>
          <w:rFonts w:cs="Times New Roman"/>
          <w:szCs w:val="24"/>
        </w:rPr>
        <w:t>ūvniecības uzsākšanos, gan ar Eiropas</w:t>
      </w:r>
      <w:r w:rsidRPr="007E2C64">
        <w:rPr>
          <w:rFonts w:cs="Times New Roman"/>
          <w:szCs w:val="24"/>
        </w:rPr>
        <w:t xml:space="preserve"> Atveseļošanās un noturības mehānisma līdzekļu straujo ie</w:t>
      </w:r>
      <w:r>
        <w:rPr>
          <w:rFonts w:cs="Times New Roman"/>
          <w:szCs w:val="24"/>
        </w:rPr>
        <w:t>plūdi. Kopumā vidējā termiņā iekšzemes kopprodukta</w:t>
      </w:r>
      <w:r w:rsidRPr="007E2C64">
        <w:rPr>
          <w:rFonts w:cs="Times New Roman"/>
          <w:szCs w:val="24"/>
        </w:rPr>
        <w:t xml:space="preserve"> izaugsme atgriezīsies pie potenciālā izaugsmes tempa, proti, 2,8%.</w:t>
      </w:r>
    </w:p>
    <w:p w:rsidR="00BF4753" w:rsidRPr="007E2C64" w:rsidRDefault="00BF4753" w:rsidP="00BF4753">
      <w:pPr>
        <w:ind w:firstLine="567"/>
        <w:rPr>
          <w:rFonts w:cs="Times New Roman"/>
          <w:szCs w:val="24"/>
        </w:rPr>
      </w:pPr>
      <w:r w:rsidRPr="007E2C64">
        <w:rPr>
          <w:rFonts w:cs="Times New Roman"/>
          <w:szCs w:val="24"/>
        </w:rPr>
        <w:t>Gada vidējā inflācija 2021.</w:t>
      </w:r>
      <w:r>
        <w:rPr>
          <w:rFonts w:cs="Times New Roman"/>
          <w:szCs w:val="24"/>
        </w:rPr>
        <w:t xml:space="preserve"> </w:t>
      </w:r>
      <w:r w:rsidRPr="007E2C64">
        <w:rPr>
          <w:rFonts w:cs="Times New Roman"/>
          <w:szCs w:val="24"/>
        </w:rPr>
        <w:t>gadā prognozēta 1,4% līmenī, tai palielinoties no 0,2% pagājušajā gadā. 2020.</w:t>
      </w:r>
      <w:r>
        <w:rPr>
          <w:rFonts w:cs="Times New Roman"/>
          <w:szCs w:val="24"/>
        </w:rPr>
        <w:t xml:space="preserve"> </w:t>
      </w:r>
      <w:r w:rsidRPr="007E2C64">
        <w:rPr>
          <w:rFonts w:cs="Times New Roman"/>
          <w:szCs w:val="24"/>
        </w:rPr>
        <w:t xml:space="preserve">gadā zemu inflāciju galvenokārt uzturēja zemas energoresursu cenas pasaulē, turpretim šogad to ietekmei būs pretējs efekts. Straujāku patēriņa cenu pieaugumu šogad noteiks arī pasaules ekonomiskās izaugsmes atjaunošanās, tostarp veicinot pārtikas cenu pieaugumu pasaules tirgos, </w:t>
      </w:r>
      <w:r w:rsidRPr="007E2C64">
        <w:rPr>
          <w:rFonts w:cs="Times New Roman"/>
          <w:szCs w:val="24"/>
        </w:rPr>
        <w:lastRenderedPageBreak/>
        <w:t>kamēr iekšējie faktori – darba samaksas pieaugums un patēriņa atjaunošanās – turpinās noteikt pakalpojumu cenu kāpumu Latvijā. 2022.</w:t>
      </w:r>
      <w:r>
        <w:rPr>
          <w:rFonts w:cs="Times New Roman"/>
          <w:szCs w:val="24"/>
        </w:rPr>
        <w:t xml:space="preserve"> </w:t>
      </w:r>
      <w:r w:rsidRPr="007E2C64">
        <w:rPr>
          <w:rFonts w:cs="Times New Roman"/>
          <w:szCs w:val="24"/>
        </w:rPr>
        <w:t>gadā un turpmākajos gados inflācija sasniegs 2,0% un šādā līmenī tā turēsies visā laika periodā līdz 2024.</w:t>
      </w:r>
      <w:r>
        <w:rPr>
          <w:rFonts w:cs="Times New Roman"/>
          <w:szCs w:val="24"/>
        </w:rPr>
        <w:t xml:space="preserve"> </w:t>
      </w:r>
      <w:r w:rsidRPr="007E2C64">
        <w:rPr>
          <w:rFonts w:cs="Times New Roman"/>
          <w:szCs w:val="24"/>
        </w:rPr>
        <w:t>gadam.</w:t>
      </w:r>
    </w:p>
    <w:p w:rsidR="00BF4753" w:rsidRPr="007E2C64" w:rsidRDefault="00BF4753" w:rsidP="00BF4753">
      <w:pPr>
        <w:ind w:firstLine="567"/>
        <w:rPr>
          <w:rFonts w:cs="Times New Roman"/>
          <w:szCs w:val="24"/>
        </w:rPr>
      </w:pPr>
      <w:r w:rsidRPr="007E2C64">
        <w:rPr>
          <w:rFonts w:cs="Times New Roman"/>
          <w:szCs w:val="24"/>
        </w:rPr>
        <w:t>Mēneša vidējās darba samaksas pieaugums 2021.</w:t>
      </w:r>
      <w:r>
        <w:rPr>
          <w:rFonts w:cs="Times New Roman"/>
          <w:szCs w:val="24"/>
        </w:rPr>
        <w:t xml:space="preserve"> </w:t>
      </w:r>
      <w:r w:rsidRPr="007E2C64">
        <w:rPr>
          <w:rFonts w:cs="Times New Roman"/>
          <w:szCs w:val="24"/>
        </w:rPr>
        <w:t>gadā prognozēts 4,0% līmenī, 2022.</w:t>
      </w:r>
      <w:r>
        <w:rPr>
          <w:rFonts w:cs="Times New Roman"/>
          <w:szCs w:val="24"/>
        </w:rPr>
        <w:t xml:space="preserve"> </w:t>
      </w:r>
      <w:r w:rsidRPr="007E2C64">
        <w:rPr>
          <w:rFonts w:cs="Times New Roman"/>
          <w:szCs w:val="24"/>
        </w:rPr>
        <w:t>gadā tam paātrinoties līdz 5,0% un šādā produktivitātes pieaugumam tuvā līmenī stabilizējoties visā laika posmā līdz 2024.</w:t>
      </w:r>
      <w:r>
        <w:rPr>
          <w:rFonts w:cs="Times New Roman"/>
          <w:szCs w:val="24"/>
        </w:rPr>
        <w:t xml:space="preserve"> </w:t>
      </w:r>
      <w:r w:rsidRPr="007E2C64">
        <w:rPr>
          <w:rFonts w:cs="Times New Roman"/>
          <w:szCs w:val="24"/>
        </w:rPr>
        <w:t>gadam. Bezdarba līmenis, pēc visai mērenā pieauguma 2020.</w:t>
      </w:r>
      <w:r>
        <w:rPr>
          <w:rFonts w:cs="Times New Roman"/>
          <w:szCs w:val="24"/>
        </w:rPr>
        <w:t xml:space="preserve"> </w:t>
      </w:r>
      <w:r w:rsidRPr="007E2C64">
        <w:rPr>
          <w:rFonts w:cs="Times New Roman"/>
          <w:szCs w:val="24"/>
        </w:rPr>
        <w:t>gadā, šogad vēl nedaudz paaugstināsies līdz 8,3%, ekonomikas krīzei darba tirgū atspoguļojoties ar nelielu nobīdi. Savukārt 2022.</w:t>
      </w:r>
      <w:r>
        <w:rPr>
          <w:rFonts w:cs="Times New Roman"/>
          <w:szCs w:val="24"/>
        </w:rPr>
        <w:t xml:space="preserve"> </w:t>
      </w:r>
      <w:r w:rsidRPr="007E2C64">
        <w:rPr>
          <w:rFonts w:cs="Times New Roman"/>
          <w:szCs w:val="24"/>
        </w:rPr>
        <w:t>gadā, augot nodarbināto iedzīvotāju skaitam, bezdarbs atkal samazināsies līdz 7,1% no ekonomiski aktīvajiem iedzīvotājiem.</w:t>
      </w:r>
    </w:p>
    <w:p w:rsidR="00BF4753" w:rsidRPr="001C736B" w:rsidRDefault="00BF4753" w:rsidP="00BF4753">
      <w:pPr>
        <w:ind w:firstLine="567"/>
        <w:rPr>
          <w:rFonts w:cs="Times New Roman"/>
          <w:szCs w:val="24"/>
        </w:rPr>
      </w:pPr>
      <w:r w:rsidRPr="007E2C64">
        <w:rPr>
          <w:rFonts w:cs="Times New Roman"/>
          <w:szCs w:val="24"/>
        </w:rPr>
        <w:t xml:space="preserve">Nozīmīga loma pandēmijas seku pārvarēšanā būs </w:t>
      </w:r>
      <w:r>
        <w:rPr>
          <w:rFonts w:cs="Times New Roman"/>
          <w:szCs w:val="24"/>
        </w:rPr>
        <w:t>Eiropas</w:t>
      </w:r>
      <w:r w:rsidRPr="007E2C64">
        <w:rPr>
          <w:rFonts w:cs="Times New Roman"/>
          <w:szCs w:val="24"/>
        </w:rPr>
        <w:t xml:space="preserve"> Atveseļošanās un noturības mehānisma īstenošanai, kas ne tikai kāpinās ekonomikas izaugsmi, bet arī stiprinās potenciālā </w:t>
      </w:r>
      <w:r>
        <w:rPr>
          <w:rFonts w:cs="Times New Roman"/>
          <w:szCs w:val="24"/>
        </w:rPr>
        <w:t>iekšzemes kopprodukta</w:t>
      </w:r>
      <w:r w:rsidRPr="007E2C64">
        <w:rPr>
          <w:rFonts w:cs="Times New Roman"/>
          <w:szCs w:val="24"/>
        </w:rPr>
        <w:t xml:space="preserve"> izaugsmi. Īstermiņā ietekme izpaudīsies kā investīciju veidošanās, bet ilgākā laika posmā kā lielāks uzkrātais kapitāls, zemāks nodarbinātības kritums, kā arī augstāka kopējā ražošanas faktoru produktivitāte. Vidējā termiņā nodarbinātība Latvijā samazināsies, pat neskatoties uz</w:t>
      </w:r>
      <w:r>
        <w:rPr>
          <w:rFonts w:cs="Times New Roman"/>
          <w:szCs w:val="24"/>
        </w:rPr>
        <w:t xml:space="preserve"> Eiropas Savienības</w:t>
      </w:r>
      <w:r w:rsidRPr="007E2C64">
        <w:rPr>
          <w:rFonts w:cs="Times New Roman"/>
          <w:szCs w:val="24"/>
        </w:rPr>
        <w:t xml:space="preserve"> investīcijām, ko nosaka Latvijas demogrāfiskā struktūra un migrācija. Tomēr </w:t>
      </w:r>
      <w:r>
        <w:rPr>
          <w:rFonts w:cs="Times New Roman"/>
          <w:szCs w:val="24"/>
        </w:rPr>
        <w:t xml:space="preserve">Eiropas </w:t>
      </w:r>
      <w:r w:rsidRPr="007E2C64">
        <w:rPr>
          <w:rFonts w:cs="Times New Roman"/>
          <w:szCs w:val="24"/>
        </w:rPr>
        <w:t>Atveseļošanās un noturības mehānisma līdzekļi un realizētie projekti palīdzes bremzēt nodarbinātības samazinājumu ar jaunradītu darbavietu un, iespējams, emigrācijas samazinājuma palīdzību.</w:t>
      </w:r>
      <w:r>
        <w:rPr>
          <w:rFonts w:cs="Times New Roman"/>
          <w:szCs w:val="24"/>
        </w:rPr>
        <w:t xml:space="preserve"> </w:t>
      </w:r>
      <w:r w:rsidRPr="007E2C64">
        <w:rPr>
          <w:rFonts w:cs="Times New Roman"/>
          <w:szCs w:val="24"/>
        </w:rPr>
        <w:t xml:space="preserve">Tādējādi mehānisma kumulatīvā ietekme uz </w:t>
      </w:r>
      <w:r>
        <w:rPr>
          <w:rFonts w:cs="Times New Roman"/>
          <w:szCs w:val="24"/>
        </w:rPr>
        <w:t>iekšzemes kopprodukta</w:t>
      </w:r>
      <w:r w:rsidRPr="007E2C64">
        <w:rPr>
          <w:rFonts w:cs="Times New Roman"/>
          <w:szCs w:val="24"/>
        </w:rPr>
        <w:t xml:space="preserve"> pieaugumu līdz 2029.</w:t>
      </w:r>
      <w:r>
        <w:rPr>
          <w:rFonts w:cs="Times New Roman"/>
          <w:szCs w:val="24"/>
        </w:rPr>
        <w:t xml:space="preserve"> </w:t>
      </w:r>
      <w:r w:rsidRPr="007E2C64">
        <w:rPr>
          <w:rFonts w:cs="Times New Roman"/>
          <w:szCs w:val="24"/>
        </w:rPr>
        <w:t xml:space="preserve">gadam tiek vērtēta 1,3-1,5 procentpunktu apmērā, bet kumulatīvā ietekme uz nodarbinātību </w:t>
      </w:r>
      <w:r>
        <w:rPr>
          <w:rFonts w:cs="Times New Roman"/>
          <w:szCs w:val="24"/>
        </w:rPr>
        <w:t>0,63-0,77 procentpunktu apmērā.</w:t>
      </w:r>
    </w:p>
    <w:p w:rsidR="00BF4753" w:rsidRPr="001C736B" w:rsidRDefault="00BF4753" w:rsidP="00BF4753">
      <w:pPr>
        <w:pStyle w:val="H4"/>
        <w:ind w:left="0" w:firstLine="720"/>
        <w:jc w:val="both"/>
        <w:rPr>
          <w:rFonts w:ascii="Times New Roman" w:hAnsi="Times New Roman"/>
          <w:i/>
          <w:szCs w:val="24"/>
        </w:rPr>
      </w:pPr>
      <w:r w:rsidRPr="001C736B">
        <w:rPr>
          <w:rFonts w:ascii="Times New Roman" w:hAnsi="Times New Roman"/>
          <w:i/>
          <w:szCs w:val="24"/>
        </w:rPr>
        <w:t>Ekonomikas cikliskā attīstība</w:t>
      </w:r>
    </w:p>
    <w:p w:rsidR="00BF4753" w:rsidRPr="001C736B" w:rsidRDefault="00BF4753" w:rsidP="00BF4753">
      <w:pPr>
        <w:ind w:firstLine="567"/>
        <w:rPr>
          <w:rFonts w:cs="Times New Roman"/>
          <w:szCs w:val="24"/>
        </w:rPr>
      </w:pPr>
      <w:r w:rsidRPr="001C736B">
        <w:rPr>
          <w:rFonts w:cs="Times New Roman"/>
          <w:szCs w:val="24"/>
        </w:rPr>
        <w:t>Latvijas ekonomika kopš 2015. gadā vidēji auga par 3,1% gadā, ko nodrošināja augošais ārējais pieprasījums un investīciju plūsmas, sevišķi 2017. un 2018.</w:t>
      </w:r>
      <w:r>
        <w:rPr>
          <w:rFonts w:cs="Times New Roman"/>
          <w:szCs w:val="24"/>
        </w:rPr>
        <w:t xml:space="preserve"> gadā, saistībā ar jauno Eiropas Savienības</w:t>
      </w:r>
      <w:r w:rsidRPr="001C736B">
        <w:rPr>
          <w:rFonts w:cs="Times New Roman"/>
          <w:szCs w:val="24"/>
        </w:rPr>
        <w:t xml:space="preserve"> fondu ciklu. Savukārt jau 2019.</w:t>
      </w:r>
      <w:r>
        <w:rPr>
          <w:rFonts w:cs="Times New Roman"/>
          <w:szCs w:val="24"/>
        </w:rPr>
        <w:t xml:space="preserve"> </w:t>
      </w:r>
      <w:r w:rsidRPr="001C736B">
        <w:rPr>
          <w:rFonts w:cs="Times New Roman"/>
          <w:szCs w:val="24"/>
        </w:rPr>
        <w:t>gadā iezīmējās ekonomikas cikliskā bremzēšanās, jo investīciju pieauguma tempi mazinājās no 11,6% vidēji 2017.</w:t>
      </w:r>
      <w:r w:rsidRPr="001C736B">
        <w:rPr>
          <w:rFonts w:cs="Times New Roman"/>
          <w:szCs w:val="24"/>
        </w:rPr>
        <w:noBreakHyphen/>
        <w:t>2018.</w:t>
      </w:r>
      <w:r>
        <w:rPr>
          <w:rFonts w:cs="Times New Roman"/>
          <w:szCs w:val="24"/>
        </w:rPr>
        <w:t xml:space="preserve"> </w:t>
      </w:r>
      <w:r w:rsidRPr="001C736B">
        <w:rPr>
          <w:rFonts w:cs="Times New Roman"/>
          <w:szCs w:val="24"/>
        </w:rPr>
        <w:t>gadā līdz 2% 2019.</w:t>
      </w:r>
      <w:r>
        <w:rPr>
          <w:rFonts w:cs="Times New Roman"/>
          <w:szCs w:val="24"/>
        </w:rPr>
        <w:t xml:space="preserve"> </w:t>
      </w:r>
      <w:r w:rsidRPr="001C736B">
        <w:rPr>
          <w:rFonts w:cs="Times New Roman"/>
          <w:szCs w:val="24"/>
        </w:rPr>
        <w:t xml:space="preserve">gadā. Rezultātā </w:t>
      </w:r>
      <w:r>
        <w:rPr>
          <w:rFonts w:cs="Times New Roman"/>
          <w:szCs w:val="24"/>
        </w:rPr>
        <w:t>iekšzemes kopprodukta</w:t>
      </w:r>
      <w:r w:rsidRPr="001C736B">
        <w:rPr>
          <w:rFonts w:cs="Times New Roman"/>
          <w:szCs w:val="24"/>
        </w:rPr>
        <w:t xml:space="preserve"> izaugsme 2019.</w:t>
      </w:r>
      <w:r>
        <w:rPr>
          <w:rFonts w:cs="Times New Roman"/>
          <w:szCs w:val="24"/>
        </w:rPr>
        <w:t xml:space="preserve"> </w:t>
      </w:r>
      <w:r w:rsidRPr="001C736B">
        <w:rPr>
          <w:rFonts w:cs="Times New Roman"/>
          <w:szCs w:val="24"/>
        </w:rPr>
        <w:t>gadā sabremzējās līdz 2%. Turklāt 2020.</w:t>
      </w:r>
      <w:r>
        <w:rPr>
          <w:rFonts w:cs="Times New Roman"/>
          <w:szCs w:val="24"/>
        </w:rPr>
        <w:t xml:space="preserve"> </w:t>
      </w:r>
      <w:r w:rsidRPr="001C736B">
        <w:rPr>
          <w:rFonts w:cs="Times New Roman"/>
          <w:szCs w:val="24"/>
        </w:rPr>
        <w:t xml:space="preserve">gadā ekonomiskā cikla bremzēšanos pastiprināja Covid-19 pandēmija, traucējot attīstīties visām ekonomikas nozarēm un dažās, ar tūrismu saistītajās nozarēs atstājot ilgstošas sekas uz potenciālā </w:t>
      </w:r>
      <w:r>
        <w:rPr>
          <w:rFonts w:cs="Times New Roman"/>
          <w:szCs w:val="24"/>
        </w:rPr>
        <w:t>iekšzemes kopprodukta</w:t>
      </w:r>
      <w:r w:rsidRPr="001C736B">
        <w:rPr>
          <w:rFonts w:cs="Times New Roman"/>
          <w:szCs w:val="24"/>
        </w:rPr>
        <w:t xml:space="preserve"> līmeni. Rezultātā izlaižu starpība, kas kopš 2015.</w:t>
      </w:r>
      <w:r>
        <w:rPr>
          <w:rFonts w:cs="Times New Roman"/>
          <w:szCs w:val="24"/>
        </w:rPr>
        <w:t xml:space="preserve"> </w:t>
      </w:r>
      <w:r w:rsidRPr="001C736B">
        <w:rPr>
          <w:rFonts w:cs="Times New Roman"/>
          <w:szCs w:val="24"/>
        </w:rPr>
        <w:t>gada bija pozitīva, jau 2020.</w:t>
      </w:r>
      <w:r>
        <w:rPr>
          <w:rFonts w:cs="Times New Roman"/>
          <w:szCs w:val="24"/>
        </w:rPr>
        <w:t xml:space="preserve"> </w:t>
      </w:r>
      <w:r w:rsidRPr="001C736B">
        <w:rPr>
          <w:rFonts w:cs="Times New Roman"/>
          <w:szCs w:val="24"/>
        </w:rPr>
        <w:t>gadā kļuva negatīva un pamazām izzudīs triju gadu laikā.</w:t>
      </w:r>
    </w:p>
    <w:p w:rsidR="00BF4753" w:rsidRPr="00BD2805" w:rsidRDefault="00BF4753" w:rsidP="00BF4753">
      <w:pPr>
        <w:ind w:firstLine="567"/>
        <w:rPr>
          <w:rFonts w:cs="Times New Roman"/>
          <w:sz w:val="24"/>
          <w:szCs w:val="24"/>
        </w:rPr>
      </w:pPr>
      <w:r w:rsidRPr="00BD2805">
        <w:rPr>
          <w:noProof/>
          <w:lang w:eastAsia="lv-LV"/>
        </w:rPr>
        <w:lastRenderedPageBreak/>
        <w:drawing>
          <wp:inline distT="0" distB="0" distL="0" distR="0" wp14:anchorId="4AFD1FD9" wp14:editId="6BBBADE2">
            <wp:extent cx="5245735"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F4753" w:rsidRPr="001C736B" w:rsidRDefault="00BF4753" w:rsidP="00BF4753">
      <w:pPr>
        <w:ind w:firstLine="0"/>
        <w:jc w:val="center"/>
        <w:rPr>
          <w:rFonts w:cs="Times New Roman"/>
          <w:b/>
          <w:i/>
          <w:sz w:val="24"/>
          <w:szCs w:val="24"/>
        </w:rPr>
      </w:pPr>
      <w:r w:rsidRPr="001C736B">
        <w:rPr>
          <w:rFonts w:cs="Times New Roman"/>
          <w:b/>
          <w:i/>
          <w:sz w:val="24"/>
          <w:szCs w:val="24"/>
        </w:rPr>
        <w:t>2.6</w:t>
      </w:r>
      <w:r>
        <w:rPr>
          <w:rFonts w:cs="Times New Roman"/>
          <w:b/>
          <w:i/>
          <w:sz w:val="24"/>
          <w:szCs w:val="24"/>
        </w:rPr>
        <w:t>. att</w:t>
      </w:r>
      <w:r w:rsidRPr="001C736B">
        <w:rPr>
          <w:rFonts w:cs="Times New Roman"/>
          <w:b/>
          <w:i/>
          <w:sz w:val="24"/>
          <w:szCs w:val="24"/>
        </w:rPr>
        <w:t>. Izlaižu starpība, %</w:t>
      </w:r>
    </w:p>
    <w:p w:rsidR="00BF4753" w:rsidRPr="00BD2805" w:rsidRDefault="00BF4753" w:rsidP="00BF4753">
      <w:pPr>
        <w:ind w:firstLine="567"/>
        <w:rPr>
          <w:rFonts w:cs="Times New Roman"/>
          <w:sz w:val="24"/>
          <w:szCs w:val="24"/>
        </w:rPr>
      </w:pPr>
    </w:p>
    <w:p w:rsidR="00BF4753" w:rsidRPr="001C736B" w:rsidRDefault="00BF4753" w:rsidP="00BF4753">
      <w:pPr>
        <w:ind w:firstLine="567"/>
        <w:rPr>
          <w:rFonts w:cs="Times New Roman"/>
          <w:szCs w:val="24"/>
        </w:rPr>
      </w:pPr>
      <w:r w:rsidRPr="001C736B">
        <w:rPr>
          <w:rFonts w:cs="Times New Roman"/>
          <w:szCs w:val="24"/>
        </w:rPr>
        <w:t>Līdzīgs vidēja termiņa izlaižu starpības novērtējums ir arī Eiropas Komisijas 2020.</w:t>
      </w:r>
      <w:r>
        <w:rPr>
          <w:rFonts w:cs="Times New Roman"/>
          <w:szCs w:val="24"/>
        </w:rPr>
        <w:t xml:space="preserve"> </w:t>
      </w:r>
      <w:r w:rsidRPr="001C736B">
        <w:rPr>
          <w:rFonts w:cs="Times New Roman"/>
          <w:szCs w:val="24"/>
        </w:rPr>
        <w:t xml:space="preserve">gada rudens prognozēs. Pēdējo 10 gadu laikā Finanšu ministrijas novērtējums ir mazāk svārstīgs, jo tādi cikliskie rādītāji, kā piemēram, zema inflācija, tekošā un kapitāla konta bilances pārpalikums, kā arī neto parāda samazinājums attiecībā pret </w:t>
      </w:r>
      <w:r>
        <w:rPr>
          <w:rFonts w:cs="Times New Roman"/>
          <w:szCs w:val="24"/>
        </w:rPr>
        <w:t>iekšzemes kopproduktu</w:t>
      </w:r>
      <w:r w:rsidRPr="001C736B">
        <w:rPr>
          <w:rFonts w:cs="Times New Roman"/>
          <w:szCs w:val="24"/>
        </w:rPr>
        <w:t xml:space="preserve"> un izsniegto kredītu apjoma samazinājums, norāda, ka šajā laikā ekonomikā nevar būt izveidojusies liela pozitīva izlaižu starpība. To arī apstiprina Eiropas Komisijas izstrādātā alternatīvā izlaižu starpības “ticamības rīka”  aprēķini. Taču kopumā, sākot no 2020.</w:t>
      </w:r>
      <w:r>
        <w:rPr>
          <w:rFonts w:cs="Times New Roman"/>
          <w:szCs w:val="24"/>
        </w:rPr>
        <w:t xml:space="preserve"> </w:t>
      </w:r>
      <w:r w:rsidRPr="001C736B">
        <w:rPr>
          <w:rFonts w:cs="Times New Roman"/>
          <w:szCs w:val="24"/>
        </w:rPr>
        <w:t>gada Finanšu ministrijas un Eiropas Komisijas prognozes par izlaižu starpības lielumu ir līdzīgas.</w:t>
      </w:r>
    </w:p>
    <w:p w:rsidR="00BF4753" w:rsidRPr="001C736B" w:rsidRDefault="00BF4753" w:rsidP="00BF4753">
      <w:pPr>
        <w:ind w:firstLine="567"/>
        <w:rPr>
          <w:rFonts w:cs="Times New Roman"/>
          <w:szCs w:val="24"/>
        </w:rPr>
      </w:pPr>
      <w:r w:rsidRPr="001C736B">
        <w:rPr>
          <w:rFonts w:cs="Times New Roman"/>
          <w:szCs w:val="24"/>
        </w:rPr>
        <w:t>Vēsturiskā atšķirība veidojās no atšķirīgiem pieņēmumiem par reālās algas ietekmi uz darba tirgu, kur tās novērtējumu nozīmīgi ietekmē ēnu ekonomika, līdz ar to algu statistika pilnībā neatspoguļo situāciju darba tirgū. Turpretim prognozēs netiek pieņemts, ka reālās algas pieaugums vidējā termiņā pārsniegs darbaspēka produktivitātes pieaugumu, kas varētu norādīt uz pozitīvu izlaižu starpību. Tāpēc Finanšu ministrijas un Eiropas Komisijas izlaižu starpības novērtējumi izlīdzinās.</w:t>
      </w:r>
    </w:p>
    <w:p w:rsidR="00BF4753" w:rsidRPr="001C736B" w:rsidRDefault="00BF4753" w:rsidP="00BF4753">
      <w:pPr>
        <w:ind w:firstLine="567"/>
        <w:rPr>
          <w:rFonts w:cs="Times New Roman"/>
          <w:szCs w:val="24"/>
        </w:rPr>
      </w:pPr>
      <w:r w:rsidRPr="001C736B">
        <w:rPr>
          <w:rFonts w:cs="Times New Roman"/>
          <w:szCs w:val="24"/>
        </w:rPr>
        <w:t>IKP potenciālo izaugsmi prognožu periodā pamatā noteiks kopējais produktivitātes pieaugums, kuras devums no zemā līmeņa 2020.</w:t>
      </w:r>
      <w:r>
        <w:rPr>
          <w:rFonts w:cs="Times New Roman"/>
          <w:szCs w:val="24"/>
        </w:rPr>
        <w:t xml:space="preserve"> </w:t>
      </w:r>
      <w:r w:rsidRPr="001C736B">
        <w:rPr>
          <w:rFonts w:cs="Times New Roman"/>
          <w:szCs w:val="24"/>
        </w:rPr>
        <w:t>gadā pēcpandēmijas periodā pieaugs līdz 2,2 procentpunktiem, kas ir tikai nedaudz lielāks nekā 2018.- 2019.</w:t>
      </w:r>
      <w:r>
        <w:rPr>
          <w:rFonts w:cs="Times New Roman"/>
          <w:szCs w:val="24"/>
        </w:rPr>
        <w:t xml:space="preserve"> </w:t>
      </w:r>
      <w:r w:rsidRPr="001C736B">
        <w:rPr>
          <w:rFonts w:cs="Times New Roman"/>
          <w:szCs w:val="24"/>
        </w:rPr>
        <w:t xml:space="preserve">gadā un raksturo ekonomikas atkopšanās posmu. Pārējo potenciālā </w:t>
      </w:r>
      <w:r>
        <w:rPr>
          <w:rFonts w:cs="Times New Roman"/>
          <w:szCs w:val="24"/>
        </w:rPr>
        <w:t>iekšzemes kopprodukta</w:t>
      </w:r>
      <w:r w:rsidRPr="001C736B">
        <w:rPr>
          <w:rFonts w:cs="Times New Roman"/>
          <w:szCs w:val="24"/>
        </w:rPr>
        <w:t xml:space="preserve"> pieaugumu nodrošinās ka</w:t>
      </w:r>
      <w:r>
        <w:rPr>
          <w:rFonts w:cs="Times New Roman"/>
          <w:szCs w:val="24"/>
        </w:rPr>
        <w:t>pitāla devums, kas ir aptuveni viens</w:t>
      </w:r>
      <w:r w:rsidRPr="001C736B">
        <w:rPr>
          <w:rFonts w:cs="Times New Roman"/>
          <w:szCs w:val="24"/>
        </w:rPr>
        <w:t xml:space="preserve"> procentpunkts, kamēr darbaspēka devums kļūs negatīvs demogrāfiskās situācijas dēļ. Saskaņā ar Finanšu ministrijas aprēķiniem potenciālā </w:t>
      </w:r>
      <w:r>
        <w:rPr>
          <w:rFonts w:cs="Times New Roman"/>
          <w:szCs w:val="24"/>
        </w:rPr>
        <w:t>iekšzemes kopprodukta</w:t>
      </w:r>
      <w:r w:rsidRPr="001C736B">
        <w:rPr>
          <w:rFonts w:cs="Times New Roman"/>
          <w:szCs w:val="24"/>
        </w:rPr>
        <w:t xml:space="preserve"> izaugsme vidējā termiņā būs 2,4 – 2,8% apmērā.</w:t>
      </w:r>
    </w:p>
    <w:p w:rsidR="00BF4753" w:rsidRPr="00BD2805" w:rsidRDefault="00BF4753" w:rsidP="00BF4753">
      <w:pPr>
        <w:rPr>
          <w:rFonts w:cs="Times New Roman"/>
          <w:sz w:val="24"/>
          <w:szCs w:val="24"/>
        </w:rPr>
      </w:pPr>
      <w:r w:rsidRPr="00BD2805">
        <w:rPr>
          <w:noProof/>
          <w:lang w:eastAsia="lv-LV"/>
        </w:rPr>
        <w:lastRenderedPageBreak/>
        <w:drawing>
          <wp:inline distT="0" distB="0" distL="0" distR="0" wp14:anchorId="1A0AA014" wp14:editId="24ABE52D">
            <wp:extent cx="5220335"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F4753" w:rsidRPr="001C736B" w:rsidRDefault="00BF4753" w:rsidP="00BF4753">
      <w:pPr>
        <w:ind w:firstLine="0"/>
        <w:jc w:val="center"/>
        <w:rPr>
          <w:rFonts w:cs="Times New Roman"/>
          <w:b/>
          <w:i/>
          <w:sz w:val="24"/>
          <w:szCs w:val="24"/>
        </w:rPr>
      </w:pPr>
      <w:r w:rsidRPr="001C736B">
        <w:rPr>
          <w:rFonts w:cs="Times New Roman"/>
          <w:b/>
          <w:i/>
          <w:sz w:val="24"/>
          <w:szCs w:val="24"/>
        </w:rPr>
        <w:t>2.7</w:t>
      </w:r>
      <w:r>
        <w:rPr>
          <w:rFonts w:cs="Times New Roman"/>
          <w:b/>
          <w:i/>
          <w:sz w:val="24"/>
          <w:szCs w:val="24"/>
        </w:rPr>
        <w:t>. att</w:t>
      </w:r>
      <w:r w:rsidRPr="001C736B">
        <w:rPr>
          <w:rFonts w:cs="Times New Roman"/>
          <w:b/>
          <w:i/>
          <w:sz w:val="24"/>
          <w:szCs w:val="24"/>
        </w:rPr>
        <w:t>. Potenciālā iekšzemes kopprodukta izaugsme un komponenšu devums, %</w:t>
      </w:r>
    </w:p>
    <w:p w:rsidR="00BF4753" w:rsidRDefault="00BF4753" w:rsidP="00BF4753">
      <w:pPr>
        <w:rPr>
          <w:highlight w:val="yellow"/>
          <w:lang w:eastAsia="lv-LV"/>
        </w:rPr>
      </w:pPr>
    </w:p>
    <w:p w:rsidR="00BF4753" w:rsidRDefault="00BF4753" w:rsidP="00BF4753">
      <w:pPr>
        <w:rPr>
          <w:highlight w:val="yellow"/>
          <w:lang w:eastAsia="lv-LV"/>
        </w:rPr>
      </w:pPr>
    </w:p>
    <w:p w:rsidR="00BF4753" w:rsidRDefault="00BF4753" w:rsidP="00BF4753">
      <w:pPr>
        <w:rPr>
          <w:highlight w:val="yellow"/>
          <w:lang w:eastAsia="lv-LV"/>
        </w:rPr>
      </w:pPr>
    </w:p>
    <w:p w:rsidR="00BF4753" w:rsidRDefault="00BF4753" w:rsidP="00BF4753">
      <w:pPr>
        <w:rPr>
          <w:highlight w:val="yellow"/>
          <w:lang w:eastAsia="lv-LV"/>
        </w:rPr>
      </w:pPr>
    </w:p>
    <w:p w:rsidR="00BF4753" w:rsidRDefault="00BF4753" w:rsidP="00BF4753">
      <w:pPr>
        <w:rPr>
          <w:highlight w:val="yellow"/>
          <w:lang w:eastAsia="lv-LV"/>
        </w:rPr>
      </w:pPr>
    </w:p>
    <w:p w:rsidR="00BF4753" w:rsidRDefault="00BF4753" w:rsidP="00BF4753">
      <w:pPr>
        <w:rPr>
          <w:highlight w:val="yellow"/>
          <w:lang w:eastAsia="lv-LV"/>
        </w:rPr>
      </w:pPr>
    </w:p>
    <w:p w:rsidR="00BF4753" w:rsidRDefault="00BF4753" w:rsidP="00BF4753">
      <w:pPr>
        <w:rPr>
          <w:highlight w:val="yellow"/>
          <w:lang w:eastAsia="lv-LV"/>
        </w:rPr>
      </w:pPr>
    </w:p>
    <w:p w:rsidR="00BF4753" w:rsidRDefault="00BF4753" w:rsidP="00BF4753">
      <w:pPr>
        <w:rPr>
          <w:highlight w:val="yellow"/>
          <w:lang w:eastAsia="lv-LV"/>
        </w:rPr>
      </w:pPr>
    </w:p>
    <w:p w:rsidR="00437D0F" w:rsidRDefault="00437D0F" w:rsidP="00BF4753">
      <w:pPr>
        <w:rPr>
          <w:highlight w:val="yellow"/>
          <w:lang w:eastAsia="lv-LV"/>
        </w:rPr>
      </w:pPr>
    </w:p>
    <w:p w:rsidR="00437D0F" w:rsidRDefault="00437D0F" w:rsidP="00BF4753">
      <w:pPr>
        <w:rPr>
          <w:highlight w:val="yellow"/>
          <w:lang w:eastAsia="lv-LV"/>
        </w:rPr>
      </w:pPr>
    </w:p>
    <w:p w:rsidR="00437D0F" w:rsidRDefault="00437D0F" w:rsidP="00BF4753">
      <w:pPr>
        <w:rPr>
          <w:highlight w:val="yellow"/>
          <w:lang w:eastAsia="lv-LV"/>
        </w:rPr>
      </w:pPr>
    </w:p>
    <w:p w:rsidR="00437D0F" w:rsidRDefault="00437D0F" w:rsidP="00BF4753">
      <w:pPr>
        <w:rPr>
          <w:highlight w:val="yellow"/>
          <w:lang w:eastAsia="lv-LV"/>
        </w:rPr>
      </w:pPr>
    </w:p>
    <w:p w:rsidR="00437D0F" w:rsidRDefault="00437D0F" w:rsidP="00BF4753">
      <w:pPr>
        <w:rPr>
          <w:highlight w:val="yellow"/>
          <w:lang w:eastAsia="lv-LV"/>
        </w:rPr>
      </w:pPr>
    </w:p>
    <w:p w:rsidR="00437D0F" w:rsidRDefault="00437D0F" w:rsidP="00BF4753">
      <w:pPr>
        <w:rPr>
          <w:highlight w:val="yellow"/>
          <w:lang w:eastAsia="lv-LV"/>
        </w:rPr>
      </w:pPr>
    </w:p>
    <w:p w:rsidR="00437D0F" w:rsidRDefault="00437D0F" w:rsidP="00BF4753">
      <w:pPr>
        <w:rPr>
          <w:highlight w:val="yellow"/>
          <w:lang w:eastAsia="lv-LV"/>
        </w:rPr>
      </w:pPr>
    </w:p>
    <w:p w:rsidR="00437D0F" w:rsidRDefault="00437D0F" w:rsidP="00BF4753">
      <w:pPr>
        <w:rPr>
          <w:highlight w:val="yellow"/>
          <w:lang w:eastAsia="lv-LV"/>
        </w:rPr>
      </w:pPr>
    </w:p>
    <w:p w:rsidR="00437D0F" w:rsidRDefault="00437D0F" w:rsidP="00BF4753">
      <w:pPr>
        <w:rPr>
          <w:highlight w:val="yellow"/>
          <w:lang w:eastAsia="lv-LV"/>
        </w:rPr>
      </w:pPr>
    </w:p>
    <w:p w:rsidR="00437D0F" w:rsidRDefault="00437D0F" w:rsidP="00BF4753">
      <w:pPr>
        <w:rPr>
          <w:highlight w:val="yellow"/>
          <w:lang w:eastAsia="lv-LV"/>
        </w:rPr>
      </w:pPr>
    </w:p>
    <w:p w:rsidR="00BF4753" w:rsidRPr="00AF3957" w:rsidRDefault="00BF4753" w:rsidP="00BF4753">
      <w:pPr>
        <w:rPr>
          <w:highlight w:val="yellow"/>
          <w:lang w:eastAsia="lv-LV"/>
        </w:rPr>
      </w:pPr>
    </w:p>
    <w:p w:rsidR="00BF4753" w:rsidRPr="00B0388A" w:rsidRDefault="00BF4753" w:rsidP="00BF4753">
      <w:pPr>
        <w:pStyle w:val="Heading1"/>
      </w:pPr>
      <w:bookmarkStart w:id="13" w:name="_Toc510790655"/>
      <w:bookmarkStart w:id="14" w:name="_Toc5627365"/>
      <w:bookmarkStart w:id="15" w:name="_Toc68334996"/>
      <w:r>
        <w:lastRenderedPageBreak/>
        <w:t xml:space="preserve">3. </w:t>
      </w:r>
      <w:r w:rsidRPr="00B0388A">
        <w:t>Vispārējās valdības budžeta bilance un parāds</w:t>
      </w:r>
      <w:bookmarkEnd w:id="13"/>
      <w:bookmarkEnd w:id="14"/>
      <w:bookmarkEnd w:id="15"/>
    </w:p>
    <w:p w:rsidR="00BF4753" w:rsidRDefault="00BF4753" w:rsidP="00BF4753">
      <w:pPr>
        <w:pStyle w:val="Heading2"/>
        <w:numPr>
          <w:ilvl w:val="0"/>
          <w:numId w:val="0"/>
        </w:numPr>
        <w:spacing w:before="240" w:after="240"/>
        <w:ind w:left="578"/>
        <w:rPr>
          <w:rFonts w:eastAsia="Times New Roman"/>
        </w:rPr>
      </w:pPr>
      <w:bookmarkStart w:id="16" w:name="_Toc68334997"/>
      <w:r w:rsidRPr="00EB0CA4">
        <w:rPr>
          <w:rFonts w:eastAsia="Times New Roman"/>
        </w:rPr>
        <w:t>3.1. Fiskālās politikas stratēģija un vidēja termiņa mērķi</w:t>
      </w:r>
      <w:bookmarkEnd w:id="16"/>
    </w:p>
    <w:p w:rsidR="00BF4753" w:rsidRPr="00EB0CA4" w:rsidRDefault="00BF4753" w:rsidP="00BF4753">
      <w:pPr>
        <w:ind w:firstLine="709"/>
        <w:rPr>
          <w:rFonts w:eastAsia="Calibri" w:cs="Times New Roman"/>
          <w:color w:val="000000"/>
          <w:szCs w:val="24"/>
        </w:rPr>
      </w:pPr>
      <w:r w:rsidRPr="00EB0CA4">
        <w:rPr>
          <w:rFonts w:eastAsia="Calibri" w:cs="Times New Roman"/>
          <w:color w:val="000000"/>
          <w:szCs w:val="24"/>
        </w:rPr>
        <w:t xml:space="preserve">Covid-19 pandēmija ir izraisījusi būtiskas izmaiņas līdz šim īstenotajā fiskālajā politikā, kas ir balstīta uz strukturālā deficīta mērķa -0,5% no </w:t>
      </w:r>
      <w:r>
        <w:rPr>
          <w:rFonts w:eastAsia="Calibri" w:cs="Times New Roman"/>
          <w:color w:val="000000"/>
          <w:szCs w:val="24"/>
        </w:rPr>
        <w:t>iekšzemes kopprodukta</w:t>
      </w:r>
      <w:r w:rsidRPr="00EB0CA4">
        <w:rPr>
          <w:rFonts w:eastAsia="Calibri" w:cs="Times New Roman"/>
          <w:color w:val="000000"/>
          <w:szCs w:val="24"/>
        </w:rPr>
        <w:t xml:space="preserve"> ievērošanu. </w:t>
      </w:r>
    </w:p>
    <w:p w:rsidR="00BF4753" w:rsidRPr="00EB0CA4" w:rsidRDefault="00BF4753" w:rsidP="00BF4753">
      <w:pPr>
        <w:ind w:firstLine="709"/>
        <w:rPr>
          <w:rFonts w:eastAsia="Calibri" w:cs="Times New Roman"/>
          <w:color w:val="000000"/>
          <w:szCs w:val="24"/>
        </w:rPr>
      </w:pPr>
      <w:r w:rsidRPr="00EB0CA4">
        <w:rPr>
          <w:rFonts w:eastAsia="Calibri" w:cs="Times New Roman"/>
          <w:color w:val="000000"/>
          <w:szCs w:val="24"/>
        </w:rPr>
        <w:t>2020.</w:t>
      </w:r>
      <w:r>
        <w:rPr>
          <w:rFonts w:eastAsia="Calibri" w:cs="Times New Roman"/>
          <w:color w:val="000000"/>
          <w:szCs w:val="24"/>
        </w:rPr>
        <w:t xml:space="preserve"> gadā Eiropas Savienībā</w:t>
      </w:r>
      <w:r w:rsidRPr="00EB0CA4">
        <w:rPr>
          <w:rFonts w:eastAsia="Calibri" w:cs="Times New Roman"/>
          <w:color w:val="000000"/>
          <w:szCs w:val="24"/>
        </w:rPr>
        <w:t xml:space="preserve"> </w:t>
      </w:r>
      <w:r>
        <w:rPr>
          <w:rFonts w:eastAsia="Calibri" w:cs="Times New Roman"/>
          <w:color w:val="000000"/>
          <w:szCs w:val="24"/>
        </w:rPr>
        <w:t>tika aktivizēta Stabilitātes un izaugsmes pakta</w:t>
      </w:r>
      <w:r w:rsidRPr="00EB0CA4">
        <w:rPr>
          <w:rFonts w:eastAsia="Calibri" w:cs="Times New Roman"/>
          <w:color w:val="000000"/>
          <w:szCs w:val="24"/>
        </w:rPr>
        <w:t xml:space="preserve"> vispār</w:t>
      </w:r>
      <w:r>
        <w:rPr>
          <w:rFonts w:eastAsia="Calibri" w:cs="Times New Roman"/>
          <w:color w:val="000000"/>
          <w:szCs w:val="24"/>
        </w:rPr>
        <w:t>ējā izņēmuma klauzula, ļaujot Eiropas Savienības</w:t>
      </w:r>
      <w:r w:rsidRPr="00EB0CA4">
        <w:rPr>
          <w:rFonts w:eastAsia="Calibri" w:cs="Times New Roman"/>
          <w:color w:val="000000"/>
          <w:szCs w:val="24"/>
        </w:rPr>
        <w:t xml:space="preserve"> valstīm palielināt vispārējās valdības budžeta deficītu 2020.</w:t>
      </w:r>
      <w:r>
        <w:rPr>
          <w:rFonts w:eastAsia="Calibri" w:cs="Times New Roman"/>
          <w:color w:val="000000"/>
          <w:szCs w:val="24"/>
        </w:rPr>
        <w:t xml:space="preserve"> </w:t>
      </w:r>
      <w:r w:rsidRPr="00EB0CA4">
        <w:rPr>
          <w:rFonts w:eastAsia="Calibri" w:cs="Times New Roman"/>
          <w:color w:val="000000"/>
          <w:szCs w:val="24"/>
        </w:rPr>
        <w:t xml:space="preserve">gadā </w:t>
      </w:r>
      <w:r>
        <w:rPr>
          <w:rFonts w:eastAsia="Calibri" w:cs="Times New Roman"/>
          <w:color w:val="000000"/>
          <w:szCs w:val="24"/>
        </w:rPr>
        <w:t>tādā apjomā</w:t>
      </w:r>
      <w:r w:rsidRPr="00EB0CA4">
        <w:rPr>
          <w:rFonts w:eastAsia="Calibri" w:cs="Times New Roman"/>
          <w:color w:val="000000"/>
          <w:szCs w:val="24"/>
        </w:rPr>
        <w:t>, cik ir nepieciešams Covid-19 pandēmijas izsauktā ekonomikas kaitējuma mazināšanai. 2021.</w:t>
      </w:r>
      <w:r>
        <w:rPr>
          <w:rFonts w:eastAsia="Calibri" w:cs="Times New Roman"/>
          <w:color w:val="000000"/>
          <w:szCs w:val="24"/>
        </w:rPr>
        <w:t xml:space="preserve"> </w:t>
      </w:r>
      <w:r w:rsidRPr="00EB0CA4">
        <w:rPr>
          <w:rFonts w:eastAsia="Calibri" w:cs="Times New Roman"/>
          <w:color w:val="000000"/>
          <w:szCs w:val="24"/>
        </w:rPr>
        <w:t>gada ilgtspējīgas izaugsmes stratēģijā</w:t>
      </w:r>
      <w:r>
        <w:rPr>
          <w:rFonts w:eastAsia="Calibri" w:cs="Times New Roman"/>
          <w:color w:val="000000"/>
          <w:szCs w:val="24"/>
        </w:rPr>
        <w:t xml:space="preserve"> Eiropas Komisija</w:t>
      </w:r>
      <w:r w:rsidRPr="00EB0CA4">
        <w:rPr>
          <w:rFonts w:eastAsia="Calibri" w:cs="Times New Roman"/>
          <w:color w:val="000000"/>
          <w:szCs w:val="24"/>
        </w:rPr>
        <w:t xml:space="preserve"> paziņoja, ka vispārējā izņēmuma klauzula paliks spēkā arī 2021.</w:t>
      </w:r>
      <w:r>
        <w:rPr>
          <w:rFonts w:eastAsia="Calibri" w:cs="Times New Roman"/>
          <w:color w:val="000000"/>
          <w:szCs w:val="24"/>
        </w:rPr>
        <w:t xml:space="preserve"> </w:t>
      </w:r>
      <w:r w:rsidRPr="00EB0CA4">
        <w:rPr>
          <w:rFonts w:eastAsia="Calibri" w:cs="Times New Roman"/>
          <w:color w:val="000000"/>
          <w:szCs w:val="24"/>
        </w:rPr>
        <w:t xml:space="preserve">gadā, </w:t>
      </w:r>
      <w:r>
        <w:rPr>
          <w:rFonts w:eastAsia="Calibri" w:cs="Times New Roman"/>
          <w:color w:val="000000"/>
          <w:szCs w:val="24"/>
        </w:rPr>
        <w:t xml:space="preserve">uzsverot, ka </w:t>
      </w:r>
      <w:r w:rsidRPr="00EB0CA4">
        <w:rPr>
          <w:rFonts w:eastAsia="Calibri" w:cs="Times New Roman"/>
          <w:color w:val="000000"/>
          <w:szCs w:val="24"/>
        </w:rPr>
        <w:t xml:space="preserve"> dalībvalstīm ir jāsniedz mērķtiecīgs un pagaidu fiskālais atbalsts to ekonomikām arī 2021.</w:t>
      </w:r>
      <w:r>
        <w:rPr>
          <w:rFonts w:eastAsia="Calibri" w:cs="Times New Roman"/>
          <w:color w:val="000000"/>
          <w:szCs w:val="24"/>
        </w:rPr>
        <w:t xml:space="preserve"> </w:t>
      </w:r>
      <w:r w:rsidRPr="00EB0CA4">
        <w:rPr>
          <w:rFonts w:eastAsia="Calibri" w:cs="Times New Roman"/>
          <w:color w:val="000000"/>
          <w:szCs w:val="24"/>
        </w:rPr>
        <w:t>gadā, vienlaikus nodrošinot fiskālo ilgtspēju vidējā termiņā. Savukārt 2021. gada 3. marta paziņojumā, kurā sniegtas vispārīgas norādes dalībvalstīm par fiskālās politikas</w:t>
      </w:r>
      <w:r>
        <w:rPr>
          <w:rFonts w:eastAsia="Calibri" w:cs="Times New Roman"/>
          <w:color w:val="000000"/>
          <w:szCs w:val="24"/>
        </w:rPr>
        <w:t xml:space="preserve"> īstenošanu nākamajā periodā, Eiropas Komisija</w:t>
      </w:r>
      <w:r w:rsidRPr="00EB0CA4">
        <w:rPr>
          <w:rFonts w:eastAsia="Calibri" w:cs="Times New Roman"/>
          <w:color w:val="000000"/>
          <w:szCs w:val="24"/>
        </w:rPr>
        <w:t xml:space="preserve"> norāda, ka</w:t>
      </w:r>
      <w:r>
        <w:rPr>
          <w:rFonts w:eastAsia="Calibri" w:cs="Times New Roman"/>
          <w:color w:val="000000"/>
          <w:szCs w:val="24"/>
        </w:rPr>
        <w:t xml:space="preserve"> saskaņā ar tā brīža prognozēm </w:t>
      </w:r>
      <w:r w:rsidRPr="00EB0CA4">
        <w:rPr>
          <w:rFonts w:eastAsia="Calibri" w:cs="Times New Roman"/>
          <w:color w:val="000000"/>
          <w:szCs w:val="24"/>
        </w:rPr>
        <w:t xml:space="preserve">vispārējā izņēmuma klauzulu </w:t>
      </w:r>
      <w:r>
        <w:rPr>
          <w:rFonts w:eastAsia="Calibri" w:cs="Times New Roman"/>
          <w:color w:val="000000"/>
          <w:szCs w:val="24"/>
        </w:rPr>
        <w:t>ir</w:t>
      </w:r>
      <w:r w:rsidRPr="00EB0CA4">
        <w:rPr>
          <w:rFonts w:eastAsia="Calibri" w:cs="Times New Roman"/>
          <w:color w:val="000000"/>
          <w:szCs w:val="24"/>
        </w:rPr>
        <w:t xml:space="preserve"> jāturpina piemērot arī 2022. gad</w:t>
      </w:r>
      <w:r>
        <w:rPr>
          <w:rFonts w:eastAsia="Calibri" w:cs="Times New Roman"/>
          <w:color w:val="000000"/>
          <w:szCs w:val="24"/>
        </w:rPr>
        <w:t>ā un ir jāatceļ sākot ar 2023. gadu. Eiropas Komisija</w:t>
      </w:r>
      <w:r w:rsidRPr="00EB0CA4">
        <w:rPr>
          <w:rFonts w:eastAsia="Calibri" w:cs="Times New Roman"/>
          <w:color w:val="000000"/>
          <w:szCs w:val="24"/>
        </w:rPr>
        <w:t xml:space="preserve"> </w:t>
      </w:r>
      <w:r>
        <w:rPr>
          <w:rFonts w:eastAsia="Calibri" w:cs="Times New Roman"/>
          <w:color w:val="000000"/>
          <w:szCs w:val="24"/>
        </w:rPr>
        <w:t>gala lēmumu pieņems</w:t>
      </w:r>
      <w:r w:rsidRPr="00EB0CA4">
        <w:rPr>
          <w:rFonts w:eastAsia="Calibri" w:cs="Times New Roman"/>
          <w:color w:val="000000"/>
          <w:szCs w:val="24"/>
        </w:rPr>
        <w:t xml:space="preserve"> pamatojoties uz 2021. gada pavasara p</w:t>
      </w:r>
      <w:r>
        <w:rPr>
          <w:rFonts w:eastAsia="Calibri" w:cs="Times New Roman"/>
          <w:color w:val="000000"/>
          <w:szCs w:val="24"/>
        </w:rPr>
        <w:t>rognozēm, šī gada</w:t>
      </w:r>
      <w:r w:rsidRPr="00EB0CA4">
        <w:rPr>
          <w:rFonts w:eastAsia="Calibri" w:cs="Times New Roman"/>
          <w:color w:val="000000"/>
          <w:szCs w:val="24"/>
        </w:rPr>
        <w:t xml:space="preserve"> maija pirmajā pusē.</w:t>
      </w:r>
    </w:p>
    <w:p w:rsidR="00BF4753" w:rsidRPr="00EB0CA4" w:rsidRDefault="00BF4753" w:rsidP="00BF4753">
      <w:pPr>
        <w:ind w:firstLine="709"/>
        <w:rPr>
          <w:rFonts w:eastAsia="Calibri" w:cs="Times New Roman"/>
          <w:color w:val="000000"/>
          <w:szCs w:val="24"/>
        </w:rPr>
      </w:pPr>
      <w:r>
        <w:rPr>
          <w:rFonts w:eastAsia="Calibri" w:cs="Times New Roman"/>
          <w:color w:val="000000"/>
          <w:szCs w:val="24"/>
        </w:rPr>
        <w:t>Līdz ar to Eiropas Savienības</w:t>
      </w:r>
      <w:r w:rsidRPr="00EB0CA4">
        <w:rPr>
          <w:rFonts w:eastAsia="Calibri" w:cs="Times New Roman"/>
          <w:color w:val="000000"/>
          <w:szCs w:val="24"/>
        </w:rPr>
        <w:t xml:space="preserve"> fiskālās politikas regulējums 2020.</w:t>
      </w:r>
      <w:r w:rsidR="00C9790F">
        <w:rPr>
          <w:rFonts w:eastAsia="Calibri" w:cs="Times New Roman"/>
          <w:color w:val="000000"/>
          <w:szCs w:val="24"/>
        </w:rPr>
        <w:t>-</w:t>
      </w:r>
      <w:r w:rsidRPr="00EB0CA4">
        <w:rPr>
          <w:rFonts w:eastAsia="Calibri" w:cs="Times New Roman"/>
          <w:color w:val="000000"/>
          <w:szCs w:val="24"/>
        </w:rPr>
        <w:t>2021.</w:t>
      </w:r>
      <w:r>
        <w:rPr>
          <w:rFonts w:eastAsia="Calibri" w:cs="Times New Roman"/>
          <w:color w:val="000000"/>
          <w:szCs w:val="24"/>
        </w:rPr>
        <w:t> </w:t>
      </w:r>
      <w:r w:rsidRPr="00EB0CA4">
        <w:rPr>
          <w:rFonts w:eastAsia="Calibri" w:cs="Times New Roman"/>
          <w:color w:val="000000"/>
          <w:szCs w:val="24"/>
        </w:rPr>
        <w:t>gadā</w:t>
      </w:r>
      <w:r>
        <w:rPr>
          <w:rFonts w:eastAsia="Calibri" w:cs="Times New Roman"/>
          <w:color w:val="000000"/>
          <w:szCs w:val="24"/>
        </w:rPr>
        <w:t xml:space="preserve"> ļauj</w:t>
      </w:r>
      <w:r w:rsidRPr="00EB0CA4">
        <w:rPr>
          <w:rFonts w:eastAsia="Calibri" w:cs="Times New Roman"/>
          <w:color w:val="000000"/>
          <w:szCs w:val="24"/>
        </w:rPr>
        <w:t>, kā arī</w:t>
      </w:r>
      <w:r>
        <w:rPr>
          <w:rFonts w:eastAsia="Calibri" w:cs="Times New Roman"/>
          <w:color w:val="000000"/>
          <w:szCs w:val="24"/>
        </w:rPr>
        <w:t xml:space="preserve"> </w:t>
      </w:r>
      <w:r w:rsidR="0026647B">
        <w:rPr>
          <w:rFonts w:eastAsia="Calibri" w:cs="Times New Roman"/>
          <w:color w:val="000000"/>
          <w:szCs w:val="24"/>
        </w:rPr>
        <w:t>–</w:t>
      </w:r>
      <w:r w:rsidRPr="00EB0CA4">
        <w:rPr>
          <w:rFonts w:eastAsia="Calibri" w:cs="Times New Roman"/>
          <w:color w:val="000000"/>
          <w:szCs w:val="24"/>
        </w:rPr>
        <w:t xml:space="preserve"> </w:t>
      </w:r>
      <w:r w:rsidR="0026647B">
        <w:rPr>
          <w:rFonts w:eastAsia="Calibri" w:cs="Times New Roman"/>
          <w:color w:val="000000"/>
          <w:szCs w:val="24"/>
        </w:rPr>
        <w:t xml:space="preserve">ar </w:t>
      </w:r>
      <w:r>
        <w:rPr>
          <w:rFonts w:eastAsia="Calibri" w:cs="Times New Roman"/>
          <w:color w:val="000000"/>
          <w:szCs w:val="24"/>
        </w:rPr>
        <w:t>augstu varbūtību -</w:t>
      </w:r>
      <w:r w:rsidRPr="00EB0CA4">
        <w:rPr>
          <w:rFonts w:eastAsia="Calibri" w:cs="Times New Roman"/>
          <w:color w:val="000000"/>
          <w:szCs w:val="24"/>
        </w:rPr>
        <w:t xml:space="preserve"> 2022. gadā ļau</w:t>
      </w:r>
      <w:r>
        <w:rPr>
          <w:rFonts w:eastAsia="Calibri" w:cs="Times New Roman"/>
          <w:color w:val="000000"/>
          <w:szCs w:val="24"/>
        </w:rPr>
        <w:t>s</w:t>
      </w:r>
      <w:r w:rsidRPr="00EB0CA4">
        <w:rPr>
          <w:rFonts w:eastAsia="Calibri" w:cs="Times New Roman"/>
          <w:color w:val="000000"/>
          <w:szCs w:val="24"/>
        </w:rPr>
        <w:t xml:space="preserve"> atkāpties no </w:t>
      </w:r>
      <w:r>
        <w:rPr>
          <w:rFonts w:eastAsia="Calibri" w:cs="Times New Roman"/>
          <w:color w:val="000000"/>
          <w:szCs w:val="24"/>
        </w:rPr>
        <w:t>budžeta</w:t>
      </w:r>
      <w:r w:rsidRPr="00EB0CA4">
        <w:rPr>
          <w:rFonts w:eastAsia="Calibri" w:cs="Times New Roman"/>
          <w:color w:val="000000"/>
          <w:szCs w:val="24"/>
        </w:rPr>
        <w:t xml:space="preserve"> deficīta mērķiem. Fiskālās disciplīnas likuma 12.</w:t>
      </w:r>
      <w:r>
        <w:rPr>
          <w:rFonts w:eastAsia="Calibri" w:cs="Times New Roman"/>
          <w:color w:val="000000"/>
          <w:szCs w:val="24"/>
        </w:rPr>
        <w:t xml:space="preserve"> </w:t>
      </w:r>
      <w:r w:rsidRPr="00EB0CA4">
        <w:rPr>
          <w:rFonts w:eastAsia="Calibri" w:cs="Times New Roman"/>
          <w:color w:val="000000"/>
          <w:szCs w:val="24"/>
        </w:rPr>
        <w:t xml:space="preserve">pants paredz </w:t>
      </w:r>
      <w:r>
        <w:rPr>
          <w:rFonts w:eastAsia="Calibri" w:cs="Times New Roman"/>
          <w:color w:val="000000"/>
          <w:szCs w:val="24"/>
        </w:rPr>
        <w:t>analogu</w:t>
      </w:r>
      <w:r w:rsidRPr="00EB0CA4">
        <w:rPr>
          <w:rFonts w:eastAsia="Calibri" w:cs="Times New Roman"/>
          <w:color w:val="000000"/>
          <w:szCs w:val="24"/>
        </w:rPr>
        <w:t xml:space="preserve"> iespēju atkāpties no 0,5% strukturālā deficīta ievērošanas nopietnas </w:t>
      </w:r>
      <w:r>
        <w:rPr>
          <w:rFonts w:eastAsia="Calibri" w:cs="Times New Roman"/>
          <w:color w:val="000000"/>
          <w:szCs w:val="24"/>
        </w:rPr>
        <w:t>ekonomikas lejupslīdes laikā. Eiropas Savienības</w:t>
      </w:r>
      <w:r w:rsidRPr="00EB0CA4">
        <w:rPr>
          <w:rFonts w:eastAsia="Calibri" w:cs="Times New Roman"/>
          <w:color w:val="000000"/>
          <w:szCs w:val="24"/>
        </w:rPr>
        <w:t xml:space="preserve"> vispārējās izņēmuma klauzulas aktivizēšana bij</w:t>
      </w:r>
      <w:r>
        <w:rPr>
          <w:rFonts w:eastAsia="Calibri" w:cs="Times New Roman"/>
          <w:color w:val="000000"/>
          <w:szCs w:val="24"/>
        </w:rPr>
        <w:t>a pamats tam, lai aktivizētu Fiskālās disciplīnas likuma</w:t>
      </w:r>
      <w:r w:rsidRPr="00EB0CA4">
        <w:rPr>
          <w:rFonts w:eastAsia="Calibri" w:cs="Times New Roman"/>
          <w:color w:val="000000"/>
          <w:szCs w:val="24"/>
        </w:rPr>
        <w:t xml:space="preserve"> 12.</w:t>
      </w:r>
      <w:r>
        <w:rPr>
          <w:rFonts w:eastAsia="Calibri" w:cs="Times New Roman"/>
          <w:color w:val="000000"/>
          <w:szCs w:val="24"/>
        </w:rPr>
        <w:t xml:space="preserve"> </w:t>
      </w:r>
      <w:r w:rsidRPr="00EB0CA4">
        <w:rPr>
          <w:rFonts w:eastAsia="Calibri" w:cs="Times New Roman"/>
          <w:color w:val="000000"/>
          <w:szCs w:val="24"/>
        </w:rPr>
        <w:t>pantā noteikto atkāpes nosacījumu.</w:t>
      </w:r>
    </w:p>
    <w:p w:rsidR="00BF4753" w:rsidRPr="00EB0CA4" w:rsidRDefault="00BF4753" w:rsidP="00BF4753">
      <w:pPr>
        <w:ind w:firstLine="709"/>
        <w:rPr>
          <w:rFonts w:eastAsia="Calibri" w:cs="Times New Roman"/>
          <w:color w:val="000000"/>
          <w:szCs w:val="24"/>
        </w:rPr>
      </w:pPr>
      <w:r>
        <w:rPr>
          <w:rFonts w:eastAsia="Calibri" w:cs="Times New Roman"/>
          <w:color w:val="000000"/>
          <w:szCs w:val="24"/>
        </w:rPr>
        <w:t>Lai gan Fiskālās disciplīnas likuma 12. pants nosaka, ka nopietnas ekonomikas lejupslīdes</w:t>
      </w:r>
      <w:r w:rsidR="0026647B">
        <w:rPr>
          <w:rFonts w:eastAsia="Calibri" w:cs="Times New Roman"/>
          <w:color w:val="000000"/>
          <w:szCs w:val="24"/>
        </w:rPr>
        <w:t xml:space="preserve"> gadījumā</w:t>
      </w:r>
      <w:r>
        <w:rPr>
          <w:rFonts w:eastAsia="Calibri" w:cs="Times New Roman"/>
          <w:color w:val="000000"/>
          <w:szCs w:val="24"/>
        </w:rPr>
        <w:t xml:space="preserve"> atkāpties no deficīta mērķa ir iespējams tikai tādā apjomā, kādā samazinās krīzes izsauktais ieņēmumu kritums, likuma “</w:t>
      </w:r>
      <w:r w:rsidRPr="00C84D1B">
        <w:rPr>
          <w:rFonts w:eastAsia="Calibri" w:cs="Times New Roman"/>
          <w:color w:val="000000"/>
          <w:szCs w:val="24"/>
        </w:rPr>
        <w:t>Covid-19 infekcijas izplatības seku pārvarēšanas likums</w:t>
      </w:r>
      <w:r>
        <w:rPr>
          <w:rFonts w:eastAsia="Calibri" w:cs="Times New Roman"/>
          <w:color w:val="000000"/>
          <w:szCs w:val="24"/>
        </w:rPr>
        <w:t>”</w:t>
      </w:r>
      <w:r w:rsidRPr="00C84D1B">
        <w:rPr>
          <w:rFonts w:eastAsia="Calibri" w:cs="Times New Roman"/>
          <w:color w:val="000000"/>
          <w:szCs w:val="24"/>
        </w:rPr>
        <w:t xml:space="preserve"> </w:t>
      </w:r>
      <w:r w:rsidRPr="00EB0CA4">
        <w:rPr>
          <w:rFonts w:eastAsia="Calibri" w:cs="Times New Roman"/>
          <w:color w:val="000000"/>
          <w:szCs w:val="24"/>
        </w:rPr>
        <w:t>33.</w:t>
      </w:r>
      <w:r>
        <w:rPr>
          <w:rFonts w:eastAsia="Calibri" w:cs="Times New Roman"/>
          <w:color w:val="000000"/>
          <w:szCs w:val="24"/>
        </w:rPr>
        <w:t xml:space="preserve"> pants, nosaka, ka minētais ierobežojums tiek atcelts, tādā veidā dodot juridisku iespēju atkāpties no deficīta mērķa ekonomikas stimulēšanai</w:t>
      </w:r>
      <w:r w:rsidR="0026647B">
        <w:rPr>
          <w:rFonts w:eastAsia="Calibri" w:cs="Times New Roman"/>
          <w:color w:val="000000"/>
          <w:szCs w:val="24"/>
        </w:rPr>
        <w:t xml:space="preserve"> tādā</w:t>
      </w:r>
      <w:r>
        <w:rPr>
          <w:rFonts w:eastAsia="Calibri" w:cs="Times New Roman"/>
          <w:color w:val="000000"/>
          <w:szCs w:val="24"/>
        </w:rPr>
        <w:t xml:space="preserve"> apjomā, kas nepieciešams krīzes pārvarēšanai</w:t>
      </w:r>
      <w:r w:rsidRPr="00EB0CA4">
        <w:rPr>
          <w:rFonts w:eastAsia="Calibri" w:cs="Times New Roman"/>
          <w:color w:val="000000"/>
          <w:szCs w:val="24"/>
        </w:rPr>
        <w:t>. Vienlaikus pašreizējā likuma redakcija nosaka, ka atkāpes ir piemērojamas tikai 2020. un 2021.</w:t>
      </w:r>
      <w:r w:rsidR="0026647B">
        <w:rPr>
          <w:rFonts w:eastAsia="Calibri" w:cs="Times New Roman"/>
          <w:color w:val="000000"/>
          <w:szCs w:val="24"/>
        </w:rPr>
        <w:t xml:space="preserve"> </w:t>
      </w:r>
      <w:r w:rsidRPr="00EB0CA4">
        <w:rPr>
          <w:rFonts w:eastAsia="Calibri" w:cs="Times New Roman"/>
          <w:color w:val="000000"/>
          <w:szCs w:val="24"/>
        </w:rPr>
        <w:t>gadā. Tādējādi, balstoties esošajā normatīvajā reg</w:t>
      </w:r>
      <w:r>
        <w:rPr>
          <w:rFonts w:eastAsia="Calibri" w:cs="Times New Roman"/>
          <w:color w:val="000000"/>
          <w:szCs w:val="24"/>
        </w:rPr>
        <w:t>ulējumā, sākot no 2022. gada Fiskālās disciplīnas likuma</w:t>
      </w:r>
      <w:r w:rsidRPr="00EB0CA4">
        <w:rPr>
          <w:rFonts w:eastAsia="Calibri" w:cs="Times New Roman"/>
          <w:color w:val="000000"/>
          <w:szCs w:val="24"/>
        </w:rPr>
        <w:t xml:space="preserve"> atkāpes nosacījuma piemērošana būtu jāpārtrauc</w:t>
      </w:r>
      <w:r>
        <w:rPr>
          <w:rFonts w:eastAsia="Calibri" w:cs="Times New Roman"/>
          <w:color w:val="000000"/>
          <w:szCs w:val="24"/>
        </w:rPr>
        <w:t xml:space="preserve"> un Fiskālās disciplīnas</w:t>
      </w:r>
      <w:r w:rsidRPr="00EB0CA4">
        <w:rPr>
          <w:rFonts w:eastAsia="Calibri" w:cs="Times New Roman"/>
          <w:color w:val="000000"/>
          <w:szCs w:val="24"/>
        </w:rPr>
        <w:t xml:space="preserve"> </w:t>
      </w:r>
      <w:r>
        <w:rPr>
          <w:rFonts w:eastAsia="Calibri" w:cs="Times New Roman"/>
          <w:color w:val="000000"/>
          <w:szCs w:val="24"/>
        </w:rPr>
        <w:t>likuma regulējums</w:t>
      </w:r>
      <w:r w:rsidRPr="00EB0CA4">
        <w:rPr>
          <w:rFonts w:eastAsia="Calibri" w:cs="Times New Roman"/>
          <w:color w:val="000000"/>
          <w:szCs w:val="24"/>
        </w:rPr>
        <w:t xml:space="preserve"> būtu </w:t>
      </w:r>
      <w:r>
        <w:rPr>
          <w:rFonts w:eastAsia="Calibri" w:cs="Times New Roman"/>
          <w:color w:val="000000"/>
          <w:szCs w:val="24"/>
        </w:rPr>
        <w:t>jāpiemēro atbilstoši standarta nosacījumiem</w:t>
      </w:r>
      <w:r w:rsidRPr="00EB0CA4">
        <w:rPr>
          <w:rFonts w:eastAsia="Calibri" w:cs="Times New Roman"/>
          <w:color w:val="000000"/>
          <w:szCs w:val="24"/>
        </w:rPr>
        <w:t>.</w:t>
      </w:r>
    </w:p>
    <w:p w:rsidR="00BF4753" w:rsidRPr="00EB0CA4" w:rsidRDefault="00BF4753" w:rsidP="00BF4753">
      <w:pPr>
        <w:ind w:firstLine="709"/>
        <w:rPr>
          <w:rFonts w:eastAsia="Calibri" w:cs="Times New Roman"/>
          <w:color w:val="000000"/>
          <w:szCs w:val="24"/>
        </w:rPr>
      </w:pPr>
      <w:r w:rsidRPr="00EB0CA4">
        <w:rPr>
          <w:rFonts w:eastAsia="Calibri" w:cs="Times New Roman"/>
          <w:color w:val="000000"/>
          <w:szCs w:val="24"/>
        </w:rPr>
        <w:t>Tomēr</w:t>
      </w:r>
      <w:r>
        <w:rPr>
          <w:rFonts w:eastAsia="Calibri" w:cs="Times New Roman"/>
          <w:color w:val="000000"/>
          <w:szCs w:val="24"/>
        </w:rPr>
        <w:t>,</w:t>
      </w:r>
      <w:r w:rsidRPr="00EB0CA4">
        <w:rPr>
          <w:rFonts w:eastAsia="Calibri" w:cs="Times New Roman"/>
          <w:color w:val="000000"/>
          <w:szCs w:val="24"/>
        </w:rPr>
        <w:t xml:space="preserve"> lemjot par turpmāku fiskālās politikas kursu</w:t>
      </w:r>
      <w:r>
        <w:rPr>
          <w:rFonts w:eastAsia="Calibri" w:cs="Times New Roman"/>
          <w:color w:val="000000"/>
          <w:szCs w:val="24"/>
        </w:rPr>
        <w:t>,</w:t>
      </w:r>
      <w:r w:rsidRPr="00EB0CA4">
        <w:rPr>
          <w:rFonts w:eastAsia="Calibri" w:cs="Times New Roman"/>
          <w:color w:val="000000"/>
          <w:szCs w:val="24"/>
        </w:rPr>
        <w:t xml:space="preserve"> ir jāņem vērā vairāki nosacījumi.</w:t>
      </w:r>
      <w:r>
        <w:rPr>
          <w:rFonts w:eastAsia="Calibri" w:cs="Times New Roman"/>
          <w:color w:val="000000"/>
          <w:szCs w:val="24"/>
        </w:rPr>
        <w:t xml:space="preserve"> </w:t>
      </w:r>
      <w:r w:rsidRPr="00EB0CA4">
        <w:rPr>
          <w:rFonts w:eastAsia="Calibri" w:cs="Times New Roman"/>
          <w:color w:val="000000"/>
          <w:szCs w:val="24"/>
        </w:rPr>
        <w:t xml:space="preserve">Latvijā publisko finanšu plānošana nākamajam budžeta gadam un vidējam termiņam notiek rudenī, pieņemot gadskārtējo valsts budžeta likumu un </w:t>
      </w:r>
      <w:r>
        <w:rPr>
          <w:rFonts w:eastAsia="Calibri" w:cs="Times New Roman"/>
          <w:color w:val="000000"/>
          <w:szCs w:val="24"/>
        </w:rPr>
        <w:lastRenderedPageBreak/>
        <w:t>vidēja termiņa budžeta ietvara</w:t>
      </w:r>
      <w:r w:rsidRPr="00EB0CA4">
        <w:rPr>
          <w:rFonts w:eastAsia="Calibri" w:cs="Times New Roman"/>
          <w:color w:val="000000"/>
          <w:szCs w:val="24"/>
        </w:rPr>
        <w:t xml:space="preserve"> likumu.</w:t>
      </w:r>
      <w:r>
        <w:rPr>
          <w:rFonts w:eastAsia="Calibri" w:cs="Times New Roman"/>
          <w:color w:val="000000"/>
          <w:szCs w:val="24"/>
        </w:rPr>
        <w:t xml:space="preserve"> Arī Fiskālās disciplīnas likumā</w:t>
      </w:r>
      <w:r w:rsidRPr="00EB0CA4">
        <w:rPr>
          <w:rFonts w:eastAsia="Calibri" w:cs="Times New Roman"/>
          <w:color w:val="000000"/>
          <w:szCs w:val="24"/>
        </w:rPr>
        <w:t xml:space="preserve"> definētie fiskālās politikas noteikumi ir attiecināmi </w:t>
      </w:r>
      <w:r>
        <w:rPr>
          <w:rFonts w:eastAsia="Calibri" w:cs="Times New Roman"/>
          <w:color w:val="000000"/>
          <w:szCs w:val="24"/>
        </w:rPr>
        <w:t xml:space="preserve">uz </w:t>
      </w:r>
      <w:r w:rsidRPr="00EB0CA4">
        <w:rPr>
          <w:rFonts w:eastAsia="Calibri" w:cs="Times New Roman"/>
          <w:color w:val="000000"/>
          <w:szCs w:val="24"/>
        </w:rPr>
        <w:t>budžeta sagatavošanas ciklu rudenī. Līdz ar to uz Stabilitātes programmas sagatavošanas brīdi nav nepieciešams pieņemt tiesiski saistošu lēmumu par fiskālās politikas nosacījumiem attiecībā uz turpmākajiem gadiem.</w:t>
      </w:r>
    </w:p>
    <w:p w:rsidR="00BF4753" w:rsidRPr="00EB0CA4" w:rsidRDefault="00BF4753" w:rsidP="00BF4753">
      <w:pPr>
        <w:ind w:firstLine="709"/>
        <w:rPr>
          <w:rFonts w:eastAsia="Calibri" w:cs="Times New Roman"/>
          <w:color w:val="000000"/>
          <w:szCs w:val="24"/>
        </w:rPr>
      </w:pPr>
      <w:r>
        <w:rPr>
          <w:rFonts w:eastAsia="Calibri" w:cs="Times New Roman"/>
          <w:color w:val="000000"/>
          <w:szCs w:val="24"/>
        </w:rPr>
        <w:t>Eiropas Savienības</w:t>
      </w:r>
      <w:r w:rsidRPr="00EB0CA4">
        <w:rPr>
          <w:rFonts w:eastAsia="Calibri" w:cs="Times New Roman"/>
          <w:color w:val="000000"/>
          <w:szCs w:val="24"/>
        </w:rPr>
        <w:t xml:space="preserve"> vispārējās izņēmuma klauzu</w:t>
      </w:r>
      <w:r>
        <w:rPr>
          <w:rFonts w:eastAsia="Calibri" w:cs="Times New Roman"/>
          <w:color w:val="000000"/>
          <w:szCs w:val="24"/>
        </w:rPr>
        <w:t>las aktivizēšana bija pamats Fiskālās disciplīnas likuma</w:t>
      </w:r>
      <w:r w:rsidRPr="00EB0CA4">
        <w:rPr>
          <w:rFonts w:eastAsia="Calibri" w:cs="Times New Roman"/>
          <w:color w:val="000000"/>
          <w:szCs w:val="24"/>
        </w:rPr>
        <w:t xml:space="preserve"> 12. pantā noteiktā atkāpes mehānism</w:t>
      </w:r>
      <w:r>
        <w:rPr>
          <w:rFonts w:eastAsia="Calibri" w:cs="Times New Roman"/>
          <w:color w:val="000000"/>
          <w:szCs w:val="24"/>
        </w:rPr>
        <w:t>a iedarbināšanai. Eiropas Komisijas šī gada</w:t>
      </w:r>
      <w:r w:rsidRPr="00EB0CA4">
        <w:rPr>
          <w:rFonts w:eastAsia="Calibri" w:cs="Times New Roman"/>
          <w:color w:val="000000"/>
          <w:szCs w:val="24"/>
        </w:rPr>
        <w:t xml:space="preserve"> 3. marta priekšlikums paredz saglabāt klauzulas darbību arī 2022. gadā un</w:t>
      </w:r>
      <w:r>
        <w:rPr>
          <w:rFonts w:eastAsia="Calibri" w:cs="Times New Roman"/>
          <w:color w:val="000000"/>
          <w:szCs w:val="24"/>
        </w:rPr>
        <w:t>, ja vien neiestāsies būtiski un pašlaik neprognozēti pozitīvie riski,</w:t>
      </w:r>
      <w:r w:rsidRPr="00EB0CA4">
        <w:rPr>
          <w:rFonts w:eastAsia="Calibri" w:cs="Times New Roman"/>
          <w:color w:val="000000"/>
          <w:szCs w:val="24"/>
        </w:rPr>
        <w:t xml:space="preserve"> </w:t>
      </w:r>
      <w:r>
        <w:rPr>
          <w:rFonts w:eastAsia="Calibri" w:cs="Times New Roman"/>
          <w:color w:val="000000"/>
          <w:szCs w:val="24"/>
        </w:rPr>
        <w:t>Eiropas Komisijas lēmums, kas tiks balstīts Eiropas Komisijas</w:t>
      </w:r>
      <w:r w:rsidRPr="00EB0CA4">
        <w:rPr>
          <w:rFonts w:eastAsia="Calibri" w:cs="Times New Roman"/>
          <w:color w:val="000000"/>
          <w:szCs w:val="24"/>
        </w:rPr>
        <w:t xml:space="preserve"> 2021. gada pavasara prognozēs</w:t>
      </w:r>
      <w:r>
        <w:rPr>
          <w:rFonts w:eastAsia="Calibri" w:cs="Times New Roman"/>
          <w:color w:val="000000"/>
          <w:szCs w:val="24"/>
        </w:rPr>
        <w:t>, visticamāk</w:t>
      </w:r>
      <w:r w:rsidRPr="00EB0CA4">
        <w:rPr>
          <w:rFonts w:eastAsia="Calibri" w:cs="Times New Roman"/>
          <w:color w:val="000000"/>
          <w:szCs w:val="24"/>
        </w:rPr>
        <w:t xml:space="preserve"> </w:t>
      </w:r>
      <w:r>
        <w:rPr>
          <w:rFonts w:eastAsia="Calibri" w:cs="Times New Roman"/>
          <w:color w:val="000000"/>
          <w:szCs w:val="24"/>
        </w:rPr>
        <w:t>apstiprinās</w:t>
      </w:r>
      <w:r w:rsidRPr="00EB0CA4">
        <w:rPr>
          <w:rFonts w:eastAsia="Calibri" w:cs="Times New Roman"/>
          <w:color w:val="000000"/>
          <w:szCs w:val="24"/>
        </w:rPr>
        <w:t xml:space="preserve"> sākotnējo priekšlikumu</w:t>
      </w:r>
      <w:r>
        <w:rPr>
          <w:rFonts w:eastAsia="Calibri" w:cs="Times New Roman"/>
          <w:color w:val="000000"/>
          <w:szCs w:val="24"/>
        </w:rPr>
        <w:t xml:space="preserve"> par </w:t>
      </w:r>
      <w:r w:rsidR="00625CA7">
        <w:rPr>
          <w:rFonts w:eastAsia="Calibri" w:cs="Times New Roman"/>
          <w:color w:val="000000"/>
          <w:szCs w:val="24"/>
        </w:rPr>
        <w:t>vispārējās</w:t>
      </w:r>
      <w:r>
        <w:rPr>
          <w:rFonts w:eastAsia="Calibri" w:cs="Times New Roman"/>
          <w:color w:val="000000"/>
          <w:szCs w:val="24"/>
        </w:rPr>
        <w:t xml:space="preserve"> izņēmuma klauzulas saglabāšanu 2022. gadā</w:t>
      </w:r>
      <w:r w:rsidRPr="00EB0CA4">
        <w:rPr>
          <w:rFonts w:eastAsia="Calibri" w:cs="Times New Roman"/>
          <w:color w:val="000000"/>
          <w:szCs w:val="24"/>
        </w:rPr>
        <w:t>. Līdz ar to</w:t>
      </w:r>
      <w:r>
        <w:rPr>
          <w:rFonts w:eastAsia="Calibri" w:cs="Times New Roman"/>
          <w:color w:val="000000"/>
          <w:szCs w:val="24"/>
        </w:rPr>
        <w:t>,</w:t>
      </w:r>
      <w:r w:rsidRPr="00EB0CA4">
        <w:rPr>
          <w:rFonts w:eastAsia="Calibri" w:cs="Times New Roman"/>
          <w:color w:val="000000"/>
          <w:szCs w:val="24"/>
        </w:rPr>
        <w:t xml:space="preserve"> no</w:t>
      </w:r>
      <w:r>
        <w:rPr>
          <w:rFonts w:eastAsia="Calibri" w:cs="Times New Roman"/>
          <w:color w:val="000000"/>
          <w:szCs w:val="24"/>
        </w:rPr>
        <w:t xml:space="preserve"> līdz šim īstenotās Eiropas Savienības</w:t>
      </w:r>
      <w:r w:rsidRPr="00EB0CA4">
        <w:rPr>
          <w:rFonts w:eastAsia="Calibri" w:cs="Times New Roman"/>
          <w:color w:val="000000"/>
          <w:szCs w:val="24"/>
        </w:rPr>
        <w:t xml:space="preserve"> un Latvijas tiesisko normu </w:t>
      </w:r>
      <w:r>
        <w:rPr>
          <w:rFonts w:eastAsia="Calibri" w:cs="Times New Roman"/>
          <w:color w:val="000000"/>
          <w:szCs w:val="24"/>
        </w:rPr>
        <w:t xml:space="preserve">saskaņošanas </w:t>
      </w:r>
      <w:r w:rsidRPr="00EB0CA4">
        <w:rPr>
          <w:rFonts w:eastAsia="Calibri" w:cs="Times New Roman"/>
          <w:color w:val="000000"/>
          <w:szCs w:val="24"/>
        </w:rPr>
        <w:t xml:space="preserve"> </w:t>
      </w:r>
      <w:r>
        <w:rPr>
          <w:rFonts w:eastAsia="Calibri" w:cs="Times New Roman"/>
          <w:color w:val="000000"/>
          <w:szCs w:val="24"/>
        </w:rPr>
        <w:t>politikas aspekta</w:t>
      </w:r>
      <w:r w:rsidRPr="00EB0CA4">
        <w:rPr>
          <w:rFonts w:eastAsia="Calibri" w:cs="Times New Roman"/>
          <w:color w:val="000000"/>
          <w:szCs w:val="24"/>
        </w:rPr>
        <w:t xml:space="preserve"> būtu pamats saglabāt  </w:t>
      </w:r>
      <w:r>
        <w:rPr>
          <w:rFonts w:eastAsia="Calibri" w:cs="Times New Roman"/>
          <w:color w:val="000000"/>
          <w:szCs w:val="24"/>
        </w:rPr>
        <w:t>Fiskālās disciplīnas likumā</w:t>
      </w:r>
      <w:r w:rsidRPr="00EB0CA4">
        <w:rPr>
          <w:rFonts w:eastAsia="Calibri" w:cs="Times New Roman"/>
          <w:color w:val="000000"/>
          <w:szCs w:val="24"/>
        </w:rPr>
        <w:t xml:space="preserve"> noteiktā atkāpes nosacījuma darbību arī 2022.</w:t>
      </w:r>
      <w:r>
        <w:rPr>
          <w:rFonts w:eastAsia="Calibri" w:cs="Times New Roman"/>
          <w:color w:val="000000"/>
          <w:szCs w:val="24"/>
        </w:rPr>
        <w:t xml:space="preserve"> </w:t>
      </w:r>
      <w:r w:rsidRPr="00EB0CA4">
        <w:rPr>
          <w:rFonts w:eastAsia="Calibri" w:cs="Times New Roman"/>
          <w:color w:val="000000"/>
          <w:szCs w:val="24"/>
        </w:rPr>
        <w:t>gadā.</w:t>
      </w:r>
    </w:p>
    <w:p w:rsidR="00BF4753" w:rsidRPr="00EB0CA4" w:rsidRDefault="00BF4753" w:rsidP="00BF4753">
      <w:pPr>
        <w:ind w:firstLine="709"/>
        <w:rPr>
          <w:rFonts w:eastAsia="Calibri" w:cs="Times New Roman"/>
          <w:color w:val="000000"/>
          <w:szCs w:val="24"/>
        </w:rPr>
      </w:pPr>
      <w:r w:rsidRPr="00EB0CA4">
        <w:rPr>
          <w:rFonts w:eastAsia="Calibri" w:cs="Times New Roman"/>
          <w:color w:val="000000"/>
          <w:szCs w:val="24"/>
        </w:rPr>
        <w:t>Balstotie</w:t>
      </w:r>
      <w:r>
        <w:rPr>
          <w:rFonts w:eastAsia="Calibri" w:cs="Times New Roman"/>
          <w:color w:val="000000"/>
          <w:szCs w:val="24"/>
        </w:rPr>
        <w:t>s Eiropas Komisijas</w:t>
      </w:r>
      <w:r w:rsidRPr="00EB0CA4">
        <w:rPr>
          <w:rFonts w:eastAsia="Calibri" w:cs="Times New Roman"/>
          <w:color w:val="000000"/>
          <w:szCs w:val="24"/>
        </w:rPr>
        <w:t xml:space="preserve"> sākotnējā novērtējumā, kas</w:t>
      </w:r>
      <w:r>
        <w:rPr>
          <w:rFonts w:eastAsia="Calibri" w:cs="Times New Roman"/>
          <w:color w:val="000000"/>
          <w:szCs w:val="24"/>
        </w:rPr>
        <w:t xml:space="preserve"> izklāstīts iepriekš minētajā Eiropas Komisijas</w:t>
      </w:r>
      <w:r w:rsidRPr="00EB0CA4">
        <w:rPr>
          <w:rFonts w:eastAsia="Calibri" w:cs="Times New Roman"/>
          <w:color w:val="000000"/>
          <w:szCs w:val="24"/>
        </w:rPr>
        <w:t xml:space="preserve"> paziņojumā, lēmums par vispārējā izņēmuma klauzulas turpināšanu vai deaktiv</w:t>
      </w:r>
      <w:r>
        <w:rPr>
          <w:rFonts w:eastAsia="Calibri" w:cs="Times New Roman"/>
          <w:color w:val="000000"/>
          <w:szCs w:val="24"/>
        </w:rPr>
        <w:t>izēšanu</w:t>
      </w:r>
      <w:r w:rsidRPr="00EB0CA4">
        <w:rPr>
          <w:rFonts w:eastAsia="Calibri" w:cs="Times New Roman"/>
          <w:color w:val="000000"/>
          <w:szCs w:val="24"/>
        </w:rPr>
        <w:t xml:space="preserve"> būtu jāpieņem, pamatojoties uz kvantitatīviem kritērijiem.</w:t>
      </w:r>
      <w:r>
        <w:rPr>
          <w:rFonts w:eastAsia="Calibri" w:cs="Times New Roman"/>
          <w:color w:val="000000"/>
          <w:szCs w:val="24"/>
        </w:rPr>
        <w:t xml:space="preserve"> Eiropas Komisija </w:t>
      </w:r>
      <w:r w:rsidRPr="00EB0CA4">
        <w:rPr>
          <w:rFonts w:eastAsia="Calibri" w:cs="Times New Roman"/>
          <w:color w:val="000000"/>
          <w:szCs w:val="24"/>
        </w:rPr>
        <w:t xml:space="preserve"> </w:t>
      </w:r>
      <w:r>
        <w:rPr>
          <w:rFonts w:eastAsia="Calibri" w:cs="Times New Roman"/>
          <w:color w:val="000000"/>
          <w:szCs w:val="24"/>
        </w:rPr>
        <w:t>secina, ka</w:t>
      </w:r>
      <w:r w:rsidRPr="00EB0CA4">
        <w:rPr>
          <w:rFonts w:eastAsia="Calibri" w:cs="Times New Roman"/>
          <w:color w:val="000000"/>
          <w:szCs w:val="24"/>
        </w:rPr>
        <w:t xml:space="preserve"> tādu ekonomisko rādītāju novērtējums kā izlaižu starpība, ceturkšņa/ikgadējais ekonomiskās izaugsmes temps vai darba tirgus rādītāji šajos joprojām augstas nenoteiktības apstākļos nenodrošina pietiekošu pamatojumu tam, </w:t>
      </w:r>
      <w:r w:rsidR="0026647B">
        <w:rPr>
          <w:rFonts w:eastAsia="Calibri" w:cs="Times New Roman"/>
          <w:color w:val="000000"/>
          <w:szCs w:val="24"/>
        </w:rPr>
        <w:t>lai tie</w:t>
      </w:r>
      <w:r>
        <w:rPr>
          <w:rFonts w:eastAsia="Calibri" w:cs="Times New Roman"/>
          <w:color w:val="000000"/>
          <w:szCs w:val="24"/>
        </w:rPr>
        <w:t xml:space="preserve"> kalpotu par kritēriju fiskālo noteikumu atjaunošanai</w:t>
      </w:r>
      <w:r w:rsidRPr="00EB0CA4">
        <w:rPr>
          <w:rFonts w:eastAsia="Calibri" w:cs="Times New Roman"/>
          <w:color w:val="000000"/>
          <w:szCs w:val="24"/>
        </w:rPr>
        <w:t xml:space="preserve">. </w:t>
      </w:r>
      <w:r>
        <w:rPr>
          <w:rFonts w:eastAsia="Calibri" w:cs="Times New Roman"/>
          <w:color w:val="000000"/>
          <w:szCs w:val="24"/>
        </w:rPr>
        <w:t>Eiropas Komisija</w:t>
      </w:r>
      <w:r w:rsidRPr="00EB0CA4">
        <w:rPr>
          <w:rFonts w:eastAsia="Calibri" w:cs="Times New Roman"/>
          <w:color w:val="000000"/>
          <w:szCs w:val="24"/>
        </w:rPr>
        <w:t xml:space="preserve"> </w:t>
      </w:r>
      <w:r>
        <w:rPr>
          <w:rFonts w:eastAsia="Calibri" w:cs="Times New Roman"/>
          <w:color w:val="000000"/>
          <w:szCs w:val="24"/>
        </w:rPr>
        <w:t>secina</w:t>
      </w:r>
      <w:r w:rsidRPr="00EB0CA4">
        <w:rPr>
          <w:rFonts w:eastAsia="Calibri" w:cs="Times New Roman"/>
          <w:color w:val="000000"/>
          <w:szCs w:val="24"/>
        </w:rPr>
        <w:t>, ka atbilstoš</w:t>
      </w:r>
      <w:r>
        <w:rPr>
          <w:rFonts w:eastAsia="Calibri" w:cs="Times New Roman"/>
          <w:color w:val="000000"/>
          <w:szCs w:val="24"/>
        </w:rPr>
        <w:t>ākais</w:t>
      </w:r>
      <w:r w:rsidRPr="00EB0CA4">
        <w:rPr>
          <w:rFonts w:eastAsia="Calibri" w:cs="Times New Roman"/>
          <w:color w:val="000000"/>
          <w:szCs w:val="24"/>
        </w:rPr>
        <w:t xml:space="preserve"> kvantitatīvais kritērijs </w:t>
      </w:r>
      <w:r>
        <w:rPr>
          <w:rFonts w:eastAsia="Calibri" w:cs="Times New Roman"/>
          <w:color w:val="000000"/>
          <w:szCs w:val="24"/>
        </w:rPr>
        <w:t>ir</w:t>
      </w:r>
      <w:r w:rsidRPr="00EB0CA4">
        <w:rPr>
          <w:rFonts w:eastAsia="Calibri" w:cs="Times New Roman"/>
          <w:color w:val="000000"/>
          <w:szCs w:val="24"/>
        </w:rPr>
        <w:t xml:space="preserve"> ek</w:t>
      </w:r>
      <w:r>
        <w:rPr>
          <w:rFonts w:eastAsia="Calibri" w:cs="Times New Roman"/>
          <w:color w:val="000000"/>
          <w:szCs w:val="24"/>
        </w:rPr>
        <w:t>onomiskās aktivitātes līmenis Eiropas Savienībā vai eiro</w:t>
      </w:r>
      <w:r w:rsidRPr="00EB0CA4">
        <w:rPr>
          <w:rFonts w:eastAsia="Calibri" w:cs="Times New Roman"/>
          <w:color w:val="000000"/>
          <w:szCs w:val="24"/>
        </w:rPr>
        <w:t>zonā salīdzinājumā ar pirmskrīzes līmeni (2019. gada beigās)</w:t>
      </w:r>
      <w:r>
        <w:rPr>
          <w:rFonts w:eastAsia="Calibri" w:cs="Times New Roman"/>
          <w:color w:val="000000"/>
          <w:szCs w:val="24"/>
        </w:rPr>
        <w:t>. Eiropas Komisijas</w:t>
      </w:r>
      <w:r w:rsidRPr="00EB0CA4">
        <w:rPr>
          <w:rFonts w:eastAsia="Calibri" w:cs="Times New Roman"/>
          <w:color w:val="000000"/>
          <w:szCs w:val="24"/>
        </w:rPr>
        <w:t xml:space="preserve"> 2021. gad</w:t>
      </w:r>
      <w:r w:rsidR="0026647B">
        <w:rPr>
          <w:rFonts w:eastAsia="Calibri" w:cs="Times New Roman"/>
          <w:color w:val="000000"/>
          <w:szCs w:val="24"/>
        </w:rPr>
        <w:t>a ziemas prognozes</w:t>
      </w:r>
      <w:r>
        <w:rPr>
          <w:rFonts w:eastAsia="Calibri" w:cs="Times New Roman"/>
          <w:color w:val="000000"/>
          <w:szCs w:val="24"/>
        </w:rPr>
        <w:t xml:space="preserve"> n</w:t>
      </w:r>
      <w:r w:rsidR="0026647B">
        <w:rPr>
          <w:rFonts w:eastAsia="Calibri" w:cs="Times New Roman"/>
          <w:color w:val="000000"/>
          <w:szCs w:val="24"/>
        </w:rPr>
        <w:t>orāda, ka Eiropas Savienība</w:t>
      </w:r>
      <w:r w:rsidRPr="00EB0CA4">
        <w:rPr>
          <w:rFonts w:eastAsia="Calibri" w:cs="Times New Roman"/>
          <w:color w:val="000000"/>
          <w:szCs w:val="24"/>
        </w:rPr>
        <w:t xml:space="preserve"> izaugsmes pirmskr</w:t>
      </w:r>
      <w:r>
        <w:rPr>
          <w:rFonts w:eastAsia="Calibri" w:cs="Times New Roman"/>
          <w:color w:val="000000"/>
          <w:szCs w:val="24"/>
        </w:rPr>
        <w:t>īzes līmeni sasniegs 2022. </w:t>
      </w:r>
      <w:r w:rsidRPr="00EB0CA4">
        <w:rPr>
          <w:rFonts w:eastAsia="Calibri" w:cs="Times New Roman"/>
          <w:color w:val="000000"/>
          <w:szCs w:val="24"/>
        </w:rPr>
        <w:t>gada vidū</w:t>
      </w:r>
      <w:r>
        <w:rPr>
          <w:rFonts w:eastAsia="Calibri" w:cs="Times New Roman"/>
          <w:color w:val="000000"/>
          <w:szCs w:val="24"/>
        </w:rPr>
        <w:t xml:space="preserve"> un tāpēc 2022. gadā vēl ir nepieciešama vispārējā izņēmuma klauzula. </w:t>
      </w:r>
      <w:r w:rsidRPr="00EB0CA4">
        <w:rPr>
          <w:rFonts w:eastAsia="Calibri" w:cs="Times New Roman"/>
          <w:color w:val="000000"/>
          <w:szCs w:val="24"/>
        </w:rPr>
        <w:t xml:space="preserve"> </w:t>
      </w:r>
    </w:p>
    <w:p w:rsidR="00BF4753" w:rsidRDefault="00BF4753" w:rsidP="0026647B">
      <w:pPr>
        <w:ind w:firstLine="709"/>
        <w:rPr>
          <w:rFonts w:eastAsia="Calibri" w:cs="Times New Roman"/>
          <w:color w:val="000000"/>
          <w:szCs w:val="24"/>
        </w:rPr>
      </w:pPr>
      <w:r w:rsidRPr="00EB0CA4">
        <w:rPr>
          <w:rFonts w:eastAsia="Calibri" w:cs="Times New Roman"/>
          <w:color w:val="000000"/>
          <w:szCs w:val="24"/>
        </w:rPr>
        <w:t>Finanšu ministrijas atjaunotās makroekonomiskās prognozes norāda, ka 2019. gada ekonomiskās izlaides apjom</w:t>
      </w:r>
      <w:r>
        <w:rPr>
          <w:rFonts w:eastAsia="Calibri" w:cs="Times New Roman"/>
          <w:color w:val="000000"/>
          <w:szCs w:val="24"/>
        </w:rPr>
        <w:t>s</w:t>
      </w:r>
      <w:r w:rsidRPr="00EB0CA4">
        <w:rPr>
          <w:rFonts w:eastAsia="Calibri" w:cs="Times New Roman"/>
          <w:color w:val="000000"/>
          <w:szCs w:val="24"/>
        </w:rPr>
        <w:t xml:space="preserve"> </w:t>
      </w:r>
      <w:r>
        <w:rPr>
          <w:rFonts w:eastAsia="Calibri" w:cs="Times New Roman"/>
          <w:color w:val="000000"/>
          <w:szCs w:val="24"/>
        </w:rPr>
        <w:t>Latvijā</w:t>
      </w:r>
      <w:r w:rsidRPr="00EB0CA4">
        <w:rPr>
          <w:rFonts w:eastAsia="Calibri" w:cs="Times New Roman"/>
          <w:color w:val="000000"/>
          <w:szCs w:val="24"/>
        </w:rPr>
        <w:t xml:space="preserve"> </w:t>
      </w:r>
      <w:r>
        <w:rPr>
          <w:rFonts w:eastAsia="Calibri" w:cs="Times New Roman"/>
          <w:color w:val="000000"/>
          <w:szCs w:val="24"/>
        </w:rPr>
        <w:t xml:space="preserve">tiks </w:t>
      </w:r>
      <w:r w:rsidRPr="00EB0CA4">
        <w:rPr>
          <w:rFonts w:eastAsia="Calibri" w:cs="Times New Roman"/>
          <w:color w:val="000000"/>
          <w:szCs w:val="24"/>
        </w:rPr>
        <w:t>sasnieg</w:t>
      </w:r>
      <w:r>
        <w:rPr>
          <w:rFonts w:eastAsia="Calibri" w:cs="Times New Roman"/>
          <w:color w:val="000000"/>
          <w:szCs w:val="24"/>
        </w:rPr>
        <w:t>ts</w:t>
      </w:r>
      <w:r w:rsidRPr="00EB0CA4">
        <w:rPr>
          <w:rFonts w:eastAsia="Calibri" w:cs="Times New Roman"/>
          <w:color w:val="000000"/>
          <w:szCs w:val="24"/>
        </w:rPr>
        <w:t xml:space="preserve"> jau šī gada noslēgumā un 2022. gadā tas jau būs augstāk</w:t>
      </w:r>
      <w:r>
        <w:rPr>
          <w:rFonts w:eastAsia="Calibri" w:cs="Times New Roman"/>
          <w:color w:val="000000"/>
          <w:szCs w:val="24"/>
        </w:rPr>
        <w:t>s</w:t>
      </w:r>
      <w:r w:rsidRPr="00EB0CA4">
        <w:rPr>
          <w:rFonts w:eastAsia="Calibri" w:cs="Times New Roman"/>
          <w:color w:val="000000"/>
          <w:szCs w:val="24"/>
        </w:rPr>
        <w:t>.</w:t>
      </w:r>
      <w:r>
        <w:rPr>
          <w:rFonts w:eastAsia="Calibri" w:cs="Times New Roman"/>
          <w:color w:val="000000"/>
          <w:szCs w:val="24"/>
        </w:rPr>
        <w:t xml:space="preserve"> Līdz ar to,</w:t>
      </w:r>
      <w:r w:rsidR="0026647B">
        <w:rPr>
          <w:rFonts w:eastAsia="Calibri" w:cs="Times New Roman"/>
          <w:color w:val="000000"/>
          <w:szCs w:val="24"/>
        </w:rPr>
        <w:t xml:space="preserve"> izmantojot Latvijas gadījumā rādītāju, saskaņā ar kuru Eiropas Komisija</w:t>
      </w:r>
      <w:r>
        <w:rPr>
          <w:rFonts w:eastAsia="Calibri" w:cs="Times New Roman"/>
          <w:color w:val="000000"/>
          <w:szCs w:val="24"/>
        </w:rPr>
        <w:t xml:space="preserve"> secina, ka vispārējā izņēmuma klauzula ir jāsaglabā, būtu jāsecina, ka Latvijā tā 2022. gadā būtu </w:t>
      </w:r>
      <w:r w:rsidR="00625CA7">
        <w:rPr>
          <w:rFonts w:eastAsia="Calibri" w:cs="Times New Roman"/>
          <w:color w:val="000000"/>
          <w:szCs w:val="24"/>
        </w:rPr>
        <w:t>jāpārtrauc</w:t>
      </w:r>
      <w:r>
        <w:rPr>
          <w:rFonts w:eastAsia="Calibri" w:cs="Times New Roman"/>
          <w:color w:val="000000"/>
          <w:szCs w:val="24"/>
        </w:rPr>
        <w:t xml:space="preserve">. Tomēr, kā jau tika uzsvērts 2. nodaļā, valsts ekonomiskās attīstības bāzes scenārijs ir pakļauts augstam nenoteiktības riskam.   </w:t>
      </w:r>
    </w:p>
    <w:p w:rsidR="00BF4753" w:rsidRPr="00EB0CA4" w:rsidRDefault="00BF4753" w:rsidP="00BF4753">
      <w:pPr>
        <w:ind w:firstLine="709"/>
        <w:rPr>
          <w:rFonts w:eastAsia="Calibri" w:cs="Times New Roman"/>
          <w:color w:val="000000"/>
          <w:szCs w:val="24"/>
        </w:rPr>
      </w:pPr>
      <w:r>
        <w:rPr>
          <w:rFonts w:eastAsia="Calibri" w:cs="Times New Roman"/>
          <w:color w:val="000000"/>
          <w:szCs w:val="24"/>
        </w:rPr>
        <w:t>Bāzes scenārijā ir</w:t>
      </w:r>
      <w:r w:rsidR="0026647B">
        <w:rPr>
          <w:rFonts w:eastAsia="Calibri" w:cs="Times New Roman"/>
          <w:color w:val="000000"/>
          <w:szCs w:val="24"/>
        </w:rPr>
        <w:t xml:space="preserve"> pieņemts, ka vakcinēšanā</w:t>
      </w:r>
      <w:r w:rsidRPr="00EB0CA4">
        <w:rPr>
          <w:rFonts w:eastAsia="Calibri" w:cs="Times New Roman"/>
          <w:color w:val="000000"/>
          <w:szCs w:val="24"/>
        </w:rPr>
        <w:t xml:space="preserve">s pret Covid-19 tiek īstenota atbilstoši </w:t>
      </w:r>
      <w:r>
        <w:rPr>
          <w:rFonts w:eastAsia="Calibri" w:cs="Times New Roman"/>
          <w:color w:val="000000"/>
          <w:szCs w:val="24"/>
        </w:rPr>
        <w:t>Ministru kabineta šī gada</w:t>
      </w:r>
      <w:r w:rsidRPr="00EB0CA4">
        <w:rPr>
          <w:rFonts w:eastAsia="Calibri" w:cs="Times New Roman"/>
          <w:color w:val="000000"/>
          <w:szCs w:val="24"/>
        </w:rPr>
        <w:t xml:space="preserve"> 27. janvārī apstiprinātajam vakcinācijas plānam, kas paredz līdz šī gada vasaras beigām vakcinēt vismaz 70% visu Latvijas pieaugušo</w:t>
      </w:r>
      <w:r>
        <w:rPr>
          <w:rFonts w:eastAsia="Calibri" w:cs="Times New Roman"/>
          <w:color w:val="000000"/>
          <w:szCs w:val="24"/>
        </w:rPr>
        <w:t xml:space="preserve"> iedzīvotāju, nodrošinot 100 tūkst.</w:t>
      </w:r>
      <w:r w:rsidRPr="00EB0CA4">
        <w:rPr>
          <w:rFonts w:eastAsia="Calibri" w:cs="Times New Roman"/>
          <w:color w:val="000000"/>
          <w:szCs w:val="24"/>
        </w:rPr>
        <w:t xml:space="preserve"> vakcinācijas epizodes nedēļā.</w:t>
      </w:r>
    </w:p>
    <w:p w:rsidR="00BF4753" w:rsidRPr="00EB0CA4" w:rsidRDefault="00BF4753" w:rsidP="00BF4753">
      <w:pPr>
        <w:ind w:firstLine="709"/>
        <w:rPr>
          <w:rFonts w:eastAsia="Calibri" w:cs="Times New Roman"/>
          <w:color w:val="000000"/>
          <w:szCs w:val="24"/>
        </w:rPr>
      </w:pPr>
      <w:r w:rsidRPr="00EB0CA4">
        <w:rPr>
          <w:rFonts w:eastAsia="Calibri" w:cs="Times New Roman"/>
          <w:color w:val="000000"/>
          <w:szCs w:val="24"/>
        </w:rPr>
        <w:t>Līdz ar to papildus ekonomiskās izaugsmes prognozēm būtisk</w:t>
      </w:r>
      <w:r>
        <w:rPr>
          <w:rFonts w:eastAsia="Calibri" w:cs="Times New Roman"/>
          <w:color w:val="000000"/>
          <w:szCs w:val="24"/>
        </w:rPr>
        <w:t>i ir ņemt vērā arī aktuālo Covid</w:t>
      </w:r>
      <w:r w:rsidR="0026647B">
        <w:rPr>
          <w:rFonts w:eastAsia="Calibri" w:cs="Times New Roman"/>
          <w:color w:val="000000"/>
          <w:szCs w:val="24"/>
        </w:rPr>
        <w:t>-19 epidemioloģisko situāciju</w:t>
      </w:r>
      <w:r w:rsidRPr="00EB0CA4">
        <w:rPr>
          <w:rFonts w:eastAsia="Calibri" w:cs="Times New Roman"/>
          <w:color w:val="000000"/>
          <w:szCs w:val="24"/>
        </w:rPr>
        <w:t xml:space="preserve"> valstī. Uz šīs Stabilitātes </w:t>
      </w:r>
      <w:r w:rsidRPr="00EB0CA4">
        <w:rPr>
          <w:rFonts w:eastAsia="Calibri" w:cs="Times New Roman"/>
          <w:color w:val="000000"/>
          <w:szCs w:val="24"/>
        </w:rPr>
        <w:lastRenderedPageBreak/>
        <w:t xml:space="preserve">programmas izstrādes brīdi Latvijā </w:t>
      </w:r>
      <w:r w:rsidR="0026647B">
        <w:rPr>
          <w:rFonts w:eastAsia="Calibri" w:cs="Times New Roman"/>
          <w:color w:val="000000"/>
          <w:szCs w:val="24"/>
        </w:rPr>
        <w:t>s</w:t>
      </w:r>
      <w:r w:rsidRPr="00EB0CA4">
        <w:rPr>
          <w:rFonts w:eastAsia="Calibri" w:cs="Times New Roman"/>
          <w:color w:val="000000"/>
          <w:szCs w:val="24"/>
        </w:rPr>
        <w:t>pēkā joprojām ir būtiski Ministru kabineta pieņemtie ekonomisko aktivitāti ierobežojoši pasākumi un pasākumi, kas nosaka iedzīvotāju sociālo distancēšanos. Lai gan atbilstoši Eiropas Slimību profilakses un kont</w:t>
      </w:r>
      <w:r>
        <w:rPr>
          <w:rFonts w:eastAsia="Calibri" w:cs="Times New Roman"/>
          <w:color w:val="000000"/>
          <w:szCs w:val="24"/>
        </w:rPr>
        <w:t>roles centra apkopotajiem datiem</w:t>
      </w:r>
      <w:r w:rsidRPr="00EB0CA4">
        <w:rPr>
          <w:rStyle w:val="FootnoteReference"/>
          <w:rFonts w:ascii="Times New Roman" w:eastAsia="Calibri" w:hAnsi="Times New Roman" w:cs="Times New Roman"/>
          <w:sz w:val="28"/>
          <w:szCs w:val="24"/>
        </w:rPr>
        <w:footnoteReference w:id="3"/>
      </w:r>
      <w:r w:rsidRPr="00EB0CA4">
        <w:rPr>
          <w:rFonts w:eastAsia="Calibri" w:cs="Times New Roman"/>
          <w:color w:val="000000"/>
          <w:szCs w:val="24"/>
        </w:rPr>
        <w:t xml:space="preserve"> 14 dienu kumulatīvās saslimstības uz 100 tūkst. iedzīvotājiem rādītājs Latvijā turpina samazināties, tas joprojām saglabājās ļoti augsta riska līmenī. Vienlaikus valstī ir vērojams Covid-19 paveidu izplatības pieaugums, uz ko norāda Covid-19 testēšanas paraugu analīze. Tāpat </w:t>
      </w:r>
      <w:r w:rsidR="0026647B">
        <w:rPr>
          <w:rFonts w:eastAsia="Calibri" w:cs="Times New Roman"/>
          <w:color w:val="000000"/>
          <w:szCs w:val="24"/>
        </w:rPr>
        <w:t>laikā, kad tiek izstrādāta šī Stabilitātes programma</w:t>
      </w:r>
      <w:r w:rsidR="00EA45C8">
        <w:rPr>
          <w:rFonts w:eastAsia="Calibri" w:cs="Times New Roman"/>
          <w:color w:val="000000"/>
          <w:szCs w:val="24"/>
        </w:rPr>
        <w:t>,</w:t>
      </w:r>
      <w:r w:rsidR="0026647B">
        <w:rPr>
          <w:rFonts w:eastAsia="Calibri" w:cs="Times New Roman"/>
          <w:color w:val="000000"/>
          <w:szCs w:val="24"/>
        </w:rPr>
        <w:t xml:space="preserve"> </w:t>
      </w:r>
      <w:r w:rsidRPr="00EB0CA4">
        <w:rPr>
          <w:rFonts w:eastAsia="Calibri" w:cs="Times New Roman"/>
          <w:color w:val="000000"/>
          <w:szCs w:val="24"/>
        </w:rPr>
        <w:t>ir vērojamas negatīvas tendences</w:t>
      </w:r>
      <w:r>
        <w:rPr>
          <w:rFonts w:eastAsia="Calibri" w:cs="Times New Roman"/>
          <w:color w:val="000000"/>
          <w:szCs w:val="24"/>
        </w:rPr>
        <w:t xml:space="preserve"> Eiropas Savienībā un Eiropas  Ekonomiskajā zonā</w:t>
      </w:r>
      <w:r w:rsidRPr="00EB0CA4">
        <w:rPr>
          <w:rFonts w:eastAsia="Calibri" w:cs="Times New Roman"/>
          <w:color w:val="000000"/>
          <w:szCs w:val="24"/>
        </w:rPr>
        <w:t xml:space="preserve"> kopumā, kur 14 dienu kumulatīvās saslimstības uz 100 tūkst. iedzīvotājiem saslimstības rādītājs pēdējo četru nedēļu laikā konsekventi pieaug</w:t>
      </w:r>
      <w:r>
        <w:rPr>
          <w:rFonts w:eastAsia="Calibri" w:cs="Times New Roman"/>
          <w:color w:val="000000"/>
          <w:szCs w:val="24"/>
        </w:rPr>
        <w:t xml:space="preserve">. </w:t>
      </w:r>
      <w:r w:rsidRPr="00EB0CA4">
        <w:rPr>
          <w:rFonts w:eastAsia="Calibri" w:cs="Times New Roman"/>
          <w:color w:val="000000"/>
          <w:szCs w:val="24"/>
        </w:rPr>
        <w:t>Vienlaikus Nacionālā veselības dienesta publicētā informācija par Covid-19 vakcinācijas statistiku</w:t>
      </w:r>
      <w:r w:rsidRPr="00EB0CA4">
        <w:rPr>
          <w:rStyle w:val="FootnoteReference"/>
          <w:rFonts w:ascii="Times New Roman" w:eastAsia="Calibri" w:hAnsi="Times New Roman" w:cs="Times New Roman"/>
          <w:sz w:val="28"/>
          <w:szCs w:val="24"/>
        </w:rPr>
        <w:footnoteReference w:id="4"/>
      </w:r>
      <w:r w:rsidRPr="00EB0CA4">
        <w:rPr>
          <w:rFonts w:eastAsia="Calibri" w:cs="Times New Roman"/>
          <w:color w:val="000000"/>
          <w:szCs w:val="24"/>
        </w:rPr>
        <w:t xml:space="preserve"> liecina, ka pašreizējais vakcinācijas temps nepietiekošā vakcīnu daudzuma </w:t>
      </w:r>
      <w:r>
        <w:rPr>
          <w:rFonts w:eastAsia="Calibri" w:cs="Times New Roman"/>
          <w:color w:val="000000"/>
          <w:szCs w:val="24"/>
        </w:rPr>
        <w:t xml:space="preserve">dēļ </w:t>
      </w:r>
      <w:r w:rsidRPr="00EB0CA4">
        <w:rPr>
          <w:rFonts w:eastAsia="Calibri" w:cs="Times New Roman"/>
          <w:color w:val="000000"/>
          <w:szCs w:val="24"/>
        </w:rPr>
        <w:t xml:space="preserve">valstī būtiski atpaliek no vakcinācijas plānā paredzētā. </w:t>
      </w:r>
    </w:p>
    <w:p w:rsidR="00BF4753" w:rsidRDefault="00BF4753" w:rsidP="00BF4753">
      <w:pPr>
        <w:ind w:firstLine="709"/>
        <w:rPr>
          <w:rFonts w:eastAsia="Calibri" w:cs="Times New Roman"/>
          <w:color w:val="000000"/>
          <w:szCs w:val="24"/>
        </w:rPr>
      </w:pPr>
      <w:r>
        <w:rPr>
          <w:rFonts w:eastAsia="Calibri" w:cs="Times New Roman"/>
          <w:color w:val="000000"/>
          <w:szCs w:val="24"/>
        </w:rPr>
        <w:t>Pastāv iespēja, ka</w:t>
      </w:r>
      <w:r w:rsidRPr="00EB0CA4">
        <w:rPr>
          <w:rFonts w:eastAsia="Calibri" w:cs="Times New Roman"/>
          <w:color w:val="000000"/>
          <w:szCs w:val="24"/>
        </w:rPr>
        <w:t xml:space="preserve"> Latvijā saslimstības rādītāji var atkārtoti pasliktināties un Covid-19 ierobežošanas nolūkā Ministru kabinetam būs nepieciešams turpināt un/vai noteikt papildu ierobežojošus pasākumus, kas attiecīgi radīs negatīvu ietekmi uz izaugsmes un fiskālajiem rādītājiem, kuri ietverti šīs Stabilitātes programmas bāzes scenārijā.</w:t>
      </w:r>
    </w:p>
    <w:p w:rsidR="00BF4753" w:rsidRPr="00EB0CA4" w:rsidRDefault="00EA45C8" w:rsidP="00BF4753">
      <w:pPr>
        <w:ind w:firstLine="709"/>
        <w:rPr>
          <w:rFonts w:eastAsia="Calibri" w:cs="Times New Roman"/>
          <w:color w:val="000000"/>
          <w:szCs w:val="24"/>
        </w:rPr>
      </w:pPr>
      <w:r>
        <w:rPr>
          <w:rFonts w:eastAsia="Calibri" w:cs="Times New Roman"/>
          <w:color w:val="000000"/>
          <w:szCs w:val="24"/>
        </w:rPr>
        <w:t>J</w:t>
      </w:r>
      <w:r w:rsidR="00BF4753">
        <w:rPr>
          <w:rFonts w:eastAsia="Calibri" w:cs="Times New Roman"/>
          <w:color w:val="000000"/>
          <w:szCs w:val="24"/>
        </w:rPr>
        <w:t>āņem vērā, ka valsts konkurētspēju ietekmē</w:t>
      </w:r>
      <w:r>
        <w:rPr>
          <w:rFonts w:eastAsia="Calibri" w:cs="Times New Roman"/>
          <w:color w:val="000000"/>
          <w:szCs w:val="24"/>
        </w:rPr>
        <w:t xml:space="preserve"> fiskālo stimulu apjomi citās Eiropas Savienības</w:t>
      </w:r>
      <w:r w:rsidR="00BF4753">
        <w:rPr>
          <w:rFonts w:eastAsia="Calibri" w:cs="Times New Roman"/>
          <w:color w:val="000000"/>
          <w:szCs w:val="24"/>
        </w:rPr>
        <w:t xml:space="preserve"> valstīs, kas, saglabāj</w:t>
      </w:r>
      <w:r>
        <w:rPr>
          <w:rFonts w:eastAsia="Calibri" w:cs="Times New Roman"/>
          <w:color w:val="000000"/>
          <w:szCs w:val="24"/>
        </w:rPr>
        <w:t>ot vispārējo izņēmuma klauzulu,</w:t>
      </w:r>
      <w:r w:rsidR="00BF4753">
        <w:rPr>
          <w:rFonts w:eastAsia="Calibri" w:cs="Times New Roman"/>
          <w:color w:val="000000"/>
          <w:szCs w:val="24"/>
        </w:rPr>
        <w:t xml:space="preserve"> dod iespēju valstīm lemt par stimulu apjomu neatkarīgi no tā, kad valsts iekšzemes kopprodukts atgriežas  pirmskrīzes līmenī. Šādos apstākļos nebūt</w:t>
      </w:r>
      <w:r>
        <w:rPr>
          <w:rFonts w:eastAsia="Calibri" w:cs="Times New Roman"/>
          <w:color w:val="000000"/>
          <w:szCs w:val="24"/>
        </w:rPr>
        <w:t>u</w:t>
      </w:r>
      <w:r w:rsidR="00BF4753">
        <w:rPr>
          <w:rFonts w:eastAsia="Calibri" w:cs="Times New Roman"/>
          <w:color w:val="000000"/>
          <w:szCs w:val="24"/>
        </w:rPr>
        <w:t xml:space="preserve"> pareizi Latvijas fiskā</w:t>
      </w:r>
      <w:r>
        <w:rPr>
          <w:rFonts w:eastAsia="Calibri" w:cs="Times New Roman"/>
          <w:color w:val="000000"/>
          <w:szCs w:val="24"/>
        </w:rPr>
        <w:t>lās politikas stratēģiju veidot</w:t>
      </w:r>
      <w:r w:rsidR="00BF4753">
        <w:rPr>
          <w:rFonts w:eastAsia="Calibri" w:cs="Times New Roman"/>
          <w:color w:val="000000"/>
          <w:szCs w:val="24"/>
        </w:rPr>
        <w:t xml:space="preserve"> 2022. gadā ievērojot standarta fiskālos nosacījums. </w:t>
      </w:r>
    </w:p>
    <w:p w:rsidR="00BF4753" w:rsidRPr="00EB0CA4" w:rsidRDefault="00BF4753" w:rsidP="00BF4753">
      <w:pPr>
        <w:ind w:firstLine="709"/>
        <w:rPr>
          <w:rFonts w:eastAsia="Calibri" w:cs="Times New Roman"/>
          <w:color w:val="000000"/>
          <w:szCs w:val="24"/>
        </w:rPr>
      </w:pPr>
      <w:r w:rsidRPr="00EB0CA4">
        <w:rPr>
          <w:rFonts w:eastAsia="Calibri" w:cs="Times New Roman"/>
          <w:color w:val="000000"/>
          <w:szCs w:val="24"/>
        </w:rPr>
        <w:t>Līdz ar to šīs Stabilitātes programmas fiskālās politikas stratēģijā tiek pieņemts, ka arī 2022. gadā</w:t>
      </w:r>
      <w:r>
        <w:rPr>
          <w:rFonts w:eastAsia="Calibri" w:cs="Times New Roman"/>
          <w:color w:val="000000"/>
          <w:szCs w:val="24"/>
        </w:rPr>
        <w:t xml:space="preserve"> Stabilitātes un izaugsmes pakta</w:t>
      </w:r>
      <w:r w:rsidRPr="00EB0CA4">
        <w:rPr>
          <w:rFonts w:eastAsia="Calibri" w:cs="Times New Roman"/>
          <w:color w:val="000000"/>
          <w:szCs w:val="24"/>
        </w:rPr>
        <w:t xml:space="preserve"> vispārējā izņēmuma klauzula paliek aktivizēta, </w:t>
      </w:r>
      <w:r>
        <w:rPr>
          <w:rFonts w:eastAsia="Calibri" w:cs="Times New Roman"/>
          <w:color w:val="000000"/>
          <w:szCs w:val="24"/>
        </w:rPr>
        <w:t>Fiskālās disciplīnas likuma</w:t>
      </w:r>
      <w:r w:rsidRPr="00EB0CA4">
        <w:rPr>
          <w:rFonts w:eastAsia="Calibri" w:cs="Times New Roman"/>
          <w:color w:val="000000"/>
          <w:szCs w:val="24"/>
        </w:rPr>
        <w:t xml:space="preserve"> 12. panta atkāpes nosacījums turpina darboties un tā apmērs netiek kvantitatīvi ierobežots. Fiskālā politika saglabājas atbalstoša un tiek īstenota tā, lai nodrošinātu mērķtiecīgu pagaidu atbalstu tautsaimniecībai un iedzīvotājiem, mazinot Covid-19 sociālekonomisko kaitējumu, kā arī nodrošinātu nepieciešamos apstākļus un finansējumu adekvātai veselības sistēmas funkcionēšanai.</w:t>
      </w:r>
    </w:p>
    <w:p w:rsidR="00BF4753" w:rsidRPr="002A0E06" w:rsidRDefault="00BF4753" w:rsidP="00BF4753">
      <w:pPr>
        <w:ind w:firstLine="709"/>
        <w:rPr>
          <w:rFonts w:eastAsia="Calibri" w:cs="Times New Roman"/>
          <w:color w:val="000000"/>
          <w:szCs w:val="24"/>
        </w:rPr>
      </w:pPr>
      <w:r>
        <w:rPr>
          <w:rFonts w:eastAsia="Calibri" w:cs="Times New Roman"/>
          <w:color w:val="000000"/>
          <w:szCs w:val="24"/>
        </w:rPr>
        <w:t>Savukārt, a</w:t>
      </w:r>
      <w:r w:rsidRPr="00EB0CA4">
        <w:rPr>
          <w:rFonts w:eastAsia="Calibri" w:cs="Times New Roman"/>
          <w:color w:val="000000"/>
          <w:szCs w:val="24"/>
        </w:rPr>
        <w:t xml:space="preserve">ttiecībā uz 2023. un 2024. gadu </w:t>
      </w:r>
      <w:r>
        <w:rPr>
          <w:rFonts w:eastAsia="Calibri" w:cs="Times New Roman"/>
          <w:color w:val="000000"/>
          <w:szCs w:val="24"/>
        </w:rPr>
        <w:t xml:space="preserve">saskaņā ar Eiropas Komisijas šī gada 3. marta paziņojumu tiek </w:t>
      </w:r>
      <w:r w:rsidRPr="00EB0CA4">
        <w:rPr>
          <w:rFonts w:eastAsia="Calibri" w:cs="Times New Roman"/>
          <w:color w:val="000000"/>
          <w:szCs w:val="24"/>
        </w:rPr>
        <w:t>pieņemts, ka 2023. un 2024.</w:t>
      </w:r>
      <w:r>
        <w:rPr>
          <w:rFonts w:eastAsia="Calibri" w:cs="Times New Roman"/>
          <w:color w:val="000000"/>
          <w:szCs w:val="24"/>
        </w:rPr>
        <w:t xml:space="preserve"> </w:t>
      </w:r>
      <w:r w:rsidRPr="00EB0CA4">
        <w:rPr>
          <w:rFonts w:eastAsia="Calibri" w:cs="Times New Roman"/>
          <w:color w:val="000000"/>
          <w:szCs w:val="24"/>
        </w:rPr>
        <w:t xml:space="preserve">gadā izņēmuma klauzula netiek piemērota un līdz </w:t>
      </w:r>
      <w:r>
        <w:rPr>
          <w:rFonts w:eastAsia="Calibri" w:cs="Times New Roman"/>
          <w:color w:val="000000"/>
          <w:szCs w:val="24"/>
        </w:rPr>
        <w:t>ar to Fiskālās disciplīnas likuma</w:t>
      </w:r>
      <w:r w:rsidRPr="00EB0CA4">
        <w:rPr>
          <w:rFonts w:eastAsia="Calibri" w:cs="Times New Roman"/>
          <w:color w:val="000000"/>
          <w:szCs w:val="24"/>
        </w:rPr>
        <w:t xml:space="preserve"> 12.</w:t>
      </w:r>
      <w:r>
        <w:rPr>
          <w:rFonts w:eastAsia="Calibri" w:cs="Times New Roman"/>
          <w:color w:val="000000"/>
          <w:szCs w:val="24"/>
        </w:rPr>
        <w:t xml:space="preserve"> </w:t>
      </w:r>
      <w:r w:rsidRPr="00EB0CA4">
        <w:rPr>
          <w:rFonts w:eastAsia="Calibri" w:cs="Times New Roman"/>
          <w:color w:val="000000"/>
          <w:szCs w:val="24"/>
        </w:rPr>
        <w:t xml:space="preserve">panta atkāpes arī netiek piemērotas. </w:t>
      </w:r>
    </w:p>
    <w:p w:rsidR="00BF4753" w:rsidRPr="002A0E06" w:rsidRDefault="00BF4753" w:rsidP="00BF4753">
      <w:pPr>
        <w:pStyle w:val="Heading3"/>
        <w:numPr>
          <w:ilvl w:val="2"/>
          <w:numId w:val="11"/>
        </w:numPr>
        <w:spacing w:before="240" w:after="240"/>
        <w:ind w:left="0" w:firstLine="0"/>
        <w:jc w:val="center"/>
      </w:pPr>
      <w:bookmarkStart w:id="17" w:name="_Toc53154100"/>
      <w:bookmarkStart w:id="18" w:name="_Toc68334998"/>
      <w:r w:rsidRPr="00EB0CA4">
        <w:lastRenderedPageBreak/>
        <w:t>Fiskālo nosacījumu ievērošana vidēja termiņa fiskālās politikas plānošanā</w:t>
      </w:r>
      <w:bookmarkEnd w:id="17"/>
      <w:bookmarkEnd w:id="18"/>
    </w:p>
    <w:p w:rsidR="00BF4753" w:rsidRPr="002A0E06" w:rsidRDefault="00BF4753" w:rsidP="00BF4753">
      <w:pPr>
        <w:ind w:firstLine="709"/>
        <w:rPr>
          <w:rFonts w:eastAsia="Times New Roman" w:cs="Times New Roman"/>
          <w:szCs w:val="24"/>
        </w:rPr>
      </w:pPr>
      <w:r>
        <w:rPr>
          <w:rFonts w:eastAsia="Times New Roman" w:cs="Times New Roman"/>
          <w:szCs w:val="24"/>
        </w:rPr>
        <w:t>Vispārējā gadījumā Fiskālās disciplīnas likums</w:t>
      </w:r>
      <w:r w:rsidRPr="00EB0CA4">
        <w:rPr>
          <w:rFonts w:eastAsia="Times New Roman" w:cs="Times New Roman"/>
          <w:szCs w:val="24"/>
        </w:rPr>
        <w:t xml:space="preserve"> paredz, ka strukturālās bilances mērķu definēšanā tiek piemērota vairāku pakāpju metode un tai ir vienlaicīgi jānodrošina atbilstība nacionālā līmeņa fiskālajiem nosacījumiem (bilances nosacījums, izdevumu pieauguma nosacījums un izdevumu pārmanto</w:t>
      </w:r>
      <w:r>
        <w:rPr>
          <w:rFonts w:eastAsia="Times New Roman" w:cs="Times New Roman"/>
          <w:szCs w:val="24"/>
        </w:rPr>
        <w:t>jamības nosacījums), gan arī Stabilitātes un izaugsmes pakta</w:t>
      </w:r>
      <w:r w:rsidRPr="00EB0CA4">
        <w:rPr>
          <w:rFonts w:eastAsia="Times New Roman" w:cs="Times New Roman"/>
          <w:szCs w:val="24"/>
        </w:rPr>
        <w:t xml:space="preserve"> nosacījumiem. </w:t>
      </w:r>
      <w:r>
        <w:rPr>
          <w:rFonts w:eastAsia="Times New Roman" w:cs="Times New Roman"/>
          <w:szCs w:val="24"/>
        </w:rPr>
        <w:t>Savukārt, situācijā, kad gan Stabilitātes un izaugsmes pakta, gan atsevišķu Fiskālās disciplīnas likuma</w:t>
      </w:r>
      <w:r w:rsidRPr="00EB0CA4">
        <w:rPr>
          <w:rFonts w:eastAsia="Times New Roman" w:cs="Times New Roman"/>
          <w:szCs w:val="24"/>
        </w:rPr>
        <w:t xml:space="preserve"> fiskālo nosacījumu piemērošana ir uz laiku apturēta, šīs Stabilitātes programmas vajadzībām maksimālais pieļaujamais strukturālais deficīts tiek n</w:t>
      </w:r>
      <w:r w:rsidR="00EA45C8">
        <w:rPr>
          <w:rFonts w:eastAsia="Times New Roman" w:cs="Times New Roman"/>
          <w:szCs w:val="24"/>
        </w:rPr>
        <w:t>oteikts</w:t>
      </w:r>
      <w:r>
        <w:rPr>
          <w:rFonts w:eastAsia="Times New Roman" w:cs="Times New Roman"/>
          <w:szCs w:val="24"/>
        </w:rPr>
        <w:t xml:space="preserve"> pēc atšķirīgas metodes.</w:t>
      </w:r>
    </w:p>
    <w:p w:rsidR="00BF4753" w:rsidRPr="00EB0CA4" w:rsidRDefault="00BF4753" w:rsidP="00BF4753">
      <w:pPr>
        <w:pStyle w:val="Heading3"/>
        <w:numPr>
          <w:ilvl w:val="2"/>
          <w:numId w:val="13"/>
        </w:numPr>
        <w:spacing w:before="240" w:after="240"/>
        <w:jc w:val="center"/>
        <w:rPr>
          <w:rFonts w:eastAsia="Times New Roman"/>
        </w:rPr>
      </w:pPr>
      <w:bookmarkStart w:id="19" w:name="_Toc68334999"/>
      <w:r w:rsidRPr="00812E09">
        <w:rPr>
          <w:rFonts w:eastAsia="Times New Roman"/>
        </w:rPr>
        <w:t>2022., 2023. un 2024.gada strukturālās bilances mērķi</w:t>
      </w:r>
      <w:bookmarkEnd w:id="19"/>
    </w:p>
    <w:p w:rsidR="00BF4753" w:rsidRPr="002F061C" w:rsidRDefault="00BF4753" w:rsidP="00BF4753">
      <w:pPr>
        <w:widowControl w:val="0"/>
        <w:rPr>
          <w:rFonts w:eastAsia="Times New Roman" w:cs="Times New Roman"/>
          <w:szCs w:val="24"/>
        </w:rPr>
      </w:pPr>
      <w:r w:rsidRPr="00EB0CA4">
        <w:rPr>
          <w:rFonts w:eastAsia="Times New Roman" w:cs="Times New Roman"/>
          <w:b/>
          <w:szCs w:val="24"/>
        </w:rPr>
        <w:t>2022.</w:t>
      </w:r>
      <w:r w:rsidR="00625CA7">
        <w:rPr>
          <w:rFonts w:eastAsia="Times New Roman" w:cs="Times New Roman"/>
          <w:b/>
          <w:szCs w:val="24"/>
        </w:rPr>
        <w:t xml:space="preserve"> </w:t>
      </w:r>
      <w:r w:rsidRPr="00EB0CA4">
        <w:rPr>
          <w:rFonts w:eastAsia="Times New Roman" w:cs="Times New Roman"/>
          <w:b/>
          <w:szCs w:val="24"/>
        </w:rPr>
        <w:t>gadā</w:t>
      </w:r>
      <w:r w:rsidR="00EA45C8">
        <w:rPr>
          <w:rFonts w:eastAsia="Times New Roman" w:cs="Times New Roman"/>
          <w:szCs w:val="24"/>
        </w:rPr>
        <w:t>, pieņemot</w:t>
      </w:r>
      <w:r w:rsidRPr="00EB0CA4">
        <w:rPr>
          <w:rFonts w:eastAsia="Times New Roman" w:cs="Times New Roman"/>
          <w:szCs w:val="24"/>
        </w:rPr>
        <w:t xml:space="preserve">, ka saglabājās </w:t>
      </w:r>
      <w:r>
        <w:rPr>
          <w:rFonts w:eastAsia="Times New Roman" w:cs="Times New Roman"/>
          <w:szCs w:val="24"/>
        </w:rPr>
        <w:t>Stabilitātes un izaugsmes pakta</w:t>
      </w:r>
      <w:r w:rsidRPr="00EB0CA4">
        <w:rPr>
          <w:rFonts w:eastAsia="Times New Roman" w:cs="Times New Roman"/>
          <w:szCs w:val="24"/>
        </w:rPr>
        <w:t xml:space="preserve"> vispārējā izņēmuma klauzula un </w:t>
      </w:r>
      <w:r>
        <w:rPr>
          <w:rFonts w:eastAsia="Times New Roman" w:cs="Times New Roman"/>
          <w:szCs w:val="24"/>
        </w:rPr>
        <w:t>Fiskālās disciplīnas likuma</w:t>
      </w:r>
      <w:r w:rsidRPr="00EB0CA4">
        <w:rPr>
          <w:rFonts w:eastAsia="Times New Roman" w:cs="Times New Roman"/>
          <w:szCs w:val="24"/>
        </w:rPr>
        <w:t xml:space="preserve"> 12. panta atkāpes nosacījums, strukturālā</w:t>
      </w:r>
      <w:r w:rsidR="00EA45C8">
        <w:rPr>
          <w:rFonts w:eastAsia="Times New Roman" w:cs="Times New Roman"/>
          <w:szCs w:val="24"/>
        </w:rPr>
        <w:t>s bilances mērķis tiek noteikts</w:t>
      </w:r>
      <w:r w:rsidRPr="00EB0CA4">
        <w:rPr>
          <w:rFonts w:eastAsia="Times New Roman" w:cs="Times New Roman"/>
          <w:szCs w:val="24"/>
        </w:rPr>
        <w:t xml:space="preserve"> balstoties uz nominālās bilances apmēru, ņemot vērā šīs Stabilitātes programmas fiskālās progno</w:t>
      </w:r>
      <w:r>
        <w:rPr>
          <w:rFonts w:eastAsia="Times New Roman" w:cs="Times New Roman"/>
          <w:szCs w:val="24"/>
        </w:rPr>
        <w:t>zes pie nemainīgas politikas, Ministru kabinetā</w:t>
      </w:r>
      <w:r w:rsidRPr="00EB0CA4">
        <w:rPr>
          <w:rFonts w:eastAsia="Times New Roman" w:cs="Times New Roman"/>
          <w:szCs w:val="24"/>
        </w:rPr>
        <w:t xml:space="preserve"> pieņemtos lēmumus ar fiskālo ietekmi 202</w:t>
      </w:r>
      <w:r>
        <w:rPr>
          <w:rFonts w:eastAsia="Times New Roman" w:cs="Times New Roman"/>
          <w:szCs w:val="24"/>
        </w:rPr>
        <w:t>2. gadā,  kas izriet no likuma “</w:t>
      </w:r>
      <w:r w:rsidRPr="00EB0CA4">
        <w:rPr>
          <w:rFonts w:eastAsia="Times New Roman" w:cs="Times New Roman"/>
          <w:szCs w:val="24"/>
        </w:rPr>
        <w:t xml:space="preserve">Par vidēja termiņa budžeta ietvaru 2021., 2022. un 2023. gadam”, </w:t>
      </w:r>
      <w:r>
        <w:rPr>
          <w:rFonts w:eastAsia="Times New Roman" w:cs="Times New Roman"/>
          <w:szCs w:val="24"/>
        </w:rPr>
        <w:t>kā arī Finanšu ministrijas</w:t>
      </w:r>
      <w:r w:rsidRPr="00EB0CA4">
        <w:rPr>
          <w:rFonts w:eastAsia="Times New Roman" w:cs="Times New Roman"/>
          <w:szCs w:val="24"/>
        </w:rPr>
        <w:t xml:space="preserve"> prognozes par ekonomikas ciklisko attīstību. Veiktais aprēķi</w:t>
      </w:r>
      <w:r>
        <w:rPr>
          <w:rFonts w:eastAsia="Times New Roman" w:cs="Times New Roman"/>
          <w:szCs w:val="24"/>
        </w:rPr>
        <w:t>nu algoritms ir atspoguļots 3.1. tabulā.</w:t>
      </w:r>
    </w:p>
    <w:p w:rsidR="00BF4753" w:rsidRPr="00052E4F" w:rsidRDefault="00BF4753" w:rsidP="00BF4753">
      <w:pPr>
        <w:widowControl w:val="0"/>
        <w:spacing w:before="120" w:after="120"/>
        <w:jc w:val="right"/>
        <w:rPr>
          <w:rFonts w:eastAsia="Times New Roman" w:cs="Times New Roman"/>
          <w:b/>
          <w:i/>
          <w:sz w:val="24"/>
          <w:szCs w:val="24"/>
        </w:rPr>
      </w:pPr>
      <w:r>
        <w:rPr>
          <w:rFonts w:eastAsia="Times New Roman" w:cs="Times New Roman"/>
          <w:b/>
          <w:i/>
          <w:sz w:val="24"/>
          <w:szCs w:val="24"/>
        </w:rPr>
        <w:t>3.1</w:t>
      </w:r>
      <w:r w:rsidRPr="00052E4F">
        <w:rPr>
          <w:rFonts w:eastAsia="Times New Roman" w:cs="Times New Roman"/>
          <w:b/>
          <w:i/>
          <w:sz w:val="24"/>
          <w:szCs w:val="24"/>
        </w:rPr>
        <w:t>. tabula. Strukturālās bilances mērķis 2022. gadam</w:t>
      </w:r>
    </w:p>
    <w:tbl>
      <w:tblPr>
        <w:tblStyle w:val="TableGrid4"/>
        <w:tblW w:w="8642" w:type="dxa"/>
        <w:jc w:val="center"/>
        <w:tblLook w:val="04A0" w:firstRow="1" w:lastRow="0" w:firstColumn="1" w:lastColumn="0" w:noHBand="0" w:noVBand="1"/>
      </w:tblPr>
      <w:tblGrid>
        <w:gridCol w:w="2122"/>
        <w:gridCol w:w="4518"/>
        <w:gridCol w:w="2002"/>
      </w:tblGrid>
      <w:tr w:rsidR="00BF4753" w:rsidRPr="00EB0CA4" w:rsidTr="002D7CA8">
        <w:trPr>
          <w:trHeight w:val="244"/>
          <w:jc w:val="center"/>
        </w:trPr>
        <w:tc>
          <w:tcPr>
            <w:tcW w:w="2122" w:type="dxa"/>
            <w:shd w:val="clear" w:color="auto" w:fill="DEEAF6" w:themeFill="accent1" w:themeFillTint="33"/>
          </w:tcPr>
          <w:p w:rsidR="00BF4753" w:rsidRPr="00EB0CA4" w:rsidRDefault="00BF4753" w:rsidP="002D7CA8">
            <w:pPr>
              <w:widowControl w:val="0"/>
              <w:rPr>
                <w:rFonts w:eastAsia="Times New Roman"/>
                <w:sz w:val="20"/>
                <w:szCs w:val="24"/>
              </w:rPr>
            </w:pPr>
          </w:p>
        </w:tc>
        <w:tc>
          <w:tcPr>
            <w:tcW w:w="4518" w:type="dxa"/>
            <w:shd w:val="clear" w:color="auto" w:fill="DEEAF6" w:themeFill="accent1" w:themeFillTint="33"/>
          </w:tcPr>
          <w:p w:rsidR="00BF4753" w:rsidRPr="00EB0CA4" w:rsidRDefault="00BF4753" w:rsidP="002D7CA8">
            <w:pPr>
              <w:widowControl w:val="0"/>
              <w:rPr>
                <w:rFonts w:eastAsia="Times New Roman"/>
                <w:sz w:val="20"/>
                <w:szCs w:val="24"/>
              </w:rPr>
            </w:pPr>
          </w:p>
        </w:tc>
        <w:tc>
          <w:tcPr>
            <w:tcW w:w="2002" w:type="dxa"/>
            <w:shd w:val="clear" w:color="auto" w:fill="DEEAF6" w:themeFill="accent1" w:themeFillTint="33"/>
          </w:tcPr>
          <w:p w:rsidR="00BF4753" w:rsidRPr="00EB0CA4" w:rsidRDefault="00BF4753" w:rsidP="002D7CA8">
            <w:pPr>
              <w:widowControl w:val="0"/>
              <w:jc w:val="center"/>
              <w:rPr>
                <w:rFonts w:eastAsia="Times New Roman"/>
                <w:b/>
                <w:sz w:val="20"/>
                <w:szCs w:val="24"/>
              </w:rPr>
            </w:pPr>
            <w:r w:rsidRPr="00EB0CA4">
              <w:rPr>
                <w:rFonts w:eastAsia="Times New Roman"/>
                <w:b/>
                <w:sz w:val="20"/>
                <w:szCs w:val="24"/>
              </w:rPr>
              <w:t>2022</w:t>
            </w:r>
          </w:p>
        </w:tc>
      </w:tr>
      <w:tr w:rsidR="00BF4753" w:rsidRPr="00EB0CA4" w:rsidTr="002D7CA8">
        <w:trPr>
          <w:trHeight w:val="228"/>
          <w:jc w:val="center"/>
        </w:trPr>
        <w:tc>
          <w:tcPr>
            <w:tcW w:w="2122" w:type="dxa"/>
            <w:vAlign w:val="bottom"/>
          </w:tcPr>
          <w:p w:rsidR="00BF4753" w:rsidRPr="00EB0CA4" w:rsidRDefault="00BF4753" w:rsidP="002D7CA8">
            <w:pPr>
              <w:widowControl w:val="0"/>
              <w:rPr>
                <w:rFonts w:eastAsia="Times New Roman"/>
                <w:b/>
                <w:sz w:val="20"/>
                <w:szCs w:val="24"/>
              </w:rPr>
            </w:pPr>
            <w:r w:rsidRPr="00EB0CA4">
              <w:rPr>
                <w:b/>
                <w:color w:val="000000"/>
                <w:sz w:val="20"/>
                <w:szCs w:val="24"/>
              </w:rPr>
              <w:t>(1)</w:t>
            </w:r>
          </w:p>
        </w:tc>
        <w:tc>
          <w:tcPr>
            <w:tcW w:w="4518" w:type="dxa"/>
            <w:vAlign w:val="center"/>
          </w:tcPr>
          <w:p w:rsidR="00BF4753" w:rsidRPr="00EB0CA4" w:rsidRDefault="00BF4753" w:rsidP="002D7CA8">
            <w:pPr>
              <w:widowControl w:val="0"/>
              <w:rPr>
                <w:rFonts w:eastAsia="Times New Roman"/>
                <w:b/>
                <w:sz w:val="20"/>
                <w:szCs w:val="24"/>
              </w:rPr>
            </w:pPr>
            <w:r w:rsidRPr="00EB0CA4">
              <w:rPr>
                <w:b/>
                <w:bCs/>
                <w:color w:val="000000"/>
                <w:sz w:val="20"/>
                <w:szCs w:val="24"/>
              </w:rPr>
              <w:t>nominālā bilance</w:t>
            </w:r>
          </w:p>
        </w:tc>
        <w:tc>
          <w:tcPr>
            <w:tcW w:w="2002" w:type="dxa"/>
          </w:tcPr>
          <w:p w:rsidR="00BF4753" w:rsidRPr="00EB0CA4" w:rsidRDefault="00BF4753" w:rsidP="002D7CA8">
            <w:pPr>
              <w:widowControl w:val="0"/>
              <w:jc w:val="center"/>
              <w:rPr>
                <w:b/>
                <w:bCs/>
                <w:color w:val="000000"/>
                <w:sz w:val="20"/>
                <w:szCs w:val="24"/>
              </w:rPr>
            </w:pPr>
            <w:r>
              <w:rPr>
                <w:b/>
                <w:bCs/>
                <w:color w:val="000000"/>
                <w:sz w:val="20"/>
                <w:szCs w:val="24"/>
              </w:rPr>
              <w:t>-2,</w:t>
            </w:r>
            <w:r w:rsidRPr="00EB0CA4">
              <w:rPr>
                <w:b/>
                <w:bCs/>
                <w:color w:val="000000"/>
                <w:sz w:val="20"/>
                <w:szCs w:val="24"/>
              </w:rPr>
              <w:t>69</w:t>
            </w:r>
          </w:p>
        </w:tc>
      </w:tr>
      <w:tr w:rsidR="00BF4753" w:rsidRPr="00EB0CA4" w:rsidTr="002D7CA8">
        <w:trPr>
          <w:trHeight w:val="244"/>
          <w:jc w:val="center"/>
        </w:trPr>
        <w:tc>
          <w:tcPr>
            <w:tcW w:w="2122" w:type="dxa"/>
            <w:vAlign w:val="bottom"/>
          </w:tcPr>
          <w:p w:rsidR="00BF4753" w:rsidRPr="00EB0CA4" w:rsidRDefault="00BF4753" w:rsidP="002D7CA8">
            <w:pPr>
              <w:widowControl w:val="0"/>
              <w:rPr>
                <w:rFonts w:eastAsia="Times New Roman"/>
                <w:sz w:val="20"/>
                <w:szCs w:val="24"/>
              </w:rPr>
            </w:pPr>
            <w:r w:rsidRPr="00EB0CA4">
              <w:rPr>
                <w:color w:val="000000"/>
                <w:sz w:val="20"/>
                <w:szCs w:val="24"/>
              </w:rPr>
              <w:t>(2)</w:t>
            </w:r>
          </w:p>
        </w:tc>
        <w:tc>
          <w:tcPr>
            <w:tcW w:w="4518" w:type="dxa"/>
            <w:vAlign w:val="center"/>
          </w:tcPr>
          <w:p w:rsidR="00BF4753" w:rsidRPr="00EB0CA4" w:rsidRDefault="00BF4753" w:rsidP="002D7CA8">
            <w:pPr>
              <w:widowControl w:val="0"/>
              <w:rPr>
                <w:rFonts w:eastAsia="Times New Roman"/>
                <w:sz w:val="20"/>
                <w:szCs w:val="24"/>
              </w:rPr>
            </w:pPr>
            <w:r w:rsidRPr="00EB0CA4">
              <w:rPr>
                <w:color w:val="000000"/>
                <w:sz w:val="20"/>
                <w:szCs w:val="24"/>
              </w:rPr>
              <w:t>bilances cikliskā komponente</w:t>
            </w:r>
          </w:p>
        </w:tc>
        <w:tc>
          <w:tcPr>
            <w:tcW w:w="2002" w:type="dxa"/>
          </w:tcPr>
          <w:p w:rsidR="00BF4753" w:rsidRPr="00EB0CA4" w:rsidRDefault="00BF4753" w:rsidP="002D7CA8">
            <w:pPr>
              <w:widowControl w:val="0"/>
              <w:jc w:val="center"/>
              <w:rPr>
                <w:bCs/>
                <w:color w:val="000000"/>
                <w:sz w:val="20"/>
                <w:szCs w:val="24"/>
              </w:rPr>
            </w:pPr>
            <w:r>
              <w:rPr>
                <w:bCs/>
                <w:color w:val="000000"/>
                <w:sz w:val="20"/>
                <w:szCs w:val="24"/>
              </w:rPr>
              <w:t>-0,</w:t>
            </w:r>
            <w:r w:rsidRPr="00EB0CA4">
              <w:rPr>
                <w:bCs/>
                <w:color w:val="000000"/>
                <w:sz w:val="20"/>
                <w:szCs w:val="24"/>
              </w:rPr>
              <w:t>34</w:t>
            </w:r>
          </w:p>
        </w:tc>
      </w:tr>
      <w:tr w:rsidR="00BF4753" w:rsidRPr="00EB0CA4" w:rsidTr="002D7CA8">
        <w:trPr>
          <w:trHeight w:val="244"/>
          <w:jc w:val="center"/>
        </w:trPr>
        <w:tc>
          <w:tcPr>
            <w:tcW w:w="2122" w:type="dxa"/>
            <w:vAlign w:val="bottom"/>
          </w:tcPr>
          <w:p w:rsidR="00BF4753" w:rsidRPr="00EB0CA4" w:rsidRDefault="00BF4753" w:rsidP="002D7CA8">
            <w:pPr>
              <w:widowControl w:val="0"/>
              <w:rPr>
                <w:rFonts w:eastAsia="Times New Roman"/>
                <w:sz w:val="20"/>
                <w:szCs w:val="24"/>
              </w:rPr>
            </w:pPr>
            <w:r w:rsidRPr="00EB0CA4">
              <w:rPr>
                <w:color w:val="000000"/>
                <w:sz w:val="20"/>
                <w:szCs w:val="24"/>
              </w:rPr>
              <w:t>(3)</w:t>
            </w:r>
          </w:p>
        </w:tc>
        <w:tc>
          <w:tcPr>
            <w:tcW w:w="4518" w:type="dxa"/>
            <w:vAlign w:val="center"/>
          </w:tcPr>
          <w:p w:rsidR="00BF4753" w:rsidRPr="00EB0CA4" w:rsidRDefault="00BF4753" w:rsidP="002D7CA8">
            <w:pPr>
              <w:widowControl w:val="0"/>
              <w:rPr>
                <w:rFonts w:eastAsia="Times New Roman"/>
                <w:sz w:val="20"/>
                <w:szCs w:val="24"/>
              </w:rPr>
            </w:pPr>
            <w:r w:rsidRPr="00EB0CA4">
              <w:rPr>
                <w:color w:val="000000"/>
                <w:sz w:val="20"/>
                <w:szCs w:val="24"/>
              </w:rPr>
              <w:t>vienreizējie pasākumi</w:t>
            </w:r>
          </w:p>
        </w:tc>
        <w:tc>
          <w:tcPr>
            <w:tcW w:w="2002" w:type="dxa"/>
          </w:tcPr>
          <w:p w:rsidR="00BF4753" w:rsidRPr="00EB0CA4" w:rsidRDefault="00BF4753" w:rsidP="002D7CA8">
            <w:pPr>
              <w:widowControl w:val="0"/>
              <w:jc w:val="center"/>
              <w:rPr>
                <w:bCs/>
                <w:color w:val="000000"/>
                <w:sz w:val="20"/>
                <w:szCs w:val="24"/>
              </w:rPr>
            </w:pPr>
            <w:r>
              <w:rPr>
                <w:bCs/>
                <w:color w:val="000000"/>
                <w:sz w:val="20"/>
                <w:szCs w:val="24"/>
              </w:rPr>
              <w:t>0,</w:t>
            </w:r>
            <w:r w:rsidRPr="00EB0CA4">
              <w:rPr>
                <w:bCs/>
                <w:color w:val="000000"/>
                <w:sz w:val="20"/>
                <w:szCs w:val="24"/>
              </w:rPr>
              <w:t>00</w:t>
            </w:r>
          </w:p>
        </w:tc>
      </w:tr>
      <w:tr w:rsidR="00BF4753" w:rsidRPr="00EB0CA4" w:rsidTr="002D7CA8">
        <w:trPr>
          <w:trHeight w:val="489"/>
          <w:jc w:val="center"/>
        </w:trPr>
        <w:tc>
          <w:tcPr>
            <w:tcW w:w="2122" w:type="dxa"/>
            <w:vAlign w:val="bottom"/>
          </w:tcPr>
          <w:p w:rsidR="00BF4753" w:rsidRPr="00EB0CA4" w:rsidRDefault="00BF4753" w:rsidP="002D7CA8">
            <w:pPr>
              <w:widowControl w:val="0"/>
              <w:rPr>
                <w:rFonts w:eastAsia="Times New Roman"/>
                <w:sz w:val="20"/>
                <w:szCs w:val="24"/>
              </w:rPr>
            </w:pPr>
            <w:r w:rsidRPr="00EB0CA4">
              <w:rPr>
                <w:color w:val="000000"/>
                <w:sz w:val="20"/>
                <w:szCs w:val="24"/>
              </w:rPr>
              <w:t>(4)=(1)-(2)-(3)</w:t>
            </w:r>
          </w:p>
        </w:tc>
        <w:tc>
          <w:tcPr>
            <w:tcW w:w="4518" w:type="dxa"/>
            <w:vAlign w:val="center"/>
          </w:tcPr>
          <w:p w:rsidR="00BF4753" w:rsidRPr="00EB0CA4" w:rsidRDefault="00BF4753" w:rsidP="002D7CA8">
            <w:pPr>
              <w:widowControl w:val="0"/>
              <w:rPr>
                <w:rFonts w:eastAsia="Times New Roman"/>
                <w:sz w:val="20"/>
                <w:szCs w:val="24"/>
              </w:rPr>
            </w:pPr>
            <w:r w:rsidRPr="00EB0CA4">
              <w:rPr>
                <w:color w:val="000000"/>
                <w:sz w:val="20"/>
                <w:szCs w:val="24"/>
              </w:rPr>
              <w:t>strukturālā bilance</w:t>
            </w:r>
          </w:p>
        </w:tc>
        <w:tc>
          <w:tcPr>
            <w:tcW w:w="2002" w:type="dxa"/>
          </w:tcPr>
          <w:p w:rsidR="00BF4753" w:rsidRPr="00EB0CA4" w:rsidRDefault="00BF4753" w:rsidP="002D7CA8">
            <w:pPr>
              <w:widowControl w:val="0"/>
              <w:jc w:val="center"/>
              <w:rPr>
                <w:bCs/>
                <w:color w:val="000000"/>
                <w:sz w:val="20"/>
                <w:szCs w:val="24"/>
              </w:rPr>
            </w:pPr>
            <w:r>
              <w:rPr>
                <w:bCs/>
                <w:color w:val="000000"/>
                <w:sz w:val="20"/>
                <w:szCs w:val="24"/>
              </w:rPr>
              <w:t>-2,</w:t>
            </w:r>
            <w:r w:rsidRPr="00EB0CA4">
              <w:rPr>
                <w:bCs/>
                <w:color w:val="000000"/>
                <w:sz w:val="20"/>
                <w:szCs w:val="24"/>
              </w:rPr>
              <w:t>34</w:t>
            </w:r>
          </w:p>
        </w:tc>
      </w:tr>
      <w:tr w:rsidR="00BF4753" w:rsidRPr="00EB0CA4" w:rsidTr="002D7CA8">
        <w:trPr>
          <w:trHeight w:val="228"/>
          <w:jc w:val="center"/>
        </w:trPr>
        <w:tc>
          <w:tcPr>
            <w:tcW w:w="2122" w:type="dxa"/>
            <w:vAlign w:val="bottom"/>
          </w:tcPr>
          <w:p w:rsidR="00BF4753" w:rsidRPr="00EB0CA4" w:rsidRDefault="00BF4753" w:rsidP="002D7CA8">
            <w:pPr>
              <w:widowControl w:val="0"/>
              <w:rPr>
                <w:rFonts w:eastAsia="Times New Roman"/>
                <w:sz w:val="20"/>
                <w:szCs w:val="24"/>
              </w:rPr>
            </w:pPr>
            <w:r w:rsidRPr="00EB0CA4">
              <w:rPr>
                <w:color w:val="000000"/>
                <w:sz w:val="20"/>
                <w:szCs w:val="24"/>
              </w:rPr>
              <w:t>(5)</w:t>
            </w:r>
          </w:p>
        </w:tc>
        <w:tc>
          <w:tcPr>
            <w:tcW w:w="4518" w:type="dxa"/>
            <w:vAlign w:val="center"/>
          </w:tcPr>
          <w:p w:rsidR="00BF4753" w:rsidRPr="00EB0CA4" w:rsidRDefault="00BF4753" w:rsidP="002D7CA8">
            <w:pPr>
              <w:widowControl w:val="0"/>
              <w:rPr>
                <w:rFonts w:eastAsia="Times New Roman"/>
                <w:sz w:val="20"/>
                <w:szCs w:val="24"/>
              </w:rPr>
            </w:pPr>
            <w:r w:rsidRPr="00EB0CA4">
              <w:rPr>
                <w:color w:val="000000"/>
                <w:sz w:val="20"/>
                <w:szCs w:val="24"/>
              </w:rPr>
              <w:t>fiskālā nodrošinājuma rezerve</w:t>
            </w:r>
          </w:p>
        </w:tc>
        <w:tc>
          <w:tcPr>
            <w:tcW w:w="2002" w:type="dxa"/>
          </w:tcPr>
          <w:p w:rsidR="00BF4753" w:rsidRPr="00EB0CA4" w:rsidRDefault="00BF4753" w:rsidP="002D7CA8">
            <w:pPr>
              <w:widowControl w:val="0"/>
              <w:jc w:val="center"/>
              <w:rPr>
                <w:bCs/>
                <w:color w:val="000000"/>
                <w:sz w:val="20"/>
                <w:szCs w:val="24"/>
              </w:rPr>
            </w:pPr>
            <w:r>
              <w:rPr>
                <w:bCs/>
                <w:color w:val="000000"/>
                <w:sz w:val="20"/>
                <w:szCs w:val="24"/>
              </w:rPr>
              <w:t>0,</w:t>
            </w:r>
            <w:r w:rsidRPr="00EB0CA4">
              <w:rPr>
                <w:bCs/>
                <w:color w:val="000000"/>
                <w:sz w:val="20"/>
                <w:szCs w:val="24"/>
              </w:rPr>
              <w:t>10</w:t>
            </w:r>
          </w:p>
        </w:tc>
      </w:tr>
      <w:tr w:rsidR="00BF4753" w:rsidRPr="00EB0CA4" w:rsidTr="002D7CA8">
        <w:trPr>
          <w:trHeight w:val="244"/>
          <w:jc w:val="center"/>
        </w:trPr>
        <w:tc>
          <w:tcPr>
            <w:tcW w:w="2122" w:type="dxa"/>
            <w:vAlign w:val="bottom"/>
          </w:tcPr>
          <w:p w:rsidR="00BF4753" w:rsidRPr="00EB0CA4" w:rsidRDefault="00BF4753" w:rsidP="002D7CA8">
            <w:pPr>
              <w:widowControl w:val="0"/>
              <w:rPr>
                <w:rFonts w:eastAsia="Times New Roman"/>
                <w:b/>
                <w:sz w:val="20"/>
                <w:szCs w:val="24"/>
              </w:rPr>
            </w:pPr>
            <w:r w:rsidRPr="00EB0CA4">
              <w:rPr>
                <w:b/>
                <w:color w:val="000000"/>
                <w:sz w:val="20"/>
                <w:szCs w:val="24"/>
              </w:rPr>
              <w:t>(6)=(4)-(5)</w:t>
            </w:r>
          </w:p>
        </w:tc>
        <w:tc>
          <w:tcPr>
            <w:tcW w:w="4518" w:type="dxa"/>
            <w:vAlign w:val="center"/>
          </w:tcPr>
          <w:p w:rsidR="00BF4753" w:rsidRPr="00EB0CA4" w:rsidRDefault="00BF4753" w:rsidP="002D7CA8">
            <w:pPr>
              <w:widowControl w:val="0"/>
              <w:rPr>
                <w:rFonts w:eastAsia="Times New Roman"/>
                <w:b/>
                <w:sz w:val="20"/>
                <w:szCs w:val="24"/>
              </w:rPr>
            </w:pPr>
            <w:r w:rsidRPr="00EB0CA4">
              <w:rPr>
                <w:b/>
                <w:color w:val="000000"/>
                <w:sz w:val="20"/>
                <w:szCs w:val="24"/>
              </w:rPr>
              <w:t xml:space="preserve">strukturālās bilances mērķis </w:t>
            </w:r>
          </w:p>
        </w:tc>
        <w:tc>
          <w:tcPr>
            <w:tcW w:w="2002" w:type="dxa"/>
          </w:tcPr>
          <w:p w:rsidR="00BF4753" w:rsidRPr="00EB0CA4" w:rsidRDefault="00BF4753" w:rsidP="002D7CA8">
            <w:pPr>
              <w:widowControl w:val="0"/>
              <w:jc w:val="center"/>
              <w:rPr>
                <w:b/>
                <w:bCs/>
                <w:color w:val="000000"/>
                <w:sz w:val="20"/>
                <w:szCs w:val="24"/>
              </w:rPr>
            </w:pPr>
            <w:r>
              <w:rPr>
                <w:b/>
                <w:bCs/>
                <w:color w:val="000000"/>
                <w:sz w:val="20"/>
                <w:szCs w:val="24"/>
              </w:rPr>
              <w:t>-2,</w:t>
            </w:r>
            <w:r w:rsidRPr="00EB0CA4">
              <w:rPr>
                <w:b/>
                <w:bCs/>
                <w:color w:val="000000"/>
                <w:sz w:val="20"/>
                <w:szCs w:val="24"/>
              </w:rPr>
              <w:t>44</w:t>
            </w:r>
          </w:p>
        </w:tc>
      </w:tr>
      <w:tr w:rsidR="00BF4753" w:rsidRPr="00EB0CA4" w:rsidTr="002D7CA8">
        <w:trPr>
          <w:trHeight w:val="244"/>
          <w:jc w:val="center"/>
        </w:trPr>
        <w:tc>
          <w:tcPr>
            <w:tcW w:w="2122" w:type="dxa"/>
            <w:vAlign w:val="bottom"/>
          </w:tcPr>
          <w:p w:rsidR="00BF4753" w:rsidRPr="00EB0CA4" w:rsidRDefault="00BF4753" w:rsidP="002D7CA8">
            <w:pPr>
              <w:widowControl w:val="0"/>
              <w:rPr>
                <w:color w:val="000000"/>
                <w:sz w:val="20"/>
                <w:szCs w:val="24"/>
              </w:rPr>
            </w:pPr>
            <w:r w:rsidRPr="00EB0CA4">
              <w:rPr>
                <w:color w:val="000000"/>
                <w:sz w:val="20"/>
                <w:szCs w:val="24"/>
              </w:rPr>
              <w:t>(7)</w:t>
            </w:r>
          </w:p>
        </w:tc>
        <w:tc>
          <w:tcPr>
            <w:tcW w:w="4518" w:type="dxa"/>
            <w:vAlign w:val="bottom"/>
          </w:tcPr>
          <w:p w:rsidR="00BF4753" w:rsidRPr="00EB0CA4" w:rsidRDefault="00BF4753" w:rsidP="002D7CA8">
            <w:pPr>
              <w:widowControl w:val="0"/>
              <w:rPr>
                <w:color w:val="000000"/>
                <w:sz w:val="20"/>
                <w:szCs w:val="24"/>
              </w:rPr>
            </w:pPr>
            <w:r>
              <w:rPr>
                <w:color w:val="000000"/>
                <w:sz w:val="20"/>
                <w:szCs w:val="24"/>
              </w:rPr>
              <w:t>vidēja termiņa mērķis</w:t>
            </w:r>
          </w:p>
        </w:tc>
        <w:tc>
          <w:tcPr>
            <w:tcW w:w="2002" w:type="dxa"/>
          </w:tcPr>
          <w:p w:rsidR="00BF4753" w:rsidRPr="00EB0CA4" w:rsidRDefault="00BF4753" w:rsidP="002D7CA8">
            <w:pPr>
              <w:widowControl w:val="0"/>
              <w:jc w:val="center"/>
              <w:rPr>
                <w:bCs/>
                <w:color w:val="000000"/>
                <w:sz w:val="20"/>
                <w:szCs w:val="24"/>
              </w:rPr>
            </w:pPr>
            <w:r>
              <w:rPr>
                <w:bCs/>
                <w:color w:val="000000"/>
                <w:sz w:val="20"/>
                <w:szCs w:val="24"/>
              </w:rPr>
              <w:t>-0,</w:t>
            </w:r>
            <w:r w:rsidRPr="00EB0CA4">
              <w:rPr>
                <w:bCs/>
                <w:color w:val="000000"/>
                <w:sz w:val="20"/>
                <w:szCs w:val="24"/>
              </w:rPr>
              <w:t>50</w:t>
            </w:r>
          </w:p>
        </w:tc>
      </w:tr>
      <w:tr w:rsidR="00BF4753" w:rsidRPr="00EB0CA4" w:rsidTr="002D7CA8">
        <w:trPr>
          <w:trHeight w:val="228"/>
          <w:jc w:val="center"/>
        </w:trPr>
        <w:tc>
          <w:tcPr>
            <w:tcW w:w="2122" w:type="dxa"/>
            <w:vAlign w:val="bottom"/>
          </w:tcPr>
          <w:p w:rsidR="00BF4753" w:rsidRPr="00EB0CA4" w:rsidRDefault="00BF4753" w:rsidP="002D7CA8">
            <w:pPr>
              <w:widowControl w:val="0"/>
              <w:rPr>
                <w:color w:val="000000"/>
                <w:sz w:val="20"/>
                <w:szCs w:val="24"/>
              </w:rPr>
            </w:pPr>
            <w:r w:rsidRPr="00EB0CA4">
              <w:rPr>
                <w:color w:val="000000"/>
                <w:sz w:val="20"/>
                <w:szCs w:val="24"/>
              </w:rPr>
              <w:t>(8)=(6)-(7)</w:t>
            </w:r>
          </w:p>
        </w:tc>
        <w:tc>
          <w:tcPr>
            <w:tcW w:w="4518" w:type="dxa"/>
            <w:vAlign w:val="bottom"/>
          </w:tcPr>
          <w:p w:rsidR="00BF4753" w:rsidRPr="00EB0CA4" w:rsidRDefault="00BF4753" w:rsidP="002D7CA8">
            <w:pPr>
              <w:widowControl w:val="0"/>
              <w:rPr>
                <w:color w:val="000000"/>
                <w:sz w:val="20"/>
                <w:szCs w:val="24"/>
              </w:rPr>
            </w:pPr>
            <w:r>
              <w:rPr>
                <w:color w:val="000000"/>
                <w:sz w:val="20"/>
                <w:szCs w:val="24"/>
              </w:rPr>
              <w:t>atkāpe no vidēja termiņa mērķa</w:t>
            </w:r>
          </w:p>
        </w:tc>
        <w:tc>
          <w:tcPr>
            <w:tcW w:w="2002" w:type="dxa"/>
          </w:tcPr>
          <w:p w:rsidR="00BF4753" w:rsidRPr="00EB0CA4" w:rsidRDefault="00BF4753" w:rsidP="002D7CA8">
            <w:pPr>
              <w:widowControl w:val="0"/>
              <w:jc w:val="center"/>
              <w:rPr>
                <w:bCs/>
                <w:color w:val="000000"/>
                <w:sz w:val="20"/>
                <w:szCs w:val="24"/>
              </w:rPr>
            </w:pPr>
            <w:r>
              <w:rPr>
                <w:bCs/>
                <w:color w:val="000000"/>
                <w:sz w:val="20"/>
                <w:szCs w:val="24"/>
              </w:rPr>
              <w:t>-1,</w:t>
            </w:r>
            <w:r w:rsidRPr="00EB0CA4">
              <w:rPr>
                <w:bCs/>
                <w:color w:val="000000"/>
                <w:sz w:val="20"/>
                <w:szCs w:val="24"/>
              </w:rPr>
              <w:t>94</w:t>
            </w:r>
          </w:p>
        </w:tc>
      </w:tr>
    </w:tbl>
    <w:p w:rsidR="00BF4753" w:rsidRDefault="00BF4753" w:rsidP="00BF4753">
      <w:pPr>
        <w:widowControl w:val="0"/>
        <w:ind w:firstLine="0"/>
        <w:rPr>
          <w:rFonts w:eastAsia="Times New Roman" w:cs="Times New Roman"/>
          <w:szCs w:val="24"/>
        </w:rPr>
      </w:pPr>
    </w:p>
    <w:p w:rsidR="00BF4753" w:rsidRDefault="00BF4753" w:rsidP="00BF4753">
      <w:pPr>
        <w:widowControl w:val="0"/>
        <w:rPr>
          <w:rFonts w:eastAsia="Times New Roman" w:cs="Times New Roman"/>
          <w:szCs w:val="24"/>
        </w:rPr>
      </w:pPr>
      <w:r w:rsidRPr="00EB0CA4">
        <w:rPr>
          <w:rFonts w:eastAsia="Times New Roman" w:cs="Times New Roman"/>
          <w:szCs w:val="24"/>
        </w:rPr>
        <w:t>Attiecīgi Latvijas strukturālās bilances mērķis 2022.</w:t>
      </w:r>
      <w:r>
        <w:rPr>
          <w:rFonts w:eastAsia="Times New Roman" w:cs="Times New Roman"/>
          <w:szCs w:val="24"/>
        </w:rPr>
        <w:t xml:space="preserve"> </w:t>
      </w:r>
      <w:r w:rsidRPr="00EB0CA4">
        <w:rPr>
          <w:rFonts w:eastAsia="Times New Roman" w:cs="Times New Roman"/>
          <w:szCs w:val="24"/>
        </w:rPr>
        <w:t xml:space="preserve">gadā ir -2,44% no </w:t>
      </w:r>
      <w:r>
        <w:rPr>
          <w:rFonts w:eastAsia="Times New Roman" w:cs="Times New Roman"/>
          <w:szCs w:val="24"/>
        </w:rPr>
        <w:t>iekšzemes kopprodukta</w:t>
      </w:r>
      <w:r w:rsidRPr="00EB0CA4">
        <w:rPr>
          <w:rFonts w:eastAsia="Times New Roman" w:cs="Times New Roman"/>
          <w:szCs w:val="24"/>
        </w:rPr>
        <w:t xml:space="preserve">. Saskaņā ar </w:t>
      </w:r>
      <w:r>
        <w:rPr>
          <w:rFonts w:eastAsia="Times New Roman" w:cs="Times New Roman"/>
          <w:szCs w:val="24"/>
        </w:rPr>
        <w:t xml:space="preserve"> Fiskālās disciplīnas likuma</w:t>
      </w:r>
      <w:r w:rsidRPr="00EB0CA4">
        <w:rPr>
          <w:rFonts w:eastAsia="Times New Roman" w:cs="Times New Roman"/>
          <w:szCs w:val="24"/>
        </w:rPr>
        <w:t xml:space="preserve"> regulējumu budžeta likuma projektā plānojamā strukturālā bilance ir -2,34% no </w:t>
      </w:r>
      <w:r>
        <w:rPr>
          <w:rFonts w:eastAsia="Times New Roman" w:cs="Times New Roman"/>
          <w:szCs w:val="24"/>
        </w:rPr>
        <w:t>iekšzemes kopprodukta</w:t>
      </w:r>
      <w:r w:rsidRPr="00EB0CA4">
        <w:rPr>
          <w:rFonts w:eastAsia="Times New Roman" w:cs="Times New Roman"/>
          <w:szCs w:val="24"/>
        </w:rPr>
        <w:t xml:space="preserve">. Starpība 0,1% no </w:t>
      </w:r>
      <w:r>
        <w:rPr>
          <w:rFonts w:eastAsia="Times New Roman" w:cs="Times New Roman"/>
          <w:szCs w:val="24"/>
        </w:rPr>
        <w:t>iekšzemes kopprodukta</w:t>
      </w:r>
      <w:r w:rsidRPr="00EB0CA4">
        <w:rPr>
          <w:rFonts w:eastAsia="Times New Roman" w:cs="Times New Roman"/>
          <w:szCs w:val="24"/>
        </w:rPr>
        <w:t xml:space="preserve"> ir fiskālā nodrošinājuma rezerve un ir paredzēta, lai ņemtu vērā fiskālos riskus.</w:t>
      </w:r>
    </w:p>
    <w:p w:rsidR="00BF4753" w:rsidRPr="00EB0CA4" w:rsidRDefault="00BF4753" w:rsidP="00BF4753">
      <w:pPr>
        <w:widowControl w:val="0"/>
        <w:rPr>
          <w:rFonts w:eastAsia="Times New Roman" w:cs="Times New Roman"/>
          <w:szCs w:val="24"/>
        </w:rPr>
      </w:pPr>
      <w:r>
        <w:rPr>
          <w:rFonts w:eastAsia="Times New Roman" w:cs="Times New Roman"/>
          <w:szCs w:val="24"/>
        </w:rPr>
        <w:t xml:space="preserve">Jāatzīmē, ka strukturālās bilances mērķim 2022. gadā ir formāls raksturs, jo šajā gadījumā tas nav rādītājs, saskaņā ar kuru ir jāizstrādā 2022. gada valsts budžets. Ņemot vērā vispārējo izņēmuma klauzulu, 2022. gada vispārējās </w:t>
      </w:r>
      <w:r>
        <w:rPr>
          <w:rFonts w:eastAsia="Times New Roman" w:cs="Times New Roman"/>
          <w:szCs w:val="24"/>
        </w:rPr>
        <w:lastRenderedPageBreak/>
        <w:t xml:space="preserve">valdības budžeta deficīts var būt tik augsts, cik ir nepieciešams krīzes seku pārvarēšanai. Strukturālās bilances mērķis tiks attiecīgi pārrēķināts, izmantojot aktuālo nominālo bilanci.    </w:t>
      </w:r>
    </w:p>
    <w:p w:rsidR="00BF4753" w:rsidRDefault="00BF4753" w:rsidP="00BF4753">
      <w:pPr>
        <w:widowControl w:val="0"/>
        <w:rPr>
          <w:rFonts w:eastAsia="Times New Roman" w:cs="Times New Roman"/>
          <w:szCs w:val="24"/>
        </w:rPr>
      </w:pPr>
      <w:r w:rsidRPr="00EB0CA4">
        <w:rPr>
          <w:rFonts w:eastAsia="Times New Roman" w:cs="Times New Roman"/>
          <w:b/>
          <w:szCs w:val="24"/>
        </w:rPr>
        <w:t>2023. gadā un 2024. gadā</w:t>
      </w:r>
      <w:r w:rsidRPr="00EB0CA4">
        <w:rPr>
          <w:rFonts w:eastAsia="Times New Roman" w:cs="Times New Roman"/>
          <w:b/>
          <w:color w:val="000000"/>
          <w:szCs w:val="24"/>
        </w:rPr>
        <w:t xml:space="preserve"> </w:t>
      </w:r>
      <w:r w:rsidRPr="00EB0CA4">
        <w:rPr>
          <w:rFonts w:eastAsia="Times New Roman" w:cs="Times New Roman"/>
          <w:color w:val="000000"/>
          <w:szCs w:val="24"/>
        </w:rPr>
        <w:t>strukturālās bilances mērķa vērtības noteikšanai tiek izmantot</w:t>
      </w:r>
      <w:r>
        <w:rPr>
          <w:rFonts w:eastAsia="Times New Roman" w:cs="Times New Roman"/>
          <w:color w:val="000000"/>
          <w:szCs w:val="24"/>
        </w:rPr>
        <w:t xml:space="preserve">s tikai nacionālais bilances nosacījums un tāpēc strukturālās bilances mērķis ir vienāds ar vidēja termiņa mērķi un ir -0,5% no iekšzemes kopprodukta. </w:t>
      </w:r>
      <w:r w:rsidRPr="00EB0CA4">
        <w:rPr>
          <w:rFonts w:eastAsia="Times New Roman" w:cs="Times New Roman"/>
          <w:color w:val="000000"/>
          <w:szCs w:val="24"/>
        </w:rPr>
        <w:t xml:space="preserve"> </w:t>
      </w:r>
    </w:p>
    <w:p w:rsidR="00BF4753" w:rsidRPr="00EB0CA4" w:rsidRDefault="00BF4753" w:rsidP="00BF4753">
      <w:pPr>
        <w:widowControl w:val="0"/>
        <w:rPr>
          <w:rFonts w:eastAsia="Times New Roman" w:cs="Times New Roman"/>
          <w:szCs w:val="24"/>
        </w:rPr>
      </w:pPr>
      <w:r>
        <w:rPr>
          <w:rFonts w:eastAsia="Times New Roman" w:cs="Times New Roman"/>
          <w:szCs w:val="24"/>
        </w:rPr>
        <w:t>Šāda vienkāršota pieeja tiek izmantota tāpēc, ka sakarā ar augsto nenoteiktību un vispārējās izņēmuma klauzulas esamību 2022. gadā, izdevumu pieauguma un izdevumu p</w:t>
      </w:r>
      <w:r w:rsidR="00EA45C8">
        <w:rPr>
          <w:rFonts w:eastAsia="Times New Roman" w:cs="Times New Roman"/>
          <w:szCs w:val="24"/>
        </w:rPr>
        <w:t>ārmantošanas nosacījumi ir grūti</w:t>
      </w:r>
      <w:r>
        <w:rPr>
          <w:rFonts w:eastAsia="Times New Roman" w:cs="Times New Roman"/>
          <w:szCs w:val="24"/>
        </w:rPr>
        <w:t xml:space="preserve"> piemērojami un uz to pamata iegūtajiem rezultātiem ir zema ticamība. Savukārt Stabilitātes un izaugsmes pakta fiskālo nosacījumu piemērošana pēc vispārējās izņēmuma klauzulas atcelšanas pašlaik ietver</w:t>
      </w:r>
      <w:r w:rsidR="00EA45C8">
        <w:rPr>
          <w:rFonts w:eastAsia="Times New Roman" w:cs="Times New Roman"/>
          <w:szCs w:val="24"/>
        </w:rPr>
        <w:t xml:space="preserve"> virkni nezināmo, piemēram, </w:t>
      </w:r>
      <w:r>
        <w:rPr>
          <w:rFonts w:eastAsia="Times New Roman" w:cs="Times New Roman"/>
          <w:szCs w:val="24"/>
        </w:rPr>
        <w:t xml:space="preserve">strukturālā deficīta samazināšanas ātrumu un iespējamo Stabilitātes un izaugsmes paktā noteikto bilances atkāpju izmantošanu. </w:t>
      </w:r>
    </w:p>
    <w:p w:rsidR="00BF4753" w:rsidRDefault="00BF4753" w:rsidP="00BF4753">
      <w:pPr>
        <w:widowControl w:val="0"/>
        <w:rPr>
          <w:rFonts w:eastAsia="Times New Roman" w:cs="Times New Roman"/>
          <w:color w:val="000000"/>
          <w:szCs w:val="24"/>
        </w:rPr>
      </w:pPr>
      <w:r w:rsidRPr="00EB0CA4">
        <w:rPr>
          <w:rFonts w:eastAsia="Times New Roman" w:cs="Times New Roman"/>
          <w:szCs w:val="24"/>
        </w:rPr>
        <w:t xml:space="preserve">Veiktie aprēķini norāda, ka </w:t>
      </w:r>
      <w:r w:rsidRPr="00EB0CA4">
        <w:rPr>
          <w:rFonts w:eastAsia="Times New Roman" w:cs="Times New Roman"/>
          <w:color w:val="000000"/>
          <w:szCs w:val="24"/>
        </w:rPr>
        <w:t xml:space="preserve">vispārējās valdības budžeta strukturālās bilances apmērs pie nemainīgas politikas </w:t>
      </w:r>
      <w:r w:rsidRPr="00EB0CA4">
        <w:rPr>
          <w:rFonts w:eastAsia="Times New Roman" w:cs="Times New Roman"/>
          <w:b/>
          <w:szCs w:val="24"/>
        </w:rPr>
        <w:t>2023.</w:t>
      </w:r>
      <w:r>
        <w:rPr>
          <w:rFonts w:eastAsia="Times New Roman" w:cs="Times New Roman"/>
          <w:b/>
          <w:szCs w:val="24"/>
        </w:rPr>
        <w:t xml:space="preserve"> </w:t>
      </w:r>
      <w:r w:rsidRPr="00EB0CA4">
        <w:rPr>
          <w:rFonts w:eastAsia="Times New Roman" w:cs="Times New Roman"/>
          <w:b/>
          <w:szCs w:val="24"/>
        </w:rPr>
        <w:t>gadā</w:t>
      </w:r>
      <w:r w:rsidRPr="00EB0CA4">
        <w:rPr>
          <w:rFonts w:eastAsia="Times New Roman" w:cs="Times New Roman"/>
          <w:szCs w:val="24"/>
        </w:rPr>
        <w:t xml:space="preserve"> par 0,87 procenta punktiem pārsniedz </w:t>
      </w:r>
      <w:r>
        <w:rPr>
          <w:rFonts w:eastAsia="Times New Roman" w:cs="Times New Roman"/>
          <w:color w:val="000000"/>
          <w:szCs w:val="24"/>
        </w:rPr>
        <w:t>vidēja termiņa mērķi</w:t>
      </w:r>
      <w:r w:rsidRPr="00EB0CA4">
        <w:rPr>
          <w:rFonts w:eastAsia="Times New Roman" w:cs="Times New Roman"/>
          <w:szCs w:val="24"/>
        </w:rPr>
        <w:t xml:space="preserve"> un atbilstoši </w:t>
      </w:r>
      <w:r>
        <w:rPr>
          <w:rFonts w:eastAsia="Times New Roman" w:cs="Times New Roman"/>
          <w:szCs w:val="24"/>
        </w:rPr>
        <w:t>Fiskālās disciplīnas likuma</w:t>
      </w:r>
      <w:r w:rsidRPr="00EB0CA4">
        <w:rPr>
          <w:rFonts w:eastAsia="Times New Roman" w:cs="Times New Roman"/>
          <w:szCs w:val="24"/>
        </w:rPr>
        <w:t xml:space="preserve"> nosacījumiem par attiecīgās novirzes apmēru </w:t>
      </w:r>
      <w:r>
        <w:rPr>
          <w:rFonts w:eastAsia="Times New Roman" w:cs="Times New Roman"/>
          <w:szCs w:val="24"/>
        </w:rPr>
        <w:t>ir</w:t>
      </w:r>
      <w:r w:rsidRPr="00EB0CA4">
        <w:rPr>
          <w:rFonts w:eastAsia="Times New Roman" w:cs="Times New Roman"/>
          <w:szCs w:val="24"/>
        </w:rPr>
        <w:t xml:space="preserve"> veicama budžeta konsolidācija. J</w:t>
      </w:r>
      <w:r w:rsidRPr="00EB0CA4">
        <w:rPr>
          <w:rFonts w:eastAsia="Times New Roman" w:cs="Times New Roman"/>
          <w:color w:val="000000"/>
          <w:szCs w:val="24"/>
        </w:rPr>
        <w:t xml:space="preserve">āatzīmē, ka Stabilitātes programmas sagatavošanas brīdī Ministru kabinetam nav jālemj par nākamā gada budžeta un vidēja termiņa </w:t>
      </w:r>
      <w:r w:rsidR="00EA45C8">
        <w:rPr>
          <w:rFonts w:eastAsia="Times New Roman" w:cs="Times New Roman"/>
          <w:color w:val="000000"/>
          <w:szCs w:val="24"/>
        </w:rPr>
        <w:t xml:space="preserve">budžeta </w:t>
      </w:r>
      <w:r w:rsidRPr="00EB0CA4">
        <w:rPr>
          <w:rFonts w:eastAsia="Times New Roman" w:cs="Times New Roman"/>
          <w:color w:val="000000"/>
          <w:szCs w:val="24"/>
        </w:rPr>
        <w:t>ietvara sagatavošanu. Tāpat pašlaik pastāv augsta nenoteiktība ne tikai attiecībā uz šī gada makroekonomisko un fiskālo prognožu precizitāti, bet vēl jo lielākā apmērā uz turpmāk</w:t>
      </w:r>
      <w:r w:rsidR="00EA45C8">
        <w:rPr>
          <w:rFonts w:eastAsia="Times New Roman" w:cs="Times New Roman"/>
          <w:color w:val="000000"/>
          <w:szCs w:val="24"/>
        </w:rPr>
        <w:t>o gadu prognozēm. Līdz ar to, šī</w:t>
      </w:r>
      <w:r w:rsidRPr="00EB0CA4">
        <w:rPr>
          <w:rFonts w:eastAsia="Times New Roman" w:cs="Times New Roman"/>
          <w:color w:val="000000"/>
          <w:szCs w:val="24"/>
        </w:rPr>
        <w:t xml:space="preserve"> ga</w:t>
      </w:r>
      <w:r w:rsidR="00EA45C8">
        <w:rPr>
          <w:rFonts w:eastAsia="Times New Roman" w:cs="Times New Roman"/>
          <w:color w:val="000000"/>
          <w:szCs w:val="24"/>
        </w:rPr>
        <w:t>da rudenī fiskālās prognozes 2023. gadam</w:t>
      </w:r>
      <w:r w:rsidRPr="00EB0CA4">
        <w:rPr>
          <w:rFonts w:eastAsia="Times New Roman" w:cs="Times New Roman"/>
          <w:color w:val="000000"/>
          <w:szCs w:val="24"/>
        </w:rPr>
        <w:t xml:space="preserve"> var būtiski atšķirties no Stabilitātes programmā iekļautajām.  Tomēr pašreizējās prognozes norāda uz būtisku risku par </w:t>
      </w:r>
      <w:r w:rsidR="00EA45C8">
        <w:rPr>
          <w:rFonts w:eastAsia="Times New Roman" w:cs="Times New Roman"/>
          <w:color w:val="000000"/>
          <w:szCs w:val="24"/>
        </w:rPr>
        <w:t>fiskālās telpas neesamību 2023. </w:t>
      </w:r>
      <w:r w:rsidRPr="00EB0CA4">
        <w:rPr>
          <w:rFonts w:eastAsia="Times New Roman" w:cs="Times New Roman"/>
          <w:color w:val="000000"/>
          <w:szCs w:val="24"/>
        </w:rPr>
        <w:t xml:space="preserve">gadā. </w:t>
      </w:r>
    </w:p>
    <w:p w:rsidR="00BF4753" w:rsidRPr="00192D11" w:rsidRDefault="00EA45C8" w:rsidP="00BF4753">
      <w:pPr>
        <w:widowControl w:val="0"/>
        <w:rPr>
          <w:rFonts w:eastAsia="Times New Roman" w:cs="Times New Roman"/>
          <w:color w:val="000000"/>
          <w:szCs w:val="24"/>
        </w:rPr>
      </w:pPr>
      <w:r w:rsidRPr="00EA45C8">
        <w:rPr>
          <w:rFonts w:eastAsia="Times New Roman" w:cs="Times New Roman"/>
          <w:color w:val="000000"/>
          <w:szCs w:val="24"/>
        </w:rPr>
        <w:t>Attiecībā uz</w:t>
      </w:r>
      <w:r>
        <w:rPr>
          <w:rFonts w:eastAsia="Times New Roman" w:cs="Times New Roman"/>
          <w:b/>
          <w:color w:val="000000"/>
          <w:szCs w:val="24"/>
        </w:rPr>
        <w:t xml:space="preserve"> 2024. gadu</w:t>
      </w:r>
      <w:r w:rsidR="00BF4753" w:rsidRPr="00EB0CA4">
        <w:rPr>
          <w:rFonts w:eastAsia="Times New Roman" w:cs="Times New Roman"/>
          <w:b/>
          <w:color w:val="000000"/>
          <w:szCs w:val="24"/>
        </w:rPr>
        <w:t xml:space="preserve"> </w:t>
      </w:r>
      <w:r w:rsidR="00BF4753" w:rsidRPr="00EB0CA4">
        <w:rPr>
          <w:rFonts w:eastAsia="Times New Roman" w:cs="Times New Roman"/>
          <w:color w:val="000000"/>
          <w:szCs w:val="24"/>
        </w:rPr>
        <w:t xml:space="preserve">veiktie aprēķini norāda, ka vispārējās valdības budžeta strukturālās bilances apmērs pie nemainīgas politikas ir saskaņā ar </w:t>
      </w:r>
      <w:r w:rsidR="00BF4753">
        <w:rPr>
          <w:rFonts w:eastAsia="Times New Roman" w:cs="Times New Roman"/>
          <w:color w:val="000000"/>
          <w:szCs w:val="24"/>
        </w:rPr>
        <w:t>vidēja termiņa mērķi</w:t>
      </w:r>
      <w:r w:rsidR="00BF4753" w:rsidRPr="00EB0CA4">
        <w:rPr>
          <w:rFonts w:eastAsia="Times New Roman" w:cs="Times New Roman"/>
          <w:color w:val="000000"/>
          <w:szCs w:val="24"/>
        </w:rPr>
        <w:t xml:space="preserve"> un valdības rīcībā ir pieejama fiskālā telpa jaunu diskrecionāro lēmumu pieņemšanai.</w:t>
      </w:r>
    </w:p>
    <w:p w:rsidR="00BF4753" w:rsidRPr="001F7F4C" w:rsidRDefault="00BF4753" w:rsidP="00BF4753">
      <w:pPr>
        <w:pStyle w:val="ListParagraph"/>
        <w:widowControl w:val="0"/>
        <w:numPr>
          <w:ilvl w:val="1"/>
          <w:numId w:val="13"/>
        </w:numPr>
        <w:spacing w:before="120" w:after="120"/>
        <w:ind w:left="1078" w:hanging="369"/>
        <w:jc w:val="right"/>
        <w:rPr>
          <w:rFonts w:eastAsia="Times New Roman" w:cs="Times New Roman"/>
          <w:b/>
          <w:i/>
          <w:sz w:val="24"/>
          <w:szCs w:val="24"/>
        </w:rPr>
      </w:pPr>
      <w:r>
        <w:rPr>
          <w:rFonts w:eastAsia="Times New Roman" w:cs="Times New Roman"/>
          <w:b/>
          <w:i/>
          <w:sz w:val="24"/>
          <w:szCs w:val="24"/>
        </w:rPr>
        <w:t xml:space="preserve"> </w:t>
      </w:r>
      <w:r w:rsidRPr="001F7F4C">
        <w:rPr>
          <w:rFonts w:eastAsia="Times New Roman" w:cs="Times New Roman"/>
          <w:b/>
          <w:i/>
          <w:sz w:val="24"/>
          <w:szCs w:val="24"/>
        </w:rPr>
        <w:t>tabula. Strukturālās bilances mērķis 2023. gadam</w:t>
      </w:r>
    </w:p>
    <w:tbl>
      <w:tblPr>
        <w:tblStyle w:val="TableGrid4"/>
        <w:tblW w:w="0" w:type="auto"/>
        <w:jc w:val="center"/>
        <w:tblLook w:val="04A0" w:firstRow="1" w:lastRow="0" w:firstColumn="1" w:lastColumn="0" w:noHBand="0" w:noVBand="1"/>
      </w:tblPr>
      <w:tblGrid>
        <w:gridCol w:w="2211"/>
        <w:gridCol w:w="3596"/>
        <w:gridCol w:w="1559"/>
        <w:gridCol w:w="1641"/>
      </w:tblGrid>
      <w:tr w:rsidR="00BF4753" w:rsidRPr="00EB0CA4" w:rsidTr="002D7CA8">
        <w:trPr>
          <w:trHeight w:val="263"/>
          <w:jc w:val="center"/>
        </w:trPr>
        <w:tc>
          <w:tcPr>
            <w:tcW w:w="2211" w:type="dxa"/>
            <w:shd w:val="clear" w:color="auto" w:fill="DEEAF6" w:themeFill="accent1" w:themeFillTint="33"/>
          </w:tcPr>
          <w:p w:rsidR="00BF4753" w:rsidRPr="00EB0CA4" w:rsidRDefault="00BF4753" w:rsidP="002D7CA8">
            <w:pPr>
              <w:widowControl w:val="0"/>
              <w:rPr>
                <w:rFonts w:eastAsia="Times New Roman"/>
                <w:sz w:val="20"/>
              </w:rPr>
            </w:pPr>
          </w:p>
        </w:tc>
        <w:tc>
          <w:tcPr>
            <w:tcW w:w="3596" w:type="dxa"/>
            <w:shd w:val="clear" w:color="auto" w:fill="DEEAF6" w:themeFill="accent1" w:themeFillTint="33"/>
          </w:tcPr>
          <w:p w:rsidR="00BF4753" w:rsidRPr="00EB0CA4" w:rsidRDefault="00BF4753" w:rsidP="002D7CA8">
            <w:pPr>
              <w:widowControl w:val="0"/>
              <w:rPr>
                <w:rFonts w:eastAsia="Times New Roman"/>
                <w:sz w:val="20"/>
              </w:rPr>
            </w:pPr>
          </w:p>
        </w:tc>
        <w:tc>
          <w:tcPr>
            <w:tcW w:w="1559" w:type="dxa"/>
            <w:shd w:val="clear" w:color="auto" w:fill="DEEAF6" w:themeFill="accent1" w:themeFillTint="33"/>
          </w:tcPr>
          <w:p w:rsidR="00BF4753" w:rsidRPr="00EB0CA4" w:rsidRDefault="00BF4753" w:rsidP="002D7CA8">
            <w:pPr>
              <w:widowControl w:val="0"/>
              <w:jc w:val="center"/>
              <w:rPr>
                <w:rFonts w:eastAsia="Times New Roman"/>
                <w:b/>
                <w:sz w:val="20"/>
              </w:rPr>
            </w:pPr>
            <w:r w:rsidRPr="00EB0CA4">
              <w:rPr>
                <w:rFonts w:eastAsia="Times New Roman"/>
                <w:b/>
                <w:sz w:val="20"/>
              </w:rPr>
              <w:t>2023</w:t>
            </w:r>
          </w:p>
        </w:tc>
        <w:tc>
          <w:tcPr>
            <w:tcW w:w="1641" w:type="dxa"/>
            <w:shd w:val="clear" w:color="auto" w:fill="DEEAF6" w:themeFill="accent1" w:themeFillTint="33"/>
          </w:tcPr>
          <w:p w:rsidR="00BF4753" w:rsidRPr="00EB0CA4" w:rsidRDefault="00BF4753" w:rsidP="002D7CA8">
            <w:pPr>
              <w:widowControl w:val="0"/>
              <w:jc w:val="center"/>
              <w:rPr>
                <w:rFonts w:eastAsia="Times New Roman"/>
                <w:b/>
                <w:sz w:val="20"/>
              </w:rPr>
            </w:pPr>
            <w:r w:rsidRPr="00EB0CA4">
              <w:rPr>
                <w:rFonts w:eastAsia="Times New Roman"/>
                <w:b/>
                <w:sz w:val="20"/>
              </w:rPr>
              <w:t>2024</w:t>
            </w:r>
          </w:p>
        </w:tc>
      </w:tr>
      <w:tr w:rsidR="00BF4753" w:rsidRPr="00EB0CA4" w:rsidTr="002D7CA8">
        <w:trPr>
          <w:trHeight w:val="283"/>
          <w:jc w:val="center"/>
        </w:trPr>
        <w:tc>
          <w:tcPr>
            <w:tcW w:w="2211" w:type="dxa"/>
            <w:vAlign w:val="bottom"/>
          </w:tcPr>
          <w:p w:rsidR="00BF4753" w:rsidRPr="00EB0CA4" w:rsidRDefault="00BF4753" w:rsidP="002D7CA8">
            <w:pPr>
              <w:widowControl w:val="0"/>
              <w:rPr>
                <w:rFonts w:eastAsia="Times New Roman"/>
                <w:b/>
                <w:sz w:val="20"/>
              </w:rPr>
            </w:pPr>
            <w:r w:rsidRPr="00EB0CA4">
              <w:rPr>
                <w:b/>
                <w:color w:val="000000"/>
                <w:sz w:val="20"/>
              </w:rPr>
              <w:t>(1)</w:t>
            </w:r>
          </w:p>
        </w:tc>
        <w:tc>
          <w:tcPr>
            <w:tcW w:w="3596" w:type="dxa"/>
            <w:vAlign w:val="center"/>
          </w:tcPr>
          <w:p w:rsidR="00BF4753" w:rsidRPr="00EB0CA4" w:rsidRDefault="00BF4753" w:rsidP="002D7CA8">
            <w:pPr>
              <w:widowControl w:val="0"/>
              <w:ind w:firstLine="0"/>
              <w:rPr>
                <w:rFonts w:eastAsia="Times New Roman"/>
                <w:b/>
                <w:sz w:val="20"/>
              </w:rPr>
            </w:pPr>
            <w:r>
              <w:rPr>
                <w:b/>
                <w:bCs/>
                <w:color w:val="000000"/>
                <w:sz w:val="20"/>
              </w:rPr>
              <w:t xml:space="preserve">vidēja termiņa mērķis </w:t>
            </w:r>
          </w:p>
        </w:tc>
        <w:tc>
          <w:tcPr>
            <w:tcW w:w="1559" w:type="dxa"/>
            <w:vAlign w:val="center"/>
          </w:tcPr>
          <w:p w:rsidR="00BF4753" w:rsidRPr="00EB0CA4" w:rsidRDefault="00BF4753" w:rsidP="002D7CA8">
            <w:pPr>
              <w:widowControl w:val="0"/>
              <w:jc w:val="center"/>
              <w:rPr>
                <w:rFonts w:eastAsia="Times New Roman"/>
                <w:b/>
                <w:sz w:val="20"/>
              </w:rPr>
            </w:pPr>
            <w:r w:rsidRPr="00EB0CA4">
              <w:rPr>
                <w:b/>
                <w:bCs/>
                <w:color w:val="000000"/>
                <w:sz w:val="20"/>
              </w:rPr>
              <w:t>-0,50</w:t>
            </w:r>
          </w:p>
        </w:tc>
        <w:tc>
          <w:tcPr>
            <w:tcW w:w="1641" w:type="dxa"/>
            <w:vAlign w:val="center"/>
          </w:tcPr>
          <w:p w:rsidR="00BF4753" w:rsidRPr="00EB0CA4" w:rsidRDefault="00BF4753" w:rsidP="002D7CA8">
            <w:pPr>
              <w:widowControl w:val="0"/>
              <w:jc w:val="center"/>
              <w:rPr>
                <w:rFonts w:eastAsia="Times New Roman"/>
                <w:b/>
                <w:sz w:val="20"/>
              </w:rPr>
            </w:pPr>
            <w:r w:rsidRPr="00EB0CA4">
              <w:rPr>
                <w:b/>
                <w:bCs/>
                <w:color w:val="000000"/>
                <w:sz w:val="20"/>
              </w:rPr>
              <w:t>-0,50</w:t>
            </w:r>
          </w:p>
        </w:tc>
      </w:tr>
      <w:tr w:rsidR="00BF4753" w:rsidRPr="00EB0CA4" w:rsidTr="002D7CA8">
        <w:trPr>
          <w:trHeight w:val="263"/>
          <w:jc w:val="center"/>
        </w:trPr>
        <w:tc>
          <w:tcPr>
            <w:tcW w:w="2211" w:type="dxa"/>
            <w:vAlign w:val="bottom"/>
          </w:tcPr>
          <w:p w:rsidR="00BF4753" w:rsidRPr="00EB0CA4" w:rsidRDefault="00BF4753" w:rsidP="002D7CA8">
            <w:pPr>
              <w:widowControl w:val="0"/>
              <w:rPr>
                <w:rFonts w:eastAsia="Times New Roman"/>
                <w:b/>
                <w:sz w:val="20"/>
              </w:rPr>
            </w:pPr>
            <w:r w:rsidRPr="00EB0CA4">
              <w:rPr>
                <w:b/>
                <w:color w:val="000000"/>
                <w:sz w:val="20"/>
              </w:rPr>
              <w:t>(2)</w:t>
            </w:r>
          </w:p>
        </w:tc>
        <w:tc>
          <w:tcPr>
            <w:tcW w:w="3596" w:type="dxa"/>
            <w:vAlign w:val="center"/>
          </w:tcPr>
          <w:p w:rsidR="00BF4753" w:rsidRPr="00EB0CA4" w:rsidRDefault="00BF4753" w:rsidP="002D7CA8">
            <w:pPr>
              <w:widowControl w:val="0"/>
              <w:ind w:firstLine="0"/>
              <w:rPr>
                <w:rFonts w:eastAsia="Times New Roman"/>
                <w:b/>
                <w:sz w:val="20"/>
              </w:rPr>
            </w:pPr>
            <w:r w:rsidRPr="00EB0CA4">
              <w:rPr>
                <w:b/>
                <w:color w:val="000000"/>
                <w:sz w:val="20"/>
              </w:rPr>
              <w:t>strukturālās bilances mērķis</w:t>
            </w:r>
          </w:p>
        </w:tc>
        <w:tc>
          <w:tcPr>
            <w:tcW w:w="1559" w:type="dxa"/>
            <w:vAlign w:val="center"/>
          </w:tcPr>
          <w:p w:rsidR="00BF4753" w:rsidRPr="00EB0CA4" w:rsidRDefault="00BF4753" w:rsidP="002D7CA8">
            <w:pPr>
              <w:widowControl w:val="0"/>
              <w:jc w:val="center"/>
              <w:rPr>
                <w:rFonts w:eastAsia="Times New Roman"/>
                <w:b/>
                <w:sz w:val="20"/>
              </w:rPr>
            </w:pPr>
            <w:r w:rsidRPr="00EB0CA4">
              <w:rPr>
                <w:b/>
                <w:color w:val="000000"/>
                <w:sz w:val="20"/>
              </w:rPr>
              <w:t>-0,50</w:t>
            </w:r>
          </w:p>
        </w:tc>
        <w:tc>
          <w:tcPr>
            <w:tcW w:w="1641" w:type="dxa"/>
            <w:vAlign w:val="center"/>
          </w:tcPr>
          <w:p w:rsidR="00BF4753" w:rsidRPr="00EB0CA4" w:rsidRDefault="00BF4753" w:rsidP="002D7CA8">
            <w:pPr>
              <w:widowControl w:val="0"/>
              <w:jc w:val="center"/>
              <w:rPr>
                <w:rFonts w:eastAsia="Times New Roman"/>
                <w:b/>
                <w:sz w:val="20"/>
              </w:rPr>
            </w:pPr>
            <w:r w:rsidRPr="00EB0CA4">
              <w:rPr>
                <w:b/>
                <w:color w:val="000000"/>
                <w:sz w:val="20"/>
              </w:rPr>
              <w:t>-0,50</w:t>
            </w:r>
          </w:p>
        </w:tc>
      </w:tr>
      <w:tr w:rsidR="00BF4753" w:rsidRPr="00EB0CA4" w:rsidTr="002D7CA8">
        <w:trPr>
          <w:trHeight w:val="298"/>
          <w:jc w:val="center"/>
        </w:trPr>
        <w:tc>
          <w:tcPr>
            <w:tcW w:w="2211" w:type="dxa"/>
            <w:vAlign w:val="bottom"/>
          </w:tcPr>
          <w:p w:rsidR="00BF4753" w:rsidRPr="00EB0CA4" w:rsidRDefault="00BF4753" w:rsidP="002D7CA8">
            <w:pPr>
              <w:widowControl w:val="0"/>
              <w:rPr>
                <w:rFonts w:eastAsia="Times New Roman"/>
                <w:sz w:val="20"/>
              </w:rPr>
            </w:pPr>
            <w:r w:rsidRPr="00EB0CA4">
              <w:rPr>
                <w:rFonts w:eastAsia="Times New Roman"/>
                <w:sz w:val="20"/>
              </w:rPr>
              <w:t>(3)</w:t>
            </w:r>
            <w:r w:rsidRPr="00EB0CA4">
              <w:rPr>
                <w:rFonts w:eastAsia="Times New Roman"/>
                <w:sz w:val="20"/>
              </w:rPr>
              <w:tab/>
            </w:r>
          </w:p>
        </w:tc>
        <w:tc>
          <w:tcPr>
            <w:tcW w:w="3596" w:type="dxa"/>
            <w:vAlign w:val="center"/>
          </w:tcPr>
          <w:p w:rsidR="00BF4753" w:rsidRPr="00EB0CA4" w:rsidRDefault="00BF4753" w:rsidP="002D7CA8">
            <w:pPr>
              <w:widowControl w:val="0"/>
              <w:ind w:firstLine="0"/>
              <w:rPr>
                <w:rFonts w:eastAsia="Times New Roman"/>
                <w:sz w:val="20"/>
              </w:rPr>
            </w:pPr>
            <w:r w:rsidRPr="00EB0CA4">
              <w:rPr>
                <w:rFonts w:eastAsia="Times New Roman"/>
                <w:sz w:val="20"/>
              </w:rPr>
              <w:t>bilances cikliskā komponente</w:t>
            </w:r>
          </w:p>
        </w:tc>
        <w:tc>
          <w:tcPr>
            <w:tcW w:w="1559" w:type="dxa"/>
            <w:vAlign w:val="center"/>
          </w:tcPr>
          <w:p w:rsidR="00BF4753" w:rsidRPr="00EB0CA4" w:rsidRDefault="00BF4753" w:rsidP="002D7CA8">
            <w:pPr>
              <w:jc w:val="center"/>
              <w:rPr>
                <w:rFonts w:eastAsia="Times New Roman"/>
                <w:color w:val="000000"/>
                <w:sz w:val="20"/>
              </w:rPr>
            </w:pPr>
            <w:r w:rsidRPr="00EB0CA4">
              <w:rPr>
                <w:color w:val="000000"/>
                <w:sz w:val="20"/>
              </w:rPr>
              <w:t>-0,05</w:t>
            </w:r>
          </w:p>
        </w:tc>
        <w:tc>
          <w:tcPr>
            <w:tcW w:w="1641" w:type="dxa"/>
            <w:vAlign w:val="center"/>
          </w:tcPr>
          <w:p w:rsidR="00BF4753" w:rsidRPr="00EB0CA4" w:rsidRDefault="00BF4753" w:rsidP="002D7CA8">
            <w:pPr>
              <w:jc w:val="center"/>
              <w:rPr>
                <w:color w:val="000000"/>
                <w:sz w:val="20"/>
              </w:rPr>
            </w:pPr>
            <w:r w:rsidRPr="00EB0CA4">
              <w:rPr>
                <w:color w:val="000000"/>
                <w:sz w:val="20"/>
              </w:rPr>
              <w:t>-0,01</w:t>
            </w:r>
          </w:p>
        </w:tc>
      </w:tr>
      <w:tr w:rsidR="00BF4753" w:rsidRPr="00EB0CA4" w:rsidTr="002D7CA8">
        <w:trPr>
          <w:trHeight w:val="298"/>
          <w:jc w:val="center"/>
        </w:trPr>
        <w:tc>
          <w:tcPr>
            <w:tcW w:w="2211" w:type="dxa"/>
            <w:vAlign w:val="bottom"/>
          </w:tcPr>
          <w:p w:rsidR="00BF4753" w:rsidRPr="00EB0CA4" w:rsidRDefault="00BF4753" w:rsidP="002D7CA8">
            <w:pPr>
              <w:widowControl w:val="0"/>
              <w:rPr>
                <w:rFonts w:eastAsia="Times New Roman"/>
                <w:sz w:val="20"/>
              </w:rPr>
            </w:pPr>
            <w:r w:rsidRPr="00EB0CA4">
              <w:rPr>
                <w:rFonts w:eastAsia="Times New Roman"/>
                <w:sz w:val="20"/>
              </w:rPr>
              <w:t>(4)</w:t>
            </w:r>
          </w:p>
        </w:tc>
        <w:tc>
          <w:tcPr>
            <w:tcW w:w="3596" w:type="dxa"/>
            <w:vAlign w:val="center"/>
          </w:tcPr>
          <w:p w:rsidR="00BF4753" w:rsidRPr="00EB0CA4" w:rsidRDefault="00BF4753" w:rsidP="002D7CA8">
            <w:pPr>
              <w:widowControl w:val="0"/>
              <w:ind w:firstLine="0"/>
              <w:rPr>
                <w:rFonts w:eastAsia="Times New Roman"/>
                <w:sz w:val="20"/>
              </w:rPr>
            </w:pPr>
            <w:r w:rsidRPr="00EB0CA4">
              <w:rPr>
                <w:rFonts w:eastAsia="Times New Roman"/>
                <w:sz w:val="20"/>
              </w:rPr>
              <w:t>vienreizējie pasākumi</w:t>
            </w:r>
          </w:p>
        </w:tc>
        <w:tc>
          <w:tcPr>
            <w:tcW w:w="1559" w:type="dxa"/>
            <w:vAlign w:val="bottom"/>
          </w:tcPr>
          <w:p w:rsidR="00BF4753" w:rsidRPr="00EB0CA4" w:rsidRDefault="00BF4753" w:rsidP="002D7CA8">
            <w:pPr>
              <w:jc w:val="center"/>
              <w:rPr>
                <w:rFonts w:eastAsia="Times New Roman"/>
                <w:color w:val="000000"/>
                <w:sz w:val="20"/>
              </w:rPr>
            </w:pPr>
            <w:r w:rsidRPr="00EB0CA4">
              <w:rPr>
                <w:color w:val="000000"/>
                <w:sz w:val="20"/>
              </w:rPr>
              <w:t>0,00</w:t>
            </w:r>
          </w:p>
        </w:tc>
        <w:tc>
          <w:tcPr>
            <w:tcW w:w="1641" w:type="dxa"/>
            <w:vAlign w:val="bottom"/>
          </w:tcPr>
          <w:p w:rsidR="00BF4753" w:rsidRPr="00EB0CA4" w:rsidRDefault="00BF4753" w:rsidP="002D7CA8">
            <w:pPr>
              <w:jc w:val="center"/>
              <w:rPr>
                <w:color w:val="000000"/>
                <w:sz w:val="20"/>
              </w:rPr>
            </w:pPr>
            <w:r w:rsidRPr="00EB0CA4">
              <w:rPr>
                <w:color w:val="000000"/>
                <w:sz w:val="20"/>
              </w:rPr>
              <w:t>0,00</w:t>
            </w:r>
          </w:p>
        </w:tc>
      </w:tr>
      <w:tr w:rsidR="00BF4753" w:rsidRPr="00EB0CA4" w:rsidTr="002D7CA8">
        <w:trPr>
          <w:trHeight w:val="259"/>
          <w:jc w:val="center"/>
        </w:trPr>
        <w:tc>
          <w:tcPr>
            <w:tcW w:w="2211" w:type="dxa"/>
            <w:vAlign w:val="bottom"/>
          </w:tcPr>
          <w:p w:rsidR="00BF4753" w:rsidRPr="00EB0CA4" w:rsidRDefault="00BF4753" w:rsidP="002D7CA8">
            <w:pPr>
              <w:widowControl w:val="0"/>
              <w:rPr>
                <w:rFonts w:eastAsia="Times New Roman"/>
                <w:b/>
                <w:sz w:val="20"/>
              </w:rPr>
            </w:pPr>
            <w:r w:rsidRPr="00EB0CA4">
              <w:rPr>
                <w:rFonts w:eastAsia="Times New Roman"/>
                <w:b/>
                <w:sz w:val="20"/>
              </w:rPr>
              <w:t>(5)=(2)+(3)+(4)</w:t>
            </w:r>
          </w:p>
        </w:tc>
        <w:tc>
          <w:tcPr>
            <w:tcW w:w="3596" w:type="dxa"/>
            <w:vAlign w:val="center"/>
          </w:tcPr>
          <w:p w:rsidR="00BF4753" w:rsidRPr="00EB0CA4" w:rsidRDefault="00BF4753" w:rsidP="002D7CA8">
            <w:pPr>
              <w:widowControl w:val="0"/>
              <w:ind w:firstLine="0"/>
              <w:rPr>
                <w:rFonts w:eastAsia="Times New Roman"/>
                <w:b/>
                <w:sz w:val="20"/>
              </w:rPr>
            </w:pPr>
            <w:r w:rsidRPr="00EB0CA4">
              <w:rPr>
                <w:b/>
                <w:color w:val="000000"/>
                <w:sz w:val="20"/>
              </w:rPr>
              <w:t>nominālā bilance</w:t>
            </w:r>
          </w:p>
        </w:tc>
        <w:tc>
          <w:tcPr>
            <w:tcW w:w="1559" w:type="dxa"/>
            <w:vAlign w:val="bottom"/>
          </w:tcPr>
          <w:p w:rsidR="00BF4753" w:rsidRPr="00EB0CA4" w:rsidRDefault="00BF4753" w:rsidP="002D7CA8">
            <w:pPr>
              <w:jc w:val="center"/>
              <w:rPr>
                <w:rFonts w:eastAsia="Times New Roman"/>
                <w:color w:val="000000"/>
                <w:sz w:val="20"/>
              </w:rPr>
            </w:pPr>
            <w:r w:rsidRPr="00EB0CA4">
              <w:rPr>
                <w:color w:val="000000"/>
                <w:sz w:val="20"/>
              </w:rPr>
              <w:t>-0,55</w:t>
            </w:r>
          </w:p>
        </w:tc>
        <w:tc>
          <w:tcPr>
            <w:tcW w:w="1641" w:type="dxa"/>
            <w:vAlign w:val="bottom"/>
          </w:tcPr>
          <w:p w:rsidR="00BF4753" w:rsidRPr="00EB0CA4" w:rsidRDefault="00BF4753" w:rsidP="002D7CA8">
            <w:pPr>
              <w:jc w:val="center"/>
              <w:rPr>
                <w:color w:val="000000"/>
                <w:sz w:val="20"/>
              </w:rPr>
            </w:pPr>
            <w:r w:rsidRPr="00EB0CA4">
              <w:rPr>
                <w:color w:val="000000"/>
                <w:sz w:val="20"/>
              </w:rPr>
              <w:t>-0,51</w:t>
            </w:r>
          </w:p>
        </w:tc>
      </w:tr>
      <w:tr w:rsidR="00BF4753" w:rsidRPr="00EB0CA4" w:rsidTr="002D7CA8">
        <w:trPr>
          <w:trHeight w:val="259"/>
          <w:jc w:val="center"/>
        </w:trPr>
        <w:tc>
          <w:tcPr>
            <w:tcW w:w="2211" w:type="dxa"/>
            <w:vAlign w:val="bottom"/>
          </w:tcPr>
          <w:p w:rsidR="00BF4753" w:rsidRPr="00EB0CA4" w:rsidRDefault="00BF4753" w:rsidP="002D7CA8">
            <w:pPr>
              <w:widowControl w:val="0"/>
              <w:rPr>
                <w:rFonts w:eastAsia="Times New Roman"/>
                <w:sz w:val="20"/>
              </w:rPr>
            </w:pPr>
            <w:r w:rsidRPr="00EB0CA4">
              <w:rPr>
                <w:rFonts w:eastAsia="Times New Roman"/>
                <w:sz w:val="20"/>
              </w:rPr>
              <w:t>(6)</w:t>
            </w:r>
          </w:p>
        </w:tc>
        <w:tc>
          <w:tcPr>
            <w:tcW w:w="3596" w:type="dxa"/>
            <w:vAlign w:val="center"/>
          </w:tcPr>
          <w:p w:rsidR="00BF4753" w:rsidRPr="00EB0CA4" w:rsidRDefault="00BF4753" w:rsidP="002D7CA8">
            <w:pPr>
              <w:widowControl w:val="0"/>
              <w:ind w:firstLine="0"/>
              <w:rPr>
                <w:color w:val="000000"/>
                <w:sz w:val="20"/>
              </w:rPr>
            </w:pPr>
            <w:r w:rsidRPr="00EB0CA4">
              <w:rPr>
                <w:color w:val="000000"/>
                <w:sz w:val="20"/>
              </w:rPr>
              <w:t>nominālā bilance pie nemainīgas politikas</w:t>
            </w:r>
          </w:p>
        </w:tc>
        <w:tc>
          <w:tcPr>
            <w:tcW w:w="1559" w:type="dxa"/>
            <w:vAlign w:val="bottom"/>
          </w:tcPr>
          <w:p w:rsidR="00BF4753" w:rsidRPr="00EB0CA4" w:rsidRDefault="00BF4753" w:rsidP="002D7CA8">
            <w:pPr>
              <w:jc w:val="center"/>
              <w:rPr>
                <w:rFonts w:eastAsia="Times New Roman"/>
                <w:color w:val="000000"/>
                <w:sz w:val="20"/>
              </w:rPr>
            </w:pPr>
            <w:r w:rsidRPr="00EB0CA4">
              <w:rPr>
                <w:color w:val="000000"/>
                <w:sz w:val="20"/>
              </w:rPr>
              <w:t>-1,32</w:t>
            </w:r>
          </w:p>
        </w:tc>
        <w:tc>
          <w:tcPr>
            <w:tcW w:w="1641" w:type="dxa"/>
            <w:vAlign w:val="bottom"/>
          </w:tcPr>
          <w:p w:rsidR="00BF4753" w:rsidRPr="00EB0CA4" w:rsidRDefault="00BF4753" w:rsidP="002D7CA8">
            <w:pPr>
              <w:jc w:val="center"/>
              <w:rPr>
                <w:color w:val="000000"/>
                <w:sz w:val="20"/>
              </w:rPr>
            </w:pPr>
            <w:r w:rsidRPr="00EB0CA4">
              <w:rPr>
                <w:color w:val="000000"/>
                <w:sz w:val="20"/>
              </w:rPr>
              <w:t>-0,35</w:t>
            </w:r>
          </w:p>
        </w:tc>
      </w:tr>
      <w:tr w:rsidR="00BF4753" w:rsidRPr="00EB0CA4" w:rsidTr="002D7CA8">
        <w:trPr>
          <w:trHeight w:val="259"/>
          <w:jc w:val="center"/>
        </w:trPr>
        <w:tc>
          <w:tcPr>
            <w:tcW w:w="2211" w:type="dxa"/>
            <w:vAlign w:val="bottom"/>
          </w:tcPr>
          <w:p w:rsidR="00BF4753" w:rsidRPr="00EB0CA4" w:rsidRDefault="00BF4753" w:rsidP="002D7CA8">
            <w:pPr>
              <w:widowControl w:val="0"/>
              <w:rPr>
                <w:rFonts w:eastAsia="Times New Roman"/>
                <w:sz w:val="20"/>
              </w:rPr>
            </w:pPr>
            <w:r w:rsidRPr="00EB0CA4">
              <w:rPr>
                <w:rFonts w:eastAsia="Times New Roman"/>
                <w:sz w:val="20"/>
              </w:rPr>
              <w:t>(7)=(6)-(3)-(4)</w:t>
            </w:r>
          </w:p>
        </w:tc>
        <w:tc>
          <w:tcPr>
            <w:tcW w:w="3596" w:type="dxa"/>
            <w:vAlign w:val="center"/>
          </w:tcPr>
          <w:p w:rsidR="00BF4753" w:rsidRPr="00EB0CA4" w:rsidRDefault="00BF4753" w:rsidP="002D7CA8">
            <w:pPr>
              <w:widowControl w:val="0"/>
              <w:ind w:firstLine="0"/>
              <w:rPr>
                <w:color w:val="000000"/>
                <w:sz w:val="20"/>
              </w:rPr>
            </w:pPr>
            <w:r w:rsidRPr="00EB0CA4">
              <w:rPr>
                <w:color w:val="000000"/>
                <w:sz w:val="20"/>
              </w:rPr>
              <w:t>strukturālā bilance pie nemainīgas politikas</w:t>
            </w:r>
          </w:p>
        </w:tc>
        <w:tc>
          <w:tcPr>
            <w:tcW w:w="1559" w:type="dxa"/>
            <w:vAlign w:val="bottom"/>
          </w:tcPr>
          <w:p w:rsidR="00BF4753" w:rsidRPr="00EB0CA4" w:rsidRDefault="00BF4753" w:rsidP="002D7CA8">
            <w:pPr>
              <w:jc w:val="center"/>
              <w:rPr>
                <w:color w:val="000000"/>
                <w:sz w:val="20"/>
              </w:rPr>
            </w:pPr>
            <w:r w:rsidRPr="00EB0CA4">
              <w:rPr>
                <w:color w:val="000000"/>
                <w:sz w:val="20"/>
              </w:rPr>
              <w:t>-1,27</w:t>
            </w:r>
          </w:p>
        </w:tc>
        <w:tc>
          <w:tcPr>
            <w:tcW w:w="1641" w:type="dxa"/>
            <w:vAlign w:val="bottom"/>
          </w:tcPr>
          <w:p w:rsidR="00BF4753" w:rsidRPr="00EB0CA4" w:rsidRDefault="00BF4753" w:rsidP="002D7CA8">
            <w:pPr>
              <w:jc w:val="center"/>
              <w:rPr>
                <w:color w:val="000000"/>
                <w:sz w:val="20"/>
              </w:rPr>
            </w:pPr>
            <w:r w:rsidRPr="00EB0CA4">
              <w:rPr>
                <w:color w:val="000000"/>
                <w:sz w:val="20"/>
              </w:rPr>
              <w:t>-0,33</w:t>
            </w:r>
          </w:p>
        </w:tc>
      </w:tr>
      <w:tr w:rsidR="00BF4753" w:rsidRPr="00EB0CA4" w:rsidTr="002D7CA8">
        <w:trPr>
          <w:trHeight w:val="259"/>
          <w:jc w:val="center"/>
        </w:trPr>
        <w:tc>
          <w:tcPr>
            <w:tcW w:w="2211" w:type="dxa"/>
            <w:vAlign w:val="bottom"/>
          </w:tcPr>
          <w:p w:rsidR="00BF4753" w:rsidRPr="00EB0CA4" w:rsidRDefault="00BF4753" w:rsidP="002D7CA8">
            <w:pPr>
              <w:widowControl w:val="0"/>
              <w:rPr>
                <w:rFonts w:eastAsia="Times New Roman"/>
                <w:sz w:val="20"/>
              </w:rPr>
            </w:pPr>
            <w:r w:rsidRPr="00EB0CA4">
              <w:rPr>
                <w:rFonts w:eastAsia="Times New Roman"/>
                <w:sz w:val="20"/>
              </w:rPr>
              <w:t>(8)</w:t>
            </w:r>
          </w:p>
        </w:tc>
        <w:tc>
          <w:tcPr>
            <w:tcW w:w="3596" w:type="dxa"/>
            <w:vAlign w:val="center"/>
          </w:tcPr>
          <w:p w:rsidR="00BF4753" w:rsidRPr="00EB0CA4" w:rsidRDefault="00BF4753" w:rsidP="002D7CA8">
            <w:pPr>
              <w:widowControl w:val="0"/>
              <w:ind w:firstLine="0"/>
              <w:rPr>
                <w:color w:val="000000"/>
                <w:sz w:val="20"/>
              </w:rPr>
            </w:pPr>
            <w:r w:rsidRPr="00EB0CA4">
              <w:rPr>
                <w:color w:val="000000"/>
                <w:sz w:val="20"/>
              </w:rPr>
              <w:t>fiskālā nodrošinājuma rezerve</w:t>
            </w:r>
          </w:p>
        </w:tc>
        <w:tc>
          <w:tcPr>
            <w:tcW w:w="1559" w:type="dxa"/>
            <w:vAlign w:val="bottom"/>
          </w:tcPr>
          <w:p w:rsidR="00BF4753" w:rsidRPr="00EB0CA4" w:rsidRDefault="00BF4753" w:rsidP="002D7CA8">
            <w:pPr>
              <w:jc w:val="center"/>
              <w:rPr>
                <w:color w:val="000000"/>
                <w:sz w:val="20"/>
              </w:rPr>
            </w:pPr>
            <w:r w:rsidRPr="00EB0CA4">
              <w:rPr>
                <w:color w:val="000000"/>
                <w:sz w:val="20"/>
              </w:rPr>
              <w:t>0,10</w:t>
            </w:r>
          </w:p>
        </w:tc>
        <w:tc>
          <w:tcPr>
            <w:tcW w:w="1641" w:type="dxa"/>
            <w:vAlign w:val="bottom"/>
          </w:tcPr>
          <w:p w:rsidR="00BF4753" w:rsidRPr="00EB0CA4" w:rsidRDefault="00BF4753" w:rsidP="002D7CA8">
            <w:pPr>
              <w:jc w:val="center"/>
              <w:rPr>
                <w:color w:val="000000"/>
                <w:sz w:val="20"/>
              </w:rPr>
            </w:pPr>
            <w:r w:rsidRPr="00EB0CA4">
              <w:rPr>
                <w:color w:val="000000"/>
                <w:sz w:val="20"/>
              </w:rPr>
              <w:t>0,10</w:t>
            </w:r>
          </w:p>
        </w:tc>
      </w:tr>
      <w:tr w:rsidR="00BF4753" w:rsidRPr="00EB0CA4" w:rsidTr="002D7CA8">
        <w:trPr>
          <w:trHeight w:val="50"/>
          <w:jc w:val="center"/>
        </w:trPr>
        <w:tc>
          <w:tcPr>
            <w:tcW w:w="2211" w:type="dxa"/>
            <w:vAlign w:val="bottom"/>
          </w:tcPr>
          <w:p w:rsidR="00BF4753" w:rsidRPr="00EB0CA4" w:rsidRDefault="00BF4753" w:rsidP="002D7CA8">
            <w:pPr>
              <w:widowControl w:val="0"/>
              <w:rPr>
                <w:rFonts w:eastAsia="Times New Roman"/>
                <w:sz w:val="20"/>
              </w:rPr>
            </w:pPr>
            <w:r w:rsidRPr="00EB0CA4">
              <w:rPr>
                <w:rFonts w:eastAsia="Times New Roman"/>
                <w:sz w:val="20"/>
              </w:rPr>
              <w:t>(9)=(7)-(8)-(1)</w:t>
            </w:r>
          </w:p>
        </w:tc>
        <w:tc>
          <w:tcPr>
            <w:tcW w:w="3596" w:type="dxa"/>
            <w:vAlign w:val="center"/>
          </w:tcPr>
          <w:p w:rsidR="00BF4753" w:rsidRPr="00EB0CA4" w:rsidRDefault="00BF4753" w:rsidP="002D7CA8">
            <w:pPr>
              <w:widowControl w:val="0"/>
              <w:ind w:firstLine="0"/>
              <w:rPr>
                <w:color w:val="000000"/>
                <w:sz w:val="20"/>
              </w:rPr>
            </w:pPr>
            <w:r>
              <w:rPr>
                <w:color w:val="000000"/>
                <w:sz w:val="20"/>
              </w:rPr>
              <w:t>novirze no vidēja termiņa mērķa</w:t>
            </w:r>
          </w:p>
        </w:tc>
        <w:tc>
          <w:tcPr>
            <w:tcW w:w="1559" w:type="dxa"/>
            <w:vAlign w:val="bottom"/>
          </w:tcPr>
          <w:p w:rsidR="00BF4753" w:rsidRPr="00EB0CA4" w:rsidRDefault="00BF4753" w:rsidP="002D7CA8">
            <w:pPr>
              <w:jc w:val="center"/>
              <w:rPr>
                <w:color w:val="000000"/>
                <w:sz w:val="20"/>
              </w:rPr>
            </w:pPr>
            <w:r w:rsidRPr="00EB0CA4">
              <w:rPr>
                <w:color w:val="000000"/>
                <w:sz w:val="20"/>
              </w:rPr>
              <w:t>-0,87</w:t>
            </w:r>
          </w:p>
        </w:tc>
        <w:tc>
          <w:tcPr>
            <w:tcW w:w="1641" w:type="dxa"/>
            <w:vAlign w:val="bottom"/>
          </w:tcPr>
          <w:p w:rsidR="00BF4753" w:rsidRPr="00EB0CA4" w:rsidRDefault="00BF4753" w:rsidP="002D7CA8">
            <w:pPr>
              <w:jc w:val="center"/>
              <w:rPr>
                <w:color w:val="000000"/>
                <w:sz w:val="20"/>
              </w:rPr>
            </w:pPr>
            <w:r w:rsidRPr="00EB0CA4">
              <w:rPr>
                <w:color w:val="000000"/>
                <w:sz w:val="20"/>
              </w:rPr>
              <w:t>0,07</w:t>
            </w:r>
          </w:p>
        </w:tc>
      </w:tr>
    </w:tbl>
    <w:p w:rsidR="00BF4753" w:rsidRPr="00DB0DC6" w:rsidRDefault="00BF4753" w:rsidP="00437D0F">
      <w:pPr>
        <w:spacing w:before="120" w:after="120"/>
        <w:rPr>
          <w:rFonts w:eastAsia="Times New Roman"/>
          <w:b/>
        </w:rPr>
      </w:pPr>
      <w:r w:rsidRPr="00DB0DC6">
        <w:rPr>
          <w:rFonts w:eastAsia="Times New Roman"/>
          <w:b/>
        </w:rPr>
        <w:lastRenderedPageBreak/>
        <w:t>Vispārējās valdības budžeta mērķi 2022., 2023. un 2024. gadam</w:t>
      </w:r>
    </w:p>
    <w:p w:rsidR="009618E6" w:rsidRDefault="00BF4753" w:rsidP="0069120C">
      <w:pPr>
        <w:widowControl w:val="0"/>
        <w:rPr>
          <w:rFonts w:eastAsia="Times New Roman" w:cs="Times New Roman"/>
          <w:szCs w:val="24"/>
        </w:rPr>
      </w:pPr>
      <w:r w:rsidRPr="00EB0CA4">
        <w:rPr>
          <w:rFonts w:eastAsia="Times New Roman" w:cs="Times New Roman"/>
          <w:szCs w:val="24"/>
        </w:rPr>
        <w:t>Ņemot</w:t>
      </w:r>
      <w:r w:rsidR="00EA45C8">
        <w:rPr>
          <w:rFonts w:eastAsia="Times New Roman" w:cs="Times New Roman"/>
          <w:szCs w:val="24"/>
        </w:rPr>
        <w:t xml:space="preserve"> vērā augstāk veiktos aprēķinus,</w:t>
      </w:r>
      <w:r w:rsidRPr="00EB0CA4">
        <w:rPr>
          <w:rFonts w:eastAsia="Times New Roman" w:cs="Times New Roman"/>
          <w:szCs w:val="24"/>
        </w:rPr>
        <w:t xml:space="preserve"> tiek noteikti kvantitatīvie fiskālie mērķi vidējam termiņam, t.i., nodrošināt vispārējās valdības budžeta strukturālo bilanci 2022.</w:t>
      </w:r>
      <w:r>
        <w:rPr>
          <w:rFonts w:eastAsia="Times New Roman" w:cs="Times New Roman"/>
          <w:szCs w:val="24"/>
        </w:rPr>
        <w:t xml:space="preserve"> </w:t>
      </w:r>
      <w:r w:rsidRPr="00EB0CA4">
        <w:rPr>
          <w:rFonts w:eastAsia="Times New Roman" w:cs="Times New Roman"/>
          <w:szCs w:val="24"/>
        </w:rPr>
        <w:t xml:space="preserve">gadā -2,44% no </w:t>
      </w:r>
      <w:r>
        <w:rPr>
          <w:rFonts w:eastAsia="Times New Roman" w:cs="Times New Roman"/>
          <w:szCs w:val="24"/>
        </w:rPr>
        <w:t>iekšzemes kopprodukta</w:t>
      </w:r>
      <w:r w:rsidRPr="00EB0CA4">
        <w:rPr>
          <w:rFonts w:eastAsia="Times New Roman" w:cs="Times New Roman"/>
          <w:szCs w:val="24"/>
        </w:rPr>
        <w:t>, 2023.</w:t>
      </w:r>
      <w:r>
        <w:rPr>
          <w:rFonts w:eastAsia="Times New Roman" w:cs="Times New Roman"/>
          <w:szCs w:val="24"/>
        </w:rPr>
        <w:t xml:space="preserve"> </w:t>
      </w:r>
      <w:r w:rsidRPr="00EB0CA4">
        <w:rPr>
          <w:rFonts w:eastAsia="Times New Roman" w:cs="Times New Roman"/>
          <w:szCs w:val="24"/>
        </w:rPr>
        <w:t xml:space="preserve">gadā -0,50% no </w:t>
      </w:r>
      <w:r>
        <w:rPr>
          <w:rFonts w:eastAsia="Times New Roman" w:cs="Times New Roman"/>
          <w:szCs w:val="24"/>
        </w:rPr>
        <w:t xml:space="preserve">iekšzemes kopprodukta </w:t>
      </w:r>
      <w:r w:rsidRPr="00EB0CA4">
        <w:rPr>
          <w:rFonts w:eastAsia="Times New Roman" w:cs="Times New Roman"/>
          <w:szCs w:val="24"/>
        </w:rPr>
        <w:t>un 2024.</w:t>
      </w:r>
      <w:r>
        <w:rPr>
          <w:rFonts w:eastAsia="Times New Roman" w:cs="Times New Roman"/>
          <w:szCs w:val="24"/>
        </w:rPr>
        <w:t xml:space="preserve"> </w:t>
      </w:r>
      <w:r w:rsidRPr="00EB0CA4">
        <w:rPr>
          <w:rFonts w:eastAsia="Times New Roman" w:cs="Times New Roman"/>
          <w:szCs w:val="24"/>
        </w:rPr>
        <w:t xml:space="preserve">gadā -0,50% no </w:t>
      </w:r>
      <w:r>
        <w:rPr>
          <w:rFonts w:eastAsia="Times New Roman" w:cs="Times New Roman"/>
          <w:szCs w:val="24"/>
        </w:rPr>
        <w:t xml:space="preserve">iekšzemes kopprodukta. </w:t>
      </w:r>
    </w:p>
    <w:p w:rsidR="00EA45C8" w:rsidRPr="0027190A" w:rsidRDefault="009618E6" w:rsidP="0027190A">
      <w:pPr>
        <w:widowControl w:val="0"/>
        <w:rPr>
          <w:rFonts w:eastAsia="Times New Roman" w:cs="Times New Roman"/>
          <w:szCs w:val="24"/>
        </w:rPr>
      </w:pPr>
      <w:r>
        <w:rPr>
          <w:rFonts w:eastAsia="Times New Roman" w:cs="Times New Roman"/>
          <w:szCs w:val="24"/>
        </w:rPr>
        <w:t>Atšķirībā no S</w:t>
      </w:r>
      <w:r w:rsidRPr="009618E6">
        <w:rPr>
          <w:rFonts w:eastAsia="Times New Roman" w:cs="Times New Roman"/>
          <w:szCs w:val="24"/>
        </w:rPr>
        <w:t>tabilitātes programmām, kas tika gatavotas pirmskrīzes laikā, šoreiz vispārējās valdības b</w:t>
      </w:r>
      <w:r>
        <w:rPr>
          <w:rFonts w:eastAsia="Times New Roman" w:cs="Times New Roman"/>
          <w:szCs w:val="24"/>
        </w:rPr>
        <w:t>udžeta</w:t>
      </w:r>
      <w:r w:rsidR="002834E9">
        <w:rPr>
          <w:rFonts w:eastAsia="Times New Roman" w:cs="Times New Roman"/>
          <w:szCs w:val="24"/>
        </w:rPr>
        <w:t xml:space="preserve"> bilances</w:t>
      </w:r>
      <w:r>
        <w:rPr>
          <w:rFonts w:eastAsia="Times New Roman" w:cs="Times New Roman"/>
          <w:szCs w:val="24"/>
        </w:rPr>
        <w:t xml:space="preserve"> mērķi netiek iestrādāti S</w:t>
      </w:r>
      <w:r w:rsidRPr="009618E6">
        <w:rPr>
          <w:rFonts w:eastAsia="Times New Roman" w:cs="Times New Roman"/>
          <w:szCs w:val="24"/>
        </w:rPr>
        <w:t>tabilitātes programmas pielikumu tabulās. Ja līdz šim gadījumos, kad strukturālā bilance pie nemainīgas politikas atšķiras no budžeta</w:t>
      </w:r>
      <w:r w:rsidR="00550450">
        <w:rPr>
          <w:rFonts w:eastAsia="Times New Roman" w:cs="Times New Roman"/>
          <w:szCs w:val="24"/>
        </w:rPr>
        <w:t xml:space="preserve"> bilances</w:t>
      </w:r>
      <w:r w:rsidRPr="009618E6">
        <w:rPr>
          <w:rFonts w:eastAsia="Times New Roman" w:cs="Times New Roman"/>
          <w:szCs w:val="24"/>
        </w:rPr>
        <w:t xml:space="preserve"> mērķa, Stabilitātes programmas fiskālie rādītāji tika sagatavoti atbilstoši</w:t>
      </w:r>
      <w:r w:rsidR="00550450">
        <w:rPr>
          <w:rFonts w:eastAsia="Times New Roman" w:cs="Times New Roman"/>
          <w:szCs w:val="24"/>
        </w:rPr>
        <w:t xml:space="preserve"> budžeta</w:t>
      </w:r>
      <w:r w:rsidRPr="009618E6">
        <w:rPr>
          <w:rFonts w:eastAsia="Times New Roman" w:cs="Times New Roman"/>
          <w:szCs w:val="24"/>
        </w:rPr>
        <w:t xml:space="preserve"> bilances mērķim un pieejamā fiskālā telpa, vai konsolidācijas ap</w:t>
      </w:r>
      <w:r w:rsidR="00550450">
        <w:rPr>
          <w:rFonts w:eastAsia="Times New Roman" w:cs="Times New Roman"/>
          <w:szCs w:val="24"/>
        </w:rPr>
        <w:t>joms tika rezervēts diskrecionār</w:t>
      </w:r>
      <w:r w:rsidRPr="009618E6">
        <w:rPr>
          <w:rFonts w:eastAsia="Times New Roman" w:cs="Times New Roman"/>
          <w:szCs w:val="24"/>
        </w:rPr>
        <w:t>ās politikas lēmumiem budžeta sagatavošanas procesā,</w:t>
      </w:r>
      <w:r w:rsidR="002834E9">
        <w:rPr>
          <w:rFonts w:eastAsia="Times New Roman" w:cs="Times New Roman"/>
          <w:szCs w:val="24"/>
        </w:rPr>
        <w:t xml:space="preserve"> tad</w:t>
      </w:r>
      <w:r w:rsidRPr="009618E6">
        <w:rPr>
          <w:rFonts w:eastAsia="Times New Roman" w:cs="Times New Roman"/>
          <w:szCs w:val="24"/>
        </w:rPr>
        <w:t xml:space="preserve"> šoreiz</w:t>
      </w:r>
      <w:r>
        <w:rPr>
          <w:rFonts w:eastAsia="Times New Roman" w:cs="Times New Roman"/>
          <w:szCs w:val="24"/>
        </w:rPr>
        <w:t xml:space="preserve"> šīs Stabilitātes programmas</w:t>
      </w:r>
      <w:r w:rsidRPr="009618E6">
        <w:rPr>
          <w:rFonts w:eastAsia="Times New Roman" w:cs="Times New Roman"/>
          <w:szCs w:val="24"/>
        </w:rPr>
        <w:t xml:space="preserve"> pielikumu </w:t>
      </w:r>
      <w:r w:rsidR="002834E9">
        <w:rPr>
          <w:rFonts w:eastAsia="Times New Roman" w:cs="Times New Roman"/>
          <w:szCs w:val="24"/>
        </w:rPr>
        <w:t>tabulās fiskālie rādītāji</w:t>
      </w:r>
      <w:r w:rsidRPr="009618E6">
        <w:rPr>
          <w:rFonts w:eastAsia="Times New Roman" w:cs="Times New Roman"/>
          <w:szCs w:val="24"/>
        </w:rPr>
        <w:t xml:space="preserve"> ir</w:t>
      </w:r>
      <w:r w:rsidR="00CC612D">
        <w:rPr>
          <w:rFonts w:eastAsia="Times New Roman" w:cs="Times New Roman"/>
          <w:szCs w:val="24"/>
        </w:rPr>
        <w:t xml:space="preserve"> doti pie nemainīgas politikas.</w:t>
      </w:r>
      <w:r w:rsidRPr="009618E6">
        <w:rPr>
          <w:rFonts w:eastAsia="Times New Roman" w:cs="Times New Roman"/>
          <w:szCs w:val="24"/>
        </w:rPr>
        <w:t xml:space="preserve"> Šī atšķirība skar 2023. gadu un 2024. gadu. Iemesls atšķirīgai pieejai ir au</w:t>
      </w:r>
      <w:r w:rsidR="00CC612D">
        <w:rPr>
          <w:rFonts w:eastAsia="Times New Roman" w:cs="Times New Roman"/>
          <w:szCs w:val="24"/>
        </w:rPr>
        <w:t>gstā makroekonomiskā nenoteiktība</w:t>
      </w:r>
      <w:r w:rsidRPr="009618E6">
        <w:rPr>
          <w:rFonts w:eastAsia="Times New Roman" w:cs="Times New Roman"/>
          <w:szCs w:val="24"/>
        </w:rPr>
        <w:t xml:space="preserve"> par šiem gadiem un lēmumu trūkums par to, kā Stabilitātes un izaugsmes pakta ietvaros notiks pāreja no vispārējās izņēmumu klauzulas apstākļiem 2022. gadā uz Stabilitātes un izaugsmes pakta fiskālo nosacījumu ievērošanu turpmākajos gados, respektīvi, kādas būs prasības attiecībā uz strukturālās bilances konverģences ātrumu uz vidēja termiņa mērķi.     </w:t>
      </w:r>
      <w:bookmarkStart w:id="20" w:name="_Toc38887972"/>
    </w:p>
    <w:p w:rsidR="00BF4753" w:rsidRPr="00DB0DC6" w:rsidRDefault="00BF4753" w:rsidP="00EA45C8">
      <w:pPr>
        <w:pStyle w:val="NoSpacing"/>
        <w:spacing w:before="120" w:after="120"/>
        <w:ind w:firstLine="698"/>
        <w:rPr>
          <w:rFonts w:ascii="Times New Roman" w:hAnsi="Times New Roman" w:cs="Times New Roman"/>
          <w:b/>
          <w:sz w:val="28"/>
          <w:szCs w:val="28"/>
        </w:rPr>
      </w:pPr>
      <w:r w:rsidRPr="00DB0DC6">
        <w:rPr>
          <w:rFonts w:ascii="Times New Roman" w:hAnsi="Times New Roman" w:cs="Times New Roman"/>
          <w:b/>
          <w:sz w:val="28"/>
          <w:szCs w:val="28"/>
        </w:rPr>
        <w:t>Diskrecionārie pasākumi</w:t>
      </w:r>
      <w:bookmarkEnd w:id="20"/>
    </w:p>
    <w:p w:rsidR="00BF4753" w:rsidRPr="00EB0CA4" w:rsidRDefault="00BF4753" w:rsidP="00BF4753">
      <w:pPr>
        <w:ind w:firstLine="698"/>
        <w:rPr>
          <w:rFonts w:cs="Times New Roman"/>
          <w:szCs w:val="24"/>
        </w:rPr>
      </w:pPr>
      <w:r w:rsidRPr="00EB0CA4">
        <w:rPr>
          <w:rFonts w:cs="Times New Roman"/>
          <w:szCs w:val="24"/>
        </w:rPr>
        <w:t>Starplaikā starp Stabilitātes programmu 2020.</w:t>
      </w:r>
      <w:r w:rsidR="00EA45C8">
        <w:rPr>
          <w:rFonts w:cs="Times New Roman"/>
          <w:szCs w:val="24"/>
        </w:rPr>
        <w:t>-</w:t>
      </w:r>
      <w:r w:rsidRPr="00EB0CA4">
        <w:rPr>
          <w:rFonts w:cs="Times New Roman"/>
          <w:szCs w:val="24"/>
        </w:rPr>
        <w:t>2023.gadam un šo Stabilitātes programmu ir pieņemti fiskālās politikas lēmumi. Tie iekļauj</w:t>
      </w:r>
      <w:r>
        <w:rPr>
          <w:rFonts w:cs="Times New Roman"/>
          <w:szCs w:val="24"/>
        </w:rPr>
        <w:t>:</w:t>
      </w:r>
      <w:r w:rsidRPr="00EB0CA4">
        <w:rPr>
          <w:rFonts w:cs="Times New Roman"/>
          <w:szCs w:val="24"/>
        </w:rPr>
        <w:t xml:space="preserve"> </w:t>
      </w:r>
    </w:p>
    <w:p w:rsidR="00BF4753" w:rsidRPr="00EB0CA4" w:rsidRDefault="00BF4753" w:rsidP="00BF4753">
      <w:pPr>
        <w:pStyle w:val="ListParagraph"/>
        <w:numPr>
          <w:ilvl w:val="0"/>
          <w:numId w:val="10"/>
        </w:numPr>
        <w:ind w:hanging="513"/>
        <w:rPr>
          <w:rFonts w:cs="Times New Roman"/>
          <w:szCs w:val="24"/>
        </w:rPr>
      </w:pPr>
      <w:r w:rsidRPr="00EB0CA4">
        <w:rPr>
          <w:rFonts w:cs="Times New Roman"/>
          <w:szCs w:val="24"/>
        </w:rPr>
        <w:t>pasākumus, kas ietverti likumā "Par vidēja termiņa budžeta ietvaru 2021., 2022. un 2023.</w:t>
      </w:r>
      <w:r>
        <w:rPr>
          <w:rFonts w:cs="Times New Roman"/>
          <w:szCs w:val="24"/>
        </w:rPr>
        <w:t xml:space="preserve"> </w:t>
      </w:r>
      <w:r w:rsidRPr="00EB0CA4">
        <w:rPr>
          <w:rFonts w:cs="Times New Roman"/>
          <w:szCs w:val="24"/>
        </w:rPr>
        <w:t>gadam" un likumā "Par valsts budžetu 2021.</w:t>
      </w:r>
      <w:r>
        <w:rPr>
          <w:rFonts w:cs="Times New Roman"/>
          <w:szCs w:val="24"/>
        </w:rPr>
        <w:t xml:space="preserve"> </w:t>
      </w:r>
      <w:r w:rsidRPr="00EB0CA4">
        <w:rPr>
          <w:rFonts w:cs="Times New Roman"/>
          <w:szCs w:val="24"/>
        </w:rPr>
        <w:t xml:space="preserve">gadam", kā arī </w:t>
      </w:r>
    </w:p>
    <w:p w:rsidR="00BF4753" w:rsidRPr="00EB0CA4" w:rsidRDefault="00BF4753" w:rsidP="00BF4753">
      <w:pPr>
        <w:pStyle w:val="ListParagraph"/>
        <w:numPr>
          <w:ilvl w:val="0"/>
          <w:numId w:val="10"/>
        </w:numPr>
        <w:ind w:hanging="513"/>
        <w:rPr>
          <w:rFonts w:cs="Times New Roman"/>
          <w:szCs w:val="24"/>
        </w:rPr>
      </w:pPr>
      <w:r w:rsidRPr="00EB0CA4">
        <w:rPr>
          <w:rFonts w:cs="Times New Roman"/>
          <w:szCs w:val="24"/>
        </w:rPr>
        <w:t xml:space="preserve">valdības un </w:t>
      </w:r>
      <w:r w:rsidR="00EA45C8">
        <w:rPr>
          <w:rFonts w:cs="Times New Roman"/>
          <w:szCs w:val="24"/>
        </w:rPr>
        <w:t>Saeimas līdz šī</w:t>
      </w:r>
      <w:r w:rsidRPr="00EB0CA4">
        <w:rPr>
          <w:rFonts w:cs="Times New Roman"/>
          <w:szCs w:val="24"/>
        </w:rPr>
        <w:t xml:space="preserve"> gada </w:t>
      </w:r>
      <w:r w:rsidRPr="00020880">
        <w:rPr>
          <w:rFonts w:cs="Times New Roman"/>
          <w:szCs w:val="24"/>
        </w:rPr>
        <w:t xml:space="preserve">23. </w:t>
      </w:r>
      <w:r w:rsidRPr="00EB0CA4">
        <w:rPr>
          <w:rFonts w:cs="Times New Roman"/>
          <w:szCs w:val="24"/>
        </w:rPr>
        <w:t xml:space="preserve">martam apstiprinātos (tai skaitā konceptuāli) atbalsta pasākumus Covid-19 krīzes seku mazināšanai. </w:t>
      </w:r>
    </w:p>
    <w:p w:rsidR="00BF4753" w:rsidRPr="002C2B88" w:rsidRDefault="00BF4753" w:rsidP="00BF4753">
      <w:pPr>
        <w:rPr>
          <w:rFonts w:cs="Times New Roman"/>
          <w:szCs w:val="24"/>
        </w:rPr>
      </w:pPr>
      <w:r w:rsidRPr="00EB0CA4">
        <w:rPr>
          <w:rFonts w:cs="Times New Roman"/>
          <w:szCs w:val="24"/>
        </w:rPr>
        <w:t xml:space="preserve">Pirmais pasākumu kopums šajā Stabilitātes programmā netiek atsevišķi izklāstīts </w:t>
      </w:r>
      <w:r>
        <w:rPr>
          <w:rFonts w:cs="Times New Roman"/>
          <w:szCs w:val="24"/>
        </w:rPr>
        <w:t>un</w:t>
      </w:r>
      <w:r w:rsidRPr="00EB0CA4">
        <w:rPr>
          <w:rFonts w:cs="Times New Roman"/>
          <w:szCs w:val="24"/>
        </w:rPr>
        <w:t xml:space="preserve"> ar to var iepazīties Latvijas Vispārējās valdības budžeta plāna projektā 2021.</w:t>
      </w:r>
      <w:r>
        <w:rPr>
          <w:rFonts w:cs="Times New Roman"/>
          <w:szCs w:val="24"/>
        </w:rPr>
        <w:t xml:space="preserve"> </w:t>
      </w:r>
      <w:r w:rsidRPr="00EB0CA4">
        <w:rPr>
          <w:rFonts w:cs="Times New Roman"/>
          <w:szCs w:val="24"/>
        </w:rPr>
        <w:t>gadam. Savukārt otrais pasākumu kopums ir detalizēti aprakstī</w:t>
      </w:r>
      <w:r>
        <w:rPr>
          <w:rFonts w:cs="Times New Roman"/>
          <w:szCs w:val="24"/>
        </w:rPr>
        <w:t>ts Stabilitātes programmas 3.3. nodaļā.</w:t>
      </w:r>
    </w:p>
    <w:p w:rsidR="00BF4753" w:rsidRPr="00020880" w:rsidRDefault="00BF4753" w:rsidP="00BF4753">
      <w:pPr>
        <w:pStyle w:val="Heading2"/>
        <w:numPr>
          <w:ilvl w:val="0"/>
          <w:numId w:val="0"/>
        </w:numPr>
        <w:rPr>
          <w:rFonts w:eastAsia="Calibri"/>
        </w:rPr>
      </w:pPr>
      <w:bookmarkStart w:id="21" w:name="_Toc68335000"/>
      <w:r w:rsidRPr="00020880">
        <w:rPr>
          <w:rFonts w:eastAsia="Calibri"/>
        </w:rPr>
        <w:t>3.</w:t>
      </w:r>
      <w:r>
        <w:rPr>
          <w:rFonts w:eastAsia="Calibri"/>
        </w:rPr>
        <w:t xml:space="preserve">2. </w:t>
      </w:r>
      <w:r w:rsidRPr="00020880">
        <w:rPr>
          <w:rFonts w:eastAsia="Calibri"/>
        </w:rPr>
        <w:t>Pašreizējā fiskālā situācija</w:t>
      </w:r>
      <w:bookmarkEnd w:id="21"/>
    </w:p>
    <w:p w:rsidR="00BF4753" w:rsidRPr="000A6AF4" w:rsidRDefault="00BF4753" w:rsidP="00BF4753">
      <w:pPr>
        <w:ind w:firstLine="709"/>
        <w:rPr>
          <w:rFonts w:eastAsia="Calibri" w:cs="Times New Roman"/>
          <w:color w:val="000000"/>
          <w:sz w:val="24"/>
          <w:szCs w:val="24"/>
        </w:rPr>
      </w:pPr>
    </w:p>
    <w:p w:rsidR="00BF4753" w:rsidRPr="002C2B88" w:rsidRDefault="00BF4753" w:rsidP="00BF4753">
      <w:pPr>
        <w:pStyle w:val="teksts"/>
        <w:spacing w:after="0"/>
        <w:ind w:firstLine="720"/>
        <w:rPr>
          <w:rFonts w:ascii="Times New Roman" w:eastAsia="Calibri" w:hAnsi="Times New Roman"/>
          <w:sz w:val="28"/>
          <w:szCs w:val="24"/>
        </w:rPr>
      </w:pPr>
      <w:r w:rsidRPr="002C2B88">
        <w:rPr>
          <w:rFonts w:ascii="Times New Roman" w:eastAsia="Calibri" w:hAnsi="Times New Roman"/>
          <w:sz w:val="28"/>
          <w:szCs w:val="24"/>
        </w:rPr>
        <w:t xml:space="preserve">Atbilstoši </w:t>
      </w:r>
      <w:r>
        <w:rPr>
          <w:rFonts w:ascii="Times New Roman" w:eastAsia="Calibri" w:hAnsi="Times New Roman"/>
          <w:noProof/>
          <w:sz w:val="28"/>
          <w:szCs w:val="24"/>
        </w:rPr>
        <w:t>Finanšu ministrijas</w:t>
      </w:r>
      <w:r w:rsidRPr="002C2B88">
        <w:rPr>
          <w:rFonts w:ascii="Times New Roman" w:eastAsia="Calibri" w:hAnsi="Times New Roman"/>
          <w:noProof/>
          <w:sz w:val="28"/>
          <w:szCs w:val="24"/>
        </w:rPr>
        <w:t xml:space="preserve"> novērtējumam</w:t>
      </w:r>
      <w:r w:rsidRPr="002C2B88">
        <w:rPr>
          <w:rFonts w:ascii="Times New Roman" w:eastAsia="Calibri" w:hAnsi="Times New Roman"/>
          <w:sz w:val="28"/>
          <w:szCs w:val="24"/>
        </w:rPr>
        <w:t xml:space="preserve"> vispārējās valdības budžetā 2020.</w:t>
      </w:r>
      <w:r>
        <w:rPr>
          <w:rFonts w:ascii="Times New Roman" w:eastAsia="Calibri" w:hAnsi="Times New Roman"/>
          <w:sz w:val="28"/>
          <w:szCs w:val="24"/>
        </w:rPr>
        <w:t xml:space="preserve"> </w:t>
      </w:r>
      <w:r w:rsidRPr="002C2B88">
        <w:rPr>
          <w:rFonts w:ascii="Times New Roman" w:eastAsia="Calibri" w:hAnsi="Times New Roman"/>
          <w:sz w:val="28"/>
          <w:szCs w:val="24"/>
        </w:rPr>
        <w:t xml:space="preserve">gadā bija deficīts 1569,9 milj. </w:t>
      </w:r>
      <w:r w:rsidRPr="002C2B88">
        <w:rPr>
          <w:rFonts w:ascii="Times New Roman" w:eastAsia="Calibri" w:hAnsi="Times New Roman"/>
          <w:i/>
          <w:sz w:val="28"/>
          <w:szCs w:val="24"/>
        </w:rPr>
        <w:t>euro</w:t>
      </w:r>
      <w:r w:rsidRPr="002C2B88">
        <w:rPr>
          <w:rFonts w:ascii="Times New Roman" w:eastAsia="Calibri" w:hAnsi="Times New Roman"/>
          <w:sz w:val="28"/>
          <w:szCs w:val="24"/>
        </w:rPr>
        <w:t xml:space="preserve"> apmērā jeb 5,4% no iekšzemes kopprodukta, kas ir būtiski augstāks </w:t>
      </w:r>
      <w:r w:rsidRPr="002C2B88">
        <w:rPr>
          <w:rFonts w:ascii="Times New Roman" w:hAnsi="Times New Roman"/>
          <w:sz w:val="28"/>
          <w:szCs w:val="24"/>
        </w:rPr>
        <w:t>kā likumā “Par valsts budžetu 2020.</w:t>
      </w:r>
      <w:r>
        <w:rPr>
          <w:rFonts w:ascii="Times New Roman" w:hAnsi="Times New Roman"/>
          <w:sz w:val="28"/>
          <w:szCs w:val="24"/>
        </w:rPr>
        <w:t xml:space="preserve"> </w:t>
      </w:r>
      <w:r w:rsidRPr="002C2B88">
        <w:rPr>
          <w:rFonts w:ascii="Times New Roman" w:hAnsi="Times New Roman"/>
          <w:sz w:val="28"/>
          <w:szCs w:val="24"/>
        </w:rPr>
        <w:t>gadam” noteiktais vispārējās valdības budžeta deficīts</w:t>
      </w:r>
      <w:r w:rsidRPr="002C2B88">
        <w:rPr>
          <w:rFonts w:ascii="Times New Roman" w:eastAsia="Calibri" w:hAnsi="Times New Roman"/>
          <w:sz w:val="28"/>
          <w:szCs w:val="24"/>
        </w:rPr>
        <w:t xml:space="preserve"> 0,3% no iekšzemes kopprodukta, taču jāņem vērā, ka likums par </w:t>
      </w:r>
      <w:r w:rsidRPr="002C2B88">
        <w:rPr>
          <w:rFonts w:ascii="Times New Roman" w:hAnsi="Times New Roman"/>
          <w:sz w:val="28"/>
          <w:szCs w:val="24"/>
        </w:rPr>
        <w:t>“Par valsts budžetu 2020.</w:t>
      </w:r>
      <w:r>
        <w:rPr>
          <w:rFonts w:ascii="Times New Roman" w:hAnsi="Times New Roman"/>
          <w:sz w:val="28"/>
          <w:szCs w:val="24"/>
        </w:rPr>
        <w:t xml:space="preserve"> </w:t>
      </w:r>
      <w:r w:rsidRPr="002C2B88">
        <w:rPr>
          <w:rFonts w:ascii="Times New Roman" w:hAnsi="Times New Roman"/>
          <w:sz w:val="28"/>
          <w:szCs w:val="24"/>
        </w:rPr>
        <w:t>gadam” tika pieņemts 2019. gada 14. novembrī, kad vēl nebija sākusies Covid-19 pandēmija.</w:t>
      </w:r>
      <w:r w:rsidRPr="002C2B88">
        <w:rPr>
          <w:rFonts w:ascii="Times New Roman" w:eastAsia="Calibri" w:hAnsi="Times New Roman"/>
          <w:sz w:val="28"/>
          <w:szCs w:val="24"/>
        </w:rPr>
        <w:t xml:space="preserve"> Tajā pašā </w:t>
      </w:r>
      <w:r w:rsidRPr="002C2B88">
        <w:rPr>
          <w:rFonts w:ascii="Times New Roman" w:eastAsia="Calibri" w:hAnsi="Times New Roman"/>
          <w:sz w:val="28"/>
          <w:szCs w:val="24"/>
        </w:rPr>
        <w:lastRenderedPageBreak/>
        <w:t>laikā jāatzīmē, ka vispārējās valdības budžeta deficīts ir būtiski zemāks kā prognozētais Latvijas Stabilitātes programmā 2020.</w:t>
      </w:r>
      <w:r w:rsidR="00CF68FC">
        <w:rPr>
          <w:rFonts w:ascii="Times New Roman" w:eastAsia="Calibri" w:hAnsi="Times New Roman"/>
          <w:sz w:val="28"/>
          <w:szCs w:val="24"/>
        </w:rPr>
        <w:t>-</w:t>
      </w:r>
      <w:r w:rsidRPr="002C2B88">
        <w:rPr>
          <w:rFonts w:ascii="Times New Roman" w:eastAsia="Calibri" w:hAnsi="Times New Roman"/>
          <w:sz w:val="28"/>
          <w:szCs w:val="24"/>
        </w:rPr>
        <w:t>2023.</w:t>
      </w:r>
      <w:r>
        <w:rPr>
          <w:rFonts w:ascii="Times New Roman" w:eastAsia="Calibri" w:hAnsi="Times New Roman"/>
          <w:sz w:val="28"/>
          <w:szCs w:val="24"/>
        </w:rPr>
        <w:t xml:space="preserve"> </w:t>
      </w:r>
      <w:r w:rsidRPr="002C2B88">
        <w:rPr>
          <w:rFonts w:ascii="Times New Roman" w:eastAsia="Calibri" w:hAnsi="Times New Roman"/>
          <w:sz w:val="28"/>
          <w:szCs w:val="24"/>
        </w:rPr>
        <w:t>gadam, kad, ņemot vērā augsto nenoteiktību saistībā ar Covid-19 pandēmijas attīstību, vispārējās valdības budžeta deficīts 2020. gadam tika prognozēts 9,4% no iekšzemes kopprodukta.</w:t>
      </w:r>
    </w:p>
    <w:p w:rsidR="00BF4753" w:rsidRPr="002C2B88" w:rsidRDefault="00BF4753" w:rsidP="00BF4753">
      <w:pPr>
        <w:pStyle w:val="teksts"/>
        <w:spacing w:after="0"/>
        <w:ind w:firstLine="720"/>
        <w:rPr>
          <w:rFonts w:ascii="Times New Roman" w:eastAsia="Calibri" w:hAnsi="Times New Roman"/>
          <w:sz w:val="28"/>
          <w:szCs w:val="24"/>
        </w:rPr>
      </w:pPr>
      <w:r w:rsidRPr="002C2B88">
        <w:rPr>
          <w:rFonts w:ascii="Times New Roman" w:hAnsi="Times New Roman"/>
          <w:sz w:val="28"/>
        </w:rPr>
        <w:t>Oficiālie dati par vispārējās valdības budžeta deficītu 2020. gadā būs pieejami</w:t>
      </w:r>
      <w:r w:rsidR="00CF68FC">
        <w:rPr>
          <w:rFonts w:ascii="Times New Roman" w:hAnsi="Times New Roman"/>
          <w:sz w:val="28"/>
        </w:rPr>
        <w:t xml:space="preserve"> šī</w:t>
      </w:r>
      <w:r w:rsidRPr="002C2B88">
        <w:rPr>
          <w:rFonts w:ascii="Times New Roman" w:hAnsi="Times New Roman"/>
          <w:sz w:val="28"/>
        </w:rPr>
        <w:t xml:space="preserve"> gada aprīļa beigās, kad būs pabeigti aprēķini par visiem vispārējās valdības sektora darījumiem, tai skaitā par vispārējās valdības kapitālsabiedrību darbības rezultātiem un tiks precizēta Covid-19 atbalsta pasākumu uzskaite, kā arī </w:t>
      </w:r>
      <w:r w:rsidR="00CF68FC" w:rsidRPr="00CF68FC">
        <w:rPr>
          <w:rFonts w:ascii="Times New Roman" w:hAnsi="Times New Roman"/>
          <w:sz w:val="28"/>
        </w:rPr>
        <w:t xml:space="preserve">Eiropas Savienības Statistikas birojs </w:t>
      </w:r>
      <w:r w:rsidRPr="002C2B88">
        <w:rPr>
          <w:rFonts w:ascii="Times New Roman" w:hAnsi="Times New Roman"/>
          <w:i/>
          <w:sz w:val="28"/>
        </w:rPr>
        <w:t>Eurostat</w:t>
      </w:r>
      <w:r w:rsidRPr="002C2B88">
        <w:rPr>
          <w:rFonts w:ascii="Times New Roman" w:hAnsi="Times New Roman"/>
          <w:sz w:val="28"/>
        </w:rPr>
        <w:t xml:space="preserve"> būs noslēdzis valdības budžeta deficīta un parāda notifikācijas sagatavošanas klarifikācijas procesu.</w:t>
      </w:r>
    </w:p>
    <w:p w:rsidR="00BF4753" w:rsidRPr="002C2B88" w:rsidRDefault="00BF4753" w:rsidP="00BF4753">
      <w:pPr>
        <w:pStyle w:val="teksts"/>
        <w:spacing w:after="0"/>
        <w:ind w:firstLine="720"/>
        <w:rPr>
          <w:rFonts w:ascii="Times New Roman" w:eastAsia="Calibri" w:hAnsi="Times New Roman"/>
          <w:sz w:val="28"/>
          <w:szCs w:val="24"/>
        </w:rPr>
      </w:pPr>
      <w:r w:rsidRPr="002C2B88">
        <w:rPr>
          <w:rFonts w:ascii="Times New Roman" w:eastAsia="Calibri" w:hAnsi="Times New Roman"/>
          <w:sz w:val="28"/>
          <w:szCs w:val="24"/>
        </w:rPr>
        <w:t>Vispārējās valdības budžeta deficītu pagājušajā gadā ietekmēja gan nodokļu ieņēmumu kritums, gan valdības pieņemtie lēmumi tautsaimniecības atbalstam Covid-19 pandēmijas laikā</w:t>
      </w:r>
      <w:r>
        <w:rPr>
          <w:rFonts w:ascii="Times New Roman" w:eastAsia="Calibri" w:hAnsi="Times New Roman"/>
          <w:sz w:val="28"/>
          <w:szCs w:val="24"/>
        </w:rPr>
        <w:t>. Kopumā, atbilstoši Finanšu ministrijas</w:t>
      </w:r>
      <w:r w:rsidRPr="002C2B88">
        <w:rPr>
          <w:rFonts w:ascii="Times New Roman" w:eastAsia="Calibri" w:hAnsi="Times New Roman"/>
          <w:sz w:val="28"/>
          <w:szCs w:val="24"/>
        </w:rPr>
        <w:t xml:space="preserve"> aplēsēm, valdības lēmumi 2020. gadā nodrošināja tautsaimniecībai atbalstu 4,5% apmērā no iekšzemes kopprodukta, savukārt šo pasākumu ietekme uz vispārējās valdības budžeta deficītu bija 3,7% no iekšzemes kopprodukta. Atbalsts tautsaimniecībai tika sniegts šādos virzienos – atbalsts nodokļu jomā, pabalstu jomā, aizdevumu un ga</w:t>
      </w:r>
      <w:r>
        <w:rPr>
          <w:rFonts w:ascii="Times New Roman" w:eastAsia="Calibri" w:hAnsi="Times New Roman"/>
          <w:sz w:val="28"/>
          <w:szCs w:val="24"/>
        </w:rPr>
        <w:t>rantiju jomā, nozarēm, kā arī Eiropas Savienības</w:t>
      </w:r>
      <w:r w:rsidRPr="002C2B88">
        <w:rPr>
          <w:rFonts w:ascii="Times New Roman" w:eastAsia="Calibri" w:hAnsi="Times New Roman"/>
          <w:sz w:val="28"/>
          <w:szCs w:val="24"/>
        </w:rPr>
        <w:t xml:space="preserve"> finansējuma atbalsts. Detalizētāku aprakstu par valdības sniegto atbalstu Covid-19 pandēmijas laikā skatīt Stabilitātes programmas 3.3. </w:t>
      </w:r>
      <w:r w:rsidRPr="002C2B88">
        <w:rPr>
          <w:rFonts w:ascii="Times New Roman" w:eastAsia="Calibri" w:hAnsi="Times New Roman"/>
          <w:color w:val="000000" w:themeColor="text1"/>
          <w:sz w:val="28"/>
          <w:szCs w:val="24"/>
        </w:rPr>
        <w:t>sadaļā.</w:t>
      </w:r>
    </w:p>
    <w:p w:rsidR="00BF4753" w:rsidRPr="002C2B88" w:rsidRDefault="00BF4753" w:rsidP="00BF4753">
      <w:pPr>
        <w:pStyle w:val="teksts"/>
        <w:spacing w:after="0"/>
        <w:ind w:firstLine="720"/>
        <w:rPr>
          <w:rFonts w:ascii="Times New Roman" w:hAnsi="Times New Roman"/>
          <w:sz w:val="28"/>
          <w:szCs w:val="24"/>
        </w:rPr>
      </w:pPr>
      <w:r w:rsidRPr="002C2B88">
        <w:rPr>
          <w:rFonts w:ascii="Times New Roman" w:hAnsi="Times New Roman"/>
          <w:noProof/>
          <w:sz w:val="28"/>
          <w:szCs w:val="24"/>
        </w:rPr>
        <w:t xml:space="preserve">Analizējot vispārējās valdības apakšsektoru ieguldījumu kopējā fiskālajā bilancē (skat. 3.1. attēlu), jāsecina, ka lielākais deficīts galvenokārt veidojās centrālajā valdībā </w:t>
      </w:r>
      <w:r w:rsidRPr="002C2B88">
        <w:rPr>
          <w:rFonts w:ascii="Times New Roman" w:hAnsi="Times New Roman"/>
          <w:sz w:val="28"/>
          <w:szCs w:val="24"/>
        </w:rPr>
        <w:t>un 2020.</w:t>
      </w:r>
      <w:r>
        <w:rPr>
          <w:rFonts w:ascii="Times New Roman" w:hAnsi="Times New Roman"/>
          <w:sz w:val="28"/>
          <w:szCs w:val="24"/>
        </w:rPr>
        <w:t xml:space="preserve"> </w:t>
      </w:r>
      <w:r w:rsidRPr="002C2B88">
        <w:rPr>
          <w:rFonts w:ascii="Times New Roman" w:hAnsi="Times New Roman"/>
          <w:sz w:val="28"/>
          <w:szCs w:val="24"/>
        </w:rPr>
        <w:t>gadā tas bija 5,4% no iekšzemes kopprodukta, ko galvenokārt ietekmēja valdības lēmumi tautsaimniecības atbalstam. Vietējās valdības budžetā arī veidojās deficīts 0,4% no iekšzemes kopprodukta, kur, samazinoties iedzīvotāju ienākuma nodokļa ieņēmumiem, būtiski samazinājās vietējās valdības kopējie ieņēmumi. Savukārt sociālās nodrošināšanas fondā, neskatoties uz slimības un bezdarba pabalstu pieaugumu, saglabājās budžeta pārpalikums 0,4% no iekšzemes kopprodukta.</w:t>
      </w:r>
    </w:p>
    <w:p w:rsidR="00BF4753" w:rsidRPr="002C2B88" w:rsidRDefault="00BF4753" w:rsidP="00BF4753">
      <w:pPr>
        <w:pStyle w:val="teksts"/>
        <w:spacing w:after="0"/>
        <w:ind w:firstLine="720"/>
        <w:rPr>
          <w:rFonts w:ascii="Times New Roman" w:eastAsia="Calibri" w:hAnsi="Times New Roman"/>
          <w:color w:val="FF0000"/>
          <w:sz w:val="28"/>
          <w:szCs w:val="24"/>
        </w:rPr>
        <w:sectPr w:rsidR="00BF4753" w:rsidRPr="002C2B88" w:rsidSect="00660ED9">
          <w:headerReference w:type="even" r:id="rId17"/>
          <w:headerReference w:type="default" r:id="rId18"/>
          <w:footerReference w:type="even" r:id="rId19"/>
          <w:footerReference w:type="default" r:id="rId20"/>
          <w:headerReference w:type="first" r:id="rId21"/>
          <w:footerReference w:type="first" r:id="rId22"/>
          <w:pgSz w:w="11906" w:h="16838" w:code="9"/>
          <w:pgMar w:top="1418" w:right="1134" w:bottom="1134" w:left="1701" w:header="1418" w:footer="1134" w:gutter="0"/>
          <w:cols w:space="708"/>
          <w:titlePg/>
          <w:docGrid w:linePitch="381"/>
        </w:sectPr>
      </w:pPr>
    </w:p>
    <w:p w:rsidR="00BF4753" w:rsidRDefault="00BF4753" w:rsidP="00BF4753">
      <w:pPr>
        <w:pStyle w:val="teksts"/>
        <w:spacing w:after="0"/>
        <w:jc w:val="center"/>
        <w:rPr>
          <w:rFonts w:ascii="Times New Roman" w:eastAsia="Calibri" w:hAnsi="Times New Roman"/>
          <w:b/>
          <w:sz w:val="28"/>
          <w:szCs w:val="24"/>
        </w:rPr>
      </w:pPr>
    </w:p>
    <w:p w:rsidR="00BF4753" w:rsidRPr="002A0E06" w:rsidRDefault="00BF4753" w:rsidP="00BF4753">
      <w:pPr>
        <w:pStyle w:val="teksts"/>
        <w:spacing w:after="0"/>
        <w:jc w:val="center"/>
        <w:rPr>
          <w:rFonts w:ascii="Times New Roman" w:hAnsi="Times New Roman"/>
          <w:i/>
          <w:noProof/>
          <w:szCs w:val="24"/>
        </w:rPr>
        <w:sectPr w:rsidR="00BF4753" w:rsidRPr="002A0E06" w:rsidSect="002D7CA8">
          <w:type w:val="continuous"/>
          <w:pgSz w:w="11906" w:h="16838" w:code="9"/>
          <w:pgMar w:top="1418" w:right="1134" w:bottom="568" w:left="1701" w:header="1417" w:footer="1134" w:gutter="0"/>
          <w:cols w:num="2" w:space="709"/>
          <w:titlePg/>
          <w:docGrid w:linePitch="360"/>
        </w:sectPr>
      </w:pPr>
    </w:p>
    <w:p w:rsidR="00BF4753" w:rsidRPr="002A0E06" w:rsidRDefault="0069120C" w:rsidP="00BF4753">
      <w:pPr>
        <w:tabs>
          <w:tab w:val="left" w:pos="840"/>
        </w:tabs>
        <w:ind w:firstLine="0"/>
        <w:sectPr w:rsidR="00BF4753" w:rsidRPr="002A0E06" w:rsidSect="002D7CA8">
          <w:type w:val="continuous"/>
          <w:pgSz w:w="11906" w:h="16838" w:code="9"/>
          <w:pgMar w:top="1418" w:right="1134" w:bottom="568" w:left="1701" w:header="1417" w:footer="1134" w:gutter="0"/>
          <w:cols w:space="709"/>
          <w:titlePg/>
          <w:docGrid w:linePitch="360"/>
        </w:sectPr>
      </w:pPr>
      <w:r w:rsidRPr="002C2B88">
        <w:rPr>
          <w:noProof/>
          <w:lang w:eastAsia="lv-LV"/>
        </w:rPr>
        <w:lastRenderedPageBreak/>
        <w:drawing>
          <wp:anchor distT="0" distB="0" distL="114300" distR="114300" simplePos="0" relativeHeight="251664384" behindDoc="0" locked="0" layoutInCell="1" allowOverlap="1" wp14:anchorId="7183B4E1" wp14:editId="64BF0B28">
            <wp:simplePos x="0" y="0"/>
            <wp:positionH relativeFrom="margin">
              <wp:align>right</wp:align>
            </wp:positionH>
            <wp:positionV relativeFrom="page">
              <wp:posOffset>908897</wp:posOffset>
            </wp:positionV>
            <wp:extent cx="2861310" cy="251968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277" r="35183" b="5226"/>
                    <a:stretch/>
                  </pic:blipFill>
                  <pic:spPr bwMode="auto">
                    <a:xfrm>
                      <a:off x="0" y="0"/>
                      <a:ext cx="2861310" cy="25196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C2B88">
        <w:rPr>
          <w:rFonts w:eastAsia="Calibri"/>
          <w:noProof/>
          <w:lang w:eastAsia="lv-LV"/>
        </w:rPr>
        <w:drawing>
          <wp:anchor distT="0" distB="0" distL="114300" distR="114300" simplePos="0" relativeHeight="251663360" behindDoc="0" locked="0" layoutInCell="1" allowOverlap="1" wp14:anchorId="101BDB45" wp14:editId="17B7A276">
            <wp:simplePos x="0" y="0"/>
            <wp:positionH relativeFrom="margin">
              <wp:posOffset>-135467</wp:posOffset>
            </wp:positionH>
            <wp:positionV relativeFrom="page">
              <wp:posOffset>1069128</wp:posOffset>
            </wp:positionV>
            <wp:extent cx="2782570" cy="251968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4847" b="9491"/>
                    <a:stretch/>
                  </pic:blipFill>
                  <pic:spPr bwMode="auto">
                    <a:xfrm>
                      <a:off x="0" y="0"/>
                      <a:ext cx="2782570" cy="2519680"/>
                    </a:xfrm>
                    <a:prstGeom prst="rect">
                      <a:avLst/>
                    </a:prstGeom>
                    <a:noFill/>
                    <a:ln>
                      <a:noFill/>
                    </a:ln>
                    <a:extLst>
                      <a:ext uri="{53640926-AAD7-44D8-BBD7-CCE9431645EC}">
                        <a14:shadowObscured xmlns:a14="http://schemas.microsoft.com/office/drawing/2010/main"/>
                      </a:ext>
                    </a:extLst>
                  </pic:spPr>
                </pic:pic>
              </a:graphicData>
            </a:graphic>
          </wp:anchor>
        </w:drawing>
      </w:r>
    </w:p>
    <w:p w:rsidR="0069120C" w:rsidRPr="0069120C" w:rsidRDefault="0069120C" w:rsidP="0069120C">
      <w:pPr>
        <w:jc w:val="center"/>
        <w:rPr>
          <w:rFonts w:eastAsia="Calibri"/>
          <w:b/>
          <w:i/>
          <w:sz w:val="24"/>
          <w:szCs w:val="24"/>
        </w:rPr>
      </w:pPr>
      <w:r w:rsidRPr="0069120C">
        <w:rPr>
          <w:rFonts w:eastAsia="Calibri"/>
          <w:b/>
          <w:i/>
          <w:sz w:val="24"/>
          <w:szCs w:val="24"/>
        </w:rPr>
        <w:t>3.1. att. Vispārējās valdības budžeta bilance</w:t>
      </w:r>
      <w:r>
        <w:rPr>
          <w:rFonts w:eastAsia="Calibri"/>
          <w:b/>
          <w:i/>
          <w:sz w:val="24"/>
          <w:szCs w:val="24"/>
        </w:rPr>
        <w:t xml:space="preserve"> sadalījumā pa apakšsektoriem, </w:t>
      </w:r>
      <w:r w:rsidRPr="0069120C">
        <w:rPr>
          <w:rFonts w:eastAsia="Calibri"/>
          <w:b/>
          <w:i/>
          <w:sz w:val="24"/>
          <w:szCs w:val="24"/>
        </w:rPr>
        <w:t>% no iekšzemes kopprodukta (Datu avots: Eurostat, Finanšu ministrija)</w:t>
      </w:r>
    </w:p>
    <w:p w:rsidR="0069120C" w:rsidRPr="0069120C" w:rsidRDefault="0069120C" w:rsidP="0069120C">
      <w:pPr>
        <w:rPr>
          <w:rFonts w:eastAsia="Calibri"/>
          <w:b/>
          <w:i/>
          <w:sz w:val="24"/>
          <w:szCs w:val="24"/>
        </w:rPr>
      </w:pPr>
    </w:p>
    <w:p w:rsidR="0069120C" w:rsidRPr="0069120C" w:rsidRDefault="0069120C" w:rsidP="0069120C">
      <w:pPr>
        <w:rPr>
          <w:rFonts w:eastAsia="Calibri"/>
          <w:b/>
          <w:i/>
          <w:sz w:val="24"/>
          <w:szCs w:val="24"/>
        </w:rPr>
      </w:pPr>
    </w:p>
    <w:p w:rsidR="0069120C" w:rsidRPr="0069120C" w:rsidRDefault="0069120C" w:rsidP="0069120C">
      <w:pPr>
        <w:jc w:val="center"/>
        <w:rPr>
          <w:rFonts w:eastAsia="Calibri"/>
          <w:b/>
          <w:i/>
          <w:sz w:val="24"/>
          <w:szCs w:val="24"/>
        </w:rPr>
      </w:pPr>
      <w:r w:rsidRPr="0069120C">
        <w:rPr>
          <w:rFonts w:eastAsia="Calibri"/>
          <w:b/>
          <w:i/>
          <w:sz w:val="24"/>
          <w:szCs w:val="24"/>
        </w:rPr>
        <w:t>3.2. att. Vispārējās valdības ieņēmumi un izdevumi,  % no iekšzemes kopprodukta</w:t>
      </w:r>
      <w:r>
        <w:rPr>
          <w:rFonts w:eastAsia="Calibri"/>
          <w:b/>
          <w:i/>
          <w:sz w:val="24"/>
          <w:szCs w:val="24"/>
        </w:rPr>
        <w:t xml:space="preserve"> </w:t>
      </w:r>
      <w:r w:rsidRPr="0069120C">
        <w:rPr>
          <w:rFonts w:eastAsia="Calibri"/>
          <w:b/>
          <w:i/>
          <w:sz w:val="24"/>
          <w:szCs w:val="24"/>
        </w:rPr>
        <w:t>(Datu avots: Eurostat, Finanšu ministrija)</w:t>
      </w:r>
    </w:p>
    <w:p w:rsidR="0069120C" w:rsidRPr="0069120C" w:rsidRDefault="0069120C" w:rsidP="0069120C">
      <w:pPr>
        <w:rPr>
          <w:rFonts w:eastAsia="Calibri"/>
          <w:b/>
          <w:i/>
          <w:sz w:val="24"/>
          <w:szCs w:val="24"/>
        </w:rPr>
      </w:pPr>
    </w:p>
    <w:p w:rsidR="0069120C" w:rsidRPr="0069120C" w:rsidRDefault="0069120C" w:rsidP="0069120C">
      <w:pPr>
        <w:rPr>
          <w:rFonts w:eastAsia="Calibri"/>
          <w:b/>
          <w:i/>
          <w:sz w:val="24"/>
          <w:szCs w:val="24"/>
        </w:rPr>
        <w:sectPr w:rsidR="0069120C" w:rsidRPr="0069120C" w:rsidSect="0069120C">
          <w:type w:val="continuous"/>
          <w:pgSz w:w="11906" w:h="16838" w:code="9"/>
          <w:pgMar w:top="1418" w:right="1134" w:bottom="568" w:left="1701" w:header="1417" w:footer="1134" w:gutter="0"/>
          <w:cols w:num="2" w:space="709"/>
          <w:titlePg/>
          <w:docGrid w:linePitch="360"/>
        </w:sectPr>
      </w:pPr>
    </w:p>
    <w:p w:rsidR="00BF4753" w:rsidRPr="002C2B88" w:rsidRDefault="00BF4753" w:rsidP="00BF4753">
      <w:pPr>
        <w:rPr>
          <w:szCs w:val="24"/>
          <w:lang w:eastAsia="lv-LV"/>
        </w:rPr>
      </w:pPr>
      <w:r w:rsidRPr="002C2B88">
        <w:rPr>
          <w:rFonts w:eastAsia="Calibri"/>
          <w:szCs w:val="24"/>
        </w:rPr>
        <w:t xml:space="preserve">2020. gadā, salīdzinot ar 2019. gadu, vispārējās valdības budžeta ieņēmumi pieauguši tikai par 22,9 milj. </w:t>
      </w:r>
      <w:r w:rsidRPr="002C2B88">
        <w:rPr>
          <w:rFonts w:eastAsia="Calibri"/>
          <w:i/>
          <w:szCs w:val="24"/>
        </w:rPr>
        <w:t>euro</w:t>
      </w:r>
      <w:r w:rsidRPr="002C2B88">
        <w:rPr>
          <w:rFonts w:eastAsia="Calibri"/>
          <w:szCs w:val="24"/>
        </w:rPr>
        <w:t xml:space="preserve"> jeb</w:t>
      </w:r>
      <w:r>
        <w:rPr>
          <w:rFonts w:eastAsia="Calibri"/>
          <w:szCs w:val="24"/>
        </w:rPr>
        <w:t xml:space="preserve"> 0,2%, sasniedzot 11,5 mljrd.</w:t>
      </w:r>
      <w:r w:rsidRPr="002C2B88">
        <w:rPr>
          <w:rFonts w:eastAsia="Calibri"/>
          <w:szCs w:val="24"/>
        </w:rPr>
        <w:t xml:space="preserve"> </w:t>
      </w:r>
      <w:r w:rsidRPr="002C2B88">
        <w:rPr>
          <w:rFonts w:eastAsia="Calibri"/>
          <w:i/>
          <w:szCs w:val="24"/>
        </w:rPr>
        <w:t>euro</w:t>
      </w:r>
      <w:r w:rsidRPr="002C2B88">
        <w:rPr>
          <w:rFonts w:eastAsia="Calibri"/>
          <w:szCs w:val="24"/>
        </w:rPr>
        <w:t xml:space="preserve"> jeb 39,4% no iekšzeme</w:t>
      </w:r>
      <w:r>
        <w:rPr>
          <w:rFonts w:eastAsia="Calibri"/>
          <w:szCs w:val="24"/>
        </w:rPr>
        <w:t>s kopprodukta (skat. 3.2. att.</w:t>
      </w:r>
      <w:r w:rsidRPr="002C2B88">
        <w:rPr>
          <w:rFonts w:eastAsia="Calibri"/>
          <w:szCs w:val="24"/>
        </w:rPr>
        <w:t>). Vispārējās valdības budžeta ieņēmumu īpatsvars iekšzemes kopproduktā 2020. gadā pieauga par 1,5 proce</w:t>
      </w:r>
      <w:r w:rsidR="00CF68FC">
        <w:rPr>
          <w:rFonts w:eastAsia="Calibri"/>
          <w:szCs w:val="24"/>
        </w:rPr>
        <w:t xml:space="preserve">ntpunktiem, salīdzinot ar 2019. </w:t>
      </w:r>
      <w:r w:rsidRPr="002C2B88">
        <w:rPr>
          <w:rFonts w:eastAsia="Calibri"/>
          <w:szCs w:val="24"/>
        </w:rPr>
        <w:t>gadu, taču šāds pieaugums ir skaidrojams ar nominālā iekšzemes koppro</w:t>
      </w:r>
      <w:r w:rsidR="00CF68FC">
        <w:rPr>
          <w:rFonts w:eastAsia="Calibri"/>
          <w:szCs w:val="24"/>
        </w:rPr>
        <w:t>dukta kritumu par 3,6 %</w:t>
      </w:r>
      <w:r w:rsidRPr="002C2B88">
        <w:rPr>
          <w:rFonts w:eastAsia="Calibri"/>
          <w:szCs w:val="24"/>
        </w:rPr>
        <w:t xml:space="preserve">. Ieņēmumu pieaugumu nodrošināja īpašuma ienākums (D.4), kas sasniedza 0,7% no iekšzemes kopprodukta, kas ir par 0,1 procentpunktu augstāki kā 2019. gadā, un citi ieņēmumi, kas 2020. gadā sasniedza 6,8% no iekšzemes kopprodukta, kas ir par 0,7 procentpunktiem augstāki </w:t>
      </w:r>
      <w:r w:rsidR="00CF68FC">
        <w:rPr>
          <w:rFonts w:eastAsia="Calibri"/>
          <w:szCs w:val="24"/>
        </w:rPr>
        <w:t>kā</w:t>
      </w:r>
      <w:r>
        <w:rPr>
          <w:rFonts w:eastAsia="Calibri"/>
          <w:szCs w:val="24"/>
        </w:rPr>
        <w:t xml:space="preserve"> 2019. gadā (skat. 3.3. att.</w:t>
      </w:r>
      <w:r w:rsidRPr="002C2B88">
        <w:rPr>
          <w:rFonts w:eastAsia="Calibri"/>
          <w:szCs w:val="24"/>
        </w:rPr>
        <w:t>). Īpašuma ienākuma pieaugumu nodrošināja valsts budžetā saņemtās dividendes, savukārt citu ieņēmumu pieaugumu nodrošināja augstāki nenodokļu ieņēmumi, tostarp ieņēmumi no noziedzīgi iegūtu līdzekļu konfiskācijas un augstāki pieklasificēto komersantu ieņēmumi par sniegtajiem pakalpojumiem.</w:t>
      </w:r>
    </w:p>
    <w:p w:rsidR="00BF4753" w:rsidRPr="002C2B88" w:rsidRDefault="00BF4753" w:rsidP="00BF4753">
      <w:pPr>
        <w:pStyle w:val="teksts"/>
        <w:spacing w:after="0"/>
        <w:ind w:firstLine="720"/>
        <w:rPr>
          <w:rFonts w:ascii="Times New Roman" w:eastAsia="Calibri" w:hAnsi="Times New Roman"/>
          <w:color w:val="000000"/>
          <w:sz w:val="28"/>
          <w:szCs w:val="24"/>
        </w:rPr>
      </w:pPr>
      <w:r>
        <w:rPr>
          <w:rFonts w:ascii="Times New Roman" w:eastAsia="Calibri" w:hAnsi="Times New Roman"/>
          <w:color w:val="000000"/>
          <w:sz w:val="28"/>
          <w:szCs w:val="24"/>
        </w:rPr>
        <w:t>Nodokļu ieņēmumi</w:t>
      </w:r>
      <w:r w:rsidRPr="002C2B88">
        <w:rPr>
          <w:rStyle w:val="FootnoteReference"/>
          <w:rFonts w:ascii="Times New Roman" w:eastAsia="Calibri" w:hAnsi="Times New Roman"/>
          <w:sz w:val="22"/>
        </w:rPr>
        <w:footnoteReference w:id="5"/>
      </w:r>
      <w:r w:rsidRPr="002C2B88">
        <w:rPr>
          <w:rFonts w:ascii="Times New Roman" w:eastAsia="Calibri" w:hAnsi="Times New Roman"/>
          <w:color w:val="000000"/>
          <w:sz w:val="28"/>
          <w:szCs w:val="24"/>
        </w:rPr>
        <w:t xml:space="preserve"> veido lielāko ieņēmumu daļu, un 2020. gadā tie sasniedza 31,9% no iekšzemes kopprodukta, kas ir par 0,6 procentpunktiem vairāk kā 2019. gadā, ņemot vērā iekšzemes kopprodukta kritumu. Nomināli nodokļu ieņēmumi samazinājās par 119 </w:t>
      </w:r>
      <w:r w:rsidRPr="002C2B88">
        <w:rPr>
          <w:rFonts w:ascii="Times New Roman" w:eastAsia="Calibri" w:hAnsi="Times New Roman"/>
          <w:sz w:val="28"/>
          <w:szCs w:val="24"/>
        </w:rPr>
        <w:t xml:space="preserve">milj. </w:t>
      </w:r>
      <w:r w:rsidRPr="002C2B88">
        <w:rPr>
          <w:rFonts w:ascii="Times New Roman" w:eastAsia="Calibri" w:hAnsi="Times New Roman"/>
          <w:i/>
          <w:sz w:val="28"/>
          <w:szCs w:val="24"/>
        </w:rPr>
        <w:t>euro</w:t>
      </w:r>
      <w:r w:rsidRPr="002C2B88">
        <w:rPr>
          <w:rFonts w:ascii="Times New Roman" w:eastAsia="Calibri" w:hAnsi="Times New Roman"/>
          <w:color w:val="000000"/>
          <w:sz w:val="28"/>
          <w:szCs w:val="24"/>
        </w:rPr>
        <w:t xml:space="preserve"> jeb 1,9%. </w:t>
      </w:r>
      <w:r w:rsidRPr="002C2B88">
        <w:rPr>
          <w:rFonts w:ascii="Times New Roman" w:hAnsi="Times New Roman"/>
          <w:sz w:val="28"/>
          <w:szCs w:val="24"/>
          <w:lang w:eastAsia="lv-LV"/>
        </w:rPr>
        <w:t xml:space="preserve">Nozīmīga nodokļu ieņēmumu samazināšanās pērn bija vērojama tādās nozarēs kā </w:t>
      </w:r>
      <w:r w:rsidRPr="002C2B88">
        <w:rPr>
          <w:rFonts w:ascii="Times New Roman" w:hAnsi="Times New Roman"/>
          <w:sz w:val="28"/>
        </w:rPr>
        <w:t xml:space="preserve">izmitināšana un ēdināšanas pakalpojumi, transports un uzglabāšana, būvniecība, māksla, izklaide </w:t>
      </w:r>
      <w:r w:rsidRPr="002C2B88">
        <w:rPr>
          <w:rFonts w:ascii="Times New Roman" w:hAnsi="Times New Roman"/>
          <w:sz w:val="28"/>
        </w:rPr>
        <w:lastRenderedPageBreak/>
        <w:t xml:space="preserve">un atpūta, arī nekustamā īpašuma izīrēšanas un pārvaldīšanas nozarē. </w:t>
      </w:r>
      <w:r w:rsidRPr="002C2B88">
        <w:rPr>
          <w:rFonts w:ascii="Times New Roman" w:eastAsia="Calibri" w:hAnsi="Times New Roman"/>
          <w:color w:val="000000"/>
          <w:sz w:val="28"/>
          <w:szCs w:val="24"/>
        </w:rPr>
        <w:t xml:space="preserve">Lielākais kritums 97,1 </w:t>
      </w:r>
      <w:r w:rsidRPr="002C2B88">
        <w:rPr>
          <w:rFonts w:ascii="Times New Roman" w:eastAsia="Calibri" w:hAnsi="Times New Roman"/>
          <w:sz w:val="28"/>
          <w:szCs w:val="24"/>
        </w:rPr>
        <w:t xml:space="preserve">milj. </w:t>
      </w:r>
      <w:r w:rsidRPr="002C2B88">
        <w:rPr>
          <w:rFonts w:ascii="Times New Roman" w:eastAsia="Calibri" w:hAnsi="Times New Roman"/>
          <w:i/>
          <w:sz w:val="28"/>
          <w:szCs w:val="24"/>
        </w:rPr>
        <w:t>euro</w:t>
      </w:r>
      <w:r w:rsidRPr="002C2B88">
        <w:rPr>
          <w:rFonts w:ascii="Times New Roman" w:eastAsia="Calibri" w:hAnsi="Times New Roman"/>
          <w:color w:val="000000"/>
          <w:sz w:val="28"/>
          <w:szCs w:val="24"/>
        </w:rPr>
        <w:t xml:space="preserve"> apmērā bija novērojams ražošanas un importa nodokļiem (D.2), kas samazinājušies Covid-19 pandēmijas ietekmes rezultātā. Samazinoties ekonomiskai aktivitātei, par 103,7 </w:t>
      </w:r>
      <w:r w:rsidRPr="002C2B88">
        <w:rPr>
          <w:rFonts w:ascii="Times New Roman" w:eastAsia="Calibri" w:hAnsi="Times New Roman"/>
          <w:sz w:val="28"/>
          <w:szCs w:val="24"/>
        </w:rPr>
        <w:t xml:space="preserve">milj. </w:t>
      </w:r>
      <w:r w:rsidRPr="002C2B88">
        <w:rPr>
          <w:rFonts w:ascii="Times New Roman" w:eastAsia="Calibri" w:hAnsi="Times New Roman"/>
          <w:i/>
          <w:sz w:val="28"/>
          <w:szCs w:val="24"/>
        </w:rPr>
        <w:t>euro</w:t>
      </w:r>
      <w:r w:rsidRPr="002C2B88">
        <w:rPr>
          <w:rFonts w:ascii="Times New Roman" w:eastAsia="Calibri" w:hAnsi="Times New Roman"/>
          <w:color w:val="000000"/>
          <w:sz w:val="28"/>
          <w:szCs w:val="24"/>
        </w:rPr>
        <w:t xml:space="preserve"> jeb 3,9% samazinājušies </w:t>
      </w:r>
      <w:r>
        <w:rPr>
          <w:rFonts w:ascii="Times New Roman" w:eastAsia="Calibri" w:hAnsi="Times New Roman"/>
          <w:color w:val="000000"/>
          <w:sz w:val="28"/>
          <w:szCs w:val="24"/>
        </w:rPr>
        <w:t>pievienotās vērtības nodokļa</w:t>
      </w:r>
      <w:r w:rsidRPr="002C2B88">
        <w:rPr>
          <w:rFonts w:ascii="Times New Roman" w:eastAsia="Calibri" w:hAnsi="Times New Roman"/>
          <w:color w:val="000000"/>
          <w:sz w:val="28"/>
          <w:szCs w:val="24"/>
        </w:rPr>
        <w:t xml:space="preserve"> ieņēmumi valsts budžetā, kas skaidrojams ar iemaksu samazinājumu un atmaksu pieaugumu. Ja 2020. gada janvārī un februārī </w:t>
      </w:r>
      <w:r>
        <w:rPr>
          <w:rFonts w:ascii="Times New Roman" w:eastAsia="Calibri" w:hAnsi="Times New Roman"/>
          <w:color w:val="000000"/>
          <w:sz w:val="28"/>
          <w:szCs w:val="24"/>
        </w:rPr>
        <w:t>pievienotās vērtības nodokļa</w:t>
      </w:r>
      <w:r w:rsidRPr="002C2B88">
        <w:rPr>
          <w:rFonts w:ascii="Times New Roman" w:eastAsia="Calibri" w:hAnsi="Times New Roman"/>
          <w:color w:val="000000"/>
          <w:sz w:val="28"/>
          <w:szCs w:val="24"/>
        </w:rPr>
        <w:t xml:space="preserve"> ieņēmumi pieauga salīdzinot pret 2019. gadu, tad 2020. gada martā, stājoties spēkā ārkārtas situācijai, </w:t>
      </w:r>
      <w:r>
        <w:rPr>
          <w:rFonts w:ascii="Times New Roman" w:eastAsia="Calibri" w:hAnsi="Times New Roman"/>
          <w:color w:val="000000"/>
          <w:sz w:val="28"/>
          <w:szCs w:val="24"/>
        </w:rPr>
        <w:t>pievienotās vērtības nodokļa</w:t>
      </w:r>
      <w:r w:rsidRPr="002C2B88">
        <w:rPr>
          <w:rFonts w:ascii="Times New Roman" w:eastAsia="Calibri" w:hAnsi="Times New Roman"/>
          <w:color w:val="000000"/>
          <w:sz w:val="28"/>
          <w:szCs w:val="24"/>
        </w:rPr>
        <w:t xml:space="preserve"> ieņēmumi sāka būtiski samazināties. Atbilstoši </w:t>
      </w:r>
      <w:r>
        <w:rPr>
          <w:rFonts w:ascii="Times New Roman" w:eastAsia="Calibri" w:hAnsi="Times New Roman"/>
          <w:color w:val="000000"/>
          <w:sz w:val="28"/>
          <w:szCs w:val="24"/>
        </w:rPr>
        <w:t>Valsts ieņēmumu dienesta</w:t>
      </w:r>
      <w:r w:rsidRPr="002C2B88">
        <w:rPr>
          <w:rFonts w:ascii="Times New Roman" w:eastAsia="Calibri" w:hAnsi="Times New Roman"/>
          <w:color w:val="000000"/>
          <w:sz w:val="28"/>
          <w:szCs w:val="24"/>
        </w:rPr>
        <w:t xml:space="preserve"> sniegtajai informācijai ārkārtas situācijā visvairāk skartajās nozarēs – izmitināšanas un ēdināšanas pakalpojumu nozarē, kā arī mākslas, izklaides un atpūtas nozarē samaksātie </w:t>
      </w:r>
      <w:r>
        <w:rPr>
          <w:rFonts w:ascii="Times New Roman" w:eastAsia="Calibri" w:hAnsi="Times New Roman"/>
          <w:color w:val="000000"/>
          <w:sz w:val="28"/>
          <w:szCs w:val="24"/>
        </w:rPr>
        <w:t>pievienotās vērtības</w:t>
      </w:r>
      <w:r w:rsidRPr="002C2B88">
        <w:rPr>
          <w:rFonts w:ascii="Times New Roman" w:eastAsia="Calibri" w:hAnsi="Times New Roman"/>
          <w:color w:val="000000"/>
          <w:sz w:val="28"/>
          <w:szCs w:val="24"/>
        </w:rPr>
        <w:t xml:space="preserve"> nodokļi samazinājās vairāk kā par 50%, salīdzinot ar 2019. gadu. Atbilstoši </w:t>
      </w:r>
      <w:r>
        <w:rPr>
          <w:rFonts w:ascii="Times New Roman" w:eastAsia="Calibri" w:hAnsi="Times New Roman"/>
          <w:color w:val="000000"/>
          <w:sz w:val="28"/>
          <w:szCs w:val="24"/>
        </w:rPr>
        <w:t>Valsts ieņēmumu dienesta</w:t>
      </w:r>
      <w:r w:rsidRPr="002C2B88">
        <w:rPr>
          <w:rFonts w:ascii="Times New Roman" w:eastAsia="Calibri" w:hAnsi="Times New Roman"/>
          <w:color w:val="000000"/>
          <w:sz w:val="28"/>
          <w:szCs w:val="24"/>
        </w:rPr>
        <w:t xml:space="preserve"> datiem kopējā darījumu vērtība 2020. gadā visvairāk samazinājās tiem nodokļu maksātājiem, kuri darbojas vairumtirdzniecības un mazumtirdzniecības, automobiļu un motociklu remonta nozarē, kā arī transporta un uzglabāšanas nozarē.</w:t>
      </w:r>
    </w:p>
    <w:p w:rsidR="00BF4753" w:rsidRPr="002C2B88" w:rsidRDefault="00BF4753" w:rsidP="00BF4753">
      <w:pPr>
        <w:pStyle w:val="teksts"/>
        <w:spacing w:after="0"/>
        <w:ind w:firstLine="720"/>
        <w:rPr>
          <w:rFonts w:ascii="Times New Roman" w:eastAsia="Calibri" w:hAnsi="Times New Roman"/>
          <w:sz w:val="28"/>
          <w:szCs w:val="24"/>
        </w:rPr>
      </w:pPr>
      <w:r w:rsidRPr="002C2B88">
        <w:rPr>
          <w:rFonts w:ascii="Times New Roman" w:eastAsia="Calibri" w:hAnsi="Times New Roman"/>
          <w:color w:val="000000"/>
          <w:sz w:val="28"/>
          <w:szCs w:val="24"/>
        </w:rPr>
        <w:t xml:space="preserve">Ienākuma un mantas kārtējie nodokļi (D.5) samazinājās par 21,8 </w:t>
      </w:r>
      <w:r w:rsidRPr="002C2B88">
        <w:rPr>
          <w:rFonts w:ascii="Times New Roman" w:eastAsia="Calibri" w:hAnsi="Times New Roman"/>
          <w:sz w:val="28"/>
          <w:szCs w:val="24"/>
        </w:rPr>
        <w:t xml:space="preserve">milj. </w:t>
      </w:r>
      <w:r w:rsidRPr="002C2B88">
        <w:rPr>
          <w:rFonts w:ascii="Times New Roman" w:eastAsia="Calibri" w:hAnsi="Times New Roman"/>
          <w:i/>
          <w:sz w:val="28"/>
          <w:szCs w:val="24"/>
        </w:rPr>
        <w:t>euro</w:t>
      </w:r>
      <w:r w:rsidRPr="002C2B88">
        <w:rPr>
          <w:rFonts w:ascii="Times New Roman" w:eastAsia="Calibri" w:hAnsi="Times New Roman"/>
          <w:color w:val="000000"/>
          <w:sz w:val="28"/>
          <w:szCs w:val="24"/>
        </w:rPr>
        <w:t xml:space="preserve"> jeb 1%, salīdzinot ar 2019. gadu. Taču ienākuma un mantas kārtējo nodokļu izpildi bū</w:t>
      </w:r>
      <w:r>
        <w:rPr>
          <w:rFonts w:ascii="Times New Roman" w:eastAsia="Calibri" w:hAnsi="Times New Roman"/>
          <w:color w:val="000000"/>
          <w:sz w:val="28"/>
          <w:szCs w:val="24"/>
        </w:rPr>
        <w:t>tiski ietekmēja uzņēmuma ienākuma nodokļa</w:t>
      </w:r>
      <w:r w:rsidRPr="002C2B88">
        <w:rPr>
          <w:rFonts w:ascii="Times New Roman" w:eastAsia="Calibri" w:hAnsi="Times New Roman"/>
          <w:color w:val="000000"/>
          <w:sz w:val="28"/>
          <w:szCs w:val="24"/>
        </w:rPr>
        <w:t xml:space="preserve"> ieņēmumu zemā bāze 2019. gadā. Ar 2018. gada 1. janvāri, ieviešot Nodokļu politikas pamatnostādnes 2018.</w:t>
      </w:r>
      <w:r>
        <w:rPr>
          <w:rFonts w:ascii="Times New Roman" w:eastAsia="Calibri" w:hAnsi="Times New Roman"/>
          <w:color w:val="000000"/>
          <w:sz w:val="28"/>
          <w:szCs w:val="24"/>
        </w:rPr>
        <w:t xml:space="preserve"> </w:t>
      </w:r>
      <w:r w:rsidRPr="002C2B88">
        <w:rPr>
          <w:rFonts w:ascii="Times New Roman" w:eastAsia="Calibri" w:hAnsi="Times New Roman"/>
          <w:color w:val="000000"/>
          <w:sz w:val="28"/>
          <w:szCs w:val="24"/>
        </w:rPr>
        <w:t>-</w:t>
      </w:r>
      <w:r>
        <w:rPr>
          <w:rFonts w:ascii="Times New Roman" w:eastAsia="Calibri" w:hAnsi="Times New Roman"/>
          <w:color w:val="000000"/>
          <w:sz w:val="28"/>
          <w:szCs w:val="24"/>
        </w:rPr>
        <w:t xml:space="preserve"> </w:t>
      </w:r>
      <w:r w:rsidRPr="002C2B88">
        <w:rPr>
          <w:rFonts w:ascii="Times New Roman" w:eastAsia="Calibri" w:hAnsi="Times New Roman"/>
          <w:color w:val="000000"/>
          <w:sz w:val="28"/>
          <w:szCs w:val="24"/>
        </w:rPr>
        <w:t xml:space="preserve">2021. gadam būtiski tika pārskatīta gan </w:t>
      </w:r>
      <w:r>
        <w:rPr>
          <w:rFonts w:ascii="Times New Roman" w:eastAsia="Calibri" w:hAnsi="Times New Roman"/>
          <w:color w:val="000000"/>
          <w:sz w:val="28"/>
          <w:szCs w:val="24"/>
        </w:rPr>
        <w:t>uzņēmuma ienākuma nodokļa</w:t>
      </w:r>
      <w:r w:rsidRPr="002C2B88">
        <w:rPr>
          <w:rFonts w:ascii="Times New Roman" w:eastAsia="Calibri" w:hAnsi="Times New Roman"/>
          <w:color w:val="000000"/>
          <w:sz w:val="28"/>
          <w:szCs w:val="24"/>
        </w:rPr>
        <w:t xml:space="preserve"> likme, gan maksāšanas kārtība. 2019. gads bija uzskatāms par pārejas periodu, kurā </w:t>
      </w:r>
      <w:r>
        <w:rPr>
          <w:rFonts w:ascii="Times New Roman" w:eastAsia="Calibri" w:hAnsi="Times New Roman"/>
          <w:color w:val="000000"/>
          <w:sz w:val="28"/>
          <w:szCs w:val="24"/>
        </w:rPr>
        <w:t>uzņēmuma ienākuma nodokļa</w:t>
      </w:r>
      <w:r w:rsidRPr="002C2B88">
        <w:rPr>
          <w:rFonts w:ascii="Times New Roman" w:eastAsia="Calibri" w:hAnsi="Times New Roman"/>
          <w:color w:val="000000"/>
          <w:sz w:val="28"/>
          <w:szCs w:val="24"/>
        </w:rPr>
        <w:t xml:space="preserve"> ieņēmumi valsts budžetā bija tikai 44,8 </w:t>
      </w:r>
      <w:r w:rsidRPr="002C2B88">
        <w:rPr>
          <w:rFonts w:ascii="Times New Roman" w:eastAsia="Calibri" w:hAnsi="Times New Roman"/>
          <w:sz w:val="28"/>
          <w:szCs w:val="24"/>
        </w:rPr>
        <w:t xml:space="preserve">milj. </w:t>
      </w:r>
      <w:r w:rsidRPr="002C2B88">
        <w:rPr>
          <w:rFonts w:ascii="Times New Roman" w:eastAsia="Calibri" w:hAnsi="Times New Roman"/>
          <w:i/>
          <w:sz w:val="28"/>
          <w:szCs w:val="24"/>
        </w:rPr>
        <w:t>euro</w:t>
      </w:r>
      <w:r w:rsidRPr="002C2B88">
        <w:rPr>
          <w:rFonts w:ascii="Times New Roman" w:eastAsia="Calibri" w:hAnsi="Times New Roman"/>
          <w:color w:val="000000"/>
          <w:sz w:val="28"/>
          <w:szCs w:val="24"/>
        </w:rPr>
        <w:t xml:space="preserve"> apmērā, savukārt 2020. </w:t>
      </w:r>
      <w:r>
        <w:rPr>
          <w:rFonts w:ascii="Times New Roman" w:eastAsia="Calibri" w:hAnsi="Times New Roman"/>
          <w:color w:val="000000"/>
          <w:sz w:val="28"/>
          <w:szCs w:val="24"/>
        </w:rPr>
        <w:t>gadā uzņēmuma ienākuma nodokļa</w:t>
      </w:r>
      <w:r w:rsidRPr="002C2B88">
        <w:rPr>
          <w:rFonts w:ascii="Times New Roman" w:eastAsia="Calibri" w:hAnsi="Times New Roman"/>
          <w:color w:val="000000"/>
          <w:sz w:val="28"/>
          <w:szCs w:val="24"/>
        </w:rPr>
        <w:t xml:space="preserve"> ieņēmumi pieauga par 162,7 </w:t>
      </w:r>
      <w:r w:rsidRPr="002C2B88">
        <w:rPr>
          <w:rFonts w:ascii="Times New Roman" w:eastAsia="Calibri" w:hAnsi="Times New Roman"/>
          <w:sz w:val="28"/>
          <w:szCs w:val="24"/>
        </w:rPr>
        <w:t xml:space="preserve">milj. </w:t>
      </w:r>
      <w:r w:rsidRPr="002C2B88">
        <w:rPr>
          <w:rFonts w:ascii="Times New Roman" w:eastAsia="Calibri" w:hAnsi="Times New Roman"/>
          <w:i/>
          <w:sz w:val="28"/>
          <w:szCs w:val="24"/>
        </w:rPr>
        <w:t xml:space="preserve">euro </w:t>
      </w:r>
      <w:r w:rsidRPr="002C2B88">
        <w:rPr>
          <w:rFonts w:ascii="Times New Roman" w:eastAsia="Calibri" w:hAnsi="Times New Roman"/>
          <w:sz w:val="28"/>
          <w:szCs w:val="24"/>
        </w:rPr>
        <w:t xml:space="preserve">sasniedzot 207,5 milj. </w:t>
      </w:r>
      <w:r w:rsidRPr="002C2B88">
        <w:rPr>
          <w:rFonts w:ascii="Times New Roman" w:eastAsia="Calibri" w:hAnsi="Times New Roman"/>
          <w:i/>
          <w:sz w:val="28"/>
          <w:szCs w:val="24"/>
        </w:rPr>
        <w:t xml:space="preserve">euro. </w:t>
      </w:r>
      <w:r w:rsidRPr="002C2B88">
        <w:rPr>
          <w:rFonts w:ascii="Times New Roman" w:eastAsia="Calibri" w:hAnsi="Times New Roman"/>
          <w:sz w:val="28"/>
          <w:szCs w:val="24"/>
        </w:rPr>
        <w:t xml:space="preserve">Ienākuma un mantas kārtējos nodokļus būtiski samazināja </w:t>
      </w:r>
      <w:r>
        <w:rPr>
          <w:rFonts w:ascii="Times New Roman" w:eastAsia="Calibri" w:hAnsi="Times New Roman"/>
          <w:color w:val="000000"/>
          <w:sz w:val="28"/>
          <w:szCs w:val="24"/>
        </w:rPr>
        <w:t>iedzīvotāju ienākuma nodokļa</w:t>
      </w:r>
      <w:r w:rsidRPr="002C2B88">
        <w:rPr>
          <w:rFonts w:ascii="Times New Roman" w:eastAsia="Calibri" w:hAnsi="Times New Roman"/>
          <w:sz w:val="28"/>
          <w:szCs w:val="24"/>
        </w:rPr>
        <w:t xml:space="preserve"> ieņēmumu kritums. Tautsaimniecībā nodarbināto vidējā bruto darba samaksa 2020. gadā turpināja pieaugt un sasniedza 1143 </w:t>
      </w:r>
      <w:r w:rsidRPr="00B97663">
        <w:rPr>
          <w:rFonts w:ascii="Times New Roman" w:eastAsia="Calibri" w:hAnsi="Times New Roman"/>
          <w:i/>
          <w:sz w:val="28"/>
          <w:szCs w:val="24"/>
        </w:rPr>
        <w:t>euro</w:t>
      </w:r>
      <w:r w:rsidRPr="002C2B88">
        <w:rPr>
          <w:rFonts w:ascii="Times New Roman" w:eastAsia="Calibri" w:hAnsi="Times New Roman"/>
          <w:sz w:val="28"/>
          <w:szCs w:val="24"/>
        </w:rPr>
        <w:t xml:space="preserve">, tomēr sarūkot nodarbinātībai par 1,9% un bezdarbam pieaugot līdz 8,1% no ekonomiski aktīvajiem iedzīvotājiem, </w:t>
      </w:r>
      <w:r>
        <w:rPr>
          <w:rFonts w:ascii="Times New Roman" w:eastAsia="Calibri" w:hAnsi="Times New Roman"/>
          <w:color w:val="000000"/>
          <w:sz w:val="28"/>
          <w:szCs w:val="24"/>
        </w:rPr>
        <w:t>iedzīvotāju ienākuma nodokļa</w:t>
      </w:r>
      <w:r w:rsidRPr="002C2B88">
        <w:rPr>
          <w:rFonts w:ascii="Times New Roman" w:eastAsia="Calibri" w:hAnsi="Times New Roman"/>
          <w:sz w:val="28"/>
          <w:szCs w:val="24"/>
        </w:rPr>
        <w:t xml:space="preserve"> ieņēmumi kopbudžetā samazinājās par 109,9 milj.</w:t>
      </w:r>
      <w:r>
        <w:rPr>
          <w:rFonts w:ascii="Times New Roman" w:eastAsia="Calibri" w:hAnsi="Times New Roman"/>
          <w:sz w:val="28"/>
          <w:szCs w:val="24"/>
        </w:rPr>
        <w:t xml:space="preserve"> </w:t>
      </w:r>
      <w:r w:rsidRPr="00B97663">
        <w:rPr>
          <w:rFonts w:ascii="Times New Roman" w:eastAsia="Calibri" w:hAnsi="Times New Roman"/>
          <w:i/>
          <w:sz w:val="28"/>
          <w:szCs w:val="24"/>
        </w:rPr>
        <w:t>euro</w:t>
      </w:r>
      <w:r w:rsidRPr="002C2B88">
        <w:rPr>
          <w:rFonts w:ascii="Times New Roman" w:eastAsia="Calibri" w:hAnsi="Times New Roman"/>
          <w:sz w:val="28"/>
          <w:szCs w:val="24"/>
        </w:rPr>
        <w:t xml:space="preserve"> jeb 5,7%. Negatīvās darba tirgus tendences ietekmēja arī sociālo iemaksu ieņēmumus (D.61), kas, salīdzinot ar 2019.</w:t>
      </w:r>
      <w:r>
        <w:rPr>
          <w:rFonts w:ascii="Times New Roman" w:eastAsia="Calibri" w:hAnsi="Times New Roman"/>
          <w:sz w:val="28"/>
          <w:szCs w:val="24"/>
        </w:rPr>
        <w:t xml:space="preserve"> </w:t>
      </w:r>
      <w:r w:rsidRPr="002C2B88">
        <w:rPr>
          <w:rFonts w:ascii="Times New Roman" w:eastAsia="Calibri" w:hAnsi="Times New Roman"/>
          <w:sz w:val="28"/>
          <w:szCs w:val="24"/>
        </w:rPr>
        <w:t xml:space="preserve">gadu, samazinājās par </w:t>
      </w:r>
      <w:r w:rsidRPr="002C2B88">
        <w:rPr>
          <w:rFonts w:ascii="Times New Roman" w:eastAsia="Calibri" w:hAnsi="Times New Roman"/>
          <w:color w:val="000000"/>
          <w:sz w:val="28"/>
          <w:szCs w:val="24"/>
        </w:rPr>
        <w:t>38,1 </w:t>
      </w:r>
      <w:r w:rsidRPr="002C2B88">
        <w:rPr>
          <w:rFonts w:ascii="Times New Roman" w:eastAsia="Calibri" w:hAnsi="Times New Roman"/>
          <w:sz w:val="28"/>
          <w:szCs w:val="24"/>
        </w:rPr>
        <w:t xml:space="preserve">milj. </w:t>
      </w:r>
      <w:r w:rsidRPr="002C2B88">
        <w:rPr>
          <w:rFonts w:ascii="Times New Roman" w:eastAsia="Calibri" w:hAnsi="Times New Roman"/>
          <w:i/>
          <w:sz w:val="28"/>
          <w:szCs w:val="24"/>
        </w:rPr>
        <w:t>euro</w:t>
      </w:r>
      <w:r w:rsidRPr="002C2B88">
        <w:rPr>
          <w:rFonts w:ascii="Times New Roman" w:eastAsia="Calibri" w:hAnsi="Times New Roman"/>
          <w:color w:val="000000"/>
          <w:sz w:val="28"/>
          <w:szCs w:val="24"/>
        </w:rPr>
        <w:t xml:space="preserve"> jeb 1,2%</w:t>
      </w:r>
      <w:r w:rsidRPr="002C2B88">
        <w:rPr>
          <w:rFonts w:ascii="Times New Roman" w:eastAsia="Calibri" w:hAnsi="Times New Roman"/>
          <w:sz w:val="28"/>
          <w:szCs w:val="24"/>
        </w:rPr>
        <w:t>.</w:t>
      </w:r>
    </w:p>
    <w:p w:rsidR="00BF4753" w:rsidRDefault="00BF4753" w:rsidP="00BF4753">
      <w:pPr>
        <w:rPr>
          <w:rFonts w:cs="Times New Roman"/>
        </w:rPr>
      </w:pPr>
      <w:r w:rsidRPr="002C2B88">
        <w:rPr>
          <w:rFonts w:cs="Times New Roman"/>
        </w:rPr>
        <w:t xml:space="preserve">Turpinoties Covid-19 izplatībai, 2021. gada pirmajos divos mēnešos kopbudžeta nodokļu ieņēmumi, salīdzinājumā ar 2020. gada attiecīgo periodu, samazinājās par 21 milj. </w:t>
      </w:r>
      <w:r w:rsidRPr="002C2B88">
        <w:rPr>
          <w:rFonts w:cs="Times New Roman"/>
          <w:i/>
          <w:iCs/>
        </w:rPr>
        <w:t>euro</w:t>
      </w:r>
      <w:r w:rsidRPr="002C2B88">
        <w:rPr>
          <w:rFonts w:cs="Times New Roman"/>
        </w:rPr>
        <w:t xml:space="preserve"> jeb 1,4% un veidoja 1 517,8 milj. </w:t>
      </w:r>
      <w:r w:rsidRPr="002C2B88">
        <w:rPr>
          <w:rFonts w:cs="Times New Roman"/>
          <w:i/>
          <w:iCs/>
        </w:rPr>
        <w:t>euro</w:t>
      </w:r>
      <w:r w:rsidRPr="002C2B88">
        <w:rPr>
          <w:rFonts w:cs="Times New Roman"/>
        </w:rPr>
        <w:t xml:space="preserve">. Zemāki ieņēmumi galvenokārt saistīti ar Covid-19 izplatības mazināšanai noteiktajiem ierobežojumiem, kas ietekmē ekonomisko aktivitāti, kā arī piešķirtajiem nodokļu samaksas termiņa pagarinājumiem. No </w:t>
      </w:r>
      <w:r>
        <w:rPr>
          <w:rFonts w:cs="Times New Roman"/>
        </w:rPr>
        <w:t>2021. gada</w:t>
      </w:r>
      <w:r w:rsidRPr="002C2B88">
        <w:rPr>
          <w:rFonts w:cs="Times New Roman"/>
        </w:rPr>
        <w:t xml:space="preserve"> 1.</w:t>
      </w:r>
      <w:r>
        <w:rPr>
          <w:rFonts w:cs="Times New Roman"/>
        </w:rPr>
        <w:t xml:space="preserve"> </w:t>
      </w:r>
      <w:r w:rsidRPr="002C2B88">
        <w:rPr>
          <w:rFonts w:cs="Times New Roman"/>
        </w:rPr>
        <w:t xml:space="preserve">janvāra veiktas arī izmaiņas nodokļu likumdošanā, kas ietekmē nodokļu ieņēmumus – par vienu procentpunktu samazināta valsts sociālās apdrošināšanas obligāto iemaksu likme, </w:t>
      </w:r>
      <w:r w:rsidRPr="002C2B88">
        <w:rPr>
          <w:rFonts w:cs="Times New Roman"/>
        </w:rPr>
        <w:lastRenderedPageBreak/>
        <w:t xml:space="preserve">kā arī līdz 1800 </w:t>
      </w:r>
      <w:r w:rsidRPr="004E22BA">
        <w:rPr>
          <w:rFonts w:cs="Times New Roman"/>
          <w:i/>
        </w:rPr>
        <w:t>euro</w:t>
      </w:r>
      <w:r w:rsidRPr="002C2B88">
        <w:rPr>
          <w:rFonts w:cs="Times New Roman"/>
        </w:rPr>
        <w:t xml:space="preserve"> celts maksimālais slieksnis līdz kuram piemēro neapliekamo minimumu, kā arī līdz 330 </w:t>
      </w:r>
      <w:r w:rsidRPr="004E22BA">
        <w:rPr>
          <w:rFonts w:cs="Times New Roman"/>
          <w:i/>
        </w:rPr>
        <w:t>euro</w:t>
      </w:r>
      <w:r w:rsidRPr="002C2B88">
        <w:rPr>
          <w:rFonts w:cs="Times New Roman"/>
        </w:rPr>
        <w:t xml:space="preserve"> palielināts neapliekamais minimums pensijām. </w:t>
      </w:r>
    </w:p>
    <w:p w:rsidR="00BF4753" w:rsidRDefault="00BF4753" w:rsidP="00BF4753">
      <w:pPr>
        <w:rPr>
          <w:rFonts w:cs="Times New Roman"/>
        </w:rPr>
      </w:pPr>
    </w:p>
    <w:p w:rsidR="00BF4753" w:rsidRDefault="00BF4753" w:rsidP="00BF4753">
      <w:pPr>
        <w:rPr>
          <w:rFonts w:cs="Times New Roman"/>
        </w:rPr>
      </w:pPr>
      <w:r w:rsidRPr="002C2B88">
        <w:rPr>
          <w:rFonts w:eastAsia="Calibri"/>
          <w:b/>
          <w:noProof/>
          <w:szCs w:val="24"/>
          <w:lang w:eastAsia="lv-LV"/>
        </w:rPr>
        <w:drawing>
          <wp:anchor distT="0" distB="0" distL="114300" distR="114300" simplePos="0" relativeHeight="251665408" behindDoc="1" locked="0" layoutInCell="1" allowOverlap="1" wp14:anchorId="7AE04BC6" wp14:editId="09C7F301">
            <wp:simplePos x="0" y="0"/>
            <wp:positionH relativeFrom="column">
              <wp:posOffset>3133090</wp:posOffset>
            </wp:positionH>
            <wp:positionV relativeFrom="paragraph">
              <wp:posOffset>121708</wp:posOffset>
            </wp:positionV>
            <wp:extent cx="2506706" cy="2755025"/>
            <wp:effectExtent l="0" t="0" r="8255" b="7620"/>
            <wp:wrapTight wrapText="bothSides">
              <wp:wrapPolygon edited="0">
                <wp:start x="0" y="0"/>
                <wp:lineTo x="0" y="21510"/>
                <wp:lineTo x="21507" y="21510"/>
                <wp:lineTo x="215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6706" cy="2755025"/>
                    </a:xfrm>
                    <a:prstGeom prst="rect">
                      <a:avLst/>
                    </a:prstGeom>
                    <a:noFill/>
                  </pic:spPr>
                </pic:pic>
              </a:graphicData>
            </a:graphic>
          </wp:anchor>
        </w:drawing>
      </w:r>
    </w:p>
    <w:p w:rsidR="00BF4753" w:rsidRPr="002C2B88" w:rsidRDefault="00BF4753" w:rsidP="00BF4753">
      <w:pPr>
        <w:rPr>
          <w:rFonts w:cs="Times New Roman"/>
        </w:rPr>
        <w:sectPr w:rsidR="00BF4753" w:rsidRPr="002C2B88" w:rsidSect="002D7CA8">
          <w:type w:val="continuous"/>
          <w:pgSz w:w="11906" w:h="16838" w:code="9"/>
          <w:pgMar w:top="1418" w:right="1134" w:bottom="568" w:left="1701" w:header="1417" w:footer="1134" w:gutter="0"/>
          <w:cols w:space="709"/>
          <w:titlePg/>
          <w:docGrid w:linePitch="360"/>
        </w:sectPr>
      </w:pPr>
    </w:p>
    <w:p w:rsidR="00BF4753" w:rsidRDefault="00BF4753" w:rsidP="00BF4753">
      <w:pPr>
        <w:pStyle w:val="teksts"/>
        <w:spacing w:after="0"/>
        <w:jc w:val="center"/>
        <w:rPr>
          <w:rFonts w:ascii="Times New Roman" w:hAnsi="Times New Roman"/>
          <w:b/>
          <w:sz w:val="28"/>
          <w:szCs w:val="24"/>
        </w:rPr>
      </w:pPr>
      <w:r w:rsidRPr="002C2B88">
        <w:rPr>
          <w:rFonts w:ascii="Times New Roman" w:eastAsia="Calibri" w:hAnsi="Times New Roman"/>
          <w:b/>
          <w:noProof/>
          <w:sz w:val="28"/>
          <w:szCs w:val="24"/>
          <w:lang w:eastAsia="lv-LV"/>
        </w:rPr>
        <w:drawing>
          <wp:inline distT="0" distB="0" distL="0" distR="0" wp14:anchorId="56C21B71" wp14:editId="6FA3B316">
            <wp:extent cx="2844422" cy="2757225"/>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6077" cy="2797603"/>
                    </a:xfrm>
                    <a:prstGeom prst="rect">
                      <a:avLst/>
                    </a:prstGeom>
                    <a:noFill/>
                  </pic:spPr>
                </pic:pic>
              </a:graphicData>
            </a:graphic>
          </wp:inline>
        </w:drawing>
      </w:r>
      <w:r w:rsidRPr="00B97663">
        <w:rPr>
          <w:rFonts w:ascii="Times New Roman" w:eastAsia="Calibri" w:hAnsi="Times New Roman"/>
          <w:b/>
          <w:i/>
          <w:szCs w:val="24"/>
        </w:rPr>
        <w:t>3.3.</w:t>
      </w:r>
      <w:r>
        <w:rPr>
          <w:rFonts w:ascii="Times New Roman" w:eastAsia="Calibri" w:hAnsi="Times New Roman"/>
          <w:b/>
          <w:i/>
          <w:szCs w:val="24"/>
        </w:rPr>
        <w:t xml:space="preserve"> att</w:t>
      </w:r>
      <w:r w:rsidRPr="00B97663">
        <w:rPr>
          <w:rFonts w:ascii="Times New Roman" w:eastAsia="Calibri" w:hAnsi="Times New Roman"/>
          <w:b/>
          <w:i/>
          <w:szCs w:val="24"/>
        </w:rPr>
        <w:t>. Vispārējās valdības ieņēmumu struktūra, % no iekšzemes kopprodukta</w:t>
      </w:r>
      <w:r w:rsidRPr="00B97663">
        <w:rPr>
          <w:rFonts w:ascii="Times New Roman" w:eastAsia="Calibri" w:hAnsi="Times New Roman"/>
          <w:b/>
          <w:i/>
          <w:szCs w:val="24"/>
        </w:rPr>
        <w:br/>
        <w:t xml:space="preserve">(Datu </w:t>
      </w:r>
      <w:r w:rsidRPr="00B97663">
        <w:rPr>
          <w:rFonts w:ascii="Times New Roman" w:eastAsia="Calibri" w:hAnsi="Times New Roman"/>
          <w:b/>
          <w:i/>
          <w:noProof/>
          <w:szCs w:val="24"/>
        </w:rPr>
        <w:t xml:space="preserve">avots: Eurostat, </w:t>
      </w:r>
      <w:r w:rsidRPr="00B97663">
        <w:rPr>
          <w:rFonts w:ascii="Times New Roman" w:eastAsia="Calibri" w:hAnsi="Times New Roman"/>
          <w:b/>
          <w:i/>
          <w:iCs/>
          <w:noProof/>
          <w:szCs w:val="24"/>
        </w:rPr>
        <w:t>Finanšu ministrija</w:t>
      </w:r>
      <w:r w:rsidRPr="00B97663">
        <w:rPr>
          <w:rFonts w:ascii="Times New Roman" w:eastAsia="Calibri" w:hAnsi="Times New Roman"/>
          <w:b/>
          <w:i/>
          <w:szCs w:val="24"/>
        </w:rPr>
        <w:t>)</w:t>
      </w:r>
    </w:p>
    <w:p w:rsidR="00581441" w:rsidRDefault="00581441" w:rsidP="00581441">
      <w:pPr>
        <w:pStyle w:val="teksts"/>
        <w:spacing w:after="0"/>
        <w:jc w:val="center"/>
        <w:rPr>
          <w:rFonts w:ascii="Times New Roman" w:hAnsi="Times New Roman"/>
          <w:b/>
          <w:sz w:val="28"/>
          <w:szCs w:val="24"/>
        </w:rPr>
        <w:sectPr w:rsidR="00581441" w:rsidSect="00A471A1">
          <w:type w:val="continuous"/>
          <w:pgSz w:w="11906" w:h="16838" w:code="9"/>
          <w:pgMar w:top="1418" w:right="1134" w:bottom="568" w:left="1701" w:header="1417" w:footer="1434" w:gutter="0"/>
          <w:cols w:num="2" w:space="709"/>
          <w:titlePg/>
          <w:docGrid w:linePitch="360"/>
        </w:sectPr>
      </w:pPr>
      <w:r w:rsidRPr="002F061C">
        <w:rPr>
          <w:rFonts w:ascii="Times New Roman" w:eastAsia="Calibri" w:hAnsi="Times New Roman"/>
          <w:b/>
          <w:i/>
          <w:szCs w:val="24"/>
        </w:rPr>
        <w:t>3.</w:t>
      </w:r>
      <w:r>
        <w:rPr>
          <w:rFonts w:ascii="Times New Roman" w:eastAsia="Calibri" w:hAnsi="Times New Roman"/>
          <w:b/>
          <w:i/>
          <w:szCs w:val="24"/>
        </w:rPr>
        <w:t>4. att</w:t>
      </w:r>
      <w:r w:rsidRPr="002A0E06">
        <w:rPr>
          <w:rFonts w:ascii="Times New Roman" w:eastAsia="Calibri" w:hAnsi="Times New Roman"/>
          <w:b/>
          <w:i/>
          <w:szCs w:val="24"/>
        </w:rPr>
        <w:t xml:space="preserve">. Vispārējās valdības izdevumu struktūra, % no iekšzemes kopprodukta (Datu </w:t>
      </w:r>
      <w:r w:rsidRPr="002A0E06">
        <w:rPr>
          <w:rFonts w:ascii="Times New Roman" w:eastAsia="Calibri" w:hAnsi="Times New Roman"/>
          <w:b/>
          <w:i/>
          <w:noProof/>
          <w:szCs w:val="24"/>
        </w:rPr>
        <w:t xml:space="preserve">avots: Eurostat, </w:t>
      </w:r>
      <w:r w:rsidR="0027190A">
        <w:rPr>
          <w:rFonts w:ascii="Times New Roman" w:eastAsia="Calibri" w:hAnsi="Times New Roman"/>
          <w:b/>
          <w:i/>
          <w:iCs/>
          <w:noProof/>
          <w:szCs w:val="24"/>
        </w:rPr>
        <w:t>Finanšu ministrija)</w:t>
      </w:r>
    </w:p>
    <w:p w:rsidR="00581441" w:rsidRDefault="00581441" w:rsidP="00581441">
      <w:pPr>
        <w:pStyle w:val="teksts"/>
        <w:spacing w:after="0"/>
        <w:rPr>
          <w:rFonts w:ascii="Times New Roman" w:hAnsi="Times New Roman"/>
          <w:b/>
          <w:sz w:val="28"/>
          <w:szCs w:val="24"/>
        </w:rPr>
        <w:sectPr w:rsidR="00581441" w:rsidSect="00581441">
          <w:type w:val="continuous"/>
          <w:pgSz w:w="11906" w:h="16838" w:code="9"/>
          <w:pgMar w:top="1418" w:right="1134" w:bottom="568" w:left="1701" w:header="1417" w:footer="1434" w:gutter="0"/>
          <w:cols w:space="709"/>
          <w:titlePg/>
          <w:docGrid w:linePitch="360"/>
        </w:sectPr>
      </w:pPr>
    </w:p>
    <w:p w:rsidR="00581441" w:rsidRDefault="00581441" w:rsidP="00BF4753">
      <w:pPr>
        <w:pStyle w:val="teksts"/>
        <w:spacing w:after="0"/>
        <w:rPr>
          <w:rFonts w:ascii="Times New Roman" w:eastAsia="Calibri" w:hAnsi="Times New Roman"/>
          <w:b/>
          <w:i/>
          <w:szCs w:val="24"/>
        </w:rPr>
        <w:sectPr w:rsidR="00581441" w:rsidSect="00581441">
          <w:type w:val="continuous"/>
          <w:pgSz w:w="11906" w:h="16838" w:code="9"/>
          <w:pgMar w:top="1418" w:right="1134" w:bottom="568" w:left="1701" w:header="1417" w:footer="1434" w:gutter="0"/>
          <w:cols w:space="709"/>
          <w:titlePg/>
          <w:docGrid w:linePitch="360"/>
        </w:sectPr>
      </w:pPr>
    </w:p>
    <w:p w:rsidR="00581441" w:rsidRDefault="00581441" w:rsidP="0027190A">
      <w:pPr>
        <w:pStyle w:val="teksts"/>
        <w:spacing w:after="0"/>
        <w:ind w:firstLine="720"/>
        <w:rPr>
          <w:rFonts w:ascii="Times New Roman" w:hAnsi="Times New Roman"/>
          <w:sz w:val="28"/>
          <w:szCs w:val="24"/>
          <w:lang w:eastAsia="lv-LV"/>
        </w:rPr>
      </w:pPr>
      <w:r w:rsidRPr="002C2B88">
        <w:rPr>
          <w:rFonts w:ascii="Times New Roman" w:hAnsi="Times New Roman"/>
          <w:sz w:val="28"/>
          <w:szCs w:val="24"/>
          <w:highlight w:val="white"/>
        </w:rPr>
        <w:t xml:space="preserve">Vispārējās valdības budžeta izdevumi pieauga par 1418,6 milj. </w:t>
      </w:r>
      <w:r w:rsidRPr="002C2B88">
        <w:rPr>
          <w:rFonts w:ascii="Times New Roman" w:eastAsia="Calibri" w:hAnsi="Times New Roman"/>
          <w:i/>
          <w:sz w:val="28"/>
          <w:szCs w:val="24"/>
        </w:rPr>
        <w:t>euro</w:t>
      </w:r>
      <w:r w:rsidRPr="002C2B88">
        <w:rPr>
          <w:rFonts w:ascii="Times New Roman" w:hAnsi="Times New Roman"/>
          <w:sz w:val="28"/>
          <w:szCs w:val="24"/>
          <w:highlight w:val="white"/>
        </w:rPr>
        <w:t xml:space="preserve"> jeb 12,1%, sasniedzot 13,1 miljardu </w:t>
      </w:r>
      <w:r w:rsidRPr="002C2B88">
        <w:rPr>
          <w:rFonts w:ascii="Times New Roman" w:eastAsia="Calibri" w:hAnsi="Times New Roman"/>
          <w:i/>
          <w:sz w:val="28"/>
          <w:szCs w:val="24"/>
        </w:rPr>
        <w:t>euro</w:t>
      </w:r>
      <w:r w:rsidRPr="002C2B88">
        <w:rPr>
          <w:rFonts w:ascii="Times New Roman" w:hAnsi="Times New Roman"/>
          <w:sz w:val="28"/>
          <w:szCs w:val="24"/>
          <w:highlight w:val="white"/>
        </w:rPr>
        <w:t xml:space="preserve"> jeb 44,7% no </w:t>
      </w:r>
      <w:r w:rsidRPr="002C2B88">
        <w:rPr>
          <w:rFonts w:ascii="Times New Roman" w:hAnsi="Times New Roman"/>
          <w:sz w:val="28"/>
          <w:szCs w:val="24"/>
        </w:rPr>
        <w:t>iekšzemes kopprodukta</w:t>
      </w:r>
      <w:r w:rsidRPr="002C2B88">
        <w:rPr>
          <w:rFonts w:ascii="Times New Roman" w:hAnsi="Times New Roman"/>
          <w:sz w:val="28"/>
          <w:szCs w:val="24"/>
          <w:highlight w:val="white"/>
        </w:rPr>
        <w:t xml:space="preserve"> </w:t>
      </w:r>
      <w:r w:rsidRPr="002C2B88">
        <w:rPr>
          <w:rFonts w:ascii="Times New Roman" w:hAnsi="Times New Roman"/>
          <w:sz w:val="28"/>
          <w:szCs w:val="24"/>
        </w:rPr>
        <w:t>(skat. 3.4. attēlu)</w:t>
      </w:r>
      <w:r w:rsidRPr="002C2B88">
        <w:rPr>
          <w:rFonts w:ascii="Times New Roman" w:hAnsi="Times New Roman"/>
          <w:sz w:val="28"/>
          <w:szCs w:val="24"/>
          <w:highlight w:val="white"/>
        </w:rPr>
        <w:t xml:space="preserve">. Lielāko pieaugumu nodrošināja citi izdevumi, kas pieauguši par 548,5 milj. </w:t>
      </w:r>
      <w:r w:rsidRPr="002C2B88">
        <w:rPr>
          <w:rFonts w:ascii="Times New Roman" w:eastAsia="Calibri" w:hAnsi="Times New Roman"/>
          <w:i/>
          <w:sz w:val="28"/>
          <w:szCs w:val="24"/>
        </w:rPr>
        <w:t>euro</w:t>
      </w:r>
      <w:r w:rsidRPr="002C2B88">
        <w:rPr>
          <w:rFonts w:ascii="Times New Roman" w:hAnsi="Times New Roman"/>
          <w:sz w:val="28"/>
          <w:szCs w:val="24"/>
          <w:highlight w:val="white"/>
        </w:rPr>
        <w:t xml:space="preserve"> jeb 77,4%. Pamatā šīs pozīcijas pieaugumu nodrošināja kopbudžeta izdevumi subsīdijām un dotācijām, kas pieauguši par 362,7 milj. </w:t>
      </w:r>
      <w:r w:rsidRPr="002C2B88">
        <w:rPr>
          <w:rFonts w:ascii="Times New Roman" w:eastAsia="Calibri" w:hAnsi="Times New Roman"/>
          <w:i/>
          <w:sz w:val="28"/>
          <w:szCs w:val="24"/>
        </w:rPr>
        <w:t>euro</w:t>
      </w:r>
      <w:r w:rsidRPr="002C2B88">
        <w:rPr>
          <w:rFonts w:ascii="Times New Roman" w:hAnsi="Times New Roman"/>
          <w:sz w:val="28"/>
          <w:szCs w:val="24"/>
          <w:highlight w:val="white"/>
        </w:rPr>
        <w:t xml:space="preserve"> jeb 17,2%</w:t>
      </w:r>
      <w:r w:rsidRPr="002C2B88">
        <w:rPr>
          <w:rFonts w:ascii="Times New Roman" w:hAnsi="Times New Roman"/>
          <w:sz w:val="28"/>
          <w:szCs w:val="24"/>
        </w:rPr>
        <w:t>,</w:t>
      </w:r>
      <w:r w:rsidRPr="002C2B88">
        <w:rPr>
          <w:rFonts w:ascii="Times New Roman" w:hAnsi="Times New Roman"/>
          <w:sz w:val="28"/>
          <w:szCs w:val="24"/>
          <w:lang w:eastAsia="lv-LV"/>
        </w:rPr>
        <w:t xml:space="preserve"> ko noteica ar Covid-19 saistītais atbalsts, kas tika piešķ</w:t>
      </w:r>
      <w:r>
        <w:rPr>
          <w:rFonts w:ascii="Times New Roman" w:hAnsi="Times New Roman"/>
          <w:sz w:val="28"/>
          <w:szCs w:val="24"/>
          <w:lang w:eastAsia="lv-LV"/>
        </w:rPr>
        <w:t xml:space="preserve">irts akciju sabiedrībai </w:t>
      </w:r>
      <w:r w:rsidRPr="00334C23">
        <w:rPr>
          <w:rFonts w:ascii="Times New Roman" w:hAnsi="Times New Roman"/>
          <w:sz w:val="28"/>
          <w:szCs w:val="24"/>
          <w:lang w:eastAsia="lv-LV"/>
        </w:rPr>
        <w:t>"Attīstības finanšu institūcija Altum"</w:t>
      </w:r>
      <w:r>
        <w:rPr>
          <w:rFonts w:ascii="Times New Roman" w:hAnsi="Times New Roman"/>
          <w:sz w:val="28"/>
          <w:szCs w:val="24"/>
          <w:lang w:eastAsia="lv-LV"/>
        </w:rPr>
        <w:t xml:space="preserve"> </w:t>
      </w:r>
      <w:r w:rsidRPr="002C2B88">
        <w:rPr>
          <w:rFonts w:ascii="Times New Roman" w:hAnsi="Times New Roman"/>
          <w:sz w:val="28"/>
          <w:szCs w:val="24"/>
          <w:lang w:eastAsia="lv-LV"/>
        </w:rPr>
        <w:t>atbalsta programmu komersantiem nodrošināšanai.</w:t>
      </w:r>
    </w:p>
    <w:p w:rsidR="00581441" w:rsidRPr="00581441" w:rsidRDefault="00581441" w:rsidP="00581441">
      <w:pPr>
        <w:pStyle w:val="teksts"/>
        <w:spacing w:after="0"/>
        <w:rPr>
          <w:rFonts w:ascii="Times New Roman" w:hAnsi="Times New Roman"/>
          <w:sz w:val="28"/>
          <w:szCs w:val="24"/>
        </w:rPr>
      </w:pPr>
      <w:r>
        <w:rPr>
          <w:rFonts w:ascii="Times New Roman" w:hAnsi="Times New Roman"/>
          <w:sz w:val="28"/>
          <w:szCs w:val="24"/>
          <w:lang w:eastAsia="lv-LV"/>
        </w:rPr>
        <w:tab/>
      </w:r>
      <w:r w:rsidRPr="002C2B88">
        <w:rPr>
          <w:rFonts w:ascii="Times New Roman" w:hAnsi="Times New Roman"/>
          <w:sz w:val="28"/>
          <w:szCs w:val="24"/>
          <w:highlight w:val="white"/>
        </w:rPr>
        <w:t xml:space="preserve">Kopējie izdevumi </w:t>
      </w:r>
      <w:r w:rsidRPr="002C2B88">
        <w:rPr>
          <w:rFonts w:ascii="Times New Roman" w:hAnsi="Times New Roman"/>
          <w:sz w:val="28"/>
          <w:szCs w:val="24"/>
        </w:rPr>
        <w:t>atalgojumam</w:t>
      </w:r>
      <w:r w:rsidRPr="002C2B88">
        <w:rPr>
          <w:rFonts w:ascii="Times New Roman" w:hAnsi="Times New Roman"/>
          <w:sz w:val="28"/>
          <w:szCs w:val="24"/>
          <w:highlight w:val="white"/>
        </w:rPr>
        <w:t xml:space="preserve"> (D.1) 2020.</w:t>
      </w:r>
      <w:r>
        <w:rPr>
          <w:rFonts w:ascii="Times New Roman" w:hAnsi="Times New Roman"/>
          <w:sz w:val="28"/>
          <w:szCs w:val="24"/>
          <w:highlight w:val="white"/>
        </w:rPr>
        <w:t xml:space="preserve"> </w:t>
      </w:r>
      <w:r w:rsidRPr="002C2B88">
        <w:rPr>
          <w:rFonts w:ascii="Times New Roman" w:hAnsi="Times New Roman"/>
          <w:sz w:val="28"/>
          <w:szCs w:val="24"/>
          <w:highlight w:val="white"/>
        </w:rPr>
        <w:t xml:space="preserve">gadā pieauguši par 126,2 milj. </w:t>
      </w:r>
      <w:r w:rsidRPr="002C2B88">
        <w:rPr>
          <w:rFonts w:ascii="Times New Roman" w:eastAsia="Calibri" w:hAnsi="Times New Roman"/>
          <w:i/>
          <w:sz w:val="28"/>
          <w:szCs w:val="24"/>
        </w:rPr>
        <w:t>euro</w:t>
      </w:r>
      <w:r w:rsidRPr="002C2B88">
        <w:rPr>
          <w:rFonts w:ascii="Times New Roman" w:hAnsi="Times New Roman"/>
          <w:sz w:val="28"/>
          <w:szCs w:val="24"/>
          <w:highlight w:val="white"/>
        </w:rPr>
        <w:t xml:space="preserve"> jeb 3,8%, ko noteica atalgojuma pieaugums </w:t>
      </w:r>
      <w:r w:rsidRPr="002C2B88">
        <w:rPr>
          <w:rFonts w:ascii="Times New Roman" w:hAnsi="Times New Roman"/>
          <w:sz w:val="28"/>
          <w:szCs w:val="24"/>
        </w:rPr>
        <w:t xml:space="preserve">aizsardzības un veselības nozarē strādājošajiem, kā arī pedagogiem. </w:t>
      </w:r>
    </w:p>
    <w:p w:rsidR="00581441" w:rsidRDefault="00581441" w:rsidP="00581441">
      <w:pPr>
        <w:rPr>
          <w:lang w:eastAsia="lv-LV"/>
        </w:rPr>
      </w:pPr>
      <w:r w:rsidRPr="002C2B88">
        <w:rPr>
          <w:highlight w:val="white"/>
        </w:rPr>
        <w:t xml:space="preserve">Izdevumi sociālajiem pabalstiem (D.632 un D.62) pieauguši par 286,3 milj. </w:t>
      </w:r>
      <w:r w:rsidRPr="002C2B88">
        <w:rPr>
          <w:rFonts w:eastAsia="Calibri"/>
          <w:i/>
        </w:rPr>
        <w:t>euro</w:t>
      </w:r>
      <w:r w:rsidRPr="002C2B88">
        <w:rPr>
          <w:highlight w:val="white"/>
        </w:rPr>
        <w:t xml:space="preserve"> jeb 7,8%, ko noteica izdevumu pieaugums pensijām un pārējiem sociālajiem pabalstiem. Izdevumu kāpumu pensijām ietekmēja indeksācija, piemērojot lielākus indeksus </w:t>
      </w:r>
      <w:r w:rsidRPr="002C2B88">
        <w:rPr>
          <w:lang w:eastAsia="lv-LV"/>
        </w:rPr>
        <w:t xml:space="preserve">2019. un 2020. gada oktobrī, savukārt pārējo pabalstu izdevumu straujais kāpums saistāms ar vidējās apdrošināšanas iemaksu algas pieaugumu un Covid-19 ietekmi. Pērn nodarbinātības saglabāšanai tika veikta dīkstāves pabalstu izmaksa 61 milj. </w:t>
      </w:r>
      <w:r w:rsidRPr="002C2B88">
        <w:rPr>
          <w:rFonts w:eastAsia="Calibri"/>
          <w:i/>
        </w:rPr>
        <w:t>euro</w:t>
      </w:r>
      <w:r w:rsidRPr="002C2B88">
        <w:rPr>
          <w:lang w:eastAsia="lv-LV"/>
        </w:rPr>
        <w:t xml:space="preserve"> apmērā, tāpat nozīmīgi pieauguši bezdarbnieka (par </w:t>
      </w:r>
      <w:r w:rsidRPr="002C2B88">
        <w:rPr>
          <w:lang w:eastAsia="lv-LV"/>
        </w:rPr>
        <w:lastRenderedPageBreak/>
        <w:t xml:space="preserve">43,4 milj. </w:t>
      </w:r>
      <w:r w:rsidRPr="002C2B88">
        <w:rPr>
          <w:rFonts w:eastAsia="Calibri"/>
          <w:i/>
        </w:rPr>
        <w:t>euro</w:t>
      </w:r>
      <w:r w:rsidRPr="002C2B88">
        <w:rPr>
          <w:lang w:eastAsia="lv-LV"/>
        </w:rPr>
        <w:t xml:space="preserve"> jeb 32,9%) un slimības pabalstu (par 42,2 milj. </w:t>
      </w:r>
      <w:r w:rsidRPr="002C2B88">
        <w:rPr>
          <w:rFonts w:eastAsia="Calibri"/>
          <w:i/>
        </w:rPr>
        <w:t>euro</w:t>
      </w:r>
      <w:r w:rsidRPr="002C2B88">
        <w:rPr>
          <w:lang w:eastAsia="lv-LV"/>
        </w:rPr>
        <w:t xml:space="preserve"> jeb 21,1%) izdevumi. Atbilstoši Valsts sociālās apdrošināšanas aģentūras datiem pērn par 31,2% pieaudzis bezdarbnieka pabalsta saņēmēju skaits, no 32,5 tūkst</w:t>
      </w:r>
      <w:r>
        <w:rPr>
          <w:lang w:eastAsia="lv-LV"/>
        </w:rPr>
        <w:t>.</w:t>
      </w:r>
      <w:r w:rsidRPr="002C2B88">
        <w:rPr>
          <w:lang w:eastAsia="lv-LV"/>
        </w:rPr>
        <w:t xml:space="preserve"> vidēji mēnesī 2019. gadā līdz 42,6 tūkstošiem vidēji mēnesī pērn. Valsts sociālās apdrošināšanas aģentūras dati arī norāda uz slimības pabalstu saņēmēju skaita pieaugumu par 5,8%, vienlaikus vēl straujāk pieaug apmaksāto dienu skaits uz vienu slimošanas gadījumu (+6,7%</w:t>
      </w:r>
      <w:r>
        <w:rPr>
          <w:lang w:eastAsia="lv-LV"/>
        </w:rPr>
        <w:t>), norādot uz ilgāku slimošanu.</w:t>
      </w:r>
    </w:p>
    <w:p w:rsidR="00581441" w:rsidRPr="002C2B88" w:rsidRDefault="00581441" w:rsidP="00581441">
      <w:pPr>
        <w:pStyle w:val="teksts"/>
        <w:spacing w:after="0"/>
        <w:ind w:firstLine="720"/>
        <w:rPr>
          <w:rFonts w:ascii="Times New Roman" w:hAnsi="Times New Roman"/>
          <w:color w:val="000000" w:themeColor="text1"/>
          <w:sz w:val="28"/>
          <w:szCs w:val="24"/>
        </w:rPr>
      </w:pPr>
      <w:r w:rsidRPr="002C2B88">
        <w:rPr>
          <w:rFonts w:ascii="Times New Roman" w:hAnsi="Times New Roman"/>
          <w:sz w:val="28"/>
          <w:szCs w:val="24"/>
          <w:highlight w:val="white"/>
        </w:rPr>
        <w:t xml:space="preserve">Vispārējās valdības izdevumi bruto pamatkapitāla veidošanai (P.51G) pieauguši par 17,4 milj. </w:t>
      </w:r>
      <w:r w:rsidRPr="002C2B88">
        <w:rPr>
          <w:rFonts w:ascii="Times New Roman" w:eastAsia="Calibri" w:hAnsi="Times New Roman"/>
          <w:i/>
          <w:sz w:val="28"/>
          <w:szCs w:val="24"/>
        </w:rPr>
        <w:t>euro</w:t>
      </w:r>
      <w:r w:rsidRPr="002C2B88">
        <w:rPr>
          <w:rFonts w:ascii="Times New Roman" w:hAnsi="Times New Roman"/>
          <w:sz w:val="28"/>
          <w:szCs w:val="24"/>
          <w:highlight w:val="white"/>
        </w:rPr>
        <w:t xml:space="preserve"> jeb 1,1%. </w:t>
      </w:r>
      <w:r w:rsidRPr="002C2B88">
        <w:rPr>
          <w:rFonts w:ascii="Times New Roman" w:hAnsi="Times New Roman"/>
          <w:color w:val="000000" w:themeColor="text1"/>
          <w:sz w:val="28"/>
          <w:szCs w:val="24"/>
        </w:rPr>
        <w:t xml:space="preserve">Kopējo izdevumu pieaugumu 2020. gadā nodrošināja valdības lēmums piešķirt ceļu infrastruktūras uzlabošanai papildus 75 milj. </w:t>
      </w:r>
      <w:r w:rsidRPr="002C2B88">
        <w:rPr>
          <w:rFonts w:ascii="Times New Roman" w:eastAsia="Calibri" w:hAnsi="Times New Roman"/>
          <w:i/>
          <w:sz w:val="28"/>
          <w:szCs w:val="24"/>
        </w:rPr>
        <w:t>euro</w:t>
      </w:r>
      <w:r w:rsidRPr="002C2B88">
        <w:rPr>
          <w:rFonts w:ascii="Times New Roman" w:hAnsi="Times New Roman"/>
          <w:color w:val="000000" w:themeColor="text1"/>
          <w:sz w:val="28"/>
          <w:szCs w:val="24"/>
        </w:rPr>
        <w:t xml:space="preserve">, tāpat pašvaldību aizņēmumu limita celšana par 150 milj. </w:t>
      </w:r>
      <w:r w:rsidRPr="002C2B88">
        <w:rPr>
          <w:rFonts w:ascii="Times New Roman" w:eastAsia="Calibri" w:hAnsi="Times New Roman"/>
          <w:i/>
          <w:sz w:val="28"/>
          <w:szCs w:val="24"/>
        </w:rPr>
        <w:t>euro</w:t>
      </w:r>
      <w:r w:rsidRPr="002C2B88">
        <w:rPr>
          <w:rFonts w:ascii="Times New Roman" w:hAnsi="Times New Roman"/>
          <w:color w:val="000000" w:themeColor="text1"/>
          <w:sz w:val="28"/>
          <w:szCs w:val="24"/>
        </w:rPr>
        <w:t xml:space="preserve">, tādējādi nodrošinot aizņēmuma pieejamību pašvaldībām tautsaimniecībai nozīmīgiem augstas gatavības investīciju projektiem un Mežaparka Lielās estrādes rekonstrukcijai. Jāatzīmē, ka </w:t>
      </w:r>
      <w:r w:rsidRPr="002C2B88">
        <w:rPr>
          <w:rFonts w:ascii="Times New Roman" w:hAnsi="Times New Roman"/>
          <w:sz w:val="28"/>
        </w:rPr>
        <w:t>pēr</w:t>
      </w:r>
      <w:r>
        <w:rPr>
          <w:rFonts w:ascii="Times New Roman" w:hAnsi="Times New Roman"/>
          <w:sz w:val="28"/>
        </w:rPr>
        <w:t>n bija vērojama sabremzēšanās Eiropas Savienības</w:t>
      </w:r>
      <w:r w:rsidRPr="002C2B88">
        <w:rPr>
          <w:rFonts w:ascii="Times New Roman" w:hAnsi="Times New Roman"/>
          <w:sz w:val="28"/>
        </w:rPr>
        <w:t xml:space="preserve"> fondu investīciju apmēros, kas lielā mērā bija </w:t>
      </w:r>
      <w:r>
        <w:rPr>
          <w:rFonts w:ascii="Times New Roman" w:hAnsi="Times New Roman"/>
          <w:color w:val="000000" w:themeColor="text1"/>
          <w:sz w:val="28"/>
          <w:szCs w:val="24"/>
        </w:rPr>
        <w:t>saistīts ar Eiropas Savienības</w:t>
      </w:r>
      <w:r w:rsidRPr="002C2B88">
        <w:rPr>
          <w:rFonts w:ascii="Times New Roman" w:hAnsi="Times New Roman"/>
          <w:color w:val="000000" w:themeColor="text1"/>
          <w:sz w:val="28"/>
          <w:szCs w:val="24"/>
        </w:rPr>
        <w:t xml:space="preserve"> fondu pārstrukturēšanu par labu investīcijām, mērķētām uz </w:t>
      </w:r>
      <w:r w:rsidRPr="002C2B88">
        <w:rPr>
          <w:rFonts w:ascii="Times New Roman" w:eastAsia="Calibri" w:hAnsi="Times New Roman"/>
          <w:sz w:val="28"/>
          <w:szCs w:val="24"/>
        </w:rPr>
        <w:t xml:space="preserve">Covid-19 ietekmes mazināšanu un ekonomikas atlabšanas veicināšanu, kā rezultātā </w:t>
      </w:r>
      <w:r w:rsidRPr="002C2B88">
        <w:rPr>
          <w:rFonts w:ascii="Times New Roman" w:hAnsi="Times New Roman"/>
          <w:color w:val="000000" w:themeColor="text1"/>
          <w:sz w:val="28"/>
          <w:szCs w:val="24"/>
        </w:rPr>
        <w:t xml:space="preserve">projekti tika uzsākti vēlāk. </w:t>
      </w:r>
    </w:p>
    <w:p w:rsidR="00581441" w:rsidRPr="002C2B88" w:rsidRDefault="00581441" w:rsidP="00581441">
      <w:pPr>
        <w:pStyle w:val="teksts"/>
        <w:spacing w:after="0"/>
        <w:ind w:firstLine="720"/>
        <w:rPr>
          <w:rFonts w:ascii="Times New Roman" w:hAnsi="Times New Roman"/>
          <w:sz w:val="28"/>
          <w:szCs w:val="24"/>
        </w:rPr>
      </w:pPr>
      <w:r w:rsidRPr="002C2B88">
        <w:rPr>
          <w:rFonts w:ascii="Times New Roman" w:hAnsi="Times New Roman"/>
          <w:sz w:val="28"/>
          <w:szCs w:val="24"/>
          <w:highlight w:val="white"/>
        </w:rPr>
        <w:t xml:space="preserve">Izdevumi starppatēriņam (P.2) samazinājušies par 54,6 milj. </w:t>
      </w:r>
      <w:r w:rsidRPr="002C2B88">
        <w:rPr>
          <w:rFonts w:ascii="Times New Roman" w:eastAsia="Calibri" w:hAnsi="Times New Roman"/>
          <w:i/>
          <w:sz w:val="28"/>
          <w:szCs w:val="24"/>
        </w:rPr>
        <w:t>euro</w:t>
      </w:r>
      <w:r w:rsidRPr="002C2B88">
        <w:rPr>
          <w:rFonts w:ascii="Times New Roman" w:hAnsi="Times New Roman"/>
          <w:sz w:val="28"/>
          <w:szCs w:val="24"/>
          <w:highlight w:val="white"/>
        </w:rPr>
        <w:t xml:space="preserve"> jeb 2,8%</w:t>
      </w:r>
      <w:r w:rsidRPr="002C2B88">
        <w:rPr>
          <w:rFonts w:ascii="Times New Roman" w:hAnsi="Times New Roman"/>
          <w:sz w:val="28"/>
          <w:szCs w:val="24"/>
        </w:rPr>
        <w:t xml:space="preserve">, ko pamatā noteica zemāki izdevumi precēm un pakalpojumiem pašvaldību budžetā. Salīdzinot ar 2019. gadu, pašvaldību budžetā samazinājušies izdevumi par siltumenerģiju, kurināmo, degvielu un izdevumi ēdināšanai, uzturot pašvaldību aprūpē, apgādē un dienestā esošās personas. </w:t>
      </w:r>
    </w:p>
    <w:p w:rsidR="00581441" w:rsidRPr="002C2B88" w:rsidRDefault="00581441" w:rsidP="00581441">
      <w:pPr>
        <w:pStyle w:val="teksts"/>
        <w:spacing w:after="0"/>
        <w:ind w:firstLine="720"/>
        <w:rPr>
          <w:rFonts w:ascii="Times New Roman" w:hAnsi="Times New Roman"/>
          <w:noProof/>
          <w:sz w:val="28"/>
          <w:szCs w:val="24"/>
          <w:highlight w:val="white"/>
        </w:rPr>
      </w:pPr>
      <w:r w:rsidRPr="002C2B88">
        <w:rPr>
          <w:rFonts w:ascii="Times New Roman" w:hAnsi="Times New Roman"/>
          <w:sz w:val="28"/>
          <w:szCs w:val="24"/>
          <w:highlight w:val="white"/>
        </w:rPr>
        <w:t xml:space="preserve">Subsīdijas (D.3) pieaugušas par 165,4 milj. </w:t>
      </w:r>
      <w:r w:rsidRPr="002C2B88">
        <w:rPr>
          <w:rFonts w:ascii="Times New Roman" w:eastAsia="Calibri" w:hAnsi="Times New Roman"/>
          <w:i/>
          <w:sz w:val="28"/>
          <w:szCs w:val="24"/>
        </w:rPr>
        <w:t>euro</w:t>
      </w:r>
      <w:r w:rsidRPr="002C2B88">
        <w:rPr>
          <w:rFonts w:ascii="Times New Roman" w:hAnsi="Times New Roman"/>
          <w:sz w:val="28"/>
          <w:szCs w:val="24"/>
          <w:highlight w:val="white"/>
        </w:rPr>
        <w:t xml:space="preserve"> jeb 55,2%, kas saistīts ar papildus subsīdijām lauksaimniekiem atbilstoši valdības lēmumam sniegt papildus atbalstu lauksaimniekiem Covid-19 ietekmes mazināšanai, kā arī subsīdijām komersantiem, kas nodrošina sabiedriskā transporta pakalpojumus.</w:t>
      </w:r>
      <w:r w:rsidRPr="002C2B88">
        <w:rPr>
          <w:rFonts w:ascii="Times New Roman" w:hAnsi="Times New Roman"/>
          <w:noProof/>
          <w:sz w:val="28"/>
          <w:szCs w:val="24"/>
          <w:highlight w:val="white"/>
        </w:rPr>
        <w:t xml:space="preserve"> </w:t>
      </w:r>
    </w:p>
    <w:p w:rsidR="00581441" w:rsidRPr="00581441" w:rsidRDefault="00581441" w:rsidP="00581441">
      <w:pPr>
        <w:pStyle w:val="teksts"/>
        <w:spacing w:after="0"/>
        <w:ind w:firstLine="720"/>
        <w:rPr>
          <w:rFonts w:ascii="Times New Roman" w:eastAsia="Calibri" w:hAnsi="Times New Roman"/>
          <w:sz w:val="28"/>
          <w:szCs w:val="24"/>
        </w:rPr>
      </w:pPr>
      <w:r w:rsidRPr="002C2B88">
        <w:rPr>
          <w:rFonts w:ascii="Times New Roman" w:hAnsi="Times New Roman"/>
          <w:noProof/>
          <w:sz w:val="28"/>
          <w:szCs w:val="24"/>
          <w:highlight w:val="white"/>
        </w:rPr>
        <w:t>Kapitālo pārvedumu (D.9) izdevumi 2020. gadā pieauguši par 288,7 milj.</w:t>
      </w:r>
      <w:r w:rsidRPr="002C2B88">
        <w:rPr>
          <w:rFonts w:ascii="Times New Roman" w:eastAsia="Calibri" w:hAnsi="Times New Roman"/>
          <w:i/>
          <w:sz w:val="28"/>
          <w:szCs w:val="24"/>
        </w:rPr>
        <w:t xml:space="preserve"> euro</w:t>
      </w:r>
      <w:r w:rsidRPr="002C2B88">
        <w:rPr>
          <w:rFonts w:ascii="Times New Roman" w:hAnsi="Times New Roman"/>
          <w:sz w:val="28"/>
          <w:szCs w:val="24"/>
          <w:highlight w:val="white"/>
        </w:rPr>
        <w:t xml:space="preserve"> jeb vairāk kā 20 reizes. Pieaugums skaidrojams ar valdības lēmumu sniegt atbalstu </w:t>
      </w:r>
      <w:r>
        <w:rPr>
          <w:rFonts w:ascii="Times New Roman" w:eastAsia="Calibri" w:hAnsi="Times New Roman"/>
          <w:sz w:val="28"/>
          <w:szCs w:val="24"/>
        </w:rPr>
        <w:t>akciju sabiedrībai</w:t>
      </w:r>
      <w:r w:rsidRPr="002C2B88">
        <w:rPr>
          <w:rFonts w:ascii="Times New Roman" w:hAnsi="Times New Roman"/>
          <w:sz w:val="28"/>
          <w:szCs w:val="24"/>
          <w:highlight w:val="white"/>
        </w:rPr>
        <w:t xml:space="preserve"> “</w:t>
      </w:r>
      <w:r w:rsidRPr="00F443E9">
        <w:rPr>
          <w:rFonts w:ascii="Times New Roman" w:hAnsi="Times New Roman"/>
          <w:i/>
          <w:sz w:val="28"/>
          <w:szCs w:val="24"/>
          <w:highlight w:val="white"/>
        </w:rPr>
        <w:t>Air Baltic Corporation</w:t>
      </w:r>
      <w:r w:rsidRPr="002C2B88">
        <w:rPr>
          <w:rFonts w:ascii="Times New Roman" w:hAnsi="Times New Roman"/>
          <w:sz w:val="28"/>
          <w:szCs w:val="24"/>
          <w:highlight w:val="white"/>
        </w:rPr>
        <w:t>” 250 milj</w:t>
      </w:r>
      <w:r w:rsidRPr="002C2B88">
        <w:rPr>
          <w:rFonts w:ascii="Times New Roman" w:hAnsi="Times New Roman"/>
          <w:noProof/>
          <w:sz w:val="28"/>
          <w:szCs w:val="24"/>
          <w:highlight w:val="white"/>
        </w:rPr>
        <w:t>.</w:t>
      </w:r>
      <w:r w:rsidRPr="002C2B88">
        <w:rPr>
          <w:rFonts w:ascii="Times New Roman" w:eastAsia="Calibri" w:hAnsi="Times New Roman"/>
          <w:i/>
          <w:sz w:val="28"/>
          <w:szCs w:val="24"/>
        </w:rPr>
        <w:t xml:space="preserve"> euro </w:t>
      </w:r>
      <w:r>
        <w:rPr>
          <w:rFonts w:ascii="Times New Roman" w:eastAsia="Calibri" w:hAnsi="Times New Roman"/>
          <w:sz w:val="28"/>
          <w:szCs w:val="24"/>
        </w:rPr>
        <w:t xml:space="preserve">apmērā, akciju sabiedrībai </w:t>
      </w:r>
      <w:r w:rsidRPr="002C2B88">
        <w:rPr>
          <w:rFonts w:ascii="Times New Roman" w:eastAsia="Calibri" w:hAnsi="Times New Roman"/>
          <w:sz w:val="28"/>
          <w:szCs w:val="24"/>
        </w:rPr>
        <w:t>“Latvijas gaisa satiksme” 6 milj.</w:t>
      </w:r>
      <w:r w:rsidRPr="002C2B88">
        <w:rPr>
          <w:rFonts w:ascii="Times New Roman" w:eastAsia="Calibri" w:hAnsi="Times New Roman"/>
          <w:i/>
          <w:sz w:val="28"/>
          <w:szCs w:val="24"/>
        </w:rPr>
        <w:t xml:space="preserve"> euro </w:t>
      </w:r>
      <w:r w:rsidRPr="002C2B88">
        <w:rPr>
          <w:rFonts w:ascii="Times New Roman" w:eastAsia="Calibri" w:hAnsi="Times New Roman"/>
          <w:sz w:val="28"/>
          <w:szCs w:val="24"/>
        </w:rPr>
        <w:t xml:space="preserve">apmērā un </w:t>
      </w:r>
      <w:r>
        <w:rPr>
          <w:rFonts w:ascii="Times New Roman" w:eastAsia="Calibri" w:hAnsi="Times New Roman"/>
          <w:sz w:val="28"/>
          <w:szCs w:val="24"/>
        </w:rPr>
        <w:t>akciju sabiedrībai</w:t>
      </w:r>
      <w:r w:rsidRPr="002C2B88">
        <w:rPr>
          <w:rFonts w:ascii="Times New Roman" w:eastAsia="Calibri" w:hAnsi="Times New Roman"/>
          <w:sz w:val="28"/>
          <w:szCs w:val="24"/>
        </w:rPr>
        <w:t xml:space="preserve"> “Latvijas dzelzceļš” 32,4 milj.</w:t>
      </w:r>
      <w:r w:rsidRPr="002C2B88">
        <w:rPr>
          <w:rFonts w:ascii="Times New Roman" w:eastAsia="Calibri" w:hAnsi="Times New Roman"/>
          <w:i/>
          <w:sz w:val="28"/>
          <w:szCs w:val="24"/>
        </w:rPr>
        <w:t xml:space="preserve"> euro </w:t>
      </w:r>
      <w:r w:rsidRPr="002C2B88">
        <w:rPr>
          <w:rFonts w:ascii="Times New Roman" w:eastAsia="Calibri" w:hAnsi="Times New Roman"/>
          <w:sz w:val="28"/>
          <w:szCs w:val="24"/>
        </w:rPr>
        <w:t>apmērā.</w:t>
      </w:r>
    </w:p>
    <w:p w:rsidR="00581441" w:rsidRDefault="00581441" w:rsidP="00581441">
      <w:pPr>
        <w:pStyle w:val="Heading2"/>
        <w:numPr>
          <w:ilvl w:val="0"/>
          <w:numId w:val="0"/>
        </w:numPr>
        <w:spacing w:before="240" w:after="240"/>
        <w:rPr>
          <w:noProof/>
        </w:rPr>
      </w:pPr>
      <w:bookmarkStart w:id="22" w:name="_Toc68335001"/>
      <w:r w:rsidRPr="00B07F83">
        <w:rPr>
          <w:bCs w:val="0"/>
          <w:noProof/>
        </w:rPr>
        <w:t>3.</w:t>
      </w:r>
      <w:r>
        <w:rPr>
          <w:noProof/>
        </w:rPr>
        <w:t xml:space="preserve">3. </w:t>
      </w:r>
      <w:r w:rsidRPr="00192D11">
        <w:rPr>
          <w:noProof/>
        </w:rPr>
        <w:t>Atbalsta pasākumi Covid-19 seku mazināšanai</w:t>
      </w:r>
      <w:bookmarkEnd w:id="22"/>
    </w:p>
    <w:p w:rsidR="00581441" w:rsidRPr="00B07F83" w:rsidRDefault="00581441" w:rsidP="00581441">
      <w:pPr>
        <w:ind w:firstLine="709"/>
        <w:rPr>
          <w:rFonts w:eastAsia="Times New Roman" w:cs="Times New Roman"/>
          <w:color w:val="000000"/>
          <w:szCs w:val="28"/>
        </w:rPr>
      </w:pPr>
      <w:r w:rsidRPr="00B07F83">
        <w:rPr>
          <w:rFonts w:eastAsia="Calibri" w:cs="Times New Roman"/>
          <w:color w:val="000000"/>
          <w:szCs w:val="24"/>
        </w:rPr>
        <w:t xml:space="preserve">Lai nodrošinātu atbalstu iedzīvotājiem un uzņēmumiem Covid-19 krīzē, valdība ir apstiprinājusi nozīmīgu atbalsta paketi. </w:t>
      </w:r>
      <w:r w:rsidRPr="00B07F83">
        <w:rPr>
          <w:rFonts w:eastAsia="Times New Roman" w:cs="Times New Roman"/>
          <w:color w:val="000000"/>
          <w:szCs w:val="28"/>
        </w:rPr>
        <w:t>Līdz š</w:t>
      </w:r>
      <w:r>
        <w:rPr>
          <w:rFonts w:eastAsia="Times New Roman" w:cs="Times New Roman"/>
          <w:color w:val="000000"/>
          <w:szCs w:val="28"/>
        </w:rPr>
        <w:t>ī</w:t>
      </w:r>
      <w:r w:rsidRPr="00B07F83">
        <w:rPr>
          <w:rFonts w:eastAsia="Times New Roman" w:cs="Times New Roman"/>
          <w:color w:val="000000"/>
          <w:szCs w:val="28"/>
        </w:rPr>
        <w:t xml:space="preserve"> gada 23. martam kopējais apstiprinātais atbalsta apjoms tautsaimniecībai (skat. 3.5. attēlu) </w:t>
      </w:r>
      <w:r>
        <w:rPr>
          <w:rFonts w:eastAsia="Times New Roman" w:cs="Times New Roman"/>
          <w:color w:val="000000"/>
          <w:szCs w:val="28"/>
        </w:rPr>
        <w:t>atbilstoši Finanšu ministrijas novērtējumam, ņemot vērā Valsts ieņēmuma dienesta</w:t>
      </w:r>
      <w:r w:rsidRPr="00B07F83">
        <w:rPr>
          <w:rFonts w:eastAsia="Times New Roman" w:cs="Times New Roman"/>
          <w:color w:val="000000"/>
          <w:szCs w:val="28"/>
        </w:rPr>
        <w:t xml:space="preserve">, </w:t>
      </w:r>
      <w:r>
        <w:rPr>
          <w:szCs w:val="24"/>
          <w:lang w:eastAsia="lv-LV"/>
        </w:rPr>
        <w:t xml:space="preserve">akciju sabiedrības </w:t>
      </w:r>
      <w:r w:rsidRPr="00334C23">
        <w:rPr>
          <w:szCs w:val="24"/>
          <w:lang w:eastAsia="lv-LV"/>
        </w:rPr>
        <w:t>"Attīstības finanšu institūcija Altum"</w:t>
      </w:r>
      <w:r>
        <w:rPr>
          <w:szCs w:val="24"/>
          <w:lang w:eastAsia="lv-LV"/>
        </w:rPr>
        <w:t xml:space="preserve"> </w:t>
      </w:r>
      <w:r w:rsidRPr="00B07F83">
        <w:rPr>
          <w:rFonts w:eastAsia="Times New Roman" w:cs="Times New Roman"/>
          <w:color w:val="000000"/>
          <w:szCs w:val="28"/>
        </w:rPr>
        <w:t xml:space="preserve">u.c. institūciju </w:t>
      </w:r>
      <w:r w:rsidRPr="00B07F83">
        <w:rPr>
          <w:rFonts w:eastAsia="Times New Roman" w:cs="Times New Roman"/>
          <w:color w:val="000000"/>
          <w:szCs w:val="28"/>
        </w:rPr>
        <w:lastRenderedPageBreak/>
        <w:t>sniegto informāciju, sasniedzis 4,4</w:t>
      </w:r>
      <w:r>
        <w:rPr>
          <w:rFonts w:eastAsia="Times New Roman" w:cs="Times New Roman"/>
          <w:color w:val="000000"/>
          <w:szCs w:val="28"/>
        </w:rPr>
        <w:t xml:space="preserve"> mljrd.</w:t>
      </w:r>
      <w:r w:rsidRPr="00B07F83">
        <w:rPr>
          <w:rFonts w:eastAsia="Times New Roman" w:cs="Times New Roman"/>
          <w:color w:val="000000"/>
          <w:szCs w:val="28"/>
        </w:rPr>
        <w:t xml:space="preserve"> </w:t>
      </w:r>
      <w:r w:rsidRPr="00B07F83">
        <w:rPr>
          <w:rFonts w:eastAsia="Times New Roman" w:cs="Times New Roman"/>
          <w:i/>
          <w:color w:val="000000"/>
          <w:szCs w:val="28"/>
        </w:rPr>
        <w:t>euro</w:t>
      </w:r>
      <w:r>
        <w:rPr>
          <w:rFonts w:eastAsia="Times New Roman" w:cs="Times New Roman"/>
          <w:color w:val="000000"/>
          <w:szCs w:val="28"/>
        </w:rPr>
        <w:t>, no kā 1,3 mljrd.</w:t>
      </w:r>
      <w:r w:rsidRPr="00B07F83">
        <w:rPr>
          <w:rFonts w:eastAsia="Times New Roman" w:cs="Times New Roman"/>
          <w:color w:val="000000"/>
          <w:szCs w:val="28"/>
        </w:rPr>
        <w:t xml:space="preserve"> </w:t>
      </w:r>
      <w:r w:rsidRPr="00B07F83">
        <w:rPr>
          <w:rFonts w:eastAsia="Times New Roman" w:cs="Times New Roman"/>
          <w:i/>
          <w:color w:val="000000"/>
          <w:szCs w:val="28"/>
        </w:rPr>
        <w:t xml:space="preserve">euro </w:t>
      </w:r>
      <w:r w:rsidRPr="00B07F83">
        <w:rPr>
          <w:rFonts w:eastAsia="Times New Roman" w:cs="Times New Roman"/>
          <w:iCs/>
          <w:color w:val="000000"/>
          <w:szCs w:val="28"/>
        </w:rPr>
        <w:t>jeb 4,5%</w:t>
      </w:r>
      <w:r>
        <w:rPr>
          <w:rFonts w:eastAsia="Times New Roman" w:cs="Times New Roman"/>
          <w:color w:val="000000"/>
          <w:szCs w:val="28"/>
        </w:rPr>
        <w:t xml:space="preserve"> no iekšzemes kopprodukta</w:t>
      </w:r>
      <w:r w:rsidRPr="00B07F83">
        <w:rPr>
          <w:rFonts w:eastAsia="Times New Roman" w:cs="Times New Roman"/>
          <w:color w:val="000000"/>
          <w:szCs w:val="28"/>
        </w:rPr>
        <w:t xml:space="preserve"> bija faktiskais atbalsts 2020. gadā</w:t>
      </w:r>
      <w:r>
        <w:rPr>
          <w:rFonts w:eastAsia="Times New Roman" w:cs="Times New Roman"/>
          <w:color w:val="000000"/>
          <w:szCs w:val="28"/>
        </w:rPr>
        <w:t>, 2,9 mljrd.</w:t>
      </w:r>
      <w:r w:rsidRPr="00B07F83">
        <w:rPr>
          <w:rFonts w:eastAsia="Times New Roman" w:cs="Times New Roman"/>
          <w:color w:val="000000"/>
          <w:szCs w:val="28"/>
        </w:rPr>
        <w:t xml:space="preserve"> </w:t>
      </w:r>
      <w:r w:rsidRPr="00B07F83">
        <w:rPr>
          <w:rFonts w:eastAsia="Times New Roman" w:cs="Times New Roman"/>
          <w:i/>
          <w:iCs/>
          <w:color w:val="000000"/>
          <w:szCs w:val="28"/>
        </w:rPr>
        <w:t>euro</w:t>
      </w:r>
      <w:r>
        <w:rPr>
          <w:rFonts w:eastAsia="Times New Roman" w:cs="Times New Roman"/>
          <w:color w:val="000000"/>
          <w:szCs w:val="28"/>
        </w:rPr>
        <w:t xml:space="preserve"> jeb 9,6% no iekšzemes kopprodukta</w:t>
      </w:r>
      <w:r w:rsidRPr="00B07F83">
        <w:rPr>
          <w:rFonts w:eastAsia="Times New Roman" w:cs="Times New Roman"/>
          <w:color w:val="000000"/>
          <w:szCs w:val="28"/>
        </w:rPr>
        <w:t xml:space="preserve"> ir plānotais apjoms 2021. gadā un plānotais apjoms </w:t>
      </w:r>
      <w:r>
        <w:rPr>
          <w:rFonts w:eastAsia="Times New Roman" w:cs="Times New Roman"/>
          <w:color w:val="000000"/>
          <w:szCs w:val="28"/>
        </w:rPr>
        <w:t>0,1 mljrd.</w:t>
      </w:r>
      <w:r w:rsidRPr="00B07F83">
        <w:rPr>
          <w:rFonts w:eastAsia="Times New Roman" w:cs="Times New Roman"/>
          <w:color w:val="000000"/>
          <w:szCs w:val="28"/>
        </w:rPr>
        <w:t xml:space="preserve"> </w:t>
      </w:r>
      <w:r w:rsidRPr="00B07F83">
        <w:rPr>
          <w:rFonts w:eastAsia="Times New Roman" w:cs="Times New Roman"/>
          <w:i/>
          <w:color w:val="000000"/>
          <w:szCs w:val="28"/>
        </w:rPr>
        <w:t>euro</w:t>
      </w:r>
      <w:r w:rsidRPr="00B07F83">
        <w:rPr>
          <w:rFonts w:eastAsia="Times New Roman" w:cs="Times New Roman"/>
          <w:color w:val="000000"/>
          <w:szCs w:val="28"/>
        </w:rPr>
        <w:t xml:space="preserve"> 2022. gadā. </w:t>
      </w:r>
    </w:p>
    <w:p w:rsidR="00581441" w:rsidRDefault="00437D0F" w:rsidP="00581441">
      <w:pPr>
        <w:ind w:firstLine="709"/>
        <w:rPr>
          <w:rFonts w:eastAsia="Times New Roman" w:cs="Times New Roman"/>
          <w:color w:val="000000"/>
          <w:szCs w:val="28"/>
        </w:rPr>
      </w:pPr>
      <w:r w:rsidRPr="00B07F83">
        <w:rPr>
          <w:rFonts w:asciiTheme="minorHAnsi" w:hAnsiTheme="minorHAnsi"/>
          <w:noProof/>
          <w:sz w:val="24"/>
          <w:lang w:eastAsia="lv-LV"/>
        </w:rPr>
        <w:drawing>
          <wp:anchor distT="0" distB="0" distL="114300" distR="114300" simplePos="0" relativeHeight="251667456" behindDoc="0" locked="0" layoutInCell="1" allowOverlap="1" wp14:anchorId="761A488D" wp14:editId="695E4946">
            <wp:simplePos x="0" y="0"/>
            <wp:positionH relativeFrom="margin">
              <wp:posOffset>3291628</wp:posOffset>
            </wp:positionH>
            <wp:positionV relativeFrom="page">
              <wp:posOffset>3964305</wp:posOffset>
            </wp:positionV>
            <wp:extent cx="2000885" cy="260032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136" r="23483" b="3261"/>
                    <a:stretch/>
                  </pic:blipFill>
                  <pic:spPr bwMode="auto">
                    <a:xfrm>
                      <a:off x="0" y="0"/>
                      <a:ext cx="2000885" cy="260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7F83">
        <w:rPr>
          <w:rFonts w:asciiTheme="minorHAnsi" w:hAnsiTheme="minorHAnsi"/>
          <w:noProof/>
          <w:sz w:val="24"/>
          <w:lang w:eastAsia="lv-LV"/>
        </w:rPr>
        <w:drawing>
          <wp:anchor distT="0" distB="0" distL="114300" distR="114300" simplePos="0" relativeHeight="251666432" behindDoc="0" locked="0" layoutInCell="1" allowOverlap="1" wp14:anchorId="612DEC9A" wp14:editId="39DAB88C">
            <wp:simplePos x="0" y="0"/>
            <wp:positionH relativeFrom="margin">
              <wp:posOffset>133985</wp:posOffset>
            </wp:positionH>
            <wp:positionV relativeFrom="margin">
              <wp:posOffset>2811568</wp:posOffset>
            </wp:positionV>
            <wp:extent cx="2609850" cy="269938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502"/>
                    <a:stretch/>
                  </pic:blipFill>
                  <pic:spPr bwMode="auto">
                    <a:xfrm>
                      <a:off x="0" y="0"/>
                      <a:ext cx="2609850" cy="269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1441" w:rsidRPr="00B07F83">
        <w:rPr>
          <w:rFonts w:eastAsia="Calibri" w:cs="Times New Roman"/>
          <w:color w:val="000000"/>
          <w:szCs w:val="24"/>
        </w:rPr>
        <w:t>Aktualizējot vispārējās valdības budžeta bilances vidējam termiņam, tika ņemta</w:t>
      </w:r>
      <w:r w:rsidR="00581441">
        <w:rPr>
          <w:rFonts w:eastAsia="Calibri" w:cs="Times New Roman"/>
          <w:color w:val="000000"/>
          <w:szCs w:val="24"/>
        </w:rPr>
        <w:t xml:space="preserve"> vērā līdz šī</w:t>
      </w:r>
      <w:r w:rsidR="00581441" w:rsidRPr="00B07F83">
        <w:rPr>
          <w:rFonts w:eastAsia="Calibri" w:cs="Times New Roman"/>
          <w:color w:val="000000"/>
          <w:szCs w:val="24"/>
        </w:rPr>
        <w:t xml:space="preserve"> gada 23. martam apstiprinātā atbalsta ietekme uz budžeta bilanci (skat. 3.6. attēlu). </w:t>
      </w:r>
      <w:r w:rsidR="00581441" w:rsidRPr="00B07F83">
        <w:rPr>
          <w:rFonts w:eastAsia="Times New Roman" w:cs="Times New Roman"/>
          <w:color w:val="000000"/>
          <w:szCs w:val="28"/>
        </w:rPr>
        <w:t>Atbalsta pasākumu apjoms veido būtisku ietekmi uz vispārējās valdības budžeta bilanci, 2020. gadā to nega</w:t>
      </w:r>
      <w:r w:rsidR="00581441">
        <w:rPr>
          <w:rFonts w:eastAsia="Times New Roman" w:cs="Times New Roman"/>
          <w:color w:val="000000"/>
          <w:szCs w:val="28"/>
        </w:rPr>
        <w:t>tīvi ietekmējot par 1,1 mljrd.</w:t>
      </w:r>
      <w:r w:rsidR="00581441" w:rsidRPr="00B07F83">
        <w:rPr>
          <w:rFonts w:eastAsia="Times New Roman" w:cs="Times New Roman"/>
          <w:color w:val="000000"/>
          <w:szCs w:val="28"/>
        </w:rPr>
        <w:t xml:space="preserve"> </w:t>
      </w:r>
      <w:r w:rsidR="00581441" w:rsidRPr="00B07F83">
        <w:rPr>
          <w:rFonts w:eastAsia="Times New Roman" w:cs="Times New Roman"/>
          <w:i/>
          <w:color w:val="000000"/>
          <w:szCs w:val="28"/>
        </w:rPr>
        <w:t>euro</w:t>
      </w:r>
      <w:r w:rsidR="00581441" w:rsidRPr="00B07F83">
        <w:rPr>
          <w:rFonts w:eastAsia="Times New Roman" w:cs="Times New Roman"/>
          <w:color w:val="000000"/>
          <w:szCs w:val="28"/>
        </w:rPr>
        <w:t xml:space="preserve"> jeb 3,7% no </w:t>
      </w:r>
      <w:r w:rsidR="00581441">
        <w:rPr>
          <w:rFonts w:eastAsia="Times New Roman" w:cs="Times New Roman"/>
          <w:color w:val="000000"/>
          <w:szCs w:val="28"/>
        </w:rPr>
        <w:t>iekšzemes kopprodukta</w:t>
      </w:r>
      <w:r w:rsidR="00581441" w:rsidRPr="00B07F83">
        <w:rPr>
          <w:rFonts w:eastAsia="Times New Roman" w:cs="Times New Roman"/>
          <w:color w:val="000000"/>
          <w:szCs w:val="28"/>
        </w:rPr>
        <w:t>, bet 2021. gadā ietekme p</w:t>
      </w:r>
      <w:r w:rsidR="00581441">
        <w:rPr>
          <w:rFonts w:eastAsia="Times New Roman" w:cs="Times New Roman"/>
          <w:color w:val="000000"/>
          <w:szCs w:val="28"/>
        </w:rPr>
        <w:t>alielināsies līdz 1,9 mljrd.</w:t>
      </w:r>
      <w:r w:rsidR="00581441" w:rsidRPr="00B07F83">
        <w:rPr>
          <w:rFonts w:eastAsia="Times New Roman" w:cs="Times New Roman"/>
          <w:color w:val="000000"/>
          <w:szCs w:val="28"/>
        </w:rPr>
        <w:t xml:space="preserve"> </w:t>
      </w:r>
      <w:r w:rsidR="00581441" w:rsidRPr="00B07F83">
        <w:rPr>
          <w:rFonts w:eastAsia="Times New Roman" w:cs="Times New Roman"/>
          <w:i/>
          <w:color w:val="000000"/>
          <w:szCs w:val="28"/>
        </w:rPr>
        <w:t>euro</w:t>
      </w:r>
      <w:r w:rsidR="00581441" w:rsidRPr="00B07F83">
        <w:rPr>
          <w:rFonts w:eastAsia="Times New Roman" w:cs="Times New Roman"/>
          <w:color w:val="000000"/>
          <w:szCs w:val="28"/>
        </w:rPr>
        <w:t xml:space="preserve"> jeb 6,2% no </w:t>
      </w:r>
      <w:r w:rsidR="00581441">
        <w:rPr>
          <w:rFonts w:eastAsia="Times New Roman" w:cs="Times New Roman"/>
          <w:color w:val="000000"/>
          <w:szCs w:val="28"/>
        </w:rPr>
        <w:t>iekšzemes kopprodukta</w:t>
      </w:r>
      <w:r w:rsidR="00581441" w:rsidRPr="00B07F83">
        <w:rPr>
          <w:rFonts w:eastAsia="Times New Roman" w:cs="Times New Roman"/>
          <w:color w:val="000000"/>
          <w:szCs w:val="28"/>
        </w:rPr>
        <w:t>.</w:t>
      </w:r>
      <w:r w:rsidR="00581441" w:rsidRPr="00B07F83">
        <w:rPr>
          <w:rFonts w:eastAsia="Calibri" w:cs="Times New Roman"/>
          <w:color w:val="000000"/>
          <w:szCs w:val="24"/>
        </w:rPr>
        <w:t xml:space="preserve"> Savukārt 2022. gadam ietekme uz bilanci tiek vērtēta būtiski zemākā apmērā – 0,2% no </w:t>
      </w:r>
      <w:r w:rsidR="00581441">
        <w:rPr>
          <w:rFonts w:eastAsia="Times New Roman" w:cs="Times New Roman"/>
          <w:color w:val="000000"/>
          <w:szCs w:val="28"/>
        </w:rPr>
        <w:t>iekšzemes kopprodukta</w:t>
      </w:r>
      <w:r w:rsidR="00581441" w:rsidRPr="00B07F83">
        <w:rPr>
          <w:rFonts w:eastAsia="Calibri" w:cs="Times New Roman"/>
          <w:color w:val="000000"/>
          <w:szCs w:val="24"/>
        </w:rPr>
        <w:t xml:space="preserve">, galvenokārt turpinot realizēt augstas gatavības investīciju projektus, kas tiks uzsākti šogad. </w:t>
      </w:r>
    </w:p>
    <w:p w:rsidR="00581441" w:rsidRPr="00581441" w:rsidRDefault="00581441" w:rsidP="00581441">
      <w:pPr>
        <w:rPr>
          <w:rFonts w:eastAsia="Times New Roman" w:cs="Times New Roman"/>
          <w:szCs w:val="28"/>
        </w:rPr>
      </w:pPr>
    </w:p>
    <w:p w:rsidR="002C3840" w:rsidRDefault="002C3840" w:rsidP="00581441">
      <w:pPr>
        <w:rPr>
          <w:rFonts w:eastAsia="Times New Roman" w:cs="Times New Roman"/>
          <w:b/>
          <w:bCs/>
          <w:i/>
          <w:color w:val="000000"/>
          <w:sz w:val="24"/>
          <w:szCs w:val="28"/>
        </w:rPr>
        <w:sectPr w:rsidR="002C3840" w:rsidSect="00581441">
          <w:type w:val="continuous"/>
          <w:pgSz w:w="11906" w:h="16838" w:code="9"/>
          <w:pgMar w:top="1418" w:right="1134" w:bottom="568" w:left="1701" w:header="1417" w:footer="1434" w:gutter="0"/>
          <w:cols w:space="709"/>
          <w:titlePg/>
          <w:docGrid w:linePitch="360"/>
        </w:sectPr>
      </w:pPr>
    </w:p>
    <w:p w:rsidR="00581441" w:rsidRPr="00581441" w:rsidRDefault="002C3840" w:rsidP="002C3840">
      <w:pPr>
        <w:ind w:firstLine="0"/>
        <w:jc w:val="center"/>
        <w:rPr>
          <w:rFonts w:eastAsia="Times New Roman" w:cs="Times New Roman"/>
          <w:szCs w:val="28"/>
        </w:rPr>
      </w:pPr>
      <w:r>
        <w:rPr>
          <w:rFonts w:eastAsia="Times New Roman" w:cs="Times New Roman"/>
          <w:b/>
          <w:bCs/>
          <w:i/>
          <w:color w:val="000000"/>
          <w:sz w:val="24"/>
          <w:szCs w:val="28"/>
        </w:rPr>
        <w:t>3.5. att</w:t>
      </w:r>
      <w:r w:rsidRPr="002A0E06">
        <w:rPr>
          <w:rFonts w:eastAsia="Times New Roman" w:cs="Times New Roman"/>
          <w:b/>
          <w:bCs/>
          <w:i/>
          <w:color w:val="000000"/>
          <w:sz w:val="24"/>
          <w:szCs w:val="28"/>
        </w:rPr>
        <w:t>. Kopējais atbalsts tautsaimniecībai, milj.</w:t>
      </w:r>
      <w:r w:rsidRPr="002A0E06">
        <w:rPr>
          <w:rFonts w:eastAsia="Times New Roman" w:cs="Times New Roman"/>
          <w:b/>
          <w:bCs/>
          <w:i/>
          <w:iCs/>
          <w:color w:val="000000"/>
          <w:sz w:val="24"/>
          <w:szCs w:val="28"/>
        </w:rPr>
        <w:t xml:space="preserve"> euro</w:t>
      </w:r>
      <w:r w:rsidRPr="002A0E06">
        <w:rPr>
          <w:rFonts w:eastAsia="Times New Roman" w:cs="Times New Roman"/>
          <w:b/>
          <w:bCs/>
          <w:i/>
          <w:iCs/>
          <w:color w:val="000000"/>
          <w:sz w:val="24"/>
          <w:szCs w:val="28"/>
        </w:rPr>
        <w:br/>
      </w:r>
      <w:r w:rsidRPr="002A0E06">
        <w:rPr>
          <w:rFonts w:eastAsia="Times New Roman" w:cs="Times New Roman"/>
          <w:b/>
          <w:bCs/>
          <w:i/>
          <w:color w:val="000000"/>
          <w:sz w:val="24"/>
          <w:szCs w:val="28"/>
        </w:rPr>
        <w:t>(Datu avots: Finanšu ministrija)</w:t>
      </w:r>
    </w:p>
    <w:p w:rsidR="002C3840" w:rsidRPr="002C3840" w:rsidRDefault="002C3840" w:rsidP="002C3840">
      <w:pPr>
        <w:spacing w:before="120"/>
        <w:ind w:firstLine="0"/>
        <w:rPr>
          <w:rFonts w:eastAsia="Times New Roman" w:cs="Times New Roman"/>
          <w:b/>
          <w:bCs/>
          <w:i/>
          <w:color w:val="000000"/>
          <w:sz w:val="24"/>
          <w:szCs w:val="28"/>
        </w:rPr>
        <w:sectPr w:rsidR="002C3840" w:rsidRPr="002C3840" w:rsidSect="002C3840">
          <w:type w:val="continuous"/>
          <w:pgSz w:w="11906" w:h="16838" w:code="9"/>
          <w:pgMar w:top="1418" w:right="1134" w:bottom="568" w:left="1701" w:header="1417" w:footer="1434" w:gutter="0"/>
          <w:cols w:num="2" w:space="709"/>
          <w:titlePg/>
          <w:docGrid w:linePitch="360"/>
        </w:sectPr>
      </w:pPr>
      <w:r>
        <w:rPr>
          <w:rFonts w:eastAsia="Times New Roman" w:cs="Times New Roman"/>
          <w:b/>
          <w:bCs/>
          <w:i/>
          <w:color w:val="000000"/>
          <w:sz w:val="24"/>
          <w:szCs w:val="28"/>
        </w:rPr>
        <w:t>3.6. att</w:t>
      </w:r>
      <w:r w:rsidRPr="002A0E06">
        <w:rPr>
          <w:rFonts w:eastAsia="Times New Roman" w:cs="Times New Roman"/>
          <w:b/>
          <w:bCs/>
          <w:i/>
          <w:color w:val="000000"/>
          <w:sz w:val="24"/>
          <w:szCs w:val="28"/>
        </w:rPr>
        <w:t>. Atbalsta ietekme uz budžeta bilanci, milj. euro (Datu avots: Finanšu ministrija)</w:t>
      </w:r>
    </w:p>
    <w:p w:rsidR="00BF4753" w:rsidRPr="002A0E06" w:rsidRDefault="00BF4753" w:rsidP="00581441">
      <w:pPr>
        <w:spacing w:before="120"/>
        <w:ind w:firstLine="0"/>
        <w:rPr>
          <w:rFonts w:eastAsia="Times New Roman" w:cs="Times New Roman"/>
          <w:i/>
          <w:color w:val="000000"/>
          <w:sz w:val="24"/>
          <w:szCs w:val="28"/>
        </w:rPr>
        <w:sectPr w:rsidR="00BF4753" w:rsidRPr="002A0E06" w:rsidSect="002D7CA8">
          <w:headerReference w:type="even" r:id="rId29"/>
          <w:headerReference w:type="default" r:id="rId30"/>
          <w:footerReference w:type="even" r:id="rId31"/>
          <w:footerReference w:type="default" r:id="rId32"/>
          <w:headerReference w:type="first" r:id="rId33"/>
          <w:type w:val="continuous"/>
          <w:pgSz w:w="11906" w:h="16838" w:code="9"/>
          <w:pgMar w:top="1418" w:right="1134" w:bottom="568" w:left="1701" w:header="1417" w:footer="1134" w:gutter="0"/>
          <w:cols w:num="2" w:space="709"/>
          <w:titlePg/>
          <w:docGrid w:linePitch="360"/>
        </w:sectPr>
      </w:pPr>
      <w:bookmarkStart w:id="23" w:name="_Toc5627371"/>
    </w:p>
    <w:p w:rsidR="00BF4753" w:rsidRPr="00B07F83" w:rsidRDefault="00BF4753" w:rsidP="00BF4753">
      <w:pPr>
        <w:spacing w:before="120"/>
        <w:ind w:firstLine="0"/>
        <w:rPr>
          <w:rFonts w:eastAsia="Times New Roman" w:cs="Times New Roman"/>
          <w:color w:val="000000"/>
          <w:sz w:val="24"/>
          <w:szCs w:val="28"/>
        </w:rPr>
        <w:sectPr w:rsidR="00BF4753" w:rsidRPr="00B07F83" w:rsidSect="003249D1">
          <w:type w:val="continuous"/>
          <w:pgSz w:w="11906" w:h="16838" w:code="9"/>
          <w:pgMar w:top="1418" w:right="1134" w:bottom="568" w:left="1701" w:header="1417" w:footer="1344" w:gutter="0"/>
          <w:cols w:num="2" w:space="709"/>
          <w:titlePg/>
          <w:docGrid w:linePitch="360"/>
        </w:sectPr>
      </w:pPr>
    </w:p>
    <w:p w:rsidR="00BF4753" w:rsidRPr="00B07F83" w:rsidRDefault="00BF4753" w:rsidP="002C3840">
      <w:pPr>
        <w:rPr>
          <w:rFonts w:eastAsia="Times New Roman" w:cs="Times New Roman"/>
          <w:color w:val="000000"/>
          <w:szCs w:val="28"/>
        </w:rPr>
      </w:pPr>
      <w:r w:rsidRPr="00B07F83">
        <w:rPr>
          <w:rFonts w:eastAsia="Times New Roman" w:cs="Times New Roman"/>
          <w:color w:val="000000"/>
          <w:szCs w:val="28"/>
        </w:rPr>
        <w:t>Pieņemtos atbalsta pasākumu lēmumus Covid-19 krīzes pārvarēšanai var sadalīt piecās kategorijās – atbalsts nodokļu jomā, atbalsts pabalstu jomā, atbalsts aizdevumu un garantiju j</w:t>
      </w:r>
      <w:r>
        <w:rPr>
          <w:rFonts w:eastAsia="Times New Roman" w:cs="Times New Roman"/>
          <w:color w:val="000000"/>
          <w:szCs w:val="28"/>
        </w:rPr>
        <w:t>omā, atbalsts nozarēm, kā arī Eiropas Savienības</w:t>
      </w:r>
      <w:r w:rsidRPr="00B07F83">
        <w:rPr>
          <w:rFonts w:eastAsia="Times New Roman" w:cs="Times New Roman"/>
          <w:color w:val="000000"/>
          <w:szCs w:val="28"/>
        </w:rPr>
        <w:t xml:space="preserve"> finansējuma atbalsts.</w:t>
      </w:r>
    </w:p>
    <w:p w:rsidR="00BF4753" w:rsidRPr="00B07F83" w:rsidRDefault="00BF4753" w:rsidP="00BF4753">
      <w:pPr>
        <w:rPr>
          <w:rFonts w:eastAsia="Calibri" w:cs="Times New Roman"/>
          <w:color w:val="000000"/>
          <w:szCs w:val="28"/>
        </w:rPr>
      </w:pPr>
      <w:r w:rsidRPr="00B07F83">
        <w:rPr>
          <w:rFonts w:eastAsia="Times New Roman" w:cs="Times New Roman"/>
          <w:color w:val="000000"/>
          <w:szCs w:val="28"/>
        </w:rPr>
        <w:t xml:space="preserve">Covid-19 infekcijas izplatības seku pārvarēšanas likumā tika noteikti vairāki </w:t>
      </w:r>
      <w:r w:rsidRPr="00B07F83">
        <w:rPr>
          <w:rFonts w:eastAsia="Times New Roman" w:cs="Times New Roman"/>
          <w:b/>
          <w:color w:val="000000"/>
          <w:szCs w:val="28"/>
        </w:rPr>
        <w:t>nodokļu atbalsta pasākumi</w:t>
      </w:r>
      <w:r w:rsidRPr="00B07F83">
        <w:rPr>
          <w:rFonts w:eastAsia="Times New Roman" w:cs="Times New Roman"/>
          <w:color w:val="000000"/>
          <w:szCs w:val="28"/>
        </w:rPr>
        <w:t xml:space="preserve">, lai mazinātu krīzes sekas uzņēmējiem un iedzīvotājiem. Atbalstā nodokļu jomā ietilpst tādi pasākumi kā </w:t>
      </w:r>
      <w:r w:rsidRPr="00B07F83">
        <w:rPr>
          <w:rFonts w:eastAsia="Calibri" w:cs="Times New Roman"/>
          <w:color w:val="000000"/>
          <w:szCs w:val="28"/>
        </w:rPr>
        <w:t xml:space="preserve">nodokļu samaksas </w:t>
      </w:r>
      <w:r w:rsidRPr="00B07F83">
        <w:rPr>
          <w:rFonts w:eastAsia="Calibri" w:cs="Times New Roman"/>
          <w:color w:val="000000"/>
          <w:szCs w:val="28"/>
        </w:rPr>
        <w:lastRenderedPageBreak/>
        <w:t>termiņa pagarinājumi;</w:t>
      </w:r>
      <w:r w:rsidRPr="00B07F83">
        <w:rPr>
          <w:rFonts w:eastAsia="Times New Roman" w:cs="Times New Roman"/>
          <w:color w:val="000000"/>
          <w:szCs w:val="28"/>
        </w:rPr>
        <w:t xml:space="preserve"> </w:t>
      </w:r>
      <w:r>
        <w:rPr>
          <w:rFonts w:eastAsia="Calibri" w:cs="Times New Roman"/>
          <w:color w:val="000000"/>
          <w:szCs w:val="28"/>
        </w:rPr>
        <w:t>iedzīvotāju ienākuma nodokļa</w:t>
      </w:r>
      <w:r w:rsidRPr="00B07F83">
        <w:rPr>
          <w:rFonts w:eastAsia="Calibri" w:cs="Times New Roman"/>
          <w:color w:val="000000"/>
          <w:szCs w:val="28"/>
        </w:rPr>
        <w:t xml:space="preserve"> avansa maksājumu atcelšana;</w:t>
      </w:r>
      <w:r w:rsidRPr="00B07F83">
        <w:rPr>
          <w:rFonts w:eastAsia="Times New Roman" w:cs="Times New Roman"/>
          <w:color w:val="000000"/>
          <w:szCs w:val="28"/>
        </w:rPr>
        <w:t xml:space="preserve"> </w:t>
      </w:r>
      <w:r>
        <w:rPr>
          <w:rFonts w:eastAsia="Calibri" w:cs="Times New Roman"/>
          <w:color w:val="000000"/>
          <w:szCs w:val="28"/>
        </w:rPr>
        <w:t>pārmaksātā pievienotās vērtības nodokļa</w:t>
      </w:r>
      <w:r w:rsidRPr="00B07F83">
        <w:rPr>
          <w:rFonts w:eastAsia="Calibri" w:cs="Times New Roman"/>
          <w:color w:val="000000"/>
          <w:szCs w:val="28"/>
        </w:rPr>
        <w:t xml:space="preserve"> atmaksa 30 dienu laikā;</w:t>
      </w:r>
      <w:r w:rsidRPr="00B07F83">
        <w:rPr>
          <w:rFonts w:eastAsia="Times New Roman" w:cs="Times New Roman"/>
          <w:color w:val="000000"/>
          <w:szCs w:val="28"/>
        </w:rPr>
        <w:t xml:space="preserve"> </w:t>
      </w:r>
      <w:r w:rsidRPr="00B07F83">
        <w:rPr>
          <w:rFonts w:eastAsia="Calibri" w:cs="Times New Roman"/>
          <w:color w:val="000000"/>
          <w:szCs w:val="28"/>
        </w:rPr>
        <w:t>nekustamā īpašuma nodokļa samaksas termiņu pagarināšana (šim pasākumam nav fiskālās ietekmes, jo termiņu pārcelšana notiek tikai 2020. un 2021. gada ietvarā).</w:t>
      </w:r>
    </w:p>
    <w:p w:rsidR="00BF4753" w:rsidRDefault="00BF4753" w:rsidP="00BF4753">
      <w:pPr>
        <w:ind w:firstLine="709"/>
        <w:rPr>
          <w:rFonts w:eastAsia="Times New Roman" w:cs="Times New Roman"/>
          <w:color w:val="000000"/>
          <w:szCs w:val="28"/>
        </w:rPr>
      </w:pPr>
      <w:r w:rsidRPr="00B07F83">
        <w:rPr>
          <w:rFonts w:eastAsia="Times New Roman" w:cs="Times New Roman"/>
          <w:color w:val="000000"/>
          <w:szCs w:val="28"/>
        </w:rPr>
        <w:t xml:space="preserve">Jau pērn tika pieņemti normatīvie akti, kas nosaka papildus atbalstu iedzīvotājiem </w:t>
      </w:r>
      <w:r w:rsidRPr="00B07F83">
        <w:rPr>
          <w:rFonts w:eastAsia="Times New Roman" w:cs="Times New Roman"/>
          <w:b/>
          <w:color w:val="000000"/>
          <w:szCs w:val="28"/>
        </w:rPr>
        <w:t>pabalstu izmaksai</w:t>
      </w:r>
      <w:r w:rsidRPr="00B07F83">
        <w:rPr>
          <w:rFonts w:eastAsia="Times New Roman" w:cs="Times New Roman"/>
          <w:color w:val="000000"/>
          <w:szCs w:val="28"/>
        </w:rPr>
        <w:t xml:space="preserve">, mazinot Covid-19 izraisītās krīzes sekas. 2020. gadā apjomīgākie bija dīkstāves un algu subsīdiju pabalsti. 2020. gadā dīkstāves pabalsti tika izmaksāti 61 milj. </w:t>
      </w:r>
      <w:r w:rsidRPr="00B07F83">
        <w:rPr>
          <w:rFonts w:eastAsia="Times New Roman" w:cs="Times New Roman"/>
          <w:i/>
          <w:color w:val="000000"/>
          <w:szCs w:val="28"/>
        </w:rPr>
        <w:t>euro</w:t>
      </w:r>
      <w:r w:rsidRPr="00B07F83">
        <w:rPr>
          <w:rFonts w:eastAsia="Times New Roman" w:cs="Times New Roman"/>
          <w:color w:val="000000"/>
          <w:szCs w:val="28"/>
        </w:rPr>
        <w:t xml:space="preserve"> apmērā, taču 2021. gadā dīkstāves pabalstus plānots izmaksāt 98 milj. </w:t>
      </w:r>
      <w:r w:rsidRPr="00B07F83">
        <w:rPr>
          <w:rFonts w:eastAsia="Times New Roman" w:cs="Times New Roman"/>
          <w:i/>
          <w:color w:val="000000"/>
          <w:szCs w:val="28"/>
        </w:rPr>
        <w:t>euro</w:t>
      </w:r>
      <w:r w:rsidRPr="00B07F83">
        <w:rPr>
          <w:rFonts w:eastAsia="Times New Roman" w:cs="Times New Roman"/>
          <w:color w:val="000000"/>
          <w:szCs w:val="28"/>
        </w:rPr>
        <w:t xml:space="preserve"> apmērā, no kuriem līdz 2021. gada 21. martam jau izmaksāti 67,4 milj. </w:t>
      </w:r>
      <w:r w:rsidRPr="00B07F83">
        <w:rPr>
          <w:rFonts w:eastAsia="Times New Roman" w:cs="Times New Roman"/>
          <w:i/>
          <w:color w:val="000000"/>
          <w:szCs w:val="28"/>
        </w:rPr>
        <w:t xml:space="preserve">euro </w:t>
      </w:r>
      <w:r w:rsidRPr="00B07F83">
        <w:rPr>
          <w:rFonts w:eastAsia="Times New Roman" w:cs="Times New Roman"/>
          <w:color w:val="000000"/>
          <w:szCs w:val="28"/>
        </w:rPr>
        <w:t>apmērā</w:t>
      </w:r>
      <w:r w:rsidRPr="00B07F83">
        <w:rPr>
          <w:rFonts w:eastAsia="Times New Roman" w:cs="Times New Roman"/>
          <w:i/>
          <w:color w:val="000000"/>
          <w:szCs w:val="28"/>
        </w:rPr>
        <w:t xml:space="preserve"> </w:t>
      </w:r>
      <w:r w:rsidRPr="00B07F83">
        <w:rPr>
          <w:rFonts w:eastAsia="Times New Roman" w:cs="Times New Roman"/>
          <w:color w:val="000000"/>
          <w:szCs w:val="28"/>
        </w:rPr>
        <w:t>jeb 149,1 tūkst. pabalstu 68,4 tūkst.</w:t>
      </w:r>
      <w:r>
        <w:rPr>
          <w:rFonts w:eastAsia="Times New Roman" w:cs="Times New Roman"/>
          <w:color w:val="000000"/>
          <w:szCs w:val="28"/>
        </w:rPr>
        <w:t xml:space="preserve"> fizisko personu. Atbilstoši Valsts ieņēmumu dienesta</w:t>
      </w:r>
      <w:r w:rsidRPr="00B07F83">
        <w:rPr>
          <w:rFonts w:eastAsia="Times New Roman" w:cs="Times New Roman"/>
          <w:color w:val="000000"/>
          <w:szCs w:val="28"/>
        </w:rPr>
        <w:t xml:space="preserve"> informācijai visvairāk dīkstāves pabalsti izmaksāti tādu nozaru pārstāvjiem kā tirdzniecība, izmitināšana un ēdināšana. Pēc darba devēju iesniegumiem vidējais dīkstāves atbalsta maksājums no 2020. gada 1. decembra līdz 2021. gada 14. martam veidoja  416 </w:t>
      </w:r>
      <w:r w:rsidRPr="00B07F83">
        <w:rPr>
          <w:rFonts w:eastAsia="Times New Roman" w:cs="Times New Roman"/>
          <w:i/>
          <w:color w:val="000000"/>
          <w:szCs w:val="28"/>
        </w:rPr>
        <w:t>euro</w:t>
      </w:r>
      <w:r w:rsidRPr="00B07F83">
        <w:rPr>
          <w:rFonts w:eastAsia="Times New Roman" w:cs="Times New Roman"/>
          <w:color w:val="000000"/>
          <w:szCs w:val="28"/>
        </w:rPr>
        <w:t xml:space="preserve">. 2021. gada kopējais plānotais atbalsts iedzīvotājiem vairākas reizes pārsniedz 2020. gadā izsniegto, ņemot vērā, ka papildus nodarbinātības atbalsta programmām tiks izmaksāti arī vienreizējus pabalsti ģimenēm (500 </w:t>
      </w:r>
      <w:r w:rsidRPr="00B07F83">
        <w:rPr>
          <w:rFonts w:eastAsia="Times New Roman" w:cs="Times New Roman"/>
          <w:i/>
          <w:color w:val="000000"/>
          <w:szCs w:val="28"/>
        </w:rPr>
        <w:t>euro</w:t>
      </w:r>
      <w:r w:rsidRPr="00B07F83">
        <w:rPr>
          <w:rFonts w:eastAsia="Times New Roman" w:cs="Times New Roman"/>
          <w:color w:val="000000"/>
          <w:szCs w:val="28"/>
        </w:rPr>
        <w:t xml:space="preserve"> par katru bērnu), kā arī 200 </w:t>
      </w:r>
      <w:r w:rsidRPr="00B07F83">
        <w:rPr>
          <w:rFonts w:eastAsia="Times New Roman" w:cs="Times New Roman"/>
          <w:i/>
          <w:color w:val="000000"/>
          <w:szCs w:val="28"/>
        </w:rPr>
        <w:t>euro</w:t>
      </w:r>
      <w:r w:rsidRPr="00B07F83">
        <w:rPr>
          <w:rFonts w:eastAsia="Times New Roman" w:cs="Times New Roman"/>
          <w:color w:val="000000"/>
          <w:szCs w:val="28"/>
        </w:rPr>
        <w:t xml:space="preserve"> pensionāriem un cilvēkiem ar invaliditāti.</w:t>
      </w:r>
    </w:p>
    <w:p w:rsidR="00A471A1" w:rsidRPr="00B07F83" w:rsidRDefault="00A471A1" w:rsidP="00BF4753">
      <w:pPr>
        <w:ind w:firstLine="709"/>
        <w:rPr>
          <w:rFonts w:eastAsia="Times New Roman" w:cs="Times New Roman"/>
          <w:color w:val="000000"/>
          <w:sz w:val="24"/>
          <w:szCs w:val="28"/>
        </w:rPr>
      </w:pPr>
    </w:p>
    <w:p w:rsidR="00BF4753" w:rsidRPr="008C0CE2" w:rsidRDefault="00BF4753" w:rsidP="00A471A1">
      <w:pPr>
        <w:spacing w:after="120"/>
        <w:ind w:firstLine="2126"/>
        <w:jc w:val="right"/>
        <w:rPr>
          <w:rFonts w:cs="Times New Roman"/>
          <w:b/>
          <w:i/>
          <w:sz w:val="24"/>
          <w:szCs w:val="24"/>
        </w:rPr>
      </w:pPr>
      <w:r w:rsidRPr="008C0CE2">
        <w:rPr>
          <w:rFonts w:cs="Times New Roman"/>
          <w:b/>
          <w:i/>
          <w:sz w:val="24"/>
          <w:szCs w:val="24"/>
        </w:rPr>
        <w:t>3.1. tabula. Valdības apstiprinātā atbalsta apjoms Covid-19 seku mazināšanai, milj. euro</w:t>
      </w:r>
    </w:p>
    <w:tbl>
      <w:tblPr>
        <w:tblStyle w:val="TableGrid13"/>
        <w:tblW w:w="9051" w:type="dxa"/>
        <w:tblLayout w:type="fixed"/>
        <w:tblLook w:val="04A0" w:firstRow="1" w:lastRow="0" w:firstColumn="1" w:lastColumn="0" w:noHBand="0" w:noVBand="1"/>
      </w:tblPr>
      <w:tblGrid>
        <w:gridCol w:w="3251"/>
        <w:gridCol w:w="850"/>
        <w:gridCol w:w="992"/>
        <w:gridCol w:w="851"/>
        <w:gridCol w:w="1134"/>
        <w:gridCol w:w="1015"/>
        <w:gridCol w:w="958"/>
      </w:tblGrid>
      <w:tr w:rsidR="00BF4753" w:rsidRPr="00B07F83" w:rsidTr="002C3840">
        <w:trPr>
          <w:trHeight w:val="397"/>
        </w:trPr>
        <w:tc>
          <w:tcPr>
            <w:tcW w:w="3251" w:type="dxa"/>
            <w:vMerge w:val="restart"/>
            <w:shd w:val="clear" w:color="auto" w:fill="9CC2E5" w:themeFill="accent1" w:themeFillTint="99"/>
            <w:noWrap/>
            <w:hideMark/>
          </w:tcPr>
          <w:p w:rsidR="00BF4753" w:rsidRPr="00B07F83" w:rsidRDefault="00BF4753" w:rsidP="002D7CA8">
            <w:pPr>
              <w:spacing w:after="160" w:line="259" w:lineRule="auto"/>
              <w:ind w:firstLine="0"/>
              <w:jc w:val="center"/>
              <w:rPr>
                <w:rFonts w:eastAsia="Times New Roman"/>
                <w:b/>
                <w:bCs/>
                <w:color w:val="000000"/>
                <w:sz w:val="20"/>
                <w:lang w:eastAsia="en-US"/>
              </w:rPr>
            </w:pPr>
            <w:r w:rsidRPr="00B07F83">
              <w:rPr>
                <w:rFonts w:eastAsia="Times New Roman"/>
                <w:b/>
                <w:bCs/>
                <w:color w:val="000000"/>
                <w:sz w:val="20"/>
                <w:lang w:eastAsia="en-US"/>
              </w:rPr>
              <w:t>Pasākumi</w:t>
            </w:r>
          </w:p>
        </w:tc>
        <w:tc>
          <w:tcPr>
            <w:tcW w:w="1842" w:type="dxa"/>
            <w:gridSpan w:val="2"/>
            <w:shd w:val="clear" w:color="auto" w:fill="9CC2E5" w:themeFill="accent1" w:themeFillTint="99"/>
            <w:noWrap/>
            <w:hideMark/>
          </w:tcPr>
          <w:p w:rsidR="00BF4753" w:rsidRPr="00B07F83" w:rsidRDefault="00BF4753" w:rsidP="002D7CA8">
            <w:pPr>
              <w:spacing w:after="160" w:line="259" w:lineRule="auto"/>
              <w:ind w:firstLine="0"/>
              <w:jc w:val="center"/>
              <w:rPr>
                <w:rFonts w:eastAsia="Times New Roman"/>
                <w:b/>
                <w:bCs/>
                <w:color w:val="000000"/>
                <w:sz w:val="20"/>
                <w:lang w:eastAsia="en-US"/>
              </w:rPr>
            </w:pPr>
            <w:r w:rsidRPr="00B07F83">
              <w:rPr>
                <w:rFonts w:eastAsia="Times New Roman"/>
                <w:b/>
                <w:bCs/>
                <w:color w:val="000000"/>
                <w:sz w:val="20"/>
                <w:lang w:eastAsia="en-US"/>
              </w:rPr>
              <w:t>2020</w:t>
            </w:r>
          </w:p>
        </w:tc>
        <w:tc>
          <w:tcPr>
            <w:tcW w:w="3000" w:type="dxa"/>
            <w:gridSpan w:val="3"/>
            <w:shd w:val="clear" w:color="auto" w:fill="9CC2E5" w:themeFill="accent1" w:themeFillTint="99"/>
            <w:noWrap/>
            <w:hideMark/>
          </w:tcPr>
          <w:p w:rsidR="00BF4753" w:rsidRPr="00B07F83" w:rsidRDefault="00BF4753" w:rsidP="002D7CA8">
            <w:pPr>
              <w:spacing w:after="160" w:line="259" w:lineRule="auto"/>
              <w:ind w:firstLine="0"/>
              <w:jc w:val="center"/>
              <w:rPr>
                <w:rFonts w:eastAsia="Times New Roman"/>
                <w:b/>
                <w:bCs/>
                <w:color w:val="000000"/>
                <w:sz w:val="20"/>
                <w:lang w:eastAsia="en-US"/>
              </w:rPr>
            </w:pPr>
            <w:r w:rsidRPr="00B07F83">
              <w:rPr>
                <w:rFonts w:eastAsia="Times New Roman"/>
                <w:b/>
                <w:bCs/>
                <w:color w:val="000000"/>
                <w:sz w:val="20"/>
                <w:lang w:eastAsia="en-US"/>
              </w:rPr>
              <w:t>2021</w:t>
            </w:r>
          </w:p>
        </w:tc>
        <w:tc>
          <w:tcPr>
            <w:tcW w:w="958" w:type="dxa"/>
            <w:shd w:val="clear" w:color="auto" w:fill="9CC2E5" w:themeFill="accent1" w:themeFillTint="99"/>
            <w:noWrap/>
            <w:hideMark/>
          </w:tcPr>
          <w:p w:rsidR="00BF4753" w:rsidRPr="00B07F83" w:rsidRDefault="00BF4753" w:rsidP="002D7CA8">
            <w:pPr>
              <w:spacing w:after="160" w:line="259" w:lineRule="auto"/>
              <w:ind w:firstLine="0"/>
              <w:jc w:val="center"/>
              <w:rPr>
                <w:rFonts w:eastAsia="Times New Roman"/>
                <w:b/>
                <w:bCs/>
                <w:color w:val="000000"/>
                <w:sz w:val="20"/>
                <w:lang w:eastAsia="en-US"/>
              </w:rPr>
            </w:pPr>
            <w:r w:rsidRPr="00B07F83">
              <w:rPr>
                <w:rFonts w:eastAsia="Times New Roman"/>
                <w:b/>
                <w:bCs/>
                <w:color w:val="000000"/>
                <w:sz w:val="20"/>
                <w:lang w:eastAsia="en-US"/>
              </w:rPr>
              <w:t>2022</w:t>
            </w:r>
          </w:p>
        </w:tc>
      </w:tr>
      <w:tr w:rsidR="00BF4753" w:rsidRPr="00B07F83" w:rsidTr="002D7CA8">
        <w:trPr>
          <w:trHeight w:val="703"/>
        </w:trPr>
        <w:tc>
          <w:tcPr>
            <w:tcW w:w="3251" w:type="dxa"/>
            <w:vMerge/>
            <w:shd w:val="clear" w:color="auto" w:fill="9CC2E5" w:themeFill="accent1" w:themeFillTint="99"/>
            <w:hideMark/>
          </w:tcPr>
          <w:p w:rsidR="00BF4753" w:rsidRPr="00B07F83" w:rsidRDefault="00BF4753" w:rsidP="002D7CA8">
            <w:pPr>
              <w:spacing w:after="160" w:line="259" w:lineRule="auto"/>
              <w:ind w:firstLine="0"/>
              <w:jc w:val="left"/>
              <w:rPr>
                <w:rFonts w:eastAsia="Times New Roman"/>
                <w:b/>
                <w:bCs/>
                <w:color w:val="000000"/>
                <w:sz w:val="20"/>
                <w:lang w:eastAsia="en-US"/>
              </w:rPr>
            </w:pPr>
          </w:p>
        </w:tc>
        <w:tc>
          <w:tcPr>
            <w:tcW w:w="850" w:type="dxa"/>
            <w:shd w:val="clear" w:color="auto" w:fill="9CC2E5" w:themeFill="accent1" w:themeFillTint="99"/>
            <w:noWrap/>
            <w:hideMark/>
          </w:tcPr>
          <w:p w:rsidR="00BF4753" w:rsidRPr="00B07F83" w:rsidRDefault="00BF4753" w:rsidP="002D7CA8">
            <w:pPr>
              <w:spacing w:after="160" w:line="259" w:lineRule="auto"/>
              <w:ind w:firstLine="0"/>
              <w:jc w:val="center"/>
              <w:rPr>
                <w:rFonts w:eastAsia="Times New Roman"/>
                <w:b/>
                <w:bCs/>
                <w:color w:val="000000"/>
                <w:sz w:val="20"/>
                <w:lang w:eastAsia="en-US"/>
              </w:rPr>
            </w:pPr>
            <w:r w:rsidRPr="00B07F83">
              <w:rPr>
                <w:rFonts w:eastAsia="Times New Roman"/>
                <w:b/>
                <w:bCs/>
                <w:color w:val="000000"/>
                <w:sz w:val="20"/>
                <w:lang w:eastAsia="en-US"/>
              </w:rPr>
              <w:t>Izpilde</w:t>
            </w:r>
          </w:p>
        </w:tc>
        <w:tc>
          <w:tcPr>
            <w:tcW w:w="992" w:type="dxa"/>
            <w:shd w:val="clear" w:color="auto" w:fill="9CC2E5" w:themeFill="accent1" w:themeFillTint="99"/>
            <w:hideMark/>
          </w:tcPr>
          <w:p w:rsidR="00BF4753" w:rsidRPr="00B07F83" w:rsidRDefault="00BF4753" w:rsidP="002D7CA8">
            <w:pPr>
              <w:spacing w:after="160" w:line="259" w:lineRule="auto"/>
              <w:ind w:firstLine="0"/>
              <w:jc w:val="center"/>
              <w:rPr>
                <w:rFonts w:eastAsia="Times New Roman"/>
                <w:b/>
                <w:bCs/>
                <w:color w:val="000000"/>
                <w:sz w:val="20"/>
                <w:lang w:eastAsia="en-US"/>
              </w:rPr>
            </w:pPr>
            <w:r w:rsidRPr="00B07F83">
              <w:rPr>
                <w:rFonts w:eastAsia="Times New Roman"/>
                <w:b/>
                <w:bCs/>
                <w:color w:val="000000"/>
                <w:sz w:val="20"/>
                <w:lang w:eastAsia="en-US"/>
              </w:rPr>
              <w:t>Ietekme uz bilanci</w:t>
            </w:r>
          </w:p>
        </w:tc>
        <w:tc>
          <w:tcPr>
            <w:tcW w:w="851" w:type="dxa"/>
            <w:shd w:val="clear" w:color="auto" w:fill="9CC2E5" w:themeFill="accent1" w:themeFillTint="99"/>
            <w:hideMark/>
          </w:tcPr>
          <w:p w:rsidR="00BF4753" w:rsidRPr="00B07F83" w:rsidRDefault="00BF4753" w:rsidP="002D7CA8">
            <w:pPr>
              <w:spacing w:after="160" w:line="259" w:lineRule="auto"/>
              <w:ind w:firstLine="0"/>
              <w:jc w:val="center"/>
              <w:rPr>
                <w:rFonts w:eastAsia="Times New Roman"/>
                <w:b/>
                <w:bCs/>
                <w:color w:val="000000"/>
                <w:sz w:val="20"/>
                <w:lang w:eastAsia="en-US"/>
              </w:rPr>
            </w:pPr>
            <w:r w:rsidRPr="00B07F83">
              <w:rPr>
                <w:rFonts w:eastAsia="Times New Roman"/>
                <w:b/>
                <w:bCs/>
                <w:color w:val="000000"/>
                <w:sz w:val="20"/>
                <w:lang w:eastAsia="en-US"/>
              </w:rPr>
              <w:t>Plāns uz 23.03</w:t>
            </w:r>
          </w:p>
        </w:tc>
        <w:tc>
          <w:tcPr>
            <w:tcW w:w="1134" w:type="dxa"/>
            <w:shd w:val="clear" w:color="auto" w:fill="9CC2E5" w:themeFill="accent1" w:themeFillTint="99"/>
            <w:hideMark/>
          </w:tcPr>
          <w:p w:rsidR="00BF4753" w:rsidRPr="00B07F83" w:rsidRDefault="00BF4753" w:rsidP="002D7CA8">
            <w:pPr>
              <w:spacing w:after="160" w:line="259" w:lineRule="auto"/>
              <w:ind w:firstLine="0"/>
              <w:jc w:val="center"/>
              <w:rPr>
                <w:rFonts w:eastAsia="Times New Roman"/>
                <w:b/>
                <w:bCs/>
                <w:color w:val="000000"/>
                <w:sz w:val="20"/>
                <w:lang w:eastAsia="en-US"/>
              </w:rPr>
            </w:pPr>
            <w:r w:rsidRPr="00B07F83">
              <w:rPr>
                <w:rFonts w:eastAsia="Times New Roman"/>
                <w:b/>
                <w:bCs/>
                <w:color w:val="000000"/>
                <w:sz w:val="20"/>
                <w:lang w:eastAsia="en-US"/>
              </w:rPr>
              <w:t>Operatīvā izpilde līdz 21.03</w:t>
            </w:r>
          </w:p>
        </w:tc>
        <w:tc>
          <w:tcPr>
            <w:tcW w:w="1015" w:type="dxa"/>
            <w:shd w:val="clear" w:color="auto" w:fill="9CC2E5" w:themeFill="accent1" w:themeFillTint="99"/>
            <w:hideMark/>
          </w:tcPr>
          <w:p w:rsidR="00BF4753" w:rsidRPr="00B07F83" w:rsidRDefault="00BF4753" w:rsidP="002D7CA8">
            <w:pPr>
              <w:spacing w:after="160" w:line="259" w:lineRule="auto"/>
              <w:ind w:firstLine="0"/>
              <w:jc w:val="center"/>
              <w:rPr>
                <w:rFonts w:eastAsia="Times New Roman"/>
                <w:b/>
                <w:bCs/>
                <w:color w:val="000000"/>
                <w:sz w:val="20"/>
                <w:lang w:eastAsia="en-US"/>
              </w:rPr>
            </w:pPr>
            <w:r w:rsidRPr="00B07F83">
              <w:rPr>
                <w:rFonts w:eastAsia="Times New Roman"/>
                <w:b/>
                <w:bCs/>
                <w:color w:val="000000"/>
                <w:sz w:val="20"/>
                <w:lang w:eastAsia="en-US"/>
              </w:rPr>
              <w:t>Ietekme uz bilanci</w:t>
            </w:r>
          </w:p>
        </w:tc>
        <w:tc>
          <w:tcPr>
            <w:tcW w:w="958" w:type="dxa"/>
            <w:shd w:val="clear" w:color="auto" w:fill="9CC2E5" w:themeFill="accent1" w:themeFillTint="99"/>
            <w:hideMark/>
          </w:tcPr>
          <w:p w:rsidR="00BF4753" w:rsidRPr="00B07F83" w:rsidRDefault="00BF4753" w:rsidP="002D7CA8">
            <w:pPr>
              <w:spacing w:after="160" w:line="259" w:lineRule="auto"/>
              <w:ind w:firstLine="0"/>
              <w:jc w:val="center"/>
              <w:rPr>
                <w:rFonts w:eastAsia="Times New Roman"/>
                <w:b/>
                <w:bCs/>
                <w:color w:val="000000"/>
                <w:sz w:val="20"/>
                <w:lang w:eastAsia="en-US"/>
              </w:rPr>
            </w:pPr>
            <w:r w:rsidRPr="00B07F83">
              <w:rPr>
                <w:rFonts w:eastAsia="Times New Roman"/>
                <w:b/>
                <w:bCs/>
                <w:color w:val="000000"/>
                <w:sz w:val="20"/>
                <w:lang w:eastAsia="en-US"/>
              </w:rPr>
              <w:t>Ietekme uz bilanci</w:t>
            </w:r>
          </w:p>
        </w:tc>
      </w:tr>
      <w:tr w:rsidR="00BF4753" w:rsidRPr="00B07F83" w:rsidTr="002C3840">
        <w:trPr>
          <w:trHeight w:hRule="exact" w:val="284"/>
        </w:trPr>
        <w:tc>
          <w:tcPr>
            <w:tcW w:w="3251" w:type="dxa"/>
            <w:shd w:val="clear" w:color="auto" w:fill="9CC2E5" w:themeFill="accent1" w:themeFillTint="99"/>
            <w:noWrap/>
            <w:hideMark/>
          </w:tcPr>
          <w:p w:rsidR="00BF4753" w:rsidRPr="00B07F83" w:rsidRDefault="00BF4753" w:rsidP="002D7CA8">
            <w:pPr>
              <w:spacing w:after="160" w:line="259" w:lineRule="auto"/>
              <w:ind w:firstLine="0"/>
              <w:jc w:val="left"/>
              <w:rPr>
                <w:rFonts w:eastAsia="Times New Roman"/>
                <w:b/>
                <w:bCs/>
                <w:color w:val="000000"/>
                <w:sz w:val="20"/>
                <w:lang w:eastAsia="en-US"/>
              </w:rPr>
            </w:pPr>
            <w:r w:rsidRPr="00B07F83">
              <w:rPr>
                <w:rFonts w:eastAsia="Times New Roman"/>
                <w:b/>
                <w:bCs/>
                <w:color w:val="000000"/>
                <w:sz w:val="20"/>
                <w:lang w:eastAsia="en-US"/>
              </w:rPr>
              <w:t>ATBALSTA APJOMS</w:t>
            </w:r>
          </w:p>
        </w:tc>
        <w:tc>
          <w:tcPr>
            <w:tcW w:w="850" w:type="dxa"/>
            <w:shd w:val="clear" w:color="auto" w:fill="9CC2E5" w:themeFill="accent1" w:themeFillTint="99"/>
            <w:noWrap/>
            <w:hideMark/>
          </w:tcPr>
          <w:p w:rsidR="00BF4753" w:rsidRPr="00B07F83" w:rsidRDefault="00BF4753" w:rsidP="002D7CA8">
            <w:pPr>
              <w:spacing w:after="160" w:line="259" w:lineRule="auto"/>
              <w:ind w:firstLine="0"/>
              <w:jc w:val="center"/>
              <w:rPr>
                <w:rFonts w:eastAsia="Times New Roman"/>
                <w:b/>
                <w:color w:val="000000"/>
                <w:sz w:val="20"/>
                <w:lang w:eastAsia="en-US"/>
              </w:rPr>
            </w:pPr>
            <w:r w:rsidRPr="00B07F83">
              <w:rPr>
                <w:rFonts w:eastAsia="Times New Roman"/>
                <w:b/>
                <w:color w:val="000000"/>
                <w:sz w:val="20"/>
                <w:lang w:eastAsia="en-US"/>
              </w:rPr>
              <w:t>1 329</w:t>
            </w:r>
          </w:p>
        </w:tc>
        <w:tc>
          <w:tcPr>
            <w:tcW w:w="992" w:type="dxa"/>
            <w:shd w:val="clear" w:color="auto" w:fill="9CC2E5" w:themeFill="accent1" w:themeFillTint="99"/>
            <w:noWrap/>
            <w:hideMark/>
          </w:tcPr>
          <w:p w:rsidR="00BF4753" w:rsidRPr="00B07F83" w:rsidRDefault="00BF4753" w:rsidP="002D7CA8">
            <w:pPr>
              <w:spacing w:after="160" w:line="259" w:lineRule="auto"/>
              <w:ind w:firstLine="0"/>
              <w:jc w:val="center"/>
              <w:rPr>
                <w:rFonts w:eastAsia="Times New Roman"/>
                <w:b/>
                <w:color w:val="000000"/>
                <w:sz w:val="20"/>
                <w:lang w:eastAsia="en-US"/>
              </w:rPr>
            </w:pPr>
            <w:r w:rsidRPr="00B07F83">
              <w:rPr>
                <w:rFonts w:eastAsia="Times New Roman"/>
                <w:b/>
                <w:color w:val="000000"/>
                <w:sz w:val="20"/>
                <w:lang w:eastAsia="en-US"/>
              </w:rPr>
              <w:t>-1 098</w:t>
            </w:r>
          </w:p>
        </w:tc>
        <w:tc>
          <w:tcPr>
            <w:tcW w:w="851" w:type="dxa"/>
            <w:shd w:val="clear" w:color="auto" w:fill="9CC2E5" w:themeFill="accent1" w:themeFillTint="99"/>
            <w:noWrap/>
            <w:hideMark/>
          </w:tcPr>
          <w:p w:rsidR="00BF4753" w:rsidRPr="00B07F83" w:rsidRDefault="00BF4753" w:rsidP="002D7CA8">
            <w:pPr>
              <w:spacing w:after="160" w:line="259" w:lineRule="auto"/>
              <w:ind w:firstLine="0"/>
              <w:jc w:val="center"/>
              <w:rPr>
                <w:rFonts w:eastAsia="Times New Roman"/>
                <w:b/>
                <w:color w:val="000000"/>
                <w:sz w:val="20"/>
                <w:lang w:eastAsia="en-US"/>
              </w:rPr>
            </w:pPr>
            <w:r w:rsidRPr="00B07F83">
              <w:rPr>
                <w:rFonts w:eastAsia="Times New Roman"/>
                <w:b/>
                <w:color w:val="000000"/>
                <w:sz w:val="20"/>
                <w:lang w:eastAsia="en-US"/>
              </w:rPr>
              <w:t>2 942</w:t>
            </w:r>
          </w:p>
        </w:tc>
        <w:tc>
          <w:tcPr>
            <w:tcW w:w="1134" w:type="dxa"/>
            <w:shd w:val="clear" w:color="auto" w:fill="9CC2E5" w:themeFill="accent1" w:themeFillTint="99"/>
            <w:noWrap/>
            <w:hideMark/>
          </w:tcPr>
          <w:p w:rsidR="00BF4753" w:rsidRPr="00B07F83" w:rsidRDefault="00BF4753" w:rsidP="002D7CA8">
            <w:pPr>
              <w:spacing w:after="160" w:line="259" w:lineRule="auto"/>
              <w:ind w:firstLine="0"/>
              <w:jc w:val="center"/>
              <w:rPr>
                <w:rFonts w:eastAsia="Times New Roman"/>
                <w:b/>
                <w:sz w:val="20"/>
                <w:lang w:eastAsia="en-US"/>
              </w:rPr>
            </w:pPr>
            <w:r w:rsidRPr="00B07F83">
              <w:rPr>
                <w:rFonts w:eastAsia="Times New Roman"/>
                <w:b/>
                <w:sz w:val="20"/>
                <w:lang w:eastAsia="en-US"/>
              </w:rPr>
              <w:t>430,8</w:t>
            </w:r>
          </w:p>
        </w:tc>
        <w:tc>
          <w:tcPr>
            <w:tcW w:w="1015" w:type="dxa"/>
            <w:shd w:val="clear" w:color="auto" w:fill="9CC2E5" w:themeFill="accent1" w:themeFillTint="99"/>
            <w:noWrap/>
            <w:hideMark/>
          </w:tcPr>
          <w:p w:rsidR="00BF4753" w:rsidRPr="00B07F83" w:rsidRDefault="00BF4753" w:rsidP="002D7CA8">
            <w:pPr>
              <w:spacing w:after="160" w:line="259" w:lineRule="auto"/>
              <w:ind w:firstLine="0"/>
              <w:jc w:val="center"/>
              <w:rPr>
                <w:rFonts w:eastAsia="Times New Roman"/>
                <w:b/>
                <w:color w:val="000000"/>
                <w:sz w:val="20"/>
                <w:lang w:eastAsia="en-US"/>
              </w:rPr>
            </w:pPr>
            <w:r w:rsidRPr="00B07F83">
              <w:rPr>
                <w:rFonts w:eastAsia="Times New Roman"/>
                <w:b/>
                <w:color w:val="000000"/>
                <w:sz w:val="20"/>
                <w:lang w:eastAsia="en-US"/>
              </w:rPr>
              <w:t>-1 893</w:t>
            </w:r>
          </w:p>
        </w:tc>
        <w:tc>
          <w:tcPr>
            <w:tcW w:w="958" w:type="dxa"/>
            <w:shd w:val="clear" w:color="auto" w:fill="9CC2E5" w:themeFill="accent1" w:themeFillTint="99"/>
            <w:noWrap/>
            <w:hideMark/>
          </w:tcPr>
          <w:p w:rsidR="00BF4753" w:rsidRPr="00B07F83" w:rsidRDefault="00BF4753" w:rsidP="002D7CA8">
            <w:pPr>
              <w:spacing w:after="160" w:line="259" w:lineRule="auto"/>
              <w:ind w:firstLine="0"/>
              <w:jc w:val="center"/>
              <w:rPr>
                <w:rFonts w:eastAsia="Times New Roman"/>
                <w:b/>
                <w:color w:val="000000"/>
                <w:sz w:val="20"/>
                <w:lang w:eastAsia="en-US"/>
              </w:rPr>
            </w:pPr>
            <w:r w:rsidRPr="00B07F83">
              <w:rPr>
                <w:rFonts w:eastAsia="Times New Roman"/>
                <w:b/>
                <w:color w:val="000000"/>
                <w:sz w:val="20"/>
                <w:lang w:eastAsia="en-US"/>
              </w:rPr>
              <w:t>-69</w:t>
            </w:r>
          </w:p>
        </w:tc>
      </w:tr>
      <w:tr w:rsidR="00BF4753" w:rsidRPr="00B07F83" w:rsidTr="002C3840">
        <w:trPr>
          <w:trHeight w:hRule="exact" w:val="284"/>
        </w:trPr>
        <w:tc>
          <w:tcPr>
            <w:tcW w:w="3251" w:type="dxa"/>
            <w:shd w:val="clear" w:color="auto" w:fill="9CC2E5" w:themeFill="accent1" w:themeFillTint="99"/>
            <w:noWrap/>
            <w:hideMark/>
          </w:tcPr>
          <w:p w:rsidR="00BF4753" w:rsidRPr="00B07F83" w:rsidRDefault="00BF4753" w:rsidP="002D7CA8">
            <w:pPr>
              <w:spacing w:after="160" w:line="259" w:lineRule="auto"/>
              <w:ind w:firstLine="0"/>
              <w:jc w:val="left"/>
              <w:rPr>
                <w:rFonts w:eastAsia="Times New Roman"/>
                <w:b/>
                <w:bCs/>
                <w:color w:val="000000"/>
                <w:sz w:val="20"/>
                <w:lang w:eastAsia="en-US"/>
              </w:rPr>
            </w:pPr>
            <w:r w:rsidRPr="00B07F83">
              <w:rPr>
                <w:rFonts w:eastAsia="Times New Roman"/>
                <w:b/>
                <w:bCs/>
                <w:color w:val="000000"/>
                <w:sz w:val="20"/>
                <w:lang w:eastAsia="en-US"/>
              </w:rPr>
              <w:t>% no attiecīgā gada IKP</w:t>
            </w:r>
          </w:p>
        </w:tc>
        <w:tc>
          <w:tcPr>
            <w:tcW w:w="850" w:type="dxa"/>
            <w:shd w:val="clear" w:color="auto" w:fill="9CC2E5" w:themeFill="accent1" w:themeFillTint="99"/>
            <w:hideMark/>
          </w:tcPr>
          <w:p w:rsidR="00BF4753" w:rsidRPr="00B07F83" w:rsidRDefault="00BF4753" w:rsidP="002D7CA8">
            <w:pPr>
              <w:spacing w:after="160" w:line="259" w:lineRule="auto"/>
              <w:ind w:firstLine="0"/>
              <w:jc w:val="center"/>
              <w:rPr>
                <w:rFonts w:eastAsia="Times New Roman"/>
                <w:b/>
                <w:color w:val="000000"/>
                <w:sz w:val="20"/>
                <w:lang w:eastAsia="en-US"/>
              </w:rPr>
            </w:pPr>
            <w:r w:rsidRPr="00B07F83">
              <w:rPr>
                <w:rFonts w:eastAsia="Times New Roman"/>
                <w:b/>
                <w:color w:val="000000"/>
                <w:sz w:val="20"/>
                <w:lang w:eastAsia="en-US"/>
              </w:rPr>
              <w:t>4,5</w:t>
            </w:r>
          </w:p>
        </w:tc>
        <w:tc>
          <w:tcPr>
            <w:tcW w:w="992" w:type="dxa"/>
            <w:shd w:val="clear" w:color="auto" w:fill="9CC2E5" w:themeFill="accent1" w:themeFillTint="99"/>
            <w:hideMark/>
          </w:tcPr>
          <w:p w:rsidR="00BF4753" w:rsidRPr="00B07F83" w:rsidRDefault="00BF4753" w:rsidP="002D7CA8">
            <w:pPr>
              <w:spacing w:after="160" w:line="259" w:lineRule="auto"/>
              <w:ind w:firstLine="0"/>
              <w:jc w:val="center"/>
              <w:rPr>
                <w:rFonts w:eastAsia="Times New Roman"/>
                <w:b/>
                <w:color w:val="000000"/>
                <w:sz w:val="20"/>
                <w:lang w:eastAsia="en-US"/>
              </w:rPr>
            </w:pPr>
            <w:r w:rsidRPr="00B07F83">
              <w:rPr>
                <w:rFonts w:eastAsia="Times New Roman"/>
                <w:b/>
                <w:color w:val="000000"/>
                <w:sz w:val="20"/>
                <w:lang w:eastAsia="en-US"/>
              </w:rPr>
              <w:t>-3,7</w:t>
            </w:r>
          </w:p>
        </w:tc>
        <w:tc>
          <w:tcPr>
            <w:tcW w:w="851" w:type="dxa"/>
            <w:shd w:val="clear" w:color="auto" w:fill="9CC2E5" w:themeFill="accent1" w:themeFillTint="99"/>
            <w:hideMark/>
          </w:tcPr>
          <w:p w:rsidR="00BF4753" w:rsidRPr="00B07F83" w:rsidRDefault="00BF4753" w:rsidP="002D7CA8">
            <w:pPr>
              <w:spacing w:after="160" w:line="259" w:lineRule="auto"/>
              <w:ind w:firstLine="0"/>
              <w:jc w:val="center"/>
              <w:rPr>
                <w:rFonts w:eastAsia="Times New Roman"/>
                <w:b/>
                <w:color w:val="000000"/>
                <w:sz w:val="20"/>
                <w:lang w:eastAsia="en-US"/>
              </w:rPr>
            </w:pPr>
            <w:r w:rsidRPr="00B07F83">
              <w:rPr>
                <w:rFonts w:eastAsia="Times New Roman"/>
                <w:b/>
                <w:color w:val="000000"/>
                <w:sz w:val="20"/>
                <w:lang w:eastAsia="en-US"/>
              </w:rPr>
              <w:t>9,6</w:t>
            </w:r>
          </w:p>
        </w:tc>
        <w:tc>
          <w:tcPr>
            <w:tcW w:w="1134" w:type="dxa"/>
            <w:shd w:val="clear" w:color="auto" w:fill="9CC2E5" w:themeFill="accent1" w:themeFillTint="99"/>
            <w:hideMark/>
          </w:tcPr>
          <w:p w:rsidR="00BF4753" w:rsidRPr="00B07F83" w:rsidRDefault="00BF4753" w:rsidP="002D7CA8">
            <w:pPr>
              <w:spacing w:after="160" w:line="259" w:lineRule="auto"/>
              <w:ind w:firstLine="0"/>
              <w:jc w:val="center"/>
              <w:rPr>
                <w:rFonts w:eastAsia="Times New Roman"/>
                <w:b/>
                <w:color w:val="000000"/>
                <w:sz w:val="20"/>
                <w:lang w:eastAsia="en-US"/>
              </w:rPr>
            </w:pPr>
            <w:r w:rsidRPr="00B07F83">
              <w:rPr>
                <w:rFonts w:eastAsia="Times New Roman"/>
                <w:b/>
                <w:color w:val="000000"/>
                <w:sz w:val="20"/>
                <w:lang w:eastAsia="en-US"/>
              </w:rPr>
              <w:t>1,4</w:t>
            </w:r>
          </w:p>
        </w:tc>
        <w:tc>
          <w:tcPr>
            <w:tcW w:w="1015" w:type="dxa"/>
            <w:shd w:val="clear" w:color="auto" w:fill="9CC2E5" w:themeFill="accent1" w:themeFillTint="99"/>
            <w:hideMark/>
          </w:tcPr>
          <w:p w:rsidR="00BF4753" w:rsidRPr="00B07F83" w:rsidRDefault="00BF4753" w:rsidP="002D7CA8">
            <w:pPr>
              <w:spacing w:after="160" w:line="259" w:lineRule="auto"/>
              <w:ind w:firstLine="0"/>
              <w:jc w:val="center"/>
              <w:rPr>
                <w:rFonts w:eastAsia="Times New Roman"/>
                <w:b/>
                <w:color w:val="000000"/>
                <w:sz w:val="20"/>
                <w:lang w:eastAsia="en-US"/>
              </w:rPr>
            </w:pPr>
            <w:r w:rsidRPr="00B07F83">
              <w:rPr>
                <w:rFonts w:eastAsia="Times New Roman"/>
                <w:b/>
                <w:color w:val="000000"/>
                <w:sz w:val="20"/>
                <w:lang w:eastAsia="en-US"/>
              </w:rPr>
              <w:t>-6,2</w:t>
            </w:r>
          </w:p>
        </w:tc>
        <w:tc>
          <w:tcPr>
            <w:tcW w:w="958" w:type="dxa"/>
            <w:shd w:val="clear" w:color="auto" w:fill="9CC2E5" w:themeFill="accent1" w:themeFillTint="99"/>
            <w:hideMark/>
          </w:tcPr>
          <w:p w:rsidR="00BF4753" w:rsidRPr="00B07F83" w:rsidRDefault="00BF4753" w:rsidP="002D7CA8">
            <w:pPr>
              <w:spacing w:after="160" w:line="259" w:lineRule="auto"/>
              <w:ind w:firstLine="0"/>
              <w:jc w:val="center"/>
              <w:rPr>
                <w:rFonts w:eastAsia="Times New Roman"/>
                <w:b/>
                <w:color w:val="000000"/>
                <w:sz w:val="20"/>
                <w:lang w:eastAsia="en-US"/>
              </w:rPr>
            </w:pPr>
            <w:r w:rsidRPr="00B07F83">
              <w:rPr>
                <w:rFonts w:eastAsia="Times New Roman"/>
                <w:b/>
                <w:color w:val="000000"/>
                <w:sz w:val="20"/>
                <w:lang w:eastAsia="en-US"/>
              </w:rPr>
              <w:t>-0,2</w:t>
            </w:r>
          </w:p>
        </w:tc>
      </w:tr>
      <w:tr w:rsidR="00BF4753" w:rsidRPr="00B07F83" w:rsidTr="002C3840">
        <w:trPr>
          <w:trHeight w:hRule="exact" w:val="284"/>
        </w:trPr>
        <w:tc>
          <w:tcPr>
            <w:tcW w:w="3251" w:type="dxa"/>
            <w:shd w:val="clear" w:color="auto" w:fill="DEEAF6" w:themeFill="accent1" w:themeFillTint="33"/>
            <w:noWrap/>
            <w:hideMark/>
          </w:tcPr>
          <w:p w:rsidR="00BF4753" w:rsidRPr="00B07F83" w:rsidRDefault="00BF4753" w:rsidP="002C3840">
            <w:pPr>
              <w:spacing w:after="160" w:line="259" w:lineRule="auto"/>
              <w:ind w:firstLine="0"/>
              <w:jc w:val="center"/>
              <w:rPr>
                <w:rFonts w:eastAsia="Times New Roman"/>
                <w:b/>
                <w:bCs/>
                <w:color w:val="000000"/>
                <w:sz w:val="20"/>
                <w:lang w:eastAsia="en-US"/>
              </w:rPr>
            </w:pPr>
            <w:r w:rsidRPr="00B07F83">
              <w:rPr>
                <w:rFonts w:eastAsia="Times New Roman"/>
                <w:b/>
                <w:bCs/>
                <w:color w:val="000000"/>
                <w:sz w:val="20"/>
                <w:lang w:eastAsia="en-US"/>
              </w:rPr>
              <w:t>I Atbalsts nodokļu jomā,</w:t>
            </w:r>
            <w:r w:rsidRPr="00B07F83">
              <w:rPr>
                <w:rFonts w:eastAsia="Times New Roman"/>
                <w:b/>
                <w:bCs/>
                <w:color w:val="000000"/>
                <w:sz w:val="20"/>
                <w:lang w:eastAsia="en-US"/>
              </w:rPr>
              <w:br/>
            </w:r>
            <w:r w:rsidRPr="00B07F83">
              <w:rPr>
                <w:rFonts w:eastAsia="Times New Roman"/>
                <w:color w:val="000000"/>
                <w:sz w:val="20"/>
                <w:lang w:eastAsia="en-US"/>
              </w:rPr>
              <w:t>tai skaitā</w:t>
            </w:r>
          </w:p>
        </w:tc>
        <w:tc>
          <w:tcPr>
            <w:tcW w:w="850"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256</w:t>
            </w:r>
          </w:p>
        </w:tc>
        <w:tc>
          <w:tcPr>
            <w:tcW w:w="992"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-141,8</w:t>
            </w:r>
          </w:p>
        </w:tc>
        <w:tc>
          <w:tcPr>
            <w:tcW w:w="851"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110</w:t>
            </w:r>
          </w:p>
        </w:tc>
        <w:tc>
          <w:tcPr>
            <w:tcW w:w="1134"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34,2</w:t>
            </w:r>
          </w:p>
        </w:tc>
        <w:tc>
          <w:tcPr>
            <w:tcW w:w="1015"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-24,0</w:t>
            </w:r>
          </w:p>
        </w:tc>
        <w:tc>
          <w:tcPr>
            <w:tcW w:w="958"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36,5</w:t>
            </w:r>
          </w:p>
        </w:tc>
      </w:tr>
      <w:tr w:rsidR="00BF4753" w:rsidRPr="00B07F83" w:rsidTr="002C3840">
        <w:trPr>
          <w:trHeight w:hRule="exact" w:val="284"/>
        </w:trPr>
        <w:tc>
          <w:tcPr>
            <w:tcW w:w="3251" w:type="dxa"/>
            <w:hideMark/>
          </w:tcPr>
          <w:p w:rsidR="00BF4753" w:rsidRPr="00B07F83" w:rsidRDefault="00BF4753" w:rsidP="002D7CA8">
            <w:pPr>
              <w:spacing w:after="160" w:line="259" w:lineRule="auto"/>
              <w:ind w:left="164" w:firstLine="0"/>
              <w:jc w:val="left"/>
              <w:rPr>
                <w:rFonts w:eastAsia="Times New Roman"/>
                <w:color w:val="000000"/>
                <w:sz w:val="20"/>
                <w:lang w:eastAsia="en-US"/>
              </w:rPr>
            </w:pPr>
            <w:r w:rsidRPr="00B07F83">
              <w:rPr>
                <w:rFonts w:eastAsia="Times New Roman"/>
                <w:color w:val="000000"/>
                <w:sz w:val="20"/>
                <w:lang w:eastAsia="en-US"/>
              </w:rPr>
              <w:t>Nodokļu samaksas termiņa pagarinājumi</w:t>
            </w:r>
          </w:p>
        </w:tc>
        <w:tc>
          <w:tcPr>
            <w:tcW w:w="850"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161</w:t>
            </w:r>
          </w:p>
        </w:tc>
        <w:tc>
          <w:tcPr>
            <w:tcW w:w="992"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-46,8</w:t>
            </w:r>
          </w:p>
        </w:tc>
        <w:tc>
          <w:tcPr>
            <w:tcW w:w="851"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75</w:t>
            </w:r>
          </w:p>
        </w:tc>
        <w:tc>
          <w:tcPr>
            <w:tcW w:w="1134" w:type="dxa"/>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34,2</w:t>
            </w:r>
          </w:p>
        </w:tc>
        <w:tc>
          <w:tcPr>
            <w:tcW w:w="1015"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-24,0</w:t>
            </w:r>
          </w:p>
        </w:tc>
        <w:tc>
          <w:tcPr>
            <w:tcW w:w="958"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1,5</w:t>
            </w:r>
          </w:p>
        </w:tc>
      </w:tr>
      <w:tr w:rsidR="00BF4753" w:rsidRPr="00B07F83" w:rsidTr="002C3840">
        <w:trPr>
          <w:trHeight w:hRule="exact" w:val="284"/>
        </w:trPr>
        <w:tc>
          <w:tcPr>
            <w:tcW w:w="3251" w:type="dxa"/>
            <w:shd w:val="clear" w:color="auto" w:fill="DEEAF6" w:themeFill="accent1" w:themeFillTint="33"/>
            <w:noWrap/>
            <w:hideMark/>
          </w:tcPr>
          <w:p w:rsidR="00BF4753" w:rsidRPr="00B07F83" w:rsidRDefault="00BF4753" w:rsidP="002D7CA8">
            <w:pPr>
              <w:spacing w:after="160" w:line="259" w:lineRule="auto"/>
              <w:ind w:firstLine="0"/>
              <w:jc w:val="left"/>
              <w:rPr>
                <w:rFonts w:eastAsia="Times New Roman"/>
                <w:b/>
                <w:bCs/>
                <w:color w:val="000000"/>
                <w:sz w:val="20"/>
                <w:lang w:eastAsia="en-US"/>
              </w:rPr>
            </w:pPr>
            <w:r w:rsidRPr="00B07F83">
              <w:rPr>
                <w:rFonts w:eastAsia="Times New Roman"/>
                <w:b/>
                <w:bCs/>
                <w:color w:val="000000"/>
                <w:sz w:val="20"/>
                <w:lang w:eastAsia="en-US"/>
              </w:rPr>
              <w:t xml:space="preserve">II Atbalsts pabalstu jomā, </w:t>
            </w:r>
          </w:p>
          <w:p w:rsidR="00BF4753" w:rsidRPr="00B07F83" w:rsidRDefault="00BF4753" w:rsidP="002D7CA8">
            <w:pPr>
              <w:spacing w:after="160" w:line="259" w:lineRule="auto"/>
              <w:ind w:firstLine="0"/>
              <w:jc w:val="left"/>
              <w:rPr>
                <w:rFonts w:eastAsia="Times New Roman"/>
                <w:color w:val="000000"/>
                <w:sz w:val="20"/>
                <w:lang w:eastAsia="en-US"/>
              </w:rPr>
            </w:pPr>
            <w:r w:rsidRPr="00B07F83">
              <w:rPr>
                <w:rFonts w:eastAsia="Times New Roman"/>
                <w:color w:val="000000"/>
                <w:sz w:val="20"/>
                <w:lang w:eastAsia="en-US"/>
              </w:rPr>
              <w:t>tai skaitā</w:t>
            </w:r>
          </w:p>
        </w:tc>
        <w:tc>
          <w:tcPr>
            <w:tcW w:w="850"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130</w:t>
            </w:r>
          </w:p>
        </w:tc>
        <w:tc>
          <w:tcPr>
            <w:tcW w:w="992"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-130</w:t>
            </w:r>
          </w:p>
        </w:tc>
        <w:tc>
          <w:tcPr>
            <w:tcW w:w="851"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550</w:t>
            </w:r>
          </w:p>
        </w:tc>
        <w:tc>
          <w:tcPr>
            <w:tcW w:w="1134"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224,1</w:t>
            </w:r>
          </w:p>
        </w:tc>
        <w:tc>
          <w:tcPr>
            <w:tcW w:w="1015"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-456</w:t>
            </w:r>
          </w:p>
        </w:tc>
        <w:tc>
          <w:tcPr>
            <w:tcW w:w="958"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0</w:t>
            </w:r>
          </w:p>
        </w:tc>
      </w:tr>
      <w:tr w:rsidR="00BF4753" w:rsidRPr="00B07F83" w:rsidTr="002C3840">
        <w:trPr>
          <w:trHeight w:hRule="exact" w:val="284"/>
        </w:trPr>
        <w:tc>
          <w:tcPr>
            <w:tcW w:w="3251" w:type="dxa"/>
            <w:noWrap/>
            <w:hideMark/>
          </w:tcPr>
          <w:p w:rsidR="00BF4753" w:rsidRPr="00B07F83" w:rsidRDefault="00BF4753" w:rsidP="002D7CA8">
            <w:pPr>
              <w:spacing w:after="160" w:line="259" w:lineRule="auto"/>
              <w:ind w:left="164" w:firstLine="0"/>
              <w:jc w:val="left"/>
              <w:rPr>
                <w:rFonts w:eastAsia="Times New Roman"/>
                <w:color w:val="000000"/>
                <w:sz w:val="20"/>
                <w:lang w:eastAsia="en-US"/>
              </w:rPr>
            </w:pPr>
            <w:r w:rsidRPr="00B07F83">
              <w:rPr>
                <w:rFonts w:eastAsia="Times New Roman"/>
                <w:color w:val="000000"/>
                <w:sz w:val="20"/>
                <w:lang w:eastAsia="en-US"/>
              </w:rPr>
              <w:t>Dīkstāves pabalsti</w:t>
            </w:r>
          </w:p>
        </w:tc>
        <w:tc>
          <w:tcPr>
            <w:tcW w:w="850"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61</w:t>
            </w:r>
          </w:p>
        </w:tc>
        <w:tc>
          <w:tcPr>
            <w:tcW w:w="992"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-61</w:t>
            </w:r>
          </w:p>
        </w:tc>
        <w:tc>
          <w:tcPr>
            <w:tcW w:w="851"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98</w:t>
            </w:r>
          </w:p>
        </w:tc>
        <w:tc>
          <w:tcPr>
            <w:tcW w:w="1134" w:type="dxa"/>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67,4</w:t>
            </w:r>
          </w:p>
        </w:tc>
        <w:tc>
          <w:tcPr>
            <w:tcW w:w="1015"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-98</w:t>
            </w:r>
          </w:p>
        </w:tc>
        <w:tc>
          <w:tcPr>
            <w:tcW w:w="958"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0</w:t>
            </w:r>
          </w:p>
        </w:tc>
      </w:tr>
      <w:tr w:rsidR="00BF4753" w:rsidRPr="00B07F83" w:rsidTr="002C3840">
        <w:trPr>
          <w:trHeight w:hRule="exact" w:val="284"/>
        </w:trPr>
        <w:tc>
          <w:tcPr>
            <w:tcW w:w="3251" w:type="dxa"/>
            <w:hideMark/>
          </w:tcPr>
          <w:p w:rsidR="00BF4753" w:rsidRPr="00B07F83" w:rsidRDefault="00BF4753" w:rsidP="002D7CA8">
            <w:pPr>
              <w:spacing w:after="160" w:line="259" w:lineRule="auto"/>
              <w:ind w:left="164" w:firstLine="0"/>
              <w:jc w:val="left"/>
              <w:rPr>
                <w:rFonts w:eastAsia="Times New Roman"/>
                <w:sz w:val="20"/>
                <w:lang w:eastAsia="en-US"/>
              </w:rPr>
            </w:pPr>
            <w:r w:rsidRPr="00B07F83">
              <w:rPr>
                <w:rFonts w:eastAsia="Times New Roman"/>
                <w:sz w:val="20"/>
                <w:lang w:eastAsia="en-US"/>
              </w:rPr>
              <w:t>Algu subsīdijas</w:t>
            </w:r>
          </w:p>
        </w:tc>
        <w:tc>
          <w:tcPr>
            <w:tcW w:w="850"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47</w:t>
            </w:r>
          </w:p>
        </w:tc>
        <w:tc>
          <w:tcPr>
            <w:tcW w:w="992"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-47</w:t>
            </w:r>
          </w:p>
        </w:tc>
        <w:tc>
          <w:tcPr>
            <w:tcW w:w="851"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76</w:t>
            </w:r>
          </w:p>
        </w:tc>
        <w:tc>
          <w:tcPr>
            <w:tcW w:w="1134" w:type="dxa"/>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11,6</w:t>
            </w:r>
          </w:p>
        </w:tc>
        <w:tc>
          <w:tcPr>
            <w:tcW w:w="1015"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-25</w:t>
            </w:r>
          </w:p>
        </w:tc>
        <w:tc>
          <w:tcPr>
            <w:tcW w:w="958"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0</w:t>
            </w:r>
          </w:p>
        </w:tc>
      </w:tr>
      <w:tr w:rsidR="00BF4753" w:rsidRPr="00B07F83" w:rsidTr="002C3840">
        <w:trPr>
          <w:trHeight w:hRule="exact" w:val="284"/>
        </w:trPr>
        <w:tc>
          <w:tcPr>
            <w:tcW w:w="3251" w:type="dxa"/>
            <w:hideMark/>
          </w:tcPr>
          <w:p w:rsidR="00BF4753" w:rsidRPr="00B07F83" w:rsidRDefault="00BF4753" w:rsidP="002D7CA8">
            <w:pPr>
              <w:spacing w:after="160" w:line="259" w:lineRule="auto"/>
              <w:ind w:left="164" w:firstLine="0"/>
              <w:jc w:val="left"/>
              <w:rPr>
                <w:rFonts w:eastAsia="Times New Roman"/>
                <w:sz w:val="20"/>
                <w:lang w:eastAsia="en-US"/>
              </w:rPr>
            </w:pPr>
            <w:r w:rsidRPr="00B07F83">
              <w:rPr>
                <w:rFonts w:eastAsia="Times New Roman"/>
                <w:sz w:val="20"/>
                <w:lang w:eastAsia="en-US"/>
              </w:rPr>
              <w:t>Slimības palīdzības pabalsts un piemaksa pie tā par bērnu</w:t>
            </w:r>
          </w:p>
        </w:tc>
        <w:tc>
          <w:tcPr>
            <w:tcW w:w="850"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0,1</w:t>
            </w:r>
          </w:p>
        </w:tc>
        <w:tc>
          <w:tcPr>
            <w:tcW w:w="992"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0</w:t>
            </w:r>
          </w:p>
        </w:tc>
        <w:tc>
          <w:tcPr>
            <w:tcW w:w="851"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55</w:t>
            </w:r>
          </w:p>
        </w:tc>
        <w:tc>
          <w:tcPr>
            <w:tcW w:w="1134" w:type="dxa"/>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1,2</w:t>
            </w:r>
          </w:p>
        </w:tc>
        <w:tc>
          <w:tcPr>
            <w:tcW w:w="1015"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-11</w:t>
            </w:r>
          </w:p>
        </w:tc>
        <w:tc>
          <w:tcPr>
            <w:tcW w:w="958"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0</w:t>
            </w:r>
          </w:p>
        </w:tc>
      </w:tr>
      <w:tr w:rsidR="00BF4753" w:rsidRPr="00B07F83" w:rsidTr="002C3840">
        <w:trPr>
          <w:trHeight w:hRule="exact" w:val="284"/>
        </w:trPr>
        <w:tc>
          <w:tcPr>
            <w:tcW w:w="3251" w:type="dxa"/>
            <w:hideMark/>
          </w:tcPr>
          <w:p w:rsidR="00BF4753" w:rsidRPr="00B07F83" w:rsidRDefault="00BF4753" w:rsidP="002D7CA8">
            <w:pPr>
              <w:spacing w:after="160" w:line="259" w:lineRule="auto"/>
              <w:ind w:left="164" w:firstLine="0"/>
              <w:jc w:val="left"/>
              <w:rPr>
                <w:rFonts w:eastAsia="Times New Roman"/>
                <w:sz w:val="20"/>
                <w:lang w:eastAsia="en-US"/>
              </w:rPr>
            </w:pPr>
            <w:r w:rsidRPr="00B07F83">
              <w:rPr>
                <w:rFonts w:eastAsia="Times New Roman"/>
                <w:sz w:val="20"/>
                <w:lang w:eastAsia="en-US"/>
              </w:rPr>
              <w:t>Bezdarbnieku palīdzības pabalsts</w:t>
            </w:r>
          </w:p>
        </w:tc>
        <w:tc>
          <w:tcPr>
            <w:tcW w:w="850"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5,2</w:t>
            </w:r>
          </w:p>
        </w:tc>
        <w:tc>
          <w:tcPr>
            <w:tcW w:w="992"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-5,2</w:t>
            </w:r>
          </w:p>
        </w:tc>
        <w:tc>
          <w:tcPr>
            <w:tcW w:w="851"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10,7</w:t>
            </w:r>
          </w:p>
        </w:tc>
        <w:tc>
          <w:tcPr>
            <w:tcW w:w="1134" w:type="dxa"/>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3,3</w:t>
            </w:r>
          </w:p>
        </w:tc>
        <w:tc>
          <w:tcPr>
            <w:tcW w:w="1015"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-10,7</w:t>
            </w:r>
          </w:p>
        </w:tc>
        <w:tc>
          <w:tcPr>
            <w:tcW w:w="958"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0</w:t>
            </w:r>
          </w:p>
        </w:tc>
      </w:tr>
      <w:tr w:rsidR="00BF4753" w:rsidRPr="00B07F83" w:rsidTr="002C3840">
        <w:trPr>
          <w:trHeight w:hRule="exact" w:val="284"/>
        </w:trPr>
        <w:tc>
          <w:tcPr>
            <w:tcW w:w="3251" w:type="dxa"/>
            <w:hideMark/>
          </w:tcPr>
          <w:p w:rsidR="00BF4753" w:rsidRPr="00B07F83" w:rsidRDefault="00BF4753" w:rsidP="002D7CA8">
            <w:pPr>
              <w:spacing w:after="160" w:line="259" w:lineRule="auto"/>
              <w:ind w:left="164" w:firstLine="0"/>
              <w:jc w:val="left"/>
              <w:rPr>
                <w:rFonts w:eastAsia="Times New Roman"/>
                <w:sz w:val="20"/>
                <w:lang w:eastAsia="en-US"/>
              </w:rPr>
            </w:pPr>
            <w:r w:rsidRPr="00B07F83">
              <w:rPr>
                <w:rFonts w:eastAsia="Times New Roman"/>
                <w:sz w:val="20"/>
                <w:lang w:eastAsia="en-US"/>
              </w:rPr>
              <w:t>Slimības pabalsts 1.-10.diena no valsts budžeta dēļ Covid-19</w:t>
            </w:r>
          </w:p>
        </w:tc>
        <w:tc>
          <w:tcPr>
            <w:tcW w:w="850"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2,8</w:t>
            </w:r>
          </w:p>
        </w:tc>
        <w:tc>
          <w:tcPr>
            <w:tcW w:w="992"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-2,8</w:t>
            </w:r>
          </w:p>
        </w:tc>
        <w:tc>
          <w:tcPr>
            <w:tcW w:w="851"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13,3</w:t>
            </w:r>
          </w:p>
        </w:tc>
        <w:tc>
          <w:tcPr>
            <w:tcW w:w="1134" w:type="dxa"/>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13,3</w:t>
            </w:r>
          </w:p>
        </w:tc>
        <w:tc>
          <w:tcPr>
            <w:tcW w:w="1015"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-13,3</w:t>
            </w:r>
          </w:p>
        </w:tc>
        <w:tc>
          <w:tcPr>
            <w:tcW w:w="958"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0</w:t>
            </w:r>
          </w:p>
        </w:tc>
      </w:tr>
      <w:tr w:rsidR="00BF4753" w:rsidRPr="00B07F83" w:rsidTr="002C3840">
        <w:trPr>
          <w:trHeight w:hRule="exact" w:val="284"/>
        </w:trPr>
        <w:tc>
          <w:tcPr>
            <w:tcW w:w="3251" w:type="dxa"/>
            <w:hideMark/>
          </w:tcPr>
          <w:p w:rsidR="00BF4753" w:rsidRPr="00B07F83" w:rsidRDefault="00BF4753" w:rsidP="002D7CA8">
            <w:pPr>
              <w:spacing w:after="160" w:line="259" w:lineRule="auto"/>
              <w:ind w:left="164" w:firstLine="0"/>
              <w:jc w:val="left"/>
              <w:rPr>
                <w:rFonts w:eastAsia="Times New Roman"/>
                <w:sz w:val="20"/>
                <w:lang w:eastAsia="en-US"/>
              </w:rPr>
            </w:pPr>
            <w:r w:rsidRPr="00B07F83">
              <w:rPr>
                <w:rFonts w:eastAsia="Times New Roman"/>
                <w:sz w:val="20"/>
                <w:lang w:eastAsia="en-US"/>
              </w:rPr>
              <w:t>Vienreizējs pabalsts (500 EUR) ģimenēm par katru bērnu</w:t>
            </w:r>
          </w:p>
        </w:tc>
        <w:tc>
          <w:tcPr>
            <w:tcW w:w="850"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0,0</w:t>
            </w:r>
          </w:p>
        </w:tc>
        <w:tc>
          <w:tcPr>
            <w:tcW w:w="992"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0</w:t>
            </w:r>
          </w:p>
        </w:tc>
        <w:tc>
          <w:tcPr>
            <w:tcW w:w="851"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182</w:t>
            </w:r>
          </w:p>
        </w:tc>
        <w:tc>
          <w:tcPr>
            <w:tcW w:w="1134" w:type="dxa"/>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125,0</w:t>
            </w:r>
          </w:p>
        </w:tc>
        <w:tc>
          <w:tcPr>
            <w:tcW w:w="1015"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-182</w:t>
            </w:r>
          </w:p>
        </w:tc>
        <w:tc>
          <w:tcPr>
            <w:tcW w:w="958"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0</w:t>
            </w:r>
          </w:p>
        </w:tc>
      </w:tr>
      <w:tr w:rsidR="00BF4753" w:rsidRPr="00B07F83" w:rsidTr="002C3840">
        <w:trPr>
          <w:trHeight w:hRule="exact" w:val="284"/>
        </w:trPr>
        <w:tc>
          <w:tcPr>
            <w:tcW w:w="3251" w:type="dxa"/>
            <w:hideMark/>
          </w:tcPr>
          <w:p w:rsidR="00BF4753" w:rsidRPr="00B07F83" w:rsidRDefault="00BF4753" w:rsidP="002D7CA8">
            <w:pPr>
              <w:spacing w:after="160" w:line="259" w:lineRule="auto"/>
              <w:ind w:left="164" w:firstLine="0"/>
              <w:jc w:val="left"/>
              <w:rPr>
                <w:rFonts w:eastAsia="Times New Roman"/>
                <w:sz w:val="20"/>
                <w:lang w:eastAsia="en-US"/>
              </w:rPr>
            </w:pPr>
            <w:r w:rsidRPr="00B07F83">
              <w:rPr>
                <w:rFonts w:eastAsia="Times New Roman"/>
                <w:sz w:val="20"/>
                <w:lang w:eastAsia="en-US"/>
              </w:rPr>
              <w:t>Vienreizējs pabalsts (200 EUR) senioriem un invalīdiem</w:t>
            </w:r>
          </w:p>
        </w:tc>
        <w:tc>
          <w:tcPr>
            <w:tcW w:w="850"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0,0</w:t>
            </w:r>
          </w:p>
        </w:tc>
        <w:tc>
          <w:tcPr>
            <w:tcW w:w="992"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0</w:t>
            </w:r>
          </w:p>
        </w:tc>
        <w:tc>
          <w:tcPr>
            <w:tcW w:w="851"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112</w:t>
            </w:r>
          </w:p>
        </w:tc>
        <w:tc>
          <w:tcPr>
            <w:tcW w:w="1134" w:type="dxa"/>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0,0</w:t>
            </w:r>
          </w:p>
        </w:tc>
        <w:tc>
          <w:tcPr>
            <w:tcW w:w="1015"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-112</w:t>
            </w:r>
          </w:p>
        </w:tc>
        <w:tc>
          <w:tcPr>
            <w:tcW w:w="958"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0</w:t>
            </w:r>
          </w:p>
        </w:tc>
      </w:tr>
      <w:tr w:rsidR="00BF4753" w:rsidRPr="00B07F83" w:rsidTr="002C3840">
        <w:trPr>
          <w:trHeight w:hRule="exact" w:val="284"/>
        </w:trPr>
        <w:tc>
          <w:tcPr>
            <w:tcW w:w="3251" w:type="dxa"/>
            <w:shd w:val="clear" w:color="auto" w:fill="DEEAF6" w:themeFill="accent1" w:themeFillTint="33"/>
            <w:noWrap/>
            <w:hideMark/>
          </w:tcPr>
          <w:p w:rsidR="00BF4753" w:rsidRPr="00B07F83" w:rsidRDefault="00BF4753" w:rsidP="002D7CA8">
            <w:pPr>
              <w:spacing w:after="160" w:line="259" w:lineRule="auto"/>
              <w:ind w:firstLine="0"/>
              <w:jc w:val="left"/>
              <w:rPr>
                <w:rFonts w:eastAsia="Times New Roman"/>
                <w:b/>
                <w:bCs/>
                <w:color w:val="000000"/>
                <w:sz w:val="20"/>
                <w:lang w:eastAsia="en-US"/>
              </w:rPr>
            </w:pPr>
            <w:r w:rsidRPr="00B07F83">
              <w:rPr>
                <w:rFonts w:eastAsia="Times New Roman"/>
                <w:b/>
                <w:bCs/>
                <w:color w:val="000000"/>
                <w:sz w:val="20"/>
                <w:lang w:eastAsia="en-US"/>
              </w:rPr>
              <w:t xml:space="preserve">III Atbalsts aizdevumu un garantiju jomā, </w:t>
            </w:r>
            <w:r w:rsidRPr="00B07F83">
              <w:rPr>
                <w:rFonts w:eastAsia="Times New Roman"/>
                <w:color w:val="000000"/>
                <w:sz w:val="20"/>
                <w:lang w:eastAsia="en-US"/>
              </w:rPr>
              <w:t>tai skaitā</w:t>
            </w:r>
          </w:p>
        </w:tc>
        <w:tc>
          <w:tcPr>
            <w:tcW w:w="850"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284</w:t>
            </w:r>
          </w:p>
        </w:tc>
        <w:tc>
          <w:tcPr>
            <w:tcW w:w="992"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-195</w:t>
            </w:r>
          </w:p>
        </w:tc>
        <w:tc>
          <w:tcPr>
            <w:tcW w:w="851"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903</w:t>
            </w:r>
          </w:p>
        </w:tc>
        <w:tc>
          <w:tcPr>
            <w:tcW w:w="1134"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18,6</w:t>
            </w:r>
          </w:p>
        </w:tc>
        <w:tc>
          <w:tcPr>
            <w:tcW w:w="1015"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-89</w:t>
            </w:r>
          </w:p>
        </w:tc>
        <w:tc>
          <w:tcPr>
            <w:tcW w:w="958"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0</w:t>
            </w:r>
          </w:p>
        </w:tc>
      </w:tr>
      <w:tr w:rsidR="00BF4753" w:rsidRPr="00B07F83" w:rsidTr="002C3840">
        <w:trPr>
          <w:trHeight w:hRule="exact" w:val="284"/>
        </w:trPr>
        <w:tc>
          <w:tcPr>
            <w:tcW w:w="3251" w:type="dxa"/>
            <w:shd w:val="clear" w:color="auto" w:fill="DEEAF6" w:themeFill="accent1" w:themeFillTint="33"/>
            <w:noWrap/>
            <w:hideMark/>
          </w:tcPr>
          <w:p w:rsidR="00BF4753" w:rsidRPr="00B07F83" w:rsidRDefault="00BF4753" w:rsidP="002D7CA8">
            <w:pPr>
              <w:spacing w:after="160" w:line="259" w:lineRule="auto"/>
              <w:ind w:firstLine="0"/>
              <w:jc w:val="left"/>
              <w:rPr>
                <w:rFonts w:eastAsia="Times New Roman"/>
                <w:b/>
                <w:bCs/>
                <w:color w:val="000000"/>
                <w:sz w:val="20"/>
                <w:lang w:eastAsia="en-US"/>
              </w:rPr>
            </w:pPr>
            <w:r w:rsidRPr="00B07F83">
              <w:rPr>
                <w:rFonts w:eastAsia="Times New Roman"/>
                <w:b/>
                <w:bCs/>
                <w:color w:val="000000"/>
                <w:sz w:val="20"/>
                <w:lang w:eastAsia="en-US"/>
              </w:rPr>
              <w:t xml:space="preserve">IV Atbalsts nozarēm, </w:t>
            </w:r>
            <w:r w:rsidRPr="00B07F83">
              <w:rPr>
                <w:rFonts w:eastAsia="Times New Roman"/>
                <w:color w:val="000000"/>
                <w:sz w:val="20"/>
                <w:lang w:eastAsia="en-US"/>
              </w:rPr>
              <w:t>tai skaitā</w:t>
            </w:r>
          </w:p>
        </w:tc>
        <w:tc>
          <w:tcPr>
            <w:tcW w:w="850"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632</w:t>
            </w:r>
          </w:p>
        </w:tc>
        <w:tc>
          <w:tcPr>
            <w:tcW w:w="992"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-632</w:t>
            </w:r>
          </w:p>
        </w:tc>
        <w:tc>
          <w:tcPr>
            <w:tcW w:w="851"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1 379</w:t>
            </w:r>
          </w:p>
        </w:tc>
        <w:tc>
          <w:tcPr>
            <w:tcW w:w="1134"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153,2</w:t>
            </w:r>
          </w:p>
        </w:tc>
        <w:tc>
          <w:tcPr>
            <w:tcW w:w="1015"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-1 315</w:t>
            </w:r>
          </w:p>
        </w:tc>
        <w:tc>
          <w:tcPr>
            <w:tcW w:w="958"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-99</w:t>
            </w:r>
          </w:p>
        </w:tc>
      </w:tr>
      <w:tr w:rsidR="00BF4753" w:rsidRPr="00B07F83" w:rsidTr="002C3840">
        <w:trPr>
          <w:trHeight w:hRule="exact" w:val="284"/>
        </w:trPr>
        <w:tc>
          <w:tcPr>
            <w:tcW w:w="3251" w:type="dxa"/>
            <w:noWrap/>
            <w:hideMark/>
          </w:tcPr>
          <w:p w:rsidR="00BF4753" w:rsidRPr="00B07F83" w:rsidRDefault="00BF4753" w:rsidP="002D7CA8">
            <w:pPr>
              <w:spacing w:after="160" w:line="259" w:lineRule="auto"/>
              <w:ind w:left="164" w:firstLine="0"/>
              <w:jc w:val="left"/>
              <w:rPr>
                <w:rFonts w:eastAsia="Times New Roman"/>
                <w:color w:val="000000"/>
                <w:sz w:val="20"/>
                <w:lang w:eastAsia="en-US"/>
              </w:rPr>
            </w:pPr>
            <w:r w:rsidRPr="00B07F83">
              <w:rPr>
                <w:rFonts w:eastAsia="Times New Roman"/>
                <w:color w:val="000000"/>
                <w:sz w:val="20"/>
                <w:lang w:eastAsia="en-US"/>
              </w:rPr>
              <w:t>Veselības nozarei</w:t>
            </w:r>
            <w:r w:rsidRPr="00B07F83">
              <w:rPr>
                <w:rFonts w:eastAsia="Times New Roman"/>
                <w:color w:val="000000"/>
                <w:sz w:val="20"/>
                <w:vertAlign w:val="superscript"/>
                <w:lang w:eastAsia="en-US"/>
              </w:rPr>
              <w:t xml:space="preserve"> </w:t>
            </w:r>
          </w:p>
        </w:tc>
        <w:tc>
          <w:tcPr>
            <w:tcW w:w="850"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133</w:t>
            </w:r>
          </w:p>
        </w:tc>
        <w:tc>
          <w:tcPr>
            <w:tcW w:w="992"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-133</w:t>
            </w:r>
          </w:p>
        </w:tc>
        <w:tc>
          <w:tcPr>
            <w:tcW w:w="851"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638</w:t>
            </w:r>
          </w:p>
        </w:tc>
        <w:tc>
          <w:tcPr>
            <w:tcW w:w="1134" w:type="dxa"/>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31,4</w:t>
            </w:r>
          </w:p>
        </w:tc>
        <w:tc>
          <w:tcPr>
            <w:tcW w:w="1015"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-586</w:t>
            </w:r>
          </w:p>
        </w:tc>
        <w:tc>
          <w:tcPr>
            <w:tcW w:w="958"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0</w:t>
            </w:r>
          </w:p>
        </w:tc>
      </w:tr>
      <w:tr w:rsidR="00BF4753" w:rsidRPr="00B07F83" w:rsidTr="002C3840">
        <w:trPr>
          <w:trHeight w:hRule="exact" w:val="284"/>
        </w:trPr>
        <w:tc>
          <w:tcPr>
            <w:tcW w:w="3251" w:type="dxa"/>
            <w:noWrap/>
            <w:hideMark/>
          </w:tcPr>
          <w:p w:rsidR="00BF4753" w:rsidRPr="00B07F83" w:rsidRDefault="00BF4753" w:rsidP="002D7CA8">
            <w:pPr>
              <w:spacing w:after="160" w:line="259" w:lineRule="auto"/>
              <w:ind w:left="164" w:firstLine="0"/>
              <w:jc w:val="left"/>
              <w:rPr>
                <w:rFonts w:eastAsia="Times New Roman"/>
                <w:color w:val="000000"/>
                <w:sz w:val="20"/>
                <w:lang w:eastAsia="en-US"/>
              </w:rPr>
            </w:pPr>
            <w:r w:rsidRPr="00B07F83">
              <w:rPr>
                <w:rFonts w:eastAsia="Times New Roman"/>
                <w:color w:val="000000"/>
                <w:sz w:val="20"/>
                <w:lang w:eastAsia="en-US"/>
              </w:rPr>
              <w:t>Satiksmes nozarei (t.sk. avio nozarei un autoceļiem)</w:t>
            </w:r>
          </w:p>
        </w:tc>
        <w:tc>
          <w:tcPr>
            <w:tcW w:w="850"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408</w:t>
            </w:r>
          </w:p>
        </w:tc>
        <w:tc>
          <w:tcPr>
            <w:tcW w:w="992"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-408</w:t>
            </w:r>
          </w:p>
        </w:tc>
        <w:tc>
          <w:tcPr>
            <w:tcW w:w="851"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205</w:t>
            </w:r>
          </w:p>
        </w:tc>
        <w:tc>
          <w:tcPr>
            <w:tcW w:w="1134" w:type="dxa"/>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0,0</w:t>
            </w:r>
          </w:p>
        </w:tc>
        <w:tc>
          <w:tcPr>
            <w:tcW w:w="1015"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-190</w:t>
            </w:r>
          </w:p>
        </w:tc>
        <w:tc>
          <w:tcPr>
            <w:tcW w:w="958"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0</w:t>
            </w:r>
          </w:p>
        </w:tc>
      </w:tr>
      <w:tr w:rsidR="00BF4753" w:rsidRPr="00B07F83" w:rsidTr="002C3840">
        <w:trPr>
          <w:trHeight w:hRule="exact" w:val="284"/>
        </w:trPr>
        <w:tc>
          <w:tcPr>
            <w:tcW w:w="3251" w:type="dxa"/>
            <w:noWrap/>
            <w:hideMark/>
          </w:tcPr>
          <w:p w:rsidR="00BF4753" w:rsidRPr="00B07F83" w:rsidRDefault="00BF4753" w:rsidP="002D7CA8">
            <w:pPr>
              <w:spacing w:after="160" w:line="259" w:lineRule="auto"/>
              <w:ind w:left="164" w:firstLine="0"/>
              <w:jc w:val="left"/>
              <w:rPr>
                <w:rFonts w:eastAsia="Times New Roman"/>
                <w:color w:val="000000"/>
                <w:sz w:val="20"/>
                <w:lang w:eastAsia="en-US"/>
              </w:rPr>
            </w:pPr>
            <w:r w:rsidRPr="00B07F83">
              <w:rPr>
                <w:rFonts w:eastAsia="Times New Roman"/>
                <w:color w:val="000000"/>
                <w:sz w:val="20"/>
                <w:lang w:eastAsia="en-US"/>
              </w:rPr>
              <w:t>Granti apgrozāmajiem līdzekļiem</w:t>
            </w:r>
          </w:p>
        </w:tc>
        <w:tc>
          <w:tcPr>
            <w:tcW w:w="850"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0</w:t>
            </w:r>
          </w:p>
        </w:tc>
        <w:tc>
          <w:tcPr>
            <w:tcW w:w="992"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-0,02</w:t>
            </w:r>
          </w:p>
        </w:tc>
        <w:tc>
          <w:tcPr>
            <w:tcW w:w="851"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311</w:t>
            </w:r>
          </w:p>
        </w:tc>
        <w:tc>
          <w:tcPr>
            <w:tcW w:w="1134" w:type="dxa"/>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98,5</w:t>
            </w:r>
          </w:p>
        </w:tc>
        <w:tc>
          <w:tcPr>
            <w:tcW w:w="1015"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-311</w:t>
            </w:r>
          </w:p>
        </w:tc>
        <w:tc>
          <w:tcPr>
            <w:tcW w:w="958" w:type="dxa"/>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0</w:t>
            </w:r>
          </w:p>
        </w:tc>
      </w:tr>
      <w:tr w:rsidR="00BF4753" w:rsidRPr="00B07F83" w:rsidTr="002C3840">
        <w:trPr>
          <w:trHeight w:hRule="exact" w:val="284"/>
        </w:trPr>
        <w:tc>
          <w:tcPr>
            <w:tcW w:w="3251" w:type="dxa"/>
            <w:hideMark/>
          </w:tcPr>
          <w:p w:rsidR="00BF4753" w:rsidRPr="00B07F83" w:rsidRDefault="00BF4753" w:rsidP="002D7CA8">
            <w:pPr>
              <w:spacing w:after="160" w:line="259" w:lineRule="auto"/>
              <w:ind w:left="164" w:firstLine="0"/>
              <w:jc w:val="left"/>
              <w:rPr>
                <w:rFonts w:eastAsia="Times New Roman"/>
                <w:color w:val="000000"/>
                <w:sz w:val="20"/>
                <w:lang w:eastAsia="en-US"/>
              </w:rPr>
            </w:pPr>
            <w:r w:rsidRPr="00B07F83">
              <w:rPr>
                <w:rFonts w:eastAsia="Times New Roman"/>
                <w:color w:val="000000"/>
                <w:sz w:val="20"/>
                <w:lang w:eastAsia="en-US"/>
              </w:rPr>
              <w:t>Zemkopības nozarei</w:t>
            </w:r>
          </w:p>
        </w:tc>
        <w:tc>
          <w:tcPr>
            <w:tcW w:w="850"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38</w:t>
            </w:r>
          </w:p>
        </w:tc>
        <w:tc>
          <w:tcPr>
            <w:tcW w:w="992"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-38</w:t>
            </w:r>
          </w:p>
        </w:tc>
        <w:tc>
          <w:tcPr>
            <w:tcW w:w="851"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46</w:t>
            </w:r>
          </w:p>
        </w:tc>
        <w:tc>
          <w:tcPr>
            <w:tcW w:w="1134" w:type="dxa"/>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0,0</w:t>
            </w:r>
          </w:p>
        </w:tc>
        <w:tc>
          <w:tcPr>
            <w:tcW w:w="1015"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-46</w:t>
            </w:r>
          </w:p>
        </w:tc>
        <w:tc>
          <w:tcPr>
            <w:tcW w:w="958"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0</w:t>
            </w:r>
          </w:p>
        </w:tc>
      </w:tr>
      <w:tr w:rsidR="00BF4753" w:rsidRPr="00B07F83" w:rsidTr="002C3840">
        <w:trPr>
          <w:trHeight w:hRule="exact" w:val="284"/>
        </w:trPr>
        <w:tc>
          <w:tcPr>
            <w:tcW w:w="3251" w:type="dxa"/>
            <w:noWrap/>
            <w:hideMark/>
          </w:tcPr>
          <w:p w:rsidR="00BF4753" w:rsidRPr="00B07F83" w:rsidRDefault="00BF4753" w:rsidP="002D7CA8">
            <w:pPr>
              <w:spacing w:after="160" w:line="259" w:lineRule="auto"/>
              <w:ind w:left="164" w:firstLine="0"/>
              <w:jc w:val="left"/>
              <w:rPr>
                <w:rFonts w:eastAsia="Times New Roman"/>
                <w:color w:val="000000"/>
                <w:sz w:val="20"/>
                <w:lang w:eastAsia="en-US"/>
              </w:rPr>
            </w:pPr>
            <w:r w:rsidRPr="00B07F83">
              <w:rPr>
                <w:rFonts w:eastAsia="Times New Roman"/>
                <w:color w:val="000000"/>
                <w:sz w:val="20"/>
                <w:lang w:eastAsia="en-US"/>
              </w:rPr>
              <w:t>Kultūras nozarei</w:t>
            </w:r>
          </w:p>
        </w:tc>
        <w:tc>
          <w:tcPr>
            <w:tcW w:w="850"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21,1</w:t>
            </w:r>
          </w:p>
        </w:tc>
        <w:tc>
          <w:tcPr>
            <w:tcW w:w="992"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-21,1</w:t>
            </w:r>
          </w:p>
        </w:tc>
        <w:tc>
          <w:tcPr>
            <w:tcW w:w="851"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27</w:t>
            </w:r>
          </w:p>
        </w:tc>
        <w:tc>
          <w:tcPr>
            <w:tcW w:w="1134" w:type="dxa"/>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0,0</w:t>
            </w:r>
          </w:p>
        </w:tc>
        <w:tc>
          <w:tcPr>
            <w:tcW w:w="1015"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-27</w:t>
            </w:r>
          </w:p>
        </w:tc>
        <w:tc>
          <w:tcPr>
            <w:tcW w:w="958"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0</w:t>
            </w:r>
          </w:p>
        </w:tc>
      </w:tr>
      <w:tr w:rsidR="00BF4753" w:rsidRPr="00B07F83" w:rsidTr="002C3840">
        <w:trPr>
          <w:trHeight w:hRule="exact" w:val="284"/>
        </w:trPr>
        <w:tc>
          <w:tcPr>
            <w:tcW w:w="3251" w:type="dxa"/>
            <w:hideMark/>
          </w:tcPr>
          <w:p w:rsidR="00BF4753" w:rsidRPr="00B07F83" w:rsidRDefault="00BF4753" w:rsidP="002D7CA8">
            <w:pPr>
              <w:spacing w:after="160" w:line="259" w:lineRule="auto"/>
              <w:ind w:left="164" w:firstLine="0"/>
              <w:jc w:val="left"/>
              <w:rPr>
                <w:rFonts w:eastAsia="Times New Roman"/>
                <w:color w:val="000000"/>
                <w:sz w:val="20"/>
                <w:lang w:eastAsia="en-US"/>
              </w:rPr>
            </w:pPr>
            <w:r w:rsidRPr="00B07F83">
              <w:rPr>
                <w:rFonts w:eastAsia="Times New Roman"/>
                <w:color w:val="000000"/>
                <w:sz w:val="20"/>
                <w:lang w:eastAsia="en-US"/>
              </w:rPr>
              <w:t>Izglītībai un zinātnei (t.sk. sportam un attālinātajām mācībām)</w:t>
            </w:r>
          </w:p>
        </w:tc>
        <w:tc>
          <w:tcPr>
            <w:tcW w:w="850"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22</w:t>
            </w:r>
          </w:p>
        </w:tc>
        <w:tc>
          <w:tcPr>
            <w:tcW w:w="992"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-22</w:t>
            </w:r>
          </w:p>
        </w:tc>
        <w:tc>
          <w:tcPr>
            <w:tcW w:w="851"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36</w:t>
            </w:r>
          </w:p>
        </w:tc>
        <w:tc>
          <w:tcPr>
            <w:tcW w:w="1134" w:type="dxa"/>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18,1</w:t>
            </w:r>
          </w:p>
        </w:tc>
        <w:tc>
          <w:tcPr>
            <w:tcW w:w="1015"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-35</w:t>
            </w:r>
          </w:p>
        </w:tc>
        <w:tc>
          <w:tcPr>
            <w:tcW w:w="958"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0</w:t>
            </w:r>
          </w:p>
        </w:tc>
      </w:tr>
      <w:tr w:rsidR="00BF4753" w:rsidRPr="00B07F83" w:rsidTr="002C3840">
        <w:trPr>
          <w:trHeight w:hRule="exact" w:val="284"/>
        </w:trPr>
        <w:tc>
          <w:tcPr>
            <w:tcW w:w="3251" w:type="dxa"/>
            <w:hideMark/>
          </w:tcPr>
          <w:p w:rsidR="00BF4753" w:rsidRPr="00B07F83" w:rsidRDefault="00BF4753" w:rsidP="002D7CA8">
            <w:pPr>
              <w:spacing w:after="160" w:line="259" w:lineRule="auto"/>
              <w:ind w:left="164" w:firstLine="0"/>
              <w:jc w:val="left"/>
              <w:rPr>
                <w:rFonts w:eastAsia="Times New Roman"/>
                <w:color w:val="000000"/>
                <w:sz w:val="20"/>
                <w:lang w:eastAsia="en-US"/>
              </w:rPr>
            </w:pPr>
            <w:r w:rsidRPr="00B07F83">
              <w:rPr>
                <w:rFonts w:eastAsia="Times New Roman"/>
                <w:color w:val="000000"/>
                <w:sz w:val="20"/>
                <w:lang w:eastAsia="en-US"/>
              </w:rPr>
              <w:t>Augstas gatavības projekti (bez autoceļiem)</w:t>
            </w:r>
          </w:p>
        </w:tc>
        <w:tc>
          <w:tcPr>
            <w:tcW w:w="850"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0</w:t>
            </w:r>
          </w:p>
        </w:tc>
        <w:tc>
          <w:tcPr>
            <w:tcW w:w="992"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0</w:t>
            </w:r>
          </w:p>
        </w:tc>
        <w:tc>
          <w:tcPr>
            <w:tcW w:w="851" w:type="dxa"/>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62</w:t>
            </w:r>
          </w:p>
        </w:tc>
        <w:tc>
          <w:tcPr>
            <w:tcW w:w="1134" w:type="dxa"/>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0,0</w:t>
            </w:r>
          </w:p>
        </w:tc>
        <w:tc>
          <w:tcPr>
            <w:tcW w:w="1015"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-66</w:t>
            </w:r>
          </w:p>
        </w:tc>
        <w:tc>
          <w:tcPr>
            <w:tcW w:w="958" w:type="dxa"/>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-99</w:t>
            </w:r>
          </w:p>
        </w:tc>
      </w:tr>
      <w:tr w:rsidR="00BF4753" w:rsidRPr="00B07F83" w:rsidTr="002C3840">
        <w:trPr>
          <w:trHeight w:hRule="exact" w:val="284"/>
        </w:trPr>
        <w:tc>
          <w:tcPr>
            <w:tcW w:w="3251" w:type="dxa"/>
            <w:shd w:val="clear" w:color="auto" w:fill="DEEAF6" w:themeFill="accent1" w:themeFillTint="33"/>
            <w:noWrap/>
            <w:hideMark/>
          </w:tcPr>
          <w:p w:rsidR="00BF4753" w:rsidRPr="00B07F83" w:rsidRDefault="00BF4753" w:rsidP="002D7CA8">
            <w:pPr>
              <w:spacing w:after="160" w:line="259" w:lineRule="auto"/>
              <w:ind w:firstLine="0"/>
              <w:jc w:val="left"/>
              <w:rPr>
                <w:rFonts w:eastAsia="Times New Roman"/>
                <w:b/>
                <w:bCs/>
                <w:color w:val="000000"/>
                <w:sz w:val="20"/>
                <w:lang w:eastAsia="en-US"/>
              </w:rPr>
            </w:pPr>
            <w:r w:rsidRPr="00B07F83">
              <w:rPr>
                <w:rFonts w:eastAsia="Times New Roman"/>
                <w:b/>
                <w:bCs/>
                <w:color w:val="000000"/>
                <w:sz w:val="20"/>
                <w:lang w:eastAsia="en-US"/>
              </w:rPr>
              <w:t>V ES fondu finansējuma atbalsts</w:t>
            </w:r>
          </w:p>
        </w:tc>
        <w:tc>
          <w:tcPr>
            <w:tcW w:w="850"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27</w:t>
            </w:r>
          </w:p>
        </w:tc>
        <w:tc>
          <w:tcPr>
            <w:tcW w:w="992"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0</w:t>
            </w:r>
          </w:p>
        </w:tc>
        <w:tc>
          <w:tcPr>
            <w:tcW w:w="851"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w:t>
            </w:r>
          </w:p>
        </w:tc>
        <w:tc>
          <w:tcPr>
            <w:tcW w:w="1134"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sz w:val="20"/>
                <w:lang w:eastAsia="en-US"/>
              </w:rPr>
            </w:pPr>
            <w:r w:rsidRPr="00B07F83">
              <w:rPr>
                <w:rFonts w:eastAsia="Times New Roman"/>
                <w:sz w:val="20"/>
                <w:lang w:eastAsia="en-US"/>
              </w:rPr>
              <w:t>0,7</w:t>
            </w:r>
          </w:p>
        </w:tc>
        <w:tc>
          <w:tcPr>
            <w:tcW w:w="1015"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-9</w:t>
            </w:r>
          </w:p>
        </w:tc>
        <w:tc>
          <w:tcPr>
            <w:tcW w:w="958" w:type="dxa"/>
            <w:shd w:val="clear" w:color="auto" w:fill="DEEAF6" w:themeFill="accent1" w:themeFillTint="33"/>
            <w:noWrap/>
            <w:hideMark/>
          </w:tcPr>
          <w:p w:rsidR="00BF4753" w:rsidRPr="00B07F83" w:rsidRDefault="00BF4753" w:rsidP="002D7CA8">
            <w:pPr>
              <w:spacing w:after="160" w:line="259" w:lineRule="auto"/>
              <w:ind w:firstLine="0"/>
              <w:jc w:val="center"/>
              <w:rPr>
                <w:rFonts w:eastAsia="Times New Roman"/>
                <w:color w:val="000000"/>
                <w:sz w:val="20"/>
                <w:lang w:eastAsia="en-US"/>
              </w:rPr>
            </w:pPr>
            <w:r w:rsidRPr="00B07F83">
              <w:rPr>
                <w:rFonts w:eastAsia="Times New Roman"/>
                <w:color w:val="000000"/>
                <w:sz w:val="20"/>
                <w:lang w:eastAsia="en-US"/>
              </w:rPr>
              <w:t>-7</w:t>
            </w:r>
          </w:p>
        </w:tc>
      </w:tr>
    </w:tbl>
    <w:p w:rsidR="00BF4753" w:rsidRDefault="00BF4753" w:rsidP="00BF4753">
      <w:pPr>
        <w:tabs>
          <w:tab w:val="left" w:pos="851"/>
        </w:tabs>
        <w:rPr>
          <w:rFonts w:eastAsia="Times New Roman" w:cs="Times New Roman"/>
          <w:color w:val="000000"/>
          <w:szCs w:val="28"/>
        </w:rPr>
      </w:pPr>
    </w:p>
    <w:p w:rsidR="00BF4753" w:rsidRPr="00B07F83" w:rsidRDefault="00BF4753" w:rsidP="00BF4753">
      <w:pPr>
        <w:tabs>
          <w:tab w:val="left" w:pos="851"/>
        </w:tabs>
        <w:rPr>
          <w:rFonts w:eastAsia="Calibri" w:cs="Times New Roman"/>
          <w:noProof/>
          <w:szCs w:val="28"/>
        </w:rPr>
      </w:pPr>
      <w:r w:rsidRPr="00B07F83">
        <w:rPr>
          <w:rFonts w:eastAsia="Times New Roman" w:cs="Times New Roman"/>
          <w:color w:val="000000"/>
          <w:szCs w:val="28"/>
        </w:rPr>
        <w:t xml:space="preserve">Plānotie </w:t>
      </w:r>
      <w:r w:rsidRPr="00B07F83">
        <w:rPr>
          <w:rFonts w:eastAsia="Times New Roman" w:cs="Times New Roman"/>
          <w:b/>
          <w:color w:val="000000"/>
          <w:szCs w:val="28"/>
        </w:rPr>
        <w:t>atbalsta pasākumi aizdevumu un garantiju jomā</w:t>
      </w:r>
      <w:r w:rsidRPr="00B07F83">
        <w:rPr>
          <w:rFonts w:eastAsia="Times New Roman" w:cs="Times New Roman"/>
          <w:color w:val="000000"/>
          <w:szCs w:val="28"/>
        </w:rPr>
        <w:t xml:space="preserve"> tiek nodrošināti galvenokārt ar </w:t>
      </w:r>
      <w:r>
        <w:rPr>
          <w:rFonts w:eastAsia="Times New Roman" w:cs="Times New Roman"/>
          <w:color w:val="000000"/>
          <w:szCs w:val="28"/>
        </w:rPr>
        <w:t xml:space="preserve">akciju sabiedrības </w:t>
      </w:r>
      <w:r w:rsidRPr="00B21F7A">
        <w:rPr>
          <w:rFonts w:eastAsia="Times New Roman" w:cs="Times New Roman"/>
          <w:color w:val="000000"/>
          <w:szCs w:val="28"/>
        </w:rPr>
        <w:t xml:space="preserve">"Attīstības finanšu institūcija Altum" </w:t>
      </w:r>
      <w:r w:rsidRPr="00B07F83">
        <w:rPr>
          <w:rFonts w:eastAsia="Times New Roman" w:cs="Times New Roman"/>
          <w:color w:val="000000"/>
          <w:szCs w:val="28"/>
        </w:rPr>
        <w:t xml:space="preserve">starpniecību un atbalsta veids pamatā ir paredzēts uzņēmumu likviditātes uzlabošanai, lai pārvarētu Covid-19 krīzi. Šī atbalsta pasākumu grupa ietver arī pašvaldību aizņēmumu limita palielināšanu 2020. gadā par 150 milj. </w:t>
      </w:r>
      <w:r w:rsidRPr="00B07F83">
        <w:rPr>
          <w:rFonts w:eastAsia="Times New Roman" w:cs="Times New Roman"/>
          <w:i/>
          <w:color w:val="000000"/>
          <w:szCs w:val="28"/>
        </w:rPr>
        <w:t>euro</w:t>
      </w:r>
      <w:r w:rsidRPr="00B07F83">
        <w:rPr>
          <w:rFonts w:eastAsia="Times New Roman" w:cs="Times New Roman"/>
          <w:color w:val="000000"/>
          <w:szCs w:val="28"/>
        </w:rPr>
        <w:t>.</w:t>
      </w:r>
      <w:r w:rsidRPr="00B07F83">
        <w:rPr>
          <w:rFonts w:eastAsia="Calibri" w:cs="Times New Roman"/>
          <w:color w:val="000000"/>
          <w:szCs w:val="28"/>
        </w:rPr>
        <w:t xml:space="preserve"> Ietverti arī tādi pasākumi kā aizdevumi apgrozāmiem līdzekļiem, kredītu garantijas, </w:t>
      </w:r>
      <w:r w:rsidRPr="00B07F83">
        <w:rPr>
          <w:rFonts w:eastAsia="Calibri" w:cs="Times New Roman"/>
          <w:noProof/>
          <w:color w:val="000000"/>
          <w:szCs w:val="28"/>
        </w:rPr>
        <w:t>portfeļgarantijas,</w:t>
      </w:r>
      <w:r w:rsidRPr="00B07F83">
        <w:rPr>
          <w:rFonts w:eastAsia="Calibri" w:cs="Times New Roman"/>
          <w:color w:val="000000"/>
          <w:szCs w:val="28"/>
        </w:rPr>
        <w:t xml:space="preserve"> </w:t>
      </w:r>
      <w:r>
        <w:rPr>
          <w:rFonts w:eastAsia="Times New Roman" w:cs="Times New Roman"/>
          <w:color w:val="000000"/>
          <w:szCs w:val="28"/>
        </w:rPr>
        <w:t xml:space="preserve">akciju sabiedrības </w:t>
      </w:r>
      <w:r w:rsidRPr="00B21F7A">
        <w:rPr>
          <w:rFonts w:eastAsia="Times New Roman" w:cs="Times New Roman"/>
          <w:color w:val="000000"/>
          <w:szCs w:val="28"/>
        </w:rPr>
        <w:t xml:space="preserve">"Attīstības finanšu institūcija Altum" </w:t>
      </w:r>
      <w:r w:rsidRPr="00B07F83">
        <w:rPr>
          <w:rFonts w:eastAsia="Calibri" w:cs="Times New Roman"/>
          <w:noProof/>
          <w:szCs w:val="28"/>
        </w:rPr>
        <w:t xml:space="preserve"> ieguldījumu fonds modernizācijai,</w:t>
      </w:r>
      <w:r w:rsidRPr="00B07F83">
        <w:rPr>
          <w:rFonts w:eastAsia="Calibri" w:cs="Times New Roman"/>
          <w:color w:val="000000"/>
          <w:szCs w:val="28"/>
        </w:rPr>
        <w:t xml:space="preserve"> </w:t>
      </w:r>
      <w:r w:rsidRPr="00B07F83">
        <w:rPr>
          <w:rFonts w:eastAsia="Calibri" w:cs="Times New Roman"/>
          <w:noProof/>
          <w:szCs w:val="28"/>
        </w:rPr>
        <w:t>finansējums lielo komersanu atbalstam.</w:t>
      </w:r>
    </w:p>
    <w:p w:rsidR="00BF4753" w:rsidRPr="00B07F83" w:rsidRDefault="00BF4753" w:rsidP="00BF4753">
      <w:pPr>
        <w:rPr>
          <w:rFonts w:eastAsia="Times New Roman" w:cs="Times New Roman"/>
          <w:color w:val="000000"/>
          <w:szCs w:val="28"/>
        </w:rPr>
      </w:pPr>
      <w:r w:rsidRPr="00B07F83">
        <w:rPr>
          <w:rFonts w:eastAsia="Times New Roman" w:cs="Times New Roman"/>
          <w:b/>
          <w:color w:val="000000"/>
          <w:szCs w:val="28"/>
        </w:rPr>
        <w:t>Atbalsts nozarēm</w:t>
      </w:r>
      <w:r w:rsidRPr="00B07F83">
        <w:rPr>
          <w:rFonts w:eastAsia="Times New Roman" w:cs="Times New Roman"/>
          <w:color w:val="000000"/>
          <w:szCs w:val="28"/>
        </w:rPr>
        <w:t xml:space="preserve"> paredzēts nozaru finansiālo grūtību mazināšanai, kā arī medicīnas līdzekļu un aprīkojuma, un attālinātā mācību procesa nodrošināšanai. Nozares ar lielāko atbalsta apmēru ir veselības nozare, satiksmes nozare un atbalsts apgrozāmajiem līdzekļiem grantu veidā. </w:t>
      </w:r>
      <w:r w:rsidRPr="00B07F83">
        <w:rPr>
          <w:rFonts w:eastAsia="Calibri" w:cs="Times New Roman"/>
          <w:color w:val="000000"/>
          <w:szCs w:val="28"/>
        </w:rPr>
        <w:t xml:space="preserve">Atbalsts nozarēm veido gandrīz pusi no kopējā atbalsta apjoma un, salīdzinot ar 2020. gadu, 2021. gadā plānotais apjoms ir dubultojies, kam ir tieša ietekme uz budžeta deficītu. </w:t>
      </w:r>
    </w:p>
    <w:p w:rsidR="00BF4753" w:rsidRDefault="00BF4753" w:rsidP="00BF4753">
      <w:pPr>
        <w:rPr>
          <w:rFonts w:eastAsia="Times New Roman" w:cs="Times New Roman"/>
          <w:color w:val="000000"/>
          <w:szCs w:val="28"/>
        </w:rPr>
      </w:pPr>
      <w:r w:rsidRPr="00B07F83">
        <w:rPr>
          <w:rFonts w:eastAsia="Times New Roman" w:cs="Times New Roman"/>
          <w:b/>
          <w:color w:val="000000"/>
          <w:szCs w:val="28"/>
        </w:rPr>
        <w:t>ES finansējuma atbalsts</w:t>
      </w:r>
      <w:r w:rsidRPr="00B07F83">
        <w:rPr>
          <w:rFonts w:eastAsia="Times New Roman" w:cs="Times New Roman"/>
          <w:color w:val="000000"/>
          <w:szCs w:val="28"/>
        </w:rPr>
        <w:t xml:space="preserve"> paredzēts ar mērķi nodrošināt iespēju vieglāk un ātrāk reaģēt, mazinot Covid-19 izraisītās sekas dalībvalstu visvairāk skartajām teritorijām un to iedzīvo</w:t>
      </w:r>
      <w:r>
        <w:rPr>
          <w:rFonts w:eastAsia="Times New Roman" w:cs="Times New Roman"/>
          <w:color w:val="000000"/>
          <w:szCs w:val="28"/>
        </w:rPr>
        <w:t>tājiem, pieļaujot dalībvalstu Eiropas Savienības</w:t>
      </w:r>
      <w:r w:rsidRPr="00B07F83">
        <w:rPr>
          <w:rFonts w:eastAsia="Times New Roman" w:cs="Times New Roman"/>
          <w:color w:val="000000"/>
          <w:szCs w:val="28"/>
        </w:rPr>
        <w:t xml:space="preserve"> fondu darbības programmu grozījumus. Tāpat ietver atbalstu valsts budžeta </w:t>
      </w:r>
      <w:r>
        <w:rPr>
          <w:rFonts w:eastAsia="Times New Roman" w:cs="Times New Roman"/>
          <w:color w:val="000000"/>
          <w:szCs w:val="28"/>
        </w:rPr>
        <w:t>“virssaistību” veidā novirzīt Eiropas Savienības</w:t>
      </w:r>
      <w:r w:rsidRPr="00B07F83">
        <w:rPr>
          <w:rFonts w:eastAsia="Times New Roman" w:cs="Times New Roman"/>
          <w:color w:val="000000"/>
          <w:szCs w:val="28"/>
        </w:rPr>
        <w:t xml:space="preserve"> fondu projektu investīciju palielināšanai vidējā termiņā un papildus “virssaistības” zemkopības nozares atbalstam, ļaujot uzņemties papildus saistības projektu īstenošanai, tostarp nodrošinot kopējās ES fondu finansējuma “aplok</w:t>
      </w:r>
      <w:r>
        <w:rPr>
          <w:rFonts w:eastAsia="Times New Roman" w:cs="Times New Roman"/>
          <w:color w:val="000000"/>
          <w:szCs w:val="28"/>
        </w:rPr>
        <w:t>snes” izlietojumu. Atbilstoši Ministru kabineta</w:t>
      </w:r>
      <w:r w:rsidRPr="00B07F83">
        <w:rPr>
          <w:rFonts w:eastAsia="Times New Roman" w:cs="Times New Roman"/>
          <w:color w:val="000000"/>
          <w:szCs w:val="28"/>
        </w:rPr>
        <w:t xml:space="preserve"> lēmumiem Kohēzijas politikas fondi 2020. gadā tika pārstrukturēti 499 milj. </w:t>
      </w:r>
      <w:r w:rsidRPr="00B07F83">
        <w:rPr>
          <w:rFonts w:eastAsia="Times New Roman" w:cs="Times New Roman"/>
          <w:i/>
          <w:iCs/>
          <w:color w:val="000000"/>
          <w:szCs w:val="28"/>
        </w:rPr>
        <w:t>euro</w:t>
      </w:r>
      <w:r w:rsidRPr="00B07F83">
        <w:rPr>
          <w:rFonts w:eastAsia="Times New Roman" w:cs="Times New Roman"/>
          <w:color w:val="000000"/>
          <w:szCs w:val="28"/>
        </w:rPr>
        <w:t xml:space="preserve"> apmērā un papildus virssaistības, iekļaujot lauksaimniecības fondus, tika uzņemtas 199,4 milj. euro apmērā. Dati par izpildi 2020. gadā un operatīvo izpildi 2021. gadā tiek norādīti, ņemot vērā faktiskos maksājumus. </w:t>
      </w:r>
    </w:p>
    <w:p w:rsidR="00BF4753" w:rsidRDefault="00BF4753" w:rsidP="00BF4753">
      <w:pPr>
        <w:pStyle w:val="Heading2"/>
        <w:numPr>
          <w:ilvl w:val="1"/>
          <w:numId w:val="15"/>
        </w:numPr>
        <w:spacing w:before="240" w:after="240"/>
        <w:ind w:left="0" w:firstLine="0"/>
        <w:rPr>
          <w:rFonts w:eastAsia="Times New Roman"/>
        </w:rPr>
      </w:pPr>
      <w:bookmarkStart w:id="24" w:name="_Toc68335002"/>
      <w:r>
        <w:rPr>
          <w:rFonts w:eastAsia="Times New Roman"/>
        </w:rPr>
        <w:t>Fiskālās attīstības scenārijs</w:t>
      </w:r>
      <w:bookmarkEnd w:id="24"/>
    </w:p>
    <w:p w:rsidR="00BF4753" w:rsidRDefault="00BF4753" w:rsidP="00BF4753">
      <w:pPr>
        <w:rPr>
          <w:rFonts w:eastAsia="Times New Roman" w:cs="Times New Roman"/>
          <w:color w:val="000000"/>
          <w:szCs w:val="24"/>
        </w:rPr>
      </w:pPr>
      <w:r w:rsidRPr="008C0CE2">
        <w:rPr>
          <w:rFonts w:eastAsia="Times New Roman" w:cs="Times New Roman"/>
          <w:color w:val="000000"/>
          <w:szCs w:val="24"/>
        </w:rPr>
        <w:t>Vispārējās valdības budžeta prognozes vidējam termiņam tika sagatavotas 2021. gada martā, ņemot vērā makroekonomiskās attīstības scenāriju, kas tika sagatavots 2021. gada februārī un apstiprināts Fiskālās disciplīnas padomē. Prognozēs tika ņemti vērā aktualizētie ieņēmumi atbilstoši apstiprinātajam makroekonomiskās attīstības scenārijam, apstiprinātie valsts pamatbudžeta bāzes izdevumi 2022.</w:t>
      </w:r>
      <w:r w:rsidRPr="008C0CE2">
        <w:rPr>
          <w:noProof/>
          <w:szCs w:val="24"/>
        </w:rPr>
        <w:t>–</w:t>
      </w:r>
      <w:r w:rsidRPr="008C0CE2">
        <w:rPr>
          <w:rFonts w:eastAsia="Times New Roman" w:cs="Times New Roman"/>
          <w:color w:val="000000"/>
          <w:szCs w:val="24"/>
        </w:rPr>
        <w:t>2023. gadam un prognoze 2024. gadam, kā arī sagaidāmā attīstība vietējās valdības budžetā un sociālās nodrošināšanas fondos, ņemot vērā aktuālās tendences. Bilancēs</w:t>
      </w:r>
      <w:r>
        <w:rPr>
          <w:rFonts w:eastAsia="Times New Roman" w:cs="Times New Roman"/>
          <w:color w:val="000000"/>
          <w:szCs w:val="24"/>
        </w:rPr>
        <w:t xml:space="preserve"> iekļauta līdz šī</w:t>
      </w:r>
      <w:r w:rsidRPr="008C0CE2">
        <w:rPr>
          <w:rFonts w:eastAsia="Times New Roman" w:cs="Times New Roman"/>
          <w:color w:val="000000"/>
          <w:szCs w:val="24"/>
        </w:rPr>
        <w:t xml:space="preserve"> gada 23. martam valdības apstiprinātā atbalsta tautsaimniecībai Covid-19 ietekmes mazināšanai sagaidāmā ietekme uz budžeta ieņēmumiem un izdevumiem. Covid-19 atbalsta pasākumi būtiski ietekmē 2020. un 2021. gada budžeta izdevumus, kā arī palielinās 2022. gada izdevumus papildus jau budžetā plānotajam apjomam.</w:t>
      </w:r>
    </w:p>
    <w:p w:rsidR="00BF4753" w:rsidRPr="008C0CE2" w:rsidRDefault="00BF4753" w:rsidP="00BF4753">
      <w:pPr>
        <w:rPr>
          <w:rFonts w:eastAsia="Times New Roman" w:cs="Times New Roman"/>
          <w:color w:val="000000"/>
          <w:sz w:val="32"/>
          <w:szCs w:val="24"/>
        </w:rPr>
      </w:pPr>
      <w:r w:rsidRPr="008C0CE2">
        <w:rPr>
          <w:rFonts w:cs="Times New Roman"/>
          <w:color w:val="000000"/>
          <w:szCs w:val="24"/>
        </w:rPr>
        <w:t xml:space="preserve">Sagaidāms, ka vispārējās valdības budžeta deficīts 2021. gadā būs 9,3% no </w:t>
      </w:r>
      <w:r>
        <w:rPr>
          <w:rFonts w:cs="Times New Roman"/>
          <w:color w:val="000000"/>
          <w:szCs w:val="24"/>
        </w:rPr>
        <w:t>iekšzemes kopprodukta</w:t>
      </w:r>
      <w:r w:rsidRPr="008C0CE2">
        <w:rPr>
          <w:rFonts w:cs="Times New Roman"/>
          <w:color w:val="000000"/>
          <w:szCs w:val="24"/>
        </w:rPr>
        <w:t xml:space="preserve">, kas, palielinoties apstiprinātajam atbalstam tautsaimniecībai Covid-19 seku mazināšanai, ir būtiski augstāks kā prognozēts, </w:t>
      </w:r>
      <w:r w:rsidRPr="008C0CE2">
        <w:rPr>
          <w:rFonts w:cs="Times New Roman"/>
          <w:color w:val="000000"/>
          <w:szCs w:val="24"/>
        </w:rPr>
        <w:lastRenderedPageBreak/>
        <w:t xml:space="preserve">sagatavojot 2021. gada budžetu. </w:t>
      </w:r>
      <w:r w:rsidRPr="008C0CE2">
        <w:rPr>
          <w:rFonts w:eastAsia="Calibri"/>
          <w:szCs w:val="24"/>
        </w:rPr>
        <w:t xml:space="preserve">Vakcinācijas plāna sekmīgas izpildes gadījumā paātrinoties ekonomikas attīstībai un pieaugot nodokļu ieņēmumiem, tiek prognozēts, ka vispārējās valdības budžeta deficīts vidējā termiņā samazināsies un būs </w:t>
      </w:r>
      <w:r w:rsidRPr="008C0CE2">
        <w:rPr>
          <w:rFonts w:cs="Times New Roman"/>
          <w:color w:val="000000"/>
          <w:szCs w:val="24"/>
        </w:rPr>
        <w:t xml:space="preserve">2022. gadā 2,7% no </w:t>
      </w:r>
      <w:r>
        <w:rPr>
          <w:rFonts w:cs="Times New Roman"/>
          <w:color w:val="000000"/>
          <w:szCs w:val="24"/>
        </w:rPr>
        <w:t>iekšzemes kopprodukta</w:t>
      </w:r>
      <w:r w:rsidRPr="008C0CE2">
        <w:rPr>
          <w:rFonts w:cs="Times New Roman"/>
          <w:color w:val="000000"/>
          <w:szCs w:val="24"/>
        </w:rPr>
        <w:t xml:space="preserve">, 2023. gadā 1,3% no </w:t>
      </w:r>
      <w:r>
        <w:rPr>
          <w:rFonts w:cs="Times New Roman"/>
          <w:color w:val="000000"/>
          <w:szCs w:val="24"/>
        </w:rPr>
        <w:t>iekšzemes kopprodukta</w:t>
      </w:r>
      <w:r w:rsidRPr="008C0CE2">
        <w:rPr>
          <w:rFonts w:cs="Times New Roman"/>
          <w:color w:val="000000"/>
          <w:szCs w:val="24"/>
        </w:rPr>
        <w:t xml:space="preserve"> un 2024. gadā 0,3% no </w:t>
      </w:r>
      <w:r>
        <w:rPr>
          <w:rFonts w:cs="Times New Roman"/>
          <w:color w:val="000000"/>
          <w:szCs w:val="24"/>
        </w:rPr>
        <w:t>iekšzemes kopprodukta</w:t>
      </w:r>
      <w:r w:rsidRPr="008C0CE2">
        <w:rPr>
          <w:rFonts w:cs="Times New Roman"/>
          <w:color w:val="000000"/>
          <w:szCs w:val="24"/>
        </w:rPr>
        <w:t xml:space="preserve"> (skat. 3.7. attēlu).</w:t>
      </w:r>
    </w:p>
    <w:p w:rsidR="00BF4753" w:rsidRPr="008C0CE2" w:rsidRDefault="00BF4753" w:rsidP="00BF4753">
      <w:pPr>
        <w:spacing w:after="120"/>
        <w:ind w:firstLine="0"/>
        <w:jc w:val="center"/>
        <w:rPr>
          <w:rFonts w:cs="Times New Roman"/>
          <w:i/>
          <w:color w:val="000000"/>
          <w:sz w:val="24"/>
          <w:szCs w:val="24"/>
        </w:rPr>
      </w:pPr>
      <w:r w:rsidRPr="008C0CE2">
        <w:rPr>
          <w:rFonts w:asciiTheme="minorHAnsi" w:hAnsiTheme="minorHAnsi"/>
          <w:i/>
          <w:noProof/>
          <w:sz w:val="24"/>
          <w:lang w:eastAsia="lv-LV"/>
        </w:rPr>
        <w:drawing>
          <wp:anchor distT="0" distB="0" distL="114300" distR="114300" simplePos="0" relativeHeight="251668480" behindDoc="0" locked="0" layoutInCell="1" allowOverlap="1" wp14:anchorId="16E69C38" wp14:editId="2803BD27">
            <wp:simplePos x="0" y="0"/>
            <wp:positionH relativeFrom="margin">
              <wp:align>center</wp:align>
            </wp:positionH>
            <wp:positionV relativeFrom="paragraph">
              <wp:posOffset>158750</wp:posOffset>
            </wp:positionV>
            <wp:extent cx="5072380" cy="2781300"/>
            <wp:effectExtent l="0" t="0" r="0" b="82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418"/>
                    <a:stretch/>
                  </pic:blipFill>
                  <pic:spPr bwMode="auto">
                    <a:xfrm>
                      <a:off x="0" y="0"/>
                      <a:ext cx="5072380" cy="278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CE2">
        <w:rPr>
          <w:rFonts w:eastAsia="Calibri"/>
          <w:b/>
          <w:i/>
          <w:sz w:val="24"/>
          <w:szCs w:val="24"/>
        </w:rPr>
        <w:t>3.7.</w:t>
      </w:r>
      <w:r>
        <w:rPr>
          <w:rFonts w:eastAsia="Calibri"/>
          <w:b/>
          <w:i/>
          <w:sz w:val="24"/>
          <w:szCs w:val="24"/>
        </w:rPr>
        <w:t xml:space="preserve"> att</w:t>
      </w:r>
      <w:r w:rsidRPr="008C0CE2">
        <w:rPr>
          <w:rFonts w:eastAsia="Calibri"/>
          <w:b/>
          <w:i/>
          <w:sz w:val="24"/>
          <w:szCs w:val="24"/>
        </w:rPr>
        <w:t xml:space="preserve">. Vispārējās valdības budžeta bilance, % no </w:t>
      </w:r>
      <w:r w:rsidRPr="0023565D">
        <w:rPr>
          <w:rFonts w:eastAsia="Calibri"/>
          <w:b/>
          <w:i/>
          <w:sz w:val="24"/>
          <w:szCs w:val="24"/>
        </w:rPr>
        <w:t>iekšzemes kopprodukta</w:t>
      </w:r>
      <w:r w:rsidRPr="008C0CE2">
        <w:rPr>
          <w:rFonts w:eastAsia="Calibri"/>
          <w:b/>
          <w:i/>
          <w:sz w:val="24"/>
          <w:szCs w:val="24"/>
        </w:rPr>
        <w:br/>
        <w:t xml:space="preserve">(Datu </w:t>
      </w:r>
      <w:r w:rsidRPr="008C0CE2">
        <w:rPr>
          <w:rFonts w:eastAsia="Calibri"/>
          <w:b/>
          <w:i/>
          <w:noProof/>
          <w:sz w:val="24"/>
          <w:szCs w:val="24"/>
        </w:rPr>
        <w:t>avots: Eurostat,</w:t>
      </w:r>
      <w:r w:rsidRPr="008C0CE2">
        <w:rPr>
          <w:rFonts w:eastAsia="Calibri"/>
          <w:b/>
          <w:i/>
          <w:iCs/>
          <w:noProof/>
          <w:sz w:val="24"/>
          <w:szCs w:val="24"/>
        </w:rPr>
        <w:t xml:space="preserve"> </w:t>
      </w:r>
      <w:r>
        <w:rPr>
          <w:rFonts w:eastAsia="Calibri"/>
          <w:b/>
          <w:i/>
          <w:iCs/>
          <w:noProof/>
          <w:sz w:val="24"/>
          <w:szCs w:val="24"/>
        </w:rPr>
        <w:t>Finanšu ministrija</w:t>
      </w:r>
      <w:r w:rsidRPr="008C0CE2">
        <w:rPr>
          <w:rFonts w:eastAsia="Calibri"/>
          <w:b/>
          <w:i/>
          <w:sz w:val="24"/>
          <w:szCs w:val="24"/>
        </w:rPr>
        <w:t>)</w:t>
      </w:r>
    </w:p>
    <w:p w:rsidR="00BF4753" w:rsidRPr="008C0CE2" w:rsidRDefault="00BF4753" w:rsidP="00BF4753">
      <w:pPr>
        <w:rPr>
          <w:rFonts w:cs="Times New Roman"/>
          <w:szCs w:val="24"/>
        </w:rPr>
      </w:pPr>
      <w:r w:rsidRPr="008C0CE2">
        <w:rPr>
          <w:rFonts w:cs="Times New Roman"/>
          <w:szCs w:val="24"/>
        </w:rPr>
        <w:t xml:space="preserve">Atbilstoši prognozēm vispārējās valdības ieņēmumu īpatsvars </w:t>
      </w:r>
      <w:r>
        <w:rPr>
          <w:rFonts w:cs="Times New Roman"/>
          <w:color w:val="000000"/>
          <w:szCs w:val="24"/>
        </w:rPr>
        <w:t>iekšzemes kopprodukta</w:t>
      </w:r>
      <w:r w:rsidRPr="008C0CE2">
        <w:rPr>
          <w:rFonts w:cs="Times New Roman"/>
          <w:szCs w:val="24"/>
        </w:rPr>
        <w:t xml:space="preserve"> 2021. gadā palielināsies un būs 39,3% no </w:t>
      </w:r>
      <w:r>
        <w:rPr>
          <w:rFonts w:cs="Times New Roman"/>
          <w:color w:val="000000"/>
          <w:szCs w:val="24"/>
        </w:rPr>
        <w:t>iekšzemes kopprodukta</w:t>
      </w:r>
      <w:r w:rsidRPr="008C0CE2">
        <w:rPr>
          <w:rFonts w:cs="Times New Roman"/>
          <w:szCs w:val="24"/>
        </w:rPr>
        <w:t xml:space="preserve">. Vēl augstāks ieņēmumu līmenis sagaidāms 2022. gadā, t.i., 39,9% no </w:t>
      </w:r>
      <w:r>
        <w:rPr>
          <w:rFonts w:cs="Times New Roman"/>
          <w:color w:val="000000"/>
          <w:szCs w:val="24"/>
        </w:rPr>
        <w:t>iekšzemes kopprodukta</w:t>
      </w:r>
      <w:r w:rsidRPr="008C0CE2">
        <w:rPr>
          <w:rFonts w:cs="Times New Roman"/>
          <w:szCs w:val="24"/>
        </w:rPr>
        <w:t xml:space="preserve">, bet 2023. un 2024. gadā tas samazināsies līdz attiecīgi 39% un 38,6% no </w:t>
      </w:r>
      <w:r>
        <w:rPr>
          <w:rFonts w:cs="Times New Roman"/>
          <w:color w:val="000000"/>
          <w:szCs w:val="24"/>
        </w:rPr>
        <w:t>iekšzemes kopprodukta.</w:t>
      </w:r>
      <w:r w:rsidRPr="008C0CE2">
        <w:rPr>
          <w:rFonts w:cs="Times New Roman"/>
          <w:szCs w:val="24"/>
        </w:rPr>
        <w:t xml:space="preserve"> Augstāku līmeni 2022. gadā noteiks pieaugums ārvalstu finanšu palīdzības plūsmās, tāpat arī </w:t>
      </w:r>
      <w:r>
        <w:rPr>
          <w:rFonts w:cs="Times New Roman"/>
          <w:szCs w:val="24"/>
        </w:rPr>
        <w:t>iedzīvotāju ienākuma nodokļa</w:t>
      </w:r>
      <w:r w:rsidRPr="008C0CE2">
        <w:rPr>
          <w:rFonts w:cs="Times New Roman"/>
          <w:szCs w:val="24"/>
        </w:rPr>
        <w:t xml:space="preserve"> ieņēmumos, jo netiek paredzēts tālāks pieaugums ar nodokli neapliekamajā ieņēmumu bāzē. Savukārt ieņēmumu īpatsvara samazināšanos 2023. </w:t>
      </w:r>
      <w:r>
        <w:rPr>
          <w:rFonts w:cs="Times New Roman"/>
          <w:szCs w:val="24"/>
        </w:rPr>
        <w:t>gadā ietekmēs samazinājums Eiropas Savienības</w:t>
      </w:r>
      <w:r w:rsidRPr="008C0CE2">
        <w:rPr>
          <w:rFonts w:cs="Times New Roman"/>
          <w:szCs w:val="24"/>
        </w:rPr>
        <w:t xml:space="preserve"> fondu investīciju apmērā, bet 2024. gadā procentuāli pret </w:t>
      </w:r>
      <w:r>
        <w:rPr>
          <w:rFonts w:cs="Times New Roman"/>
          <w:color w:val="000000"/>
          <w:szCs w:val="24"/>
        </w:rPr>
        <w:t xml:space="preserve">iekšzemes kopproduktu </w:t>
      </w:r>
      <w:r w:rsidRPr="008C0CE2">
        <w:rPr>
          <w:rFonts w:cs="Times New Roman"/>
          <w:szCs w:val="24"/>
        </w:rPr>
        <w:t xml:space="preserve">zemāki būs ieņēmumi no īpašuma. Nominālā izteiksmē ieņēmumu apjoms vidējā termiņā pieaugs. Sagaidāms, ka vispārējās valdības izdevumu īpatsvars </w:t>
      </w:r>
      <w:r>
        <w:rPr>
          <w:rFonts w:cs="Times New Roman"/>
          <w:color w:val="000000"/>
          <w:szCs w:val="24"/>
        </w:rPr>
        <w:t>iekšzemes kopproduktā</w:t>
      </w:r>
      <w:r w:rsidRPr="008C0CE2">
        <w:rPr>
          <w:rFonts w:cs="Times New Roman"/>
          <w:szCs w:val="24"/>
        </w:rPr>
        <w:t xml:space="preserve"> pēc būtiskā pieauguma 2021. gadā, kad paredzēts plašs valdības apstiprinātais atbalsts tautsaimniecībai Covid-19 seku mazināšanai, vidējā termiņā attiecībā pret </w:t>
      </w:r>
      <w:r>
        <w:rPr>
          <w:rFonts w:cs="Times New Roman"/>
          <w:color w:val="000000"/>
          <w:szCs w:val="24"/>
        </w:rPr>
        <w:t>iekšzemes kopproduktu</w:t>
      </w:r>
      <w:r w:rsidRPr="008C0CE2">
        <w:rPr>
          <w:rFonts w:cs="Times New Roman"/>
          <w:szCs w:val="24"/>
        </w:rPr>
        <w:t xml:space="preserve"> ik gadu samazināsies. Izdevumu īpatsvara samazināšanās vidējā termiņā lielā mērā skaidrojama ar to, ka lēmumi par papildus izdevumu iniciatīvām tiek pieņemti, tuvojoties kārtējā gada budžeta apstiprināšanai.</w:t>
      </w:r>
    </w:p>
    <w:p w:rsidR="00BF4753" w:rsidRPr="008C0CE2" w:rsidRDefault="00BF4753" w:rsidP="00BF4753">
      <w:pPr>
        <w:spacing w:after="160" w:line="259" w:lineRule="auto"/>
        <w:ind w:firstLine="0"/>
        <w:jc w:val="left"/>
        <w:rPr>
          <w:rFonts w:eastAsiaTheme="minorHAnsi" w:cs="Times New Roman"/>
          <w:b/>
          <w:sz w:val="24"/>
          <w:szCs w:val="24"/>
        </w:rPr>
      </w:pPr>
      <w:r w:rsidRPr="008C0CE2">
        <w:rPr>
          <w:rFonts w:eastAsiaTheme="minorHAnsi" w:cs="Times New Roman"/>
          <w:b/>
          <w:sz w:val="24"/>
          <w:szCs w:val="24"/>
        </w:rPr>
        <w:br w:type="page"/>
      </w:r>
    </w:p>
    <w:p w:rsidR="00BF4753" w:rsidRPr="008C0CE2" w:rsidRDefault="00BF4753" w:rsidP="00BF4753">
      <w:pPr>
        <w:spacing w:after="120"/>
        <w:jc w:val="right"/>
        <w:rPr>
          <w:rFonts w:eastAsiaTheme="minorHAnsi" w:cs="Times New Roman"/>
          <w:b/>
          <w:i/>
          <w:sz w:val="24"/>
          <w:szCs w:val="24"/>
        </w:rPr>
      </w:pPr>
      <w:r w:rsidRPr="008C0CE2">
        <w:rPr>
          <w:rFonts w:eastAsiaTheme="minorHAnsi" w:cs="Times New Roman"/>
          <w:b/>
          <w:i/>
          <w:sz w:val="24"/>
          <w:szCs w:val="24"/>
        </w:rPr>
        <w:lastRenderedPageBreak/>
        <w:t>3.2. tabula. Fiskālās attīstības scenārijs pie nemainīgas politikas</w:t>
      </w:r>
    </w:p>
    <w:tbl>
      <w:tblPr>
        <w:tblStyle w:val="TableGrid71"/>
        <w:tblW w:w="9067" w:type="dxa"/>
        <w:jc w:val="center"/>
        <w:tblLayout w:type="fixed"/>
        <w:tblLook w:val="0000" w:firstRow="0" w:lastRow="0" w:firstColumn="0" w:lastColumn="0" w:noHBand="0" w:noVBand="0"/>
      </w:tblPr>
      <w:tblGrid>
        <w:gridCol w:w="2547"/>
        <w:gridCol w:w="850"/>
        <w:gridCol w:w="993"/>
        <w:gridCol w:w="1134"/>
        <w:gridCol w:w="1134"/>
        <w:gridCol w:w="992"/>
        <w:gridCol w:w="1417"/>
      </w:tblGrid>
      <w:tr w:rsidR="00BF4753" w:rsidRPr="008C0CE2" w:rsidTr="00F009B4">
        <w:trPr>
          <w:trHeight w:hRule="exact" w:val="340"/>
          <w:jc w:val="center"/>
        </w:trPr>
        <w:tc>
          <w:tcPr>
            <w:tcW w:w="2547" w:type="dxa"/>
            <w:shd w:val="clear" w:color="auto" w:fill="BDD6EE" w:themeFill="accent1" w:themeFillTint="66"/>
          </w:tcPr>
          <w:p w:rsidR="00BF4753" w:rsidRPr="008C0CE2" w:rsidRDefault="00BF4753" w:rsidP="002D7CA8">
            <w:pPr>
              <w:spacing w:after="160" w:line="259" w:lineRule="auto"/>
              <w:ind w:firstLine="0"/>
              <w:rPr>
                <w:rFonts w:eastAsia="Times New Roman" w:cs="Times New Roman"/>
                <w:b/>
                <w:sz w:val="20"/>
                <w:szCs w:val="20"/>
              </w:rPr>
            </w:pPr>
          </w:p>
        </w:tc>
        <w:tc>
          <w:tcPr>
            <w:tcW w:w="850" w:type="dxa"/>
            <w:shd w:val="clear" w:color="auto" w:fill="BDD6EE" w:themeFill="accent1" w:themeFillTint="66"/>
          </w:tcPr>
          <w:p w:rsidR="00BF4753" w:rsidRPr="008C0CE2" w:rsidRDefault="00BF4753" w:rsidP="002D7CA8">
            <w:pPr>
              <w:spacing w:after="160" w:line="259" w:lineRule="auto"/>
              <w:ind w:firstLine="0"/>
              <w:rPr>
                <w:rFonts w:eastAsia="Times New Roman" w:cs="Times New Roman"/>
                <w:b/>
                <w:sz w:val="20"/>
                <w:szCs w:val="20"/>
              </w:rPr>
            </w:pPr>
          </w:p>
        </w:tc>
        <w:tc>
          <w:tcPr>
            <w:tcW w:w="993" w:type="dxa"/>
            <w:shd w:val="clear" w:color="auto" w:fill="BDD6EE" w:themeFill="accent1" w:themeFillTint="66"/>
          </w:tcPr>
          <w:p w:rsidR="00BF4753" w:rsidRPr="008C0CE2" w:rsidRDefault="00BF4753" w:rsidP="002D7CA8">
            <w:pPr>
              <w:spacing w:after="160" w:line="259" w:lineRule="auto"/>
              <w:ind w:firstLine="0"/>
              <w:jc w:val="center"/>
              <w:rPr>
                <w:rFonts w:eastAsia="Times New Roman" w:cs="Times New Roman"/>
                <w:b/>
                <w:sz w:val="20"/>
                <w:szCs w:val="20"/>
              </w:rPr>
            </w:pPr>
            <w:r w:rsidRPr="008C0CE2">
              <w:rPr>
                <w:rFonts w:eastAsia="Times New Roman" w:cs="Times New Roman"/>
                <w:b/>
                <w:sz w:val="20"/>
                <w:szCs w:val="20"/>
              </w:rPr>
              <w:t>2020</w:t>
            </w:r>
          </w:p>
        </w:tc>
        <w:tc>
          <w:tcPr>
            <w:tcW w:w="1134" w:type="dxa"/>
            <w:shd w:val="clear" w:color="auto" w:fill="BDD6EE" w:themeFill="accent1" w:themeFillTint="66"/>
          </w:tcPr>
          <w:p w:rsidR="00BF4753" w:rsidRPr="008C0CE2" w:rsidRDefault="00BF4753" w:rsidP="002D7CA8">
            <w:pPr>
              <w:spacing w:after="160" w:line="259" w:lineRule="auto"/>
              <w:ind w:firstLine="0"/>
              <w:jc w:val="center"/>
              <w:rPr>
                <w:rFonts w:eastAsia="Times New Roman" w:cs="Times New Roman"/>
                <w:b/>
                <w:sz w:val="20"/>
                <w:szCs w:val="20"/>
              </w:rPr>
            </w:pPr>
            <w:r w:rsidRPr="008C0CE2">
              <w:rPr>
                <w:rFonts w:eastAsia="Times New Roman" w:cs="Times New Roman"/>
                <w:b/>
                <w:sz w:val="20"/>
                <w:szCs w:val="20"/>
              </w:rPr>
              <w:t>2021</w:t>
            </w:r>
          </w:p>
        </w:tc>
        <w:tc>
          <w:tcPr>
            <w:tcW w:w="1134" w:type="dxa"/>
            <w:shd w:val="clear" w:color="auto" w:fill="BDD6EE" w:themeFill="accent1" w:themeFillTint="66"/>
          </w:tcPr>
          <w:p w:rsidR="00BF4753" w:rsidRPr="008C0CE2" w:rsidRDefault="00BF4753" w:rsidP="002D7CA8">
            <w:pPr>
              <w:spacing w:after="160" w:line="259" w:lineRule="auto"/>
              <w:ind w:firstLine="0"/>
              <w:jc w:val="center"/>
              <w:rPr>
                <w:rFonts w:eastAsia="Times New Roman" w:cs="Times New Roman"/>
                <w:b/>
                <w:sz w:val="20"/>
                <w:szCs w:val="20"/>
              </w:rPr>
            </w:pPr>
            <w:r w:rsidRPr="008C0CE2">
              <w:rPr>
                <w:rFonts w:eastAsia="Times New Roman" w:cs="Times New Roman"/>
                <w:b/>
                <w:sz w:val="20"/>
                <w:szCs w:val="20"/>
              </w:rPr>
              <w:t>2022</w:t>
            </w:r>
          </w:p>
        </w:tc>
        <w:tc>
          <w:tcPr>
            <w:tcW w:w="992" w:type="dxa"/>
            <w:shd w:val="clear" w:color="auto" w:fill="BDD6EE" w:themeFill="accent1" w:themeFillTint="66"/>
          </w:tcPr>
          <w:p w:rsidR="00BF4753" w:rsidRPr="008C0CE2" w:rsidRDefault="00BF4753" w:rsidP="002D7CA8">
            <w:pPr>
              <w:spacing w:after="160" w:line="259" w:lineRule="auto"/>
              <w:ind w:firstLine="0"/>
              <w:jc w:val="center"/>
              <w:rPr>
                <w:rFonts w:eastAsia="Times New Roman" w:cs="Times New Roman"/>
                <w:b/>
                <w:sz w:val="20"/>
                <w:szCs w:val="20"/>
              </w:rPr>
            </w:pPr>
            <w:r w:rsidRPr="008C0CE2">
              <w:rPr>
                <w:rFonts w:eastAsia="Times New Roman" w:cs="Times New Roman"/>
                <w:b/>
                <w:sz w:val="20"/>
                <w:szCs w:val="20"/>
              </w:rPr>
              <w:t>2023</w:t>
            </w:r>
          </w:p>
        </w:tc>
        <w:tc>
          <w:tcPr>
            <w:tcW w:w="1417" w:type="dxa"/>
            <w:shd w:val="clear" w:color="auto" w:fill="BDD6EE" w:themeFill="accent1" w:themeFillTint="66"/>
          </w:tcPr>
          <w:p w:rsidR="00BF4753" w:rsidRPr="008C0CE2" w:rsidRDefault="00BF4753" w:rsidP="002D7CA8">
            <w:pPr>
              <w:spacing w:after="160" w:line="259" w:lineRule="auto"/>
              <w:ind w:firstLine="0"/>
              <w:jc w:val="center"/>
              <w:rPr>
                <w:rFonts w:eastAsia="Times New Roman" w:cs="Times New Roman"/>
                <w:b/>
                <w:sz w:val="20"/>
                <w:szCs w:val="20"/>
              </w:rPr>
            </w:pPr>
            <w:r w:rsidRPr="008C0CE2">
              <w:rPr>
                <w:rFonts w:eastAsia="Times New Roman" w:cs="Times New Roman"/>
                <w:b/>
                <w:sz w:val="20"/>
                <w:szCs w:val="20"/>
              </w:rPr>
              <w:t>2024</w:t>
            </w:r>
          </w:p>
        </w:tc>
      </w:tr>
      <w:tr w:rsidR="00BF4753" w:rsidRPr="008C0CE2" w:rsidTr="00F009B4">
        <w:trPr>
          <w:trHeight w:hRule="exact" w:val="340"/>
          <w:jc w:val="center"/>
        </w:trPr>
        <w:tc>
          <w:tcPr>
            <w:tcW w:w="2547" w:type="dxa"/>
          </w:tcPr>
          <w:p w:rsidR="00BF4753" w:rsidRPr="008C0CE2" w:rsidRDefault="00BF4753" w:rsidP="002D7CA8">
            <w:pPr>
              <w:spacing w:after="160" w:line="259" w:lineRule="auto"/>
              <w:ind w:firstLine="0"/>
              <w:rPr>
                <w:rFonts w:eastAsia="Times New Roman" w:cs="Times New Roman"/>
                <w:sz w:val="20"/>
                <w:szCs w:val="20"/>
              </w:rPr>
            </w:pPr>
          </w:p>
        </w:tc>
        <w:tc>
          <w:tcPr>
            <w:tcW w:w="850" w:type="dxa"/>
          </w:tcPr>
          <w:p w:rsidR="00BF4753" w:rsidRPr="008C0CE2" w:rsidRDefault="00BF4753" w:rsidP="002D7CA8">
            <w:pPr>
              <w:spacing w:after="160" w:line="259" w:lineRule="auto"/>
              <w:ind w:firstLine="0"/>
              <w:jc w:val="center"/>
              <w:rPr>
                <w:rFonts w:eastAsia="Times New Roman" w:cs="Times New Roman"/>
                <w:b/>
                <w:sz w:val="20"/>
                <w:szCs w:val="20"/>
              </w:rPr>
            </w:pPr>
            <w:r w:rsidRPr="008C0CE2">
              <w:rPr>
                <w:rFonts w:eastAsia="Times New Roman" w:cs="Times New Roman"/>
                <w:b/>
                <w:sz w:val="20"/>
                <w:szCs w:val="20"/>
              </w:rPr>
              <w:t>EKS kods</w:t>
            </w:r>
          </w:p>
        </w:tc>
        <w:tc>
          <w:tcPr>
            <w:tcW w:w="5670" w:type="dxa"/>
            <w:gridSpan w:val="5"/>
            <w:vAlign w:val="center"/>
          </w:tcPr>
          <w:p w:rsidR="00BF4753" w:rsidRPr="008C0CE2" w:rsidRDefault="00BF4753" w:rsidP="002D7CA8">
            <w:pPr>
              <w:spacing w:after="160" w:line="259" w:lineRule="auto"/>
              <w:ind w:firstLine="0"/>
              <w:jc w:val="center"/>
              <w:rPr>
                <w:rFonts w:eastAsia="Times New Roman" w:cs="Times New Roman"/>
                <w:b/>
                <w:sz w:val="20"/>
                <w:szCs w:val="20"/>
              </w:rPr>
            </w:pPr>
            <w:r>
              <w:rPr>
                <w:rFonts w:eastAsia="Times New Roman" w:cs="Times New Roman"/>
                <w:b/>
                <w:sz w:val="20"/>
                <w:szCs w:val="20"/>
              </w:rPr>
              <w:t xml:space="preserve">% no </w:t>
            </w:r>
            <w:r w:rsidRPr="0023565D">
              <w:rPr>
                <w:rFonts w:eastAsia="Times New Roman" w:cs="Times New Roman"/>
                <w:b/>
                <w:sz w:val="20"/>
                <w:szCs w:val="20"/>
              </w:rPr>
              <w:t>iekšzemes kopprodukta</w:t>
            </w:r>
          </w:p>
        </w:tc>
      </w:tr>
      <w:tr w:rsidR="00BF4753" w:rsidRPr="008C0CE2" w:rsidTr="00F009B4">
        <w:trPr>
          <w:trHeight w:hRule="exact" w:val="340"/>
          <w:jc w:val="center"/>
        </w:trPr>
        <w:tc>
          <w:tcPr>
            <w:tcW w:w="9067" w:type="dxa"/>
            <w:gridSpan w:val="7"/>
            <w:shd w:val="clear" w:color="auto" w:fill="BDD6EE" w:themeFill="accent1" w:themeFillTint="66"/>
          </w:tcPr>
          <w:p w:rsidR="00BF4753" w:rsidRPr="008C0CE2" w:rsidRDefault="00BF4753" w:rsidP="002D7CA8">
            <w:pPr>
              <w:spacing w:after="160" w:line="259" w:lineRule="auto"/>
              <w:ind w:firstLine="0"/>
              <w:jc w:val="center"/>
              <w:rPr>
                <w:rFonts w:eastAsia="Times New Roman" w:cs="Times New Roman"/>
                <w:b/>
                <w:sz w:val="20"/>
                <w:szCs w:val="20"/>
              </w:rPr>
            </w:pPr>
            <w:r w:rsidRPr="008C0CE2">
              <w:rPr>
                <w:rFonts w:eastAsia="Times New Roman" w:cs="Times New Roman"/>
                <w:b/>
                <w:sz w:val="20"/>
                <w:szCs w:val="20"/>
              </w:rPr>
              <w:t>Neto aizdevumi (+) vai aizņēmumi (-) (B.9) pa apakšsektoriem</w:t>
            </w:r>
          </w:p>
        </w:tc>
      </w:tr>
      <w:tr w:rsidR="00BF4753" w:rsidRPr="008C0CE2" w:rsidTr="00F009B4">
        <w:trPr>
          <w:trHeight w:hRule="exact" w:val="340"/>
          <w:jc w:val="center"/>
        </w:trPr>
        <w:tc>
          <w:tcPr>
            <w:tcW w:w="2547" w:type="dxa"/>
          </w:tcPr>
          <w:p w:rsidR="00BF4753" w:rsidRPr="008C0CE2" w:rsidRDefault="00BF4753" w:rsidP="002D7CA8">
            <w:pPr>
              <w:spacing w:after="160" w:line="259" w:lineRule="auto"/>
              <w:ind w:firstLine="0"/>
              <w:rPr>
                <w:rFonts w:eastAsia="Times New Roman" w:cs="Times New Roman"/>
                <w:snapToGrid w:val="0"/>
                <w:sz w:val="20"/>
                <w:szCs w:val="20"/>
              </w:rPr>
            </w:pPr>
            <w:r w:rsidRPr="008C0CE2">
              <w:rPr>
                <w:rFonts w:eastAsia="Times New Roman" w:cs="Times New Roman"/>
                <w:snapToGrid w:val="0"/>
                <w:sz w:val="20"/>
                <w:szCs w:val="20"/>
              </w:rPr>
              <w:t>Vispārējā valdība</w:t>
            </w:r>
          </w:p>
        </w:tc>
        <w:tc>
          <w:tcPr>
            <w:tcW w:w="850" w:type="dxa"/>
          </w:tcPr>
          <w:p w:rsidR="00BF4753" w:rsidRPr="008C0CE2" w:rsidRDefault="00BF4753" w:rsidP="002D7CA8">
            <w:pPr>
              <w:spacing w:after="160" w:line="259" w:lineRule="auto"/>
              <w:ind w:firstLine="0"/>
              <w:jc w:val="center"/>
              <w:rPr>
                <w:rFonts w:eastAsia="Times New Roman" w:cs="Times New Roman"/>
                <w:sz w:val="20"/>
                <w:szCs w:val="20"/>
              </w:rPr>
            </w:pPr>
            <w:r w:rsidRPr="008C0CE2">
              <w:rPr>
                <w:rFonts w:eastAsia="Times New Roman" w:cs="Times New Roman"/>
                <w:sz w:val="20"/>
                <w:szCs w:val="20"/>
              </w:rPr>
              <w:t>S.13</w:t>
            </w:r>
          </w:p>
        </w:tc>
        <w:tc>
          <w:tcPr>
            <w:tcW w:w="993"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-5,4</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-9,3</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-2,7</w:t>
            </w:r>
          </w:p>
        </w:tc>
        <w:tc>
          <w:tcPr>
            <w:tcW w:w="992"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-1,3</w:t>
            </w:r>
          </w:p>
        </w:tc>
        <w:tc>
          <w:tcPr>
            <w:tcW w:w="1417"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-0,3</w:t>
            </w:r>
          </w:p>
        </w:tc>
      </w:tr>
      <w:tr w:rsidR="00BF4753" w:rsidRPr="008C0CE2" w:rsidTr="00F009B4">
        <w:trPr>
          <w:trHeight w:hRule="exact" w:val="340"/>
          <w:jc w:val="center"/>
        </w:trPr>
        <w:tc>
          <w:tcPr>
            <w:tcW w:w="2547" w:type="dxa"/>
            <w:shd w:val="clear" w:color="auto" w:fill="DEEAF6" w:themeFill="accent1" w:themeFillTint="33"/>
          </w:tcPr>
          <w:p w:rsidR="00BF4753" w:rsidRPr="008C0CE2" w:rsidRDefault="00BF4753" w:rsidP="002D7CA8">
            <w:pPr>
              <w:spacing w:after="160" w:line="259" w:lineRule="auto"/>
              <w:ind w:firstLine="0"/>
              <w:jc w:val="right"/>
              <w:rPr>
                <w:rFonts w:eastAsia="Times New Roman" w:cs="Times New Roman"/>
                <w:snapToGrid w:val="0"/>
                <w:sz w:val="20"/>
                <w:szCs w:val="20"/>
              </w:rPr>
            </w:pPr>
            <w:r w:rsidRPr="008C0CE2">
              <w:rPr>
                <w:rFonts w:eastAsia="Times New Roman" w:cs="Times New Roman"/>
                <w:snapToGrid w:val="0"/>
                <w:sz w:val="20"/>
                <w:szCs w:val="20"/>
              </w:rPr>
              <w:t>t.sk. komersanti</w:t>
            </w:r>
            <w:r w:rsidRPr="008C0CE2">
              <w:rPr>
                <w:rFonts w:eastAsia="Times New Roman" w:cs="Times New Roman"/>
                <w:snapToGrid w:val="0"/>
                <w:sz w:val="20"/>
                <w:szCs w:val="20"/>
                <w:vertAlign w:val="superscript"/>
              </w:rPr>
              <w:footnoteReference w:id="6"/>
            </w:r>
          </w:p>
        </w:tc>
        <w:tc>
          <w:tcPr>
            <w:tcW w:w="850" w:type="dxa"/>
            <w:shd w:val="clear" w:color="auto" w:fill="DEEAF6" w:themeFill="accent1" w:themeFillTint="33"/>
          </w:tcPr>
          <w:p w:rsidR="00BF4753" w:rsidRPr="008C0CE2" w:rsidRDefault="00BF4753" w:rsidP="002D7CA8">
            <w:pPr>
              <w:spacing w:after="160" w:line="259" w:lineRule="auto"/>
              <w:ind w:firstLine="0"/>
              <w:jc w:val="right"/>
              <w:rPr>
                <w:rFonts w:eastAsia="Times New Roman" w:cs="Times New Roman"/>
                <w:sz w:val="20"/>
                <w:szCs w:val="20"/>
              </w:rPr>
            </w:pPr>
          </w:p>
        </w:tc>
        <w:tc>
          <w:tcPr>
            <w:tcW w:w="993" w:type="dxa"/>
            <w:shd w:val="clear" w:color="auto" w:fill="DEEAF6" w:themeFill="accent1" w:themeFillTint="33"/>
            <w:vAlign w:val="center"/>
          </w:tcPr>
          <w:p w:rsidR="00BF4753" w:rsidRPr="008C0CE2" w:rsidRDefault="00BF4753" w:rsidP="002D7CA8">
            <w:pPr>
              <w:spacing w:after="160" w:line="259" w:lineRule="auto"/>
              <w:ind w:firstLine="0"/>
              <w:jc w:val="right"/>
              <w:rPr>
                <w:rFonts w:eastAsia="Times New Roman" w:cs="Times New Roman"/>
                <w:color w:val="000000"/>
                <w:sz w:val="20"/>
                <w:szCs w:val="20"/>
              </w:rPr>
            </w:pPr>
            <w:r w:rsidRPr="008C0CE2">
              <w:rPr>
                <w:rFonts w:eastAsia="Times New Roman" w:cs="Times New Roman"/>
                <w:color w:val="000000"/>
                <w:sz w:val="20"/>
                <w:szCs w:val="20"/>
              </w:rPr>
              <w:t>-0,2</w:t>
            </w:r>
          </w:p>
        </w:tc>
        <w:tc>
          <w:tcPr>
            <w:tcW w:w="1134" w:type="dxa"/>
            <w:shd w:val="clear" w:color="auto" w:fill="DEEAF6" w:themeFill="accent1" w:themeFillTint="33"/>
            <w:vAlign w:val="center"/>
          </w:tcPr>
          <w:p w:rsidR="00BF4753" w:rsidRPr="008C0CE2" w:rsidRDefault="00BF4753" w:rsidP="002D7CA8">
            <w:pPr>
              <w:spacing w:after="160" w:line="259" w:lineRule="auto"/>
              <w:ind w:firstLine="0"/>
              <w:jc w:val="right"/>
              <w:rPr>
                <w:rFonts w:eastAsia="Times New Roman" w:cs="Times New Roman"/>
                <w:color w:val="000000"/>
                <w:sz w:val="20"/>
                <w:szCs w:val="20"/>
              </w:rPr>
            </w:pPr>
            <w:r w:rsidRPr="008C0CE2">
              <w:rPr>
                <w:rFonts w:eastAsia="Times New Roman" w:cs="Times New Roman"/>
                <w:color w:val="000000"/>
                <w:sz w:val="20"/>
                <w:szCs w:val="20"/>
              </w:rPr>
              <w:t>-0,4</w:t>
            </w:r>
          </w:p>
        </w:tc>
        <w:tc>
          <w:tcPr>
            <w:tcW w:w="1134" w:type="dxa"/>
            <w:shd w:val="clear" w:color="auto" w:fill="DEEAF6" w:themeFill="accent1" w:themeFillTint="33"/>
            <w:vAlign w:val="center"/>
          </w:tcPr>
          <w:p w:rsidR="00BF4753" w:rsidRPr="008C0CE2" w:rsidRDefault="00BF4753" w:rsidP="002D7CA8">
            <w:pPr>
              <w:spacing w:after="160" w:line="259" w:lineRule="auto"/>
              <w:ind w:firstLine="0"/>
              <w:jc w:val="right"/>
              <w:rPr>
                <w:rFonts w:eastAsia="Times New Roman" w:cs="Times New Roman"/>
                <w:color w:val="000000"/>
                <w:sz w:val="20"/>
                <w:szCs w:val="20"/>
              </w:rPr>
            </w:pPr>
            <w:r w:rsidRPr="008C0CE2">
              <w:rPr>
                <w:rFonts w:eastAsia="Times New Roman" w:cs="Times New Roman"/>
                <w:color w:val="000000"/>
                <w:sz w:val="20"/>
                <w:szCs w:val="20"/>
              </w:rPr>
              <w:t>-0,2</w:t>
            </w:r>
          </w:p>
        </w:tc>
        <w:tc>
          <w:tcPr>
            <w:tcW w:w="992" w:type="dxa"/>
            <w:shd w:val="clear" w:color="auto" w:fill="DEEAF6" w:themeFill="accent1" w:themeFillTint="33"/>
            <w:vAlign w:val="center"/>
          </w:tcPr>
          <w:p w:rsidR="00BF4753" w:rsidRPr="008C0CE2" w:rsidRDefault="00BF4753" w:rsidP="002D7CA8">
            <w:pPr>
              <w:spacing w:after="160" w:line="259" w:lineRule="auto"/>
              <w:ind w:firstLine="0"/>
              <w:jc w:val="right"/>
              <w:rPr>
                <w:rFonts w:eastAsia="Times New Roman" w:cs="Times New Roman"/>
                <w:color w:val="000000"/>
                <w:sz w:val="20"/>
                <w:szCs w:val="20"/>
              </w:rPr>
            </w:pPr>
            <w:r w:rsidRPr="008C0CE2">
              <w:rPr>
                <w:rFonts w:eastAsia="Times New Roman" w:cs="Times New Roman"/>
                <w:color w:val="000000"/>
                <w:sz w:val="20"/>
                <w:szCs w:val="20"/>
              </w:rPr>
              <w:t>-0,2</w:t>
            </w:r>
          </w:p>
        </w:tc>
        <w:tc>
          <w:tcPr>
            <w:tcW w:w="1417" w:type="dxa"/>
            <w:shd w:val="clear" w:color="auto" w:fill="DEEAF6" w:themeFill="accent1" w:themeFillTint="33"/>
            <w:vAlign w:val="center"/>
          </w:tcPr>
          <w:p w:rsidR="00BF4753" w:rsidRPr="008C0CE2" w:rsidRDefault="00BF4753" w:rsidP="002D7CA8">
            <w:pPr>
              <w:spacing w:after="160" w:line="259" w:lineRule="auto"/>
              <w:ind w:firstLine="0"/>
              <w:jc w:val="right"/>
              <w:rPr>
                <w:rFonts w:eastAsia="Times New Roman" w:cs="Times New Roman"/>
                <w:color w:val="000000"/>
                <w:sz w:val="20"/>
                <w:szCs w:val="20"/>
              </w:rPr>
            </w:pPr>
            <w:r w:rsidRPr="008C0CE2">
              <w:rPr>
                <w:rFonts w:eastAsia="Times New Roman" w:cs="Times New Roman"/>
                <w:color w:val="000000"/>
                <w:sz w:val="20"/>
                <w:szCs w:val="20"/>
              </w:rPr>
              <w:t>0,1</w:t>
            </w:r>
          </w:p>
        </w:tc>
      </w:tr>
      <w:tr w:rsidR="00BF4753" w:rsidRPr="008C0CE2" w:rsidTr="00F009B4">
        <w:trPr>
          <w:trHeight w:hRule="exact" w:val="340"/>
          <w:jc w:val="center"/>
        </w:trPr>
        <w:tc>
          <w:tcPr>
            <w:tcW w:w="2547" w:type="dxa"/>
          </w:tcPr>
          <w:p w:rsidR="00BF4753" w:rsidRPr="008C0CE2" w:rsidRDefault="00BF4753" w:rsidP="002D7CA8">
            <w:pPr>
              <w:spacing w:after="160" w:line="259" w:lineRule="auto"/>
              <w:ind w:firstLine="0"/>
              <w:rPr>
                <w:rFonts w:eastAsia="Times New Roman" w:cs="Times New Roman"/>
                <w:snapToGrid w:val="0"/>
                <w:sz w:val="20"/>
                <w:szCs w:val="20"/>
              </w:rPr>
            </w:pPr>
            <w:r w:rsidRPr="008C0CE2">
              <w:rPr>
                <w:rFonts w:eastAsia="Times New Roman" w:cs="Times New Roman"/>
                <w:snapToGrid w:val="0"/>
                <w:sz w:val="20"/>
                <w:szCs w:val="20"/>
              </w:rPr>
              <w:t>Centrālā valdība</w:t>
            </w:r>
          </w:p>
        </w:tc>
        <w:tc>
          <w:tcPr>
            <w:tcW w:w="850" w:type="dxa"/>
          </w:tcPr>
          <w:p w:rsidR="00BF4753" w:rsidRPr="008C0CE2" w:rsidRDefault="00BF4753" w:rsidP="002D7CA8">
            <w:pPr>
              <w:spacing w:after="160" w:line="259" w:lineRule="auto"/>
              <w:ind w:firstLine="0"/>
              <w:jc w:val="center"/>
              <w:rPr>
                <w:rFonts w:eastAsia="Times New Roman" w:cs="Times New Roman"/>
                <w:sz w:val="20"/>
                <w:szCs w:val="20"/>
              </w:rPr>
            </w:pPr>
            <w:r w:rsidRPr="008C0CE2">
              <w:rPr>
                <w:rFonts w:eastAsia="Times New Roman" w:cs="Times New Roman"/>
                <w:sz w:val="20"/>
                <w:szCs w:val="20"/>
              </w:rPr>
              <w:t>S.1311</w:t>
            </w:r>
          </w:p>
        </w:tc>
        <w:tc>
          <w:tcPr>
            <w:tcW w:w="993" w:type="dxa"/>
            <w:shd w:val="clear" w:color="auto" w:fill="auto"/>
            <w:vAlign w:val="bottom"/>
          </w:tcPr>
          <w:p w:rsidR="00BF4753" w:rsidRPr="008C0CE2" w:rsidRDefault="00BF4753" w:rsidP="002D7CA8">
            <w:pPr>
              <w:spacing w:after="160" w:line="259" w:lineRule="auto"/>
              <w:ind w:firstLine="0"/>
              <w:jc w:val="center"/>
              <w:rPr>
                <w:rFonts w:eastAsia="Times New Roman" w:cs="Times New Roman"/>
                <w:snapToGrid w:val="0"/>
                <w:sz w:val="20"/>
                <w:szCs w:val="20"/>
              </w:rPr>
            </w:pPr>
            <w:r w:rsidRPr="008C0CE2">
              <w:rPr>
                <w:rFonts w:cs="Times New Roman"/>
                <w:color w:val="000000"/>
                <w:sz w:val="20"/>
                <w:szCs w:val="20"/>
              </w:rPr>
              <w:t>-5,4</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rPr>
            </w:pPr>
            <w:r w:rsidRPr="008C0CE2">
              <w:rPr>
                <w:rFonts w:cs="Times New Roman"/>
                <w:color w:val="000000"/>
                <w:sz w:val="20"/>
                <w:szCs w:val="20"/>
              </w:rPr>
              <w:t>-8,6</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rPr>
            </w:pPr>
            <w:r w:rsidRPr="008C0CE2">
              <w:rPr>
                <w:rFonts w:cs="Times New Roman"/>
                <w:color w:val="000000"/>
                <w:sz w:val="20"/>
                <w:szCs w:val="20"/>
              </w:rPr>
              <w:t>-2,5</w:t>
            </w:r>
          </w:p>
        </w:tc>
        <w:tc>
          <w:tcPr>
            <w:tcW w:w="992"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rPr>
            </w:pPr>
            <w:r w:rsidRPr="008C0CE2">
              <w:rPr>
                <w:rFonts w:cs="Times New Roman"/>
                <w:color w:val="000000"/>
                <w:sz w:val="20"/>
                <w:szCs w:val="20"/>
              </w:rPr>
              <w:t>-1,2</w:t>
            </w:r>
          </w:p>
        </w:tc>
        <w:tc>
          <w:tcPr>
            <w:tcW w:w="1417"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rPr>
            </w:pPr>
            <w:r w:rsidRPr="008C0CE2">
              <w:rPr>
                <w:rFonts w:cs="Times New Roman"/>
                <w:color w:val="000000"/>
                <w:sz w:val="20"/>
                <w:szCs w:val="20"/>
              </w:rPr>
              <w:t>-0,2</w:t>
            </w:r>
          </w:p>
        </w:tc>
      </w:tr>
      <w:tr w:rsidR="00BF4753" w:rsidRPr="008C0CE2" w:rsidTr="00F009B4">
        <w:trPr>
          <w:trHeight w:hRule="exact" w:val="340"/>
          <w:jc w:val="center"/>
        </w:trPr>
        <w:tc>
          <w:tcPr>
            <w:tcW w:w="2547" w:type="dxa"/>
            <w:shd w:val="clear" w:color="auto" w:fill="DEEAF6" w:themeFill="accent1" w:themeFillTint="33"/>
          </w:tcPr>
          <w:p w:rsidR="00BF4753" w:rsidRPr="008C0CE2" w:rsidRDefault="00BF4753" w:rsidP="002D7CA8">
            <w:pPr>
              <w:spacing w:after="160" w:line="259" w:lineRule="auto"/>
              <w:ind w:firstLine="0"/>
              <w:jc w:val="right"/>
              <w:rPr>
                <w:rFonts w:eastAsia="Times New Roman" w:cs="Times New Roman"/>
                <w:snapToGrid w:val="0"/>
                <w:sz w:val="20"/>
                <w:szCs w:val="20"/>
              </w:rPr>
            </w:pPr>
            <w:r w:rsidRPr="008C0CE2">
              <w:rPr>
                <w:rFonts w:eastAsia="Times New Roman" w:cs="Times New Roman"/>
                <w:snapToGrid w:val="0"/>
                <w:sz w:val="20"/>
                <w:szCs w:val="20"/>
              </w:rPr>
              <w:t>t.sk. komersanti</w:t>
            </w:r>
          </w:p>
        </w:tc>
        <w:tc>
          <w:tcPr>
            <w:tcW w:w="850" w:type="dxa"/>
            <w:shd w:val="clear" w:color="auto" w:fill="DEEAF6" w:themeFill="accent1" w:themeFillTint="33"/>
          </w:tcPr>
          <w:p w:rsidR="00BF4753" w:rsidRPr="008C0CE2" w:rsidRDefault="00BF4753" w:rsidP="002D7CA8">
            <w:pPr>
              <w:spacing w:after="160" w:line="259" w:lineRule="auto"/>
              <w:ind w:firstLine="0"/>
              <w:jc w:val="right"/>
              <w:rPr>
                <w:rFonts w:eastAsia="Times New Roman" w:cs="Times New Roman"/>
                <w:sz w:val="20"/>
                <w:szCs w:val="20"/>
              </w:rPr>
            </w:pPr>
          </w:p>
        </w:tc>
        <w:tc>
          <w:tcPr>
            <w:tcW w:w="993" w:type="dxa"/>
            <w:shd w:val="clear" w:color="auto" w:fill="DEEAF6" w:themeFill="accent1" w:themeFillTint="33"/>
            <w:vAlign w:val="center"/>
          </w:tcPr>
          <w:p w:rsidR="00BF4753" w:rsidRPr="008C0CE2" w:rsidRDefault="00BF4753" w:rsidP="002D7CA8">
            <w:pPr>
              <w:spacing w:after="160" w:line="259" w:lineRule="auto"/>
              <w:ind w:firstLine="0"/>
              <w:jc w:val="right"/>
              <w:rPr>
                <w:rFonts w:eastAsia="Times New Roman" w:cs="Times New Roman"/>
                <w:color w:val="000000"/>
                <w:sz w:val="20"/>
                <w:szCs w:val="20"/>
              </w:rPr>
            </w:pPr>
            <w:r w:rsidRPr="008C0CE2">
              <w:rPr>
                <w:rFonts w:eastAsia="Times New Roman" w:cs="Times New Roman"/>
                <w:color w:val="000000"/>
                <w:sz w:val="20"/>
                <w:szCs w:val="20"/>
              </w:rPr>
              <w:t>-0,2</w:t>
            </w:r>
          </w:p>
        </w:tc>
        <w:tc>
          <w:tcPr>
            <w:tcW w:w="1134" w:type="dxa"/>
            <w:shd w:val="clear" w:color="auto" w:fill="DEEAF6" w:themeFill="accent1" w:themeFillTint="33"/>
            <w:vAlign w:val="center"/>
          </w:tcPr>
          <w:p w:rsidR="00BF4753" w:rsidRPr="008C0CE2" w:rsidRDefault="00BF4753" w:rsidP="002D7CA8">
            <w:pPr>
              <w:spacing w:after="160" w:line="259" w:lineRule="auto"/>
              <w:ind w:firstLine="0"/>
              <w:jc w:val="right"/>
              <w:rPr>
                <w:rFonts w:eastAsia="Times New Roman" w:cs="Times New Roman"/>
                <w:color w:val="000000"/>
                <w:sz w:val="20"/>
                <w:szCs w:val="20"/>
              </w:rPr>
            </w:pPr>
            <w:r w:rsidRPr="008C0CE2">
              <w:rPr>
                <w:rFonts w:eastAsia="Times New Roman" w:cs="Times New Roman"/>
                <w:color w:val="000000"/>
                <w:sz w:val="20"/>
                <w:szCs w:val="20"/>
              </w:rPr>
              <w:t>-0,2</w:t>
            </w:r>
          </w:p>
        </w:tc>
        <w:tc>
          <w:tcPr>
            <w:tcW w:w="1134" w:type="dxa"/>
            <w:shd w:val="clear" w:color="auto" w:fill="DEEAF6" w:themeFill="accent1" w:themeFillTint="33"/>
            <w:vAlign w:val="center"/>
          </w:tcPr>
          <w:p w:rsidR="00BF4753" w:rsidRPr="008C0CE2" w:rsidRDefault="00BF4753" w:rsidP="002D7CA8">
            <w:pPr>
              <w:spacing w:after="160" w:line="259" w:lineRule="auto"/>
              <w:ind w:firstLine="0"/>
              <w:jc w:val="right"/>
              <w:rPr>
                <w:rFonts w:eastAsia="Times New Roman" w:cs="Times New Roman"/>
                <w:color w:val="000000"/>
                <w:sz w:val="20"/>
                <w:szCs w:val="20"/>
              </w:rPr>
            </w:pPr>
            <w:r w:rsidRPr="008C0CE2">
              <w:rPr>
                <w:rFonts w:eastAsia="Times New Roman" w:cs="Times New Roman"/>
                <w:color w:val="000000"/>
                <w:sz w:val="20"/>
                <w:szCs w:val="20"/>
              </w:rPr>
              <w:t>-0,2</w:t>
            </w:r>
          </w:p>
        </w:tc>
        <w:tc>
          <w:tcPr>
            <w:tcW w:w="992" w:type="dxa"/>
            <w:shd w:val="clear" w:color="auto" w:fill="DEEAF6" w:themeFill="accent1" w:themeFillTint="33"/>
            <w:vAlign w:val="center"/>
          </w:tcPr>
          <w:p w:rsidR="00BF4753" w:rsidRPr="008C0CE2" w:rsidRDefault="00BF4753" w:rsidP="002D7CA8">
            <w:pPr>
              <w:spacing w:after="160" w:line="259" w:lineRule="auto"/>
              <w:ind w:firstLine="0"/>
              <w:jc w:val="right"/>
              <w:rPr>
                <w:rFonts w:eastAsia="Times New Roman" w:cs="Times New Roman"/>
                <w:color w:val="000000"/>
                <w:sz w:val="20"/>
                <w:szCs w:val="20"/>
              </w:rPr>
            </w:pPr>
            <w:r w:rsidRPr="008C0CE2">
              <w:rPr>
                <w:rFonts w:eastAsia="Times New Roman" w:cs="Times New Roman"/>
                <w:color w:val="000000"/>
                <w:sz w:val="20"/>
                <w:szCs w:val="20"/>
              </w:rPr>
              <w:t>-0,2</w:t>
            </w:r>
          </w:p>
        </w:tc>
        <w:tc>
          <w:tcPr>
            <w:tcW w:w="1417" w:type="dxa"/>
            <w:shd w:val="clear" w:color="auto" w:fill="DEEAF6" w:themeFill="accent1" w:themeFillTint="33"/>
            <w:vAlign w:val="center"/>
          </w:tcPr>
          <w:p w:rsidR="00BF4753" w:rsidRPr="008C0CE2" w:rsidRDefault="00BF4753" w:rsidP="002D7CA8">
            <w:pPr>
              <w:spacing w:after="160" w:line="259" w:lineRule="auto"/>
              <w:ind w:firstLine="0"/>
              <w:jc w:val="right"/>
              <w:rPr>
                <w:rFonts w:eastAsia="Times New Roman" w:cs="Times New Roman"/>
                <w:color w:val="000000"/>
                <w:sz w:val="20"/>
                <w:szCs w:val="20"/>
              </w:rPr>
            </w:pPr>
            <w:r w:rsidRPr="008C0CE2">
              <w:rPr>
                <w:rFonts w:eastAsia="Times New Roman" w:cs="Times New Roman"/>
                <w:color w:val="000000"/>
                <w:sz w:val="20"/>
                <w:szCs w:val="20"/>
              </w:rPr>
              <w:t>0,0</w:t>
            </w:r>
          </w:p>
        </w:tc>
      </w:tr>
      <w:tr w:rsidR="00BF4753" w:rsidRPr="008C0CE2" w:rsidTr="00F009B4">
        <w:trPr>
          <w:trHeight w:hRule="exact" w:val="340"/>
          <w:jc w:val="center"/>
        </w:trPr>
        <w:tc>
          <w:tcPr>
            <w:tcW w:w="2547" w:type="dxa"/>
          </w:tcPr>
          <w:p w:rsidR="00BF4753" w:rsidRPr="008C0CE2" w:rsidRDefault="00BF4753" w:rsidP="002D7CA8">
            <w:pPr>
              <w:spacing w:after="160" w:line="259" w:lineRule="auto"/>
              <w:ind w:firstLine="0"/>
              <w:rPr>
                <w:rFonts w:eastAsia="Times New Roman" w:cs="Times New Roman"/>
                <w:snapToGrid w:val="0"/>
                <w:sz w:val="20"/>
                <w:szCs w:val="20"/>
              </w:rPr>
            </w:pPr>
            <w:r w:rsidRPr="008C0CE2">
              <w:rPr>
                <w:rFonts w:eastAsia="Times New Roman" w:cs="Times New Roman"/>
                <w:snapToGrid w:val="0"/>
                <w:sz w:val="20"/>
                <w:szCs w:val="20"/>
              </w:rPr>
              <w:t>Vietējā valdība</w:t>
            </w:r>
          </w:p>
        </w:tc>
        <w:tc>
          <w:tcPr>
            <w:tcW w:w="850" w:type="dxa"/>
          </w:tcPr>
          <w:p w:rsidR="00BF4753" w:rsidRPr="008C0CE2" w:rsidRDefault="00BF4753" w:rsidP="002D7CA8">
            <w:pPr>
              <w:spacing w:after="160" w:line="259" w:lineRule="auto"/>
              <w:ind w:firstLine="0"/>
              <w:jc w:val="center"/>
              <w:rPr>
                <w:rFonts w:eastAsia="Times New Roman" w:cs="Times New Roman"/>
                <w:sz w:val="20"/>
                <w:szCs w:val="20"/>
              </w:rPr>
            </w:pPr>
            <w:r w:rsidRPr="008C0CE2">
              <w:rPr>
                <w:rFonts w:eastAsia="Times New Roman" w:cs="Times New Roman"/>
                <w:sz w:val="20"/>
                <w:szCs w:val="20"/>
              </w:rPr>
              <w:t>S.1313</w:t>
            </w:r>
          </w:p>
        </w:tc>
        <w:tc>
          <w:tcPr>
            <w:tcW w:w="993" w:type="dxa"/>
            <w:shd w:val="clear" w:color="auto" w:fill="auto"/>
            <w:vAlign w:val="bottom"/>
          </w:tcPr>
          <w:p w:rsidR="00BF4753" w:rsidRPr="008C0CE2" w:rsidRDefault="00BF4753" w:rsidP="002D7CA8">
            <w:pPr>
              <w:spacing w:after="160" w:line="259" w:lineRule="auto"/>
              <w:ind w:firstLine="0"/>
              <w:jc w:val="center"/>
              <w:rPr>
                <w:rFonts w:eastAsia="Times New Roman" w:cs="Times New Roman"/>
                <w:snapToGrid w:val="0"/>
                <w:sz w:val="20"/>
                <w:szCs w:val="20"/>
              </w:rPr>
            </w:pPr>
            <w:r w:rsidRPr="008C0CE2">
              <w:rPr>
                <w:rFonts w:cs="Times New Roman"/>
                <w:color w:val="000000"/>
                <w:sz w:val="20"/>
                <w:szCs w:val="20"/>
              </w:rPr>
              <w:t>-0,4</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rPr>
            </w:pPr>
            <w:r w:rsidRPr="008C0CE2">
              <w:rPr>
                <w:rFonts w:cs="Times New Roman"/>
                <w:color w:val="000000"/>
                <w:sz w:val="20"/>
                <w:szCs w:val="20"/>
              </w:rPr>
              <w:t>-0,4</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rPr>
            </w:pPr>
            <w:r w:rsidRPr="008C0CE2">
              <w:rPr>
                <w:rFonts w:cs="Times New Roman"/>
                <w:color w:val="000000"/>
                <w:sz w:val="20"/>
                <w:szCs w:val="20"/>
              </w:rPr>
              <w:t>-0,1</w:t>
            </w:r>
          </w:p>
        </w:tc>
        <w:tc>
          <w:tcPr>
            <w:tcW w:w="992"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rPr>
            </w:pPr>
            <w:r w:rsidRPr="008C0CE2">
              <w:rPr>
                <w:rFonts w:cs="Times New Roman"/>
                <w:color w:val="000000"/>
                <w:sz w:val="20"/>
                <w:szCs w:val="20"/>
              </w:rPr>
              <w:t>-0,1</w:t>
            </w:r>
          </w:p>
        </w:tc>
        <w:tc>
          <w:tcPr>
            <w:tcW w:w="1417"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rPr>
            </w:pPr>
            <w:r w:rsidRPr="008C0CE2">
              <w:rPr>
                <w:rFonts w:cs="Times New Roman"/>
                <w:color w:val="000000"/>
                <w:sz w:val="20"/>
                <w:szCs w:val="20"/>
              </w:rPr>
              <w:t>-0,1</w:t>
            </w:r>
          </w:p>
        </w:tc>
      </w:tr>
      <w:tr w:rsidR="00BF4753" w:rsidRPr="008C0CE2" w:rsidTr="00F009B4">
        <w:trPr>
          <w:trHeight w:hRule="exact" w:val="340"/>
          <w:jc w:val="center"/>
        </w:trPr>
        <w:tc>
          <w:tcPr>
            <w:tcW w:w="2547" w:type="dxa"/>
            <w:shd w:val="clear" w:color="auto" w:fill="DEEAF6" w:themeFill="accent1" w:themeFillTint="33"/>
          </w:tcPr>
          <w:p w:rsidR="00BF4753" w:rsidRPr="008C0CE2" w:rsidRDefault="00BF4753" w:rsidP="002D7CA8">
            <w:pPr>
              <w:spacing w:after="160" w:line="259" w:lineRule="auto"/>
              <w:ind w:firstLine="0"/>
              <w:jc w:val="right"/>
              <w:rPr>
                <w:rFonts w:eastAsia="Times New Roman" w:cs="Times New Roman"/>
                <w:snapToGrid w:val="0"/>
                <w:sz w:val="20"/>
                <w:szCs w:val="20"/>
              </w:rPr>
            </w:pPr>
            <w:r w:rsidRPr="008C0CE2">
              <w:rPr>
                <w:rFonts w:eastAsia="Times New Roman" w:cs="Times New Roman"/>
                <w:snapToGrid w:val="0"/>
                <w:sz w:val="20"/>
                <w:szCs w:val="20"/>
              </w:rPr>
              <w:t>t.sk. komersanti</w:t>
            </w:r>
          </w:p>
        </w:tc>
        <w:tc>
          <w:tcPr>
            <w:tcW w:w="850" w:type="dxa"/>
            <w:shd w:val="clear" w:color="auto" w:fill="DEEAF6" w:themeFill="accent1" w:themeFillTint="33"/>
          </w:tcPr>
          <w:p w:rsidR="00BF4753" w:rsidRPr="008C0CE2" w:rsidRDefault="00BF4753" w:rsidP="002D7CA8">
            <w:pPr>
              <w:spacing w:after="160" w:line="259" w:lineRule="auto"/>
              <w:ind w:firstLine="0"/>
              <w:jc w:val="right"/>
              <w:rPr>
                <w:rFonts w:eastAsia="Times New Roman" w:cs="Times New Roman"/>
                <w:sz w:val="20"/>
                <w:szCs w:val="20"/>
              </w:rPr>
            </w:pPr>
          </w:p>
        </w:tc>
        <w:tc>
          <w:tcPr>
            <w:tcW w:w="993" w:type="dxa"/>
            <w:shd w:val="clear" w:color="auto" w:fill="DEEAF6" w:themeFill="accent1" w:themeFillTint="33"/>
            <w:vAlign w:val="center"/>
          </w:tcPr>
          <w:p w:rsidR="00BF4753" w:rsidRPr="008C0CE2" w:rsidRDefault="00BF4753" w:rsidP="002D7CA8">
            <w:pPr>
              <w:spacing w:after="160" w:line="259" w:lineRule="auto"/>
              <w:ind w:firstLine="0"/>
              <w:jc w:val="right"/>
              <w:rPr>
                <w:rFonts w:eastAsia="Times New Roman" w:cs="Times New Roman"/>
                <w:color w:val="000000"/>
                <w:sz w:val="20"/>
                <w:szCs w:val="20"/>
              </w:rPr>
            </w:pPr>
            <w:r w:rsidRPr="008C0CE2">
              <w:rPr>
                <w:rFonts w:eastAsia="Times New Roman" w:cs="Times New Roman"/>
                <w:color w:val="000000"/>
                <w:sz w:val="20"/>
                <w:szCs w:val="20"/>
              </w:rPr>
              <w:t>-0,1</w:t>
            </w:r>
          </w:p>
        </w:tc>
        <w:tc>
          <w:tcPr>
            <w:tcW w:w="1134" w:type="dxa"/>
            <w:shd w:val="clear" w:color="auto" w:fill="DEEAF6" w:themeFill="accent1" w:themeFillTint="33"/>
            <w:vAlign w:val="center"/>
          </w:tcPr>
          <w:p w:rsidR="00BF4753" w:rsidRPr="008C0CE2" w:rsidRDefault="00BF4753" w:rsidP="002D7CA8">
            <w:pPr>
              <w:spacing w:after="160" w:line="259" w:lineRule="auto"/>
              <w:ind w:firstLine="0"/>
              <w:jc w:val="right"/>
              <w:rPr>
                <w:rFonts w:eastAsia="Times New Roman" w:cs="Times New Roman"/>
                <w:color w:val="000000"/>
                <w:sz w:val="20"/>
                <w:szCs w:val="20"/>
              </w:rPr>
            </w:pPr>
            <w:r w:rsidRPr="008C0CE2">
              <w:rPr>
                <w:rFonts w:eastAsia="Times New Roman" w:cs="Times New Roman"/>
                <w:color w:val="000000"/>
                <w:sz w:val="20"/>
                <w:szCs w:val="20"/>
              </w:rPr>
              <w:t>-0,1</w:t>
            </w:r>
          </w:p>
        </w:tc>
        <w:tc>
          <w:tcPr>
            <w:tcW w:w="1134" w:type="dxa"/>
            <w:shd w:val="clear" w:color="auto" w:fill="DEEAF6" w:themeFill="accent1" w:themeFillTint="33"/>
            <w:vAlign w:val="center"/>
          </w:tcPr>
          <w:p w:rsidR="00BF4753" w:rsidRPr="008C0CE2" w:rsidRDefault="00BF4753" w:rsidP="002D7CA8">
            <w:pPr>
              <w:spacing w:after="160" w:line="259" w:lineRule="auto"/>
              <w:ind w:firstLine="0"/>
              <w:jc w:val="right"/>
              <w:rPr>
                <w:rFonts w:eastAsia="Times New Roman" w:cs="Times New Roman"/>
                <w:color w:val="000000"/>
                <w:sz w:val="20"/>
                <w:szCs w:val="20"/>
              </w:rPr>
            </w:pPr>
            <w:r w:rsidRPr="008C0CE2">
              <w:rPr>
                <w:rFonts w:eastAsia="Times New Roman" w:cs="Times New Roman"/>
                <w:color w:val="000000"/>
                <w:sz w:val="20"/>
                <w:szCs w:val="20"/>
              </w:rPr>
              <w:t>0,0</w:t>
            </w:r>
          </w:p>
        </w:tc>
        <w:tc>
          <w:tcPr>
            <w:tcW w:w="992" w:type="dxa"/>
            <w:shd w:val="clear" w:color="auto" w:fill="DEEAF6" w:themeFill="accent1" w:themeFillTint="33"/>
            <w:vAlign w:val="center"/>
          </w:tcPr>
          <w:p w:rsidR="00BF4753" w:rsidRPr="008C0CE2" w:rsidRDefault="00BF4753" w:rsidP="002D7CA8">
            <w:pPr>
              <w:spacing w:after="160" w:line="259" w:lineRule="auto"/>
              <w:ind w:firstLine="0"/>
              <w:jc w:val="right"/>
              <w:rPr>
                <w:rFonts w:eastAsia="Times New Roman" w:cs="Times New Roman"/>
                <w:color w:val="000000"/>
                <w:sz w:val="20"/>
                <w:szCs w:val="20"/>
              </w:rPr>
            </w:pPr>
            <w:r w:rsidRPr="008C0CE2">
              <w:rPr>
                <w:rFonts w:eastAsia="Times New Roman" w:cs="Times New Roman"/>
                <w:color w:val="000000"/>
                <w:sz w:val="20"/>
                <w:szCs w:val="20"/>
              </w:rPr>
              <w:t>0,0</w:t>
            </w:r>
          </w:p>
        </w:tc>
        <w:tc>
          <w:tcPr>
            <w:tcW w:w="1417" w:type="dxa"/>
            <w:shd w:val="clear" w:color="auto" w:fill="DEEAF6" w:themeFill="accent1" w:themeFillTint="33"/>
            <w:vAlign w:val="center"/>
          </w:tcPr>
          <w:p w:rsidR="00BF4753" w:rsidRPr="008C0CE2" w:rsidRDefault="00BF4753" w:rsidP="002D7CA8">
            <w:pPr>
              <w:spacing w:after="160" w:line="259" w:lineRule="auto"/>
              <w:ind w:firstLine="0"/>
              <w:jc w:val="right"/>
              <w:rPr>
                <w:rFonts w:eastAsia="Times New Roman" w:cs="Times New Roman"/>
                <w:color w:val="000000"/>
                <w:sz w:val="20"/>
                <w:szCs w:val="20"/>
              </w:rPr>
            </w:pPr>
            <w:r w:rsidRPr="008C0CE2">
              <w:rPr>
                <w:rFonts w:eastAsia="Times New Roman" w:cs="Times New Roman"/>
                <w:color w:val="000000"/>
                <w:sz w:val="20"/>
                <w:szCs w:val="20"/>
              </w:rPr>
              <w:t>0,1</w:t>
            </w:r>
          </w:p>
        </w:tc>
      </w:tr>
      <w:tr w:rsidR="00BF4753" w:rsidRPr="008C0CE2" w:rsidTr="00F009B4">
        <w:trPr>
          <w:trHeight w:val="340"/>
          <w:jc w:val="center"/>
        </w:trPr>
        <w:tc>
          <w:tcPr>
            <w:tcW w:w="2547" w:type="dxa"/>
          </w:tcPr>
          <w:p w:rsidR="00BF4753" w:rsidRPr="008C0CE2" w:rsidRDefault="00BF4753" w:rsidP="002D7CA8">
            <w:pPr>
              <w:spacing w:after="160" w:line="259" w:lineRule="auto"/>
              <w:ind w:firstLine="0"/>
              <w:jc w:val="left"/>
              <w:rPr>
                <w:rFonts w:eastAsia="Times New Roman" w:cs="Times New Roman"/>
                <w:snapToGrid w:val="0"/>
                <w:sz w:val="20"/>
                <w:szCs w:val="20"/>
              </w:rPr>
            </w:pPr>
            <w:r w:rsidRPr="008C0CE2">
              <w:rPr>
                <w:rFonts w:eastAsia="Times New Roman" w:cs="Times New Roman"/>
                <w:snapToGrid w:val="0"/>
                <w:sz w:val="20"/>
                <w:szCs w:val="20"/>
              </w:rPr>
              <w:t>Sociālās nodrošināšanas fondi</w:t>
            </w:r>
          </w:p>
        </w:tc>
        <w:tc>
          <w:tcPr>
            <w:tcW w:w="850" w:type="dxa"/>
            <w:vAlign w:val="center"/>
          </w:tcPr>
          <w:p w:rsidR="00BF4753" w:rsidRPr="008C0CE2" w:rsidRDefault="00BF4753" w:rsidP="002D7CA8">
            <w:pPr>
              <w:spacing w:after="160" w:line="259" w:lineRule="auto"/>
              <w:ind w:firstLine="0"/>
              <w:jc w:val="center"/>
              <w:rPr>
                <w:rFonts w:eastAsia="Times New Roman" w:cs="Times New Roman"/>
                <w:sz w:val="20"/>
                <w:szCs w:val="20"/>
              </w:rPr>
            </w:pPr>
            <w:r w:rsidRPr="008C0CE2">
              <w:rPr>
                <w:rFonts w:eastAsia="Times New Roman" w:cs="Times New Roman"/>
                <w:sz w:val="20"/>
                <w:szCs w:val="20"/>
              </w:rPr>
              <w:t>S.1314</w:t>
            </w:r>
          </w:p>
        </w:tc>
        <w:tc>
          <w:tcPr>
            <w:tcW w:w="993"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0,4</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-0,3</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-0,1</w:t>
            </w:r>
          </w:p>
        </w:tc>
        <w:tc>
          <w:tcPr>
            <w:tcW w:w="992"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0,0</w:t>
            </w:r>
          </w:p>
        </w:tc>
        <w:tc>
          <w:tcPr>
            <w:tcW w:w="1417"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0,0</w:t>
            </w:r>
          </w:p>
        </w:tc>
      </w:tr>
      <w:tr w:rsidR="00BF4753" w:rsidRPr="008C0CE2" w:rsidTr="00F009B4">
        <w:trPr>
          <w:trHeight w:hRule="exact" w:val="340"/>
          <w:jc w:val="center"/>
        </w:trPr>
        <w:tc>
          <w:tcPr>
            <w:tcW w:w="9067" w:type="dxa"/>
            <w:gridSpan w:val="7"/>
            <w:shd w:val="clear" w:color="auto" w:fill="BDD6EE" w:themeFill="accent1" w:themeFillTint="66"/>
          </w:tcPr>
          <w:p w:rsidR="00BF4753" w:rsidRPr="008C0CE2" w:rsidRDefault="00BF4753" w:rsidP="002D7CA8">
            <w:pPr>
              <w:spacing w:after="160" w:line="259" w:lineRule="auto"/>
              <w:ind w:firstLine="0"/>
              <w:jc w:val="center"/>
              <w:rPr>
                <w:rFonts w:eastAsia="Times New Roman" w:cs="Times New Roman"/>
                <w:b/>
                <w:sz w:val="20"/>
                <w:szCs w:val="20"/>
              </w:rPr>
            </w:pPr>
            <w:r w:rsidRPr="008C0CE2">
              <w:rPr>
                <w:rFonts w:eastAsia="Times New Roman" w:cs="Times New Roman"/>
                <w:b/>
                <w:sz w:val="20"/>
                <w:szCs w:val="20"/>
              </w:rPr>
              <w:t>Vispārējā valdība (S.13)</w:t>
            </w:r>
          </w:p>
        </w:tc>
      </w:tr>
      <w:tr w:rsidR="00BF4753" w:rsidRPr="008C0CE2" w:rsidTr="00F009B4">
        <w:trPr>
          <w:trHeight w:hRule="exact" w:val="340"/>
          <w:jc w:val="center"/>
        </w:trPr>
        <w:tc>
          <w:tcPr>
            <w:tcW w:w="2547" w:type="dxa"/>
          </w:tcPr>
          <w:p w:rsidR="00BF4753" w:rsidRPr="008C0CE2" w:rsidRDefault="00BF4753" w:rsidP="002D7CA8">
            <w:pPr>
              <w:spacing w:after="160" w:line="259" w:lineRule="auto"/>
              <w:ind w:firstLine="0"/>
              <w:rPr>
                <w:rFonts w:eastAsia="Times New Roman" w:cs="Times New Roman"/>
                <w:snapToGrid w:val="0"/>
                <w:sz w:val="20"/>
                <w:szCs w:val="20"/>
              </w:rPr>
            </w:pPr>
            <w:r w:rsidRPr="008C0CE2">
              <w:rPr>
                <w:rFonts w:eastAsia="Times New Roman" w:cs="Times New Roman"/>
                <w:snapToGrid w:val="0"/>
                <w:sz w:val="20"/>
                <w:szCs w:val="20"/>
              </w:rPr>
              <w:t xml:space="preserve">Kopējie ieņēmumi </w:t>
            </w:r>
          </w:p>
        </w:tc>
        <w:tc>
          <w:tcPr>
            <w:tcW w:w="850" w:type="dxa"/>
            <w:shd w:val="clear" w:color="auto" w:fill="auto"/>
          </w:tcPr>
          <w:p w:rsidR="00BF4753" w:rsidRPr="008C0CE2" w:rsidRDefault="00BF4753" w:rsidP="002D7CA8">
            <w:pPr>
              <w:spacing w:after="160" w:line="259" w:lineRule="auto"/>
              <w:ind w:firstLine="0"/>
              <w:jc w:val="center"/>
              <w:rPr>
                <w:rFonts w:eastAsia="Times New Roman" w:cs="Times New Roman"/>
                <w:sz w:val="20"/>
                <w:szCs w:val="20"/>
              </w:rPr>
            </w:pPr>
            <w:r w:rsidRPr="008C0CE2">
              <w:rPr>
                <w:rFonts w:eastAsia="Times New Roman" w:cs="Times New Roman"/>
                <w:sz w:val="20"/>
                <w:szCs w:val="20"/>
              </w:rPr>
              <w:t>TR</w:t>
            </w:r>
          </w:p>
        </w:tc>
        <w:tc>
          <w:tcPr>
            <w:tcW w:w="993"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39,4</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39,3</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39,9</w:t>
            </w:r>
          </w:p>
        </w:tc>
        <w:tc>
          <w:tcPr>
            <w:tcW w:w="992"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39,0</w:t>
            </w:r>
          </w:p>
        </w:tc>
        <w:tc>
          <w:tcPr>
            <w:tcW w:w="1417"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38,6</w:t>
            </w:r>
          </w:p>
        </w:tc>
      </w:tr>
      <w:tr w:rsidR="00BF4753" w:rsidRPr="008C0CE2" w:rsidTr="00F009B4">
        <w:trPr>
          <w:trHeight w:hRule="exact" w:val="340"/>
          <w:jc w:val="center"/>
        </w:trPr>
        <w:tc>
          <w:tcPr>
            <w:tcW w:w="2547" w:type="dxa"/>
            <w:shd w:val="clear" w:color="auto" w:fill="DEEAF6" w:themeFill="accent1" w:themeFillTint="33"/>
          </w:tcPr>
          <w:p w:rsidR="00BF4753" w:rsidRPr="008C0CE2" w:rsidRDefault="00BF4753" w:rsidP="002D7CA8">
            <w:pPr>
              <w:spacing w:after="160" w:line="259" w:lineRule="auto"/>
              <w:ind w:firstLine="0"/>
              <w:rPr>
                <w:rFonts w:eastAsia="Times New Roman" w:cs="Times New Roman"/>
                <w:snapToGrid w:val="0"/>
                <w:sz w:val="20"/>
                <w:szCs w:val="20"/>
              </w:rPr>
            </w:pPr>
            <w:r w:rsidRPr="008C0CE2">
              <w:rPr>
                <w:rFonts w:eastAsia="Times New Roman" w:cs="Times New Roman"/>
                <w:snapToGrid w:val="0"/>
                <w:sz w:val="20"/>
                <w:szCs w:val="20"/>
              </w:rPr>
              <w:t>Kopējie izdevumi</w:t>
            </w:r>
          </w:p>
        </w:tc>
        <w:tc>
          <w:tcPr>
            <w:tcW w:w="850" w:type="dxa"/>
            <w:shd w:val="clear" w:color="auto" w:fill="DEEAF6" w:themeFill="accent1" w:themeFillTint="33"/>
          </w:tcPr>
          <w:p w:rsidR="00BF4753" w:rsidRPr="008C0CE2" w:rsidRDefault="00BF4753" w:rsidP="002D7CA8">
            <w:pPr>
              <w:spacing w:after="160" w:line="259" w:lineRule="auto"/>
              <w:ind w:firstLine="0"/>
              <w:jc w:val="center"/>
              <w:rPr>
                <w:rFonts w:eastAsia="Times New Roman" w:cs="Times New Roman"/>
                <w:sz w:val="20"/>
                <w:szCs w:val="20"/>
              </w:rPr>
            </w:pPr>
            <w:r w:rsidRPr="008C0CE2">
              <w:rPr>
                <w:rFonts w:eastAsia="Times New Roman" w:cs="Times New Roman"/>
                <w:sz w:val="20"/>
                <w:szCs w:val="20"/>
              </w:rPr>
              <w:t>TE</w:t>
            </w:r>
          </w:p>
        </w:tc>
        <w:tc>
          <w:tcPr>
            <w:tcW w:w="993" w:type="dxa"/>
            <w:shd w:val="clear" w:color="auto" w:fill="DEEAF6" w:themeFill="accent1" w:themeFillTint="33"/>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44,7</w:t>
            </w:r>
          </w:p>
        </w:tc>
        <w:tc>
          <w:tcPr>
            <w:tcW w:w="1134" w:type="dxa"/>
            <w:shd w:val="clear" w:color="auto" w:fill="DEEAF6" w:themeFill="accent1" w:themeFillTint="33"/>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48,6</w:t>
            </w:r>
          </w:p>
        </w:tc>
        <w:tc>
          <w:tcPr>
            <w:tcW w:w="1134" w:type="dxa"/>
            <w:shd w:val="clear" w:color="auto" w:fill="DEEAF6" w:themeFill="accent1" w:themeFillTint="33"/>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42,5</w:t>
            </w:r>
          </w:p>
        </w:tc>
        <w:tc>
          <w:tcPr>
            <w:tcW w:w="992" w:type="dxa"/>
            <w:shd w:val="clear" w:color="auto" w:fill="DEEAF6" w:themeFill="accent1" w:themeFillTint="33"/>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40,3</w:t>
            </w:r>
          </w:p>
        </w:tc>
        <w:tc>
          <w:tcPr>
            <w:tcW w:w="1417" w:type="dxa"/>
            <w:shd w:val="clear" w:color="auto" w:fill="DEEAF6" w:themeFill="accent1" w:themeFillTint="33"/>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39,0</w:t>
            </w:r>
          </w:p>
        </w:tc>
      </w:tr>
      <w:tr w:rsidR="00BF4753" w:rsidRPr="008C0CE2" w:rsidTr="00F009B4">
        <w:trPr>
          <w:trHeight w:hRule="exact" w:val="340"/>
          <w:jc w:val="center"/>
        </w:trPr>
        <w:tc>
          <w:tcPr>
            <w:tcW w:w="2547" w:type="dxa"/>
          </w:tcPr>
          <w:p w:rsidR="00BF4753" w:rsidRPr="008C0CE2" w:rsidRDefault="00BF4753" w:rsidP="002D7CA8">
            <w:pPr>
              <w:spacing w:after="160" w:line="259" w:lineRule="auto"/>
              <w:ind w:firstLine="0"/>
              <w:rPr>
                <w:rFonts w:eastAsia="Times New Roman" w:cs="Times New Roman"/>
                <w:snapToGrid w:val="0"/>
                <w:sz w:val="20"/>
                <w:szCs w:val="20"/>
              </w:rPr>
            </w:pPr>
            <w:r w:rsidRPr="008C0CE2">
              <w:rPr>
                <w:rFonts w:eastAsia="Times New Roman" w:cs="Times New Roman"/>
                <w:snapToGrid w:val="0"/>
                <w:sz w:val="20"/>
                <w:szCs w:val="20"/>
              </w:rPr>
              <w:t>Procentu izdevumi</w:t>
            </w:r>
          </w:p>
        </w:tc>
        <w:tc>
          <w:tcPr>
            <w:tcW w:w="850" w:type="dxa"/>
          </w:tcPr>
          <w:p w:rsidR="00BF4753" w:rsidRPr="008C0CE2" w:rsidRDefault="00BF4753" w:rsidP="002D7CA8">
            <w:pPr>
              <w:spacing w:after="160" w:line="259" w:lineRule="auto"/>
              <w:ind w:firstLine="0"/>
              <w:jc w:val="center"/>
              <w:rPr>
                <w:rFonts w:eastAsia="Times New Roman" w:cs="Times New Roman"/>
                <w:sz w:val="20"/>
                <w:szCs w:val="20"/>
              </w:rPr>
            </w:pPr>
            <w:r w:rsidRPr="008C0CE2">
              <w:rPr>
                <w:rFonts w:eastAsia="Times New Roman" w:cs="Times New Roman"/>
                <w:sz w:val="20"/>
                <w:szCs w:val="20"/>
              </w:rPr>
              <w:t>D.41</w:t>
            </w:r>
          </w:p>
        </w:tc>
        <w:tc>
          <w:tcPr>
            <w:tcW w:w="993"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0,8</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0,7</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0,8</w:t>
            </w:r>
          </w:p>
        </w:tc>
        <w:tc>
          <w:tcPr>
            <w:tcW w:w="992"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0,8</w:t>
            </w:r>
          </w:p>
        </w:tc>
        <w:tc>
          <w:tcPr>
            <w:tcW w:w="1417"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0,7</w:t>
            </w:r>
          </w:p>
        </w:tc>
      </w:tr>
      <w:tr w:rsidR="00BF4753" w:rsidRPr="008C0CE2" w:rsidTr="00F009B4">
        <w:trPr>
          <w:trHeight w:hRule="exact" w:val="340"/>
          <w:jc w:val="center"/>
        </w:trPr>
        <w:tc>
          <w:tcPr>
            <w:tcW w:w="9067" w:type="dxa"/>
            <w:gridSpan w:val="7"/>
            <w:shd w:val="clear" w:color="auto" w:fill="BDD6EE" w:themeFill="accent1" w:themeFillTint="66"/>
          </w:tcPr>
          <w:p w:rsidR="00BF4753" w:rsidRPr="008C0CE2" w:rsidRDefault="00BF4753" w:rsidP="002D7CA8">
            <w:pPr>
              <w:spacing w:after="160" w:line="259" w:lineRule="auto"/>
              <w:ind w:firstLine="0"/>
              <w:jc w:val="center"/>
              <w:rPr>
                <w:rFonts w:eastAsia="Times New Roman" w:cs="Times New Roman"/>
                <w:b/>
                <w:sz w:val="20"/>
                <w:szCs w:val="20"/>
              </w:rPr>
            </w:pPr>
            <w:r w:rsidRPr="008C0CE2">
              <w:rPr>
                <w:rFonts w:eastAsia="Times New Roman" w:cs="Times New Roman"/>
                <w:b/>
                <w:sz w:val="20"/>
                <w:szCs w:val="20"/>
              </w:rPr>
              <w:t>Cikliskā attīstība</w:t>
            </w:r>
          </w:p>
        </w:tc>
      </w:tr>
      <w:tr w:rsidR="00BF4753" w:rsidRPr="008C0CE2" w:rsidTr="00F009B4">
        <w:trPr>
          <w:trHeight w:val="340"/>
          <w:jc w:val="center"/>
        </w:trPr>
        <w:tc>
          <w:tcPr>
            <w:tcW w:w="2547" w:type="dxa"/>
            <w:shd w:val="clear" w:color="auto" w:fill="auto"/>
          </w:tcPr>
          <w:p w:rsidR="00BF4753" w:rsidRPr="008C0CE2" w:rsidRDefault="00BF4753" w:rsidP="002D7CA8">
            <w:pPr>
              <w:spacing w:after="160" w:line="259" w:lineRule="auto"/>
              <w:ind w:firstLine="0"/>
              <w:jc w:val="left"/>
              <w:rPr>
                <w:rFonts w:eastAsia="Times New Roman" w:cs="Times New Roman"/>
                <w:snapToGrid w:val="0"/>
                <w:sz w:val="20"/>
                <w:szCs w:val="20"/>
              </w:rPr>
            </w:pPr>
            <w:r w:rsidRPr="008C0CE2">
              <w:rPr>
                <w:rFonts w:eastAsia="Times New Roman" w:cs="Times New Roman"/>
                <w:snapToGrid w:val="0"/>
                <w:sz w:val="20"/>
                <w:szCs w:val="20"/>
              </w:rPr>
              <w:t>Budžeta bilances cikliskā komponente</w:t>
            </w:r>
            <w:r w:rsidRPr="008C0CE2">
              <w:rPr>
                <w:rFonts w:eastAsia="Times New Roman" w:cs="Times New Roman"/>
                <w:snapToGrid w:val="0"/>
                <w:sz w:val="20"/>
                <w:szCs w:val="20"/>
                <w:vertAlign w:val="superscript"/>
              </w:rPr>
              <w:footnoteReference w:id="7"/>
            </w:r>
          </w:p>
        </w:tc>
        <w:tc>
          <w:tcPr>
            <w:tcW w:w="850" w:type="dxa"/>
            <w:shd w:val="clear" w:color="auto" w:fill="auto"/>
          </w:tcPr>
          <w:p w:rsidR="00BF4753" w:rsidRPr="008C0CE2" w:rsidRDefault="00BF4753" w:rsidP="002D7CA8">
            <w:pPr>
              <w:spacing w:after="160" w:line="259" w:lineRule="auto"/>
              <w:ind w:firstLine="0"/>
              <w:rPr>
                <w:rFonts w:eastAsia="Times New Roman" w:cs="Times New Roman"/>
                <w:sz w:val="20"/>
                <w:szCs w:val="20"/>
              </w:rPr>
            </w:pPr>
          </w:p>
        </w:tc>
        <w:tc>
          <w:tcPr>
            <w:tcW w:w="993"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-1,5</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-1,2</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-0,3</w:t>
            </w:r>
          </w:p>
        </w:tc>
        <w:tc>
          <w:tcPr>
            <w:tcW w:w="992"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0,0</w:t>
            </w:r>
          </w:p>
        </w:tc>
        <w:tc>
          <w:tcPr>
            <w:tcW w:w="1417"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0,0</w:t>
            </w:r>
          </w:p>
        </w:tc>
      </w:tr>
      <w:tr w:rsidR="00BF4753" w:rsidRPr="008C0CE2" w:rsidTr="00F009B4">
        <w:trPr>
          <w:trHeight w:hRule="exact" w:val="340"/>
          <w:jc w:val="center"/>
        </w:trPr>
        <w:tc>
          <w:tcPr>
            <w:tcW w:w="2547" w:type="dxa"/>
            <w:shd w:val="clear" w:color="auto" w:fill="DEEAF6" w:themeFill="accent1" w:themeFillTint="33"/>
          </w:tcPr>
          <w:p w:rsidR="00BF4753" w:rsidRPr="008C0CE2" w:rsidRDefault="00BF4753" w:rsidP="002D7CA8">
            <w:pPr>
              <w:spacing w:after="160" w:line="259" w:lineRule="auto"/>
              <w:ind w:firstLine="0"/>
              <w:jc w:val="left"/>
              <w:rPr>
                <w:rFonts w:eastAsia="Times New Roman" w:cs="Times New Roman"/>
                <w:snapToGrid w:val="0"/>
                <w:sz w:val="20"/>
                <w:szCs w:val="20"/>
              </w:rPr>
            </w:pPr>
            <w:r w:rsidRPr="008C0CE2">
              <w:rPr>
                <w:rFonts w:eastAsia="Times New Roman" w:cs="Times New Roman"/>
                <w:snapToGrid w:val="0"/>
                <w:sz w:val="20"/>
                <w:szCs w:val="20"/>
              </w:rPr>
              <w:t>Vienreizējie pasākumi</w:t>
            </w:r>
            <w:r w:rsidRPr="008C0CE2">
              <w:rPr>
                <w:rFonts w:eastAsia="Times New Roman" w:cs="Times New Roman"/>
                <w:snapToGrid w:val="0"/>
                <w:sz w:val="20"/>
                <w:szCs w:val="20"/>
                <w:vertAlign w:val="superscript"/>
              </w:rPr>
              <w:footnoteReference w:id="8"/>
            </w:r>
          </w:p>
        </w:tc>
        <w:tc>
          <w:tcPr>
            <w:tcW w:w="850" w:type="dxa"/>
            <w:shd w:val="clear" w:color="auto" w:fill="DEEAF6" w:themeFill="accent1" w:themeFillTint="33"/>
          </w:tcPr>
          <w:p w:rsidR="00BF4753" w:rsidRPr="008C0CE2" w:rsidRDefault="00BF4753" w:rsidP="002D7CA8">
            <w:pPr>
              <w:spacing w:after="160" w:line="259" w:lineRule="auto"/>
              <w:ind w:firstLine="0"/>
              <w:rPr>
                <w:rFonts w:eastAsia="Times New Roman" w:cs="Times New Roman"/>
                <w:sz w:val="20"/>
                <w:szCs w:val="20"/>
              </w:rPr>
            </w:pPr>
          </w:p>
        </w:tc>
        <w:tc>
          <w:tcPr>
            <w:tcW w:w="993" w:type="dxa"/>
            <w:shd w:val="clear" w:color="auto" w:fill="DEEAF6" w:themeFill="accent1" w:themeFillTint="33"/>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-0,2</w:t>
            </w:r>
          </w:p>
        </w:tc>
        <w:tc>
          <w:tcPr>
            <w:tcW w:w="1134" w:type="dxa"/>
            <w:shd w:val="clear" w:color="auto" w:fill="DEEAF6" w:themeFill="accent1" w:themeFillTint="33"/>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 </w:t>
            </w:r>
          </w:p>
        </w:tc>
        <w:tc>
          <w:tcPr>
            <w:tcW w:w="1134" w:type="dxa"/>
            <w:shd w:val="clear" w:color="auto" w:fill="DEEAF6" w:themeFill="accent1" w:themeFillTint="33"/>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 </w:t>
            </w:r>
          </w:p>
        </w:tc>
        <w:tc>
          <w:tcPr>
            <w:tcW w:w="992" w:type="dxa"/>
            <w:shd w:val="clear" w:color="auto" w:fill="DEEAF6" w:themeFill="accent1" w:themeFillTint="33"/>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 </w:t>
            </w:r>
          </w:p>
        </w:tc>
        <w:tc>
          <w:tcPr>
            <w:tcW w:w="1417" w:type="dxa"/>
            <w:shd w:val="clear" w:color="auto" w:fill="DEEAF6" w:themeFill="accent1" w:themeFillTint="33"/>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 </w:t>
            </w:r>
          </w:p>
        </w:tc>
      </w:tr>
      <w:tr w:rsidR="00BF4753" w:rsidRPr="008C0CE2" w:rsidTr="00F009B4">
        <w:trPr>
          <w:trHeight w:hRule="exact" w:val="340"/>
          <w:jc w:val="center"/>
        </w:trPr>
        <w:tc>
          <w:tcPr>
            <w:tcW w:w="2547" w:type="dxa"/>
            <w:shd w:val="clear" w:color="auto" w:fill="auto"/>
          </w:tcPr>
          <w:p w:rsidR="00BF4753" w:rsidRPr="008C0CE2" w:rsidRDefault="00BF4753" w:rsidP="002D7CA8">
            <w:pPr>
              <w:spacing w:after="160" w:line="259" w:lineRule="auto"/>
              <w:ind w:firstLine="0"/>
              <w:jc w:val="left"/>
              <w:rPr>
                <w:rFonts w:eastAsia="Times New Roman" w:cs="Times New Roman"/>
                <w:snapToGrid w:val="0"/>
                <w:sz w:val="20"/>
                <w:szCs w:val="20"/>
              </w:rPr>
            </w:pPr>
            <w:r w:rsidRPr="008C0CE2">
              <w:rPr>
                <w:rFonts w:eastAsia="Times New Roman" w:cs="Times New Roman"/>
                <w:snapToGrid w:val="0"/>
                <w:sz w:val="20"/>
                <w:szCs w:val="20"/>
              </w:rPr>
              <w:t>Cikliski koriģētā bilance</w:t>
            </w:r>
          </w:p>
        </w:tc>
        <w:tc>
          <w:tcPr>
            <w:tcW w:w="850" w:type="dxa"/>
            <w:shd w:val="clear" w:color="auto" w:fill="auto"/>
          </w:tcPr>
          <w:p w:rsidR="00BF4753" w:rsidRPr="008C0CE2" w:rsidRDefault="00BF4753" w:rsidP="002D7CA8">
            <w:pPr>
              <w:spacing w:after="160" w:line="259" w:lineRule="auto"/>
              <w:ind w:firstLine="0"/>
              <w:rPr>
                <w:rFonts w:eastAsia="Times New Roman" w:cs="Times New Roman"/>
                <w:sz w:val="20"/>
                <w:szCs w:val="20"/>
              </w:rPr>
            </w:pPr>
          </w:p>
        </w:tc>
        <w:tc>
          <w:tcPr>
            <w:tcW w:w="993"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-3,9</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-8,2</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-2,3</w:t>
            </w:r>
          </w:p>
        </w:tc>
        <w:tc>
          <w:tcPr>
            <w:tcW w:w="992"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-1,3</w:t>
            </w:r>
          </w:p>
        </w:tc>
        <w:tc>
          <w:tcPr>
            <w:tcW w:w="1417"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-0,3</w:t>
            </w:r>
          </w:p>
        </w:tc>
      </w:tr>
      <w:tr w:rsidR="00BF4753" w:rsidRPr="008C0CE2" w:rsidTr="00F009B4">
        <w:trPr>
          <w:trHeight w:val="340"/>
          <w:jc w:val="center"/>
        </w:trPr>
        <w:tc>
          <w:tcPr>
            <w:tcW w:w="2547" w:type="dxa"/>
            <w:shd w:val="clear" w:color="auto" w:fill="auto"/>
          </w:tcPr>
          <w:p w:rsidR="00BF4753" w:rsidRPr="008C0CE2" w:rsidRDefault="00BF4753" w:rsidP="002D7CA8">
            <w:pPr>
              <w:spacing w:after="160" w:line="259" w:lineRule="auto"/>
              <w:ind w:firstLine="0"/>
              <w:jc w:val="left"/>
              <w:rPr>
                <w:rFonts w:eastAsia="Times New Roman" w:cs="Times New Roman"/>
                <w:snapToGrid w:val="0"/>
                <w:sz w:val="20"/>
                <w:szCs w:val="20"/>
              </w:rPr>
            </w:pPr>
            <w:r w:rsidRPr="008C0CE2">
              <w:rPr>
                <w:rFonts w:eastAsia="Times New Roman" w:cs="Times New Roman"/>
                <w:snapToGrid w:val="0"/>
                <w:sz w:val="20"/>
                <w:szCs w:val="20"/>
              </w:rPr>
              <w:t>Cikliski koriģētā primārā bilance</w:t>
            </w:r>
          </w:p>
        </w:tc>
        <w:tc>
          <w:tcPr>
            <w:tcW w:w="850" w:type="dxa"/>
            <w:shd w:val="clear" w:color="auto" w:fill="auto"/>
          </w:tcPr>
          <w:p w:rsidR="00BF4753" w:rsidRPr="008C0CE2" w:rsidRDefault="00BF4753" w:rsidP="002D7CA8">
            <w:pPr>
              <w:spacing w:after="160" w:line="259" w:lineRule="auto"/>
              <w:ind w:firstLine="0"/>
              <w:rPr>
                <w:rFonts w:eastAsia="Times New Roman" w:cs="Times New Roman"/>
                <w:sz w:val="20"/>
                <w:szCs w:val="20"/>
              </w:rPr>
            </w:pPr>
          </w:p>
        </w:tc>
        <w:tc>
          <w:tcPr>
            <w:tcW w:w="993"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-3,0</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-7,5</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-1,6</w:t>
            </w:r>
          </w:p>
        </w:tc>
        <w:tc>
          <w:tcPr>
            <w:tcW w:w="992"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-0,5</w:t>
            </w:r>
          </w:p>
        </w:tc>
        <w:tc>
          <w:tcPr>
            <w:tcW w:w="1417"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0,3</w:t>
            </w:r>
          </w:p>
        </w:tc>
      </w:tr>
      <w:tr w:rsidR="00BF4753" w:rsidRPr="008C0CE2" w:rsidTr="00F009B4">
        <w:trPr>
          <w:trHeight w:hRule="exact" w:val="340"/>
          <w:jc w:val="center"/>
        </w:trPr>
        <w:tc>
          <w:tcPr>
            <w:tcW w:w="2547" w:type="dxa"/>
            <w:shd w:val="clear" w:color="auto" w:fill="auto"/>
          </w:tcPr>
          <w:p w:rsidR="00BF4753" w:rsidRPr="008C0CE2" w:rsidRDefault="00BF4753" w:rsidP="002D7CA8">
            <w:pPr>
              <w:spacing w:after="160" w:line="259" w:lineRule="auto"/>
              <w:ind w:firstLine="0"/>
              <w:rPr>
                <w:rFonts w:eastAsia="Times New Roman" w:cs="Times New Roman"/>
                <w:snapToGrid w:val="0"/>
                <w:sz w:val="20"/>
                <w:szCs w:val="20"/>
              </w:rPr>
            </w:pPr>
            <w:r w:rsidRPr="008C0CE2">
              <w:rPr>
                <w:rFonts w:eastAsia="Times New Roman" w:cs="Times New Roman"/>
                <w:snapToGrid w:val="0"/>
                <w:sz w:val="20"/>
                <w:szCs w:val="20"/>
              </w:rPr>
              <w:t>Strukturālā bilance</w:t>
            </w:r>
          </w:p>
        </w:tc>
        <w:tc>
          <w:tcPr>
            <w:tcW w:w="850" w:type="dxa"/>
            <w:shd w:val="clear" w:color="auto" w:fill="auto"/>
          </w:tcPr>
          <w:p w:rsidR="00BF4753" w:rsidRPr="008C0CE2" w:rsidRDefault="00BF4753" w:rsidP="002D7CA8">
            <w:pPr>
              <w:spacing w:after="160" w:line="259" w:lineRule="auto"/>
              <w:ind w:firstLine="0"/>
              <w:rPr>
                <w:rFonts w:eastAsia="Times New Roman" w:cs="Times New Roman"/>
                <w:sz w:val="20"/>
                <w:szCs w:val="20"/>
              </w:rPr>
            </w:pPr>
          </w:p>
        </w:tc>
        <w:tc>
          <w:tcPr>
            <w:tcW w:w="993"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-3,7</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-8,2</w:t>
            </w:r>
          </w:p>
        </w:tc>
        <w:tc>
          <w:tcPr>
            <w:tcW w:w="1134"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-2,3</w:t>
            </w:r>
          </w:p>
        </w:tc>
        <w:tc>
          <w:tcPr>
            <w:tcW w:w="992"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-1,3</w:t>
            </w:r>
          </w:p>
        </w:tc>
        <w:tc>
          <w:tcPr>
            <w:tcW w:w="1417" w:type="dxa"/>
            <w:shd w:val="clear" w:color="auto" w:fill="auto"/>
            <w:vAlign w:val="center"/>
          </w:tcPr>
          <w:p w:rsidR="00BF4753" w:rsidRPr="008C0CE2" w:rsidRDefault="00BF4753" w:rsidP="002D7CA8">
            <w:pPr>
              <w:spacing w:after="160" w:line="259" w:lineRule="auto"/>
              <w:ind w:firstLine="0"/>
              <w:jc w:val="center"/>
              <w:rPr>
                <w:rFonts w:eastAsia="Times New Roman" w:cs="Times New Roman"/>
                <w:snapToGrid w:val="0"/>
                <w:sz w:val="20"/>
                <w:szCs w:val="20"/>
                <w:highlight w:val="yellow"/>
              </w:rPr>
            </w:pPr>
            <w:r w:rsidRPr="008C0CE2">
              <w:rPr>
                <w:rFonts w:cs="Times New Roman"/>
                <w:color w:val="000000"/>
                <w:sz w:val="20"/>
                <w:szCs w:val="20"/>
              </w:rPr>
              <w:t>-0,3</w:t>
            </w:r>
          </w:p>
        </w:tc>
      </w:tr>
    </w:tbl>
    <w:p w:rsidR="00BF4753" w:rsidRPr="008C0CE2" w:rsidRDefault="00BF4753" w:rsidP="00BF4753">
      <w:pPr>
        <w:spacing w:after="120"/>
        <w:rPr>
          <w:rFonts w:eastAsia="Times New Roman" w:cs="Times New Roman"/>
          <w:sz w:val="24"/>
          <w:szCs w:val="24"/>
        </w:rPr>
      </w:pPr>
    </w:p>
    <w:p w:rsidR="00BF4753" w:rsidRPr="008C0CE2" w:rsidRDefault="00BF4753" w:rsidP="00BF4753">
      <w:pPr>
        <w:spacing w:line="259" w:lineRule="auto"/>
        <w:ind w:firstLine="426"/>
        <w:rPr>
          <w:rFonts w:eastAsia="Times New Roman" w:cs="Times New Roman"/>
          <w:b/>
          <w:color w:val="000000"/>
          <w:szCs w:val="24"/>
        </w:rPr>
      </w:pPr>
      <w:r w:rsidRPr="008C0CE2">
        <w:rPr>
          <w:rFonts w:eastAsia="Times New Roman" w:cs="Times New Roman"/>
          <w:b/>
          <w:color w:val="000000"/>
          <w:szCs w:val="24"/>
        </w:rPr>
        <w:t>Centrālās valdības budžets</w:t>
      </w:r>
    </w:p>
    <w:p w:rsidR="00BF4753" w:rsidRPr="008C0CE2" w:rsidRDefault="00BF4753" w:rsidP="00BF4753">
      <w:pPr>
        <w:numPr>
          <w:ilvl w:val="0"/>
          <w:numId w:val="16"/>
        </w:numPr>
        <w:spacing w:line="259" w:lineRule="auto"/>
        <w:ind w:left="782" w:hanging="357"/>
        <w:rPr>
          <w:rFonts w:eastAsia="Calibri" w:cs="Times New Roman"/>
          <w:color w:val="000000"/>
          <w:szCs w:val="24"/>
        </w:rPr>
      </w:pPr>
      <w:r w:rsidRPr="008C0CE2">
        <w:rPr>
          <w:rFonts w:eastAsia="Calibri" w:cs="Times New Roman"/>
          <w:color w:val="000000"/>
          <w:szCs w:val="24"/>
        </w:rPr>
        <w:t xml:space="preserve">Valdības apstiprinātais atbalsts tautsaimniecībai Covid-19 seku mazināšanai visvairāk ietekmē centrālās valdības budžetu, kurā 2021. gadā tiek plānots deficīts 8,6% no </w:t>
      </w:r>
      <w:r>
        <w:rPr>
          <w:rFonts w:cs="Times New Roman"/>
          <w:color w:val="000000"/>
          <w:szCs w:val="24"/>
        </w:rPr>
        <w:t>iekšzemes kopprodukta</w:t>
      </w:r>
      <w:r w:rsidRPr="008C0CE2">
        <w:rPr>
          <w:rFonts w:eastAsia="Calibri" w:cs="Times New Roman"/>
          <w:color w:val="000000"/>
          <w:szCs w:val="24"/>
        </w:rPr>
        <w:t xml:space="preserve">. Savukārt turpmākajos gados pie nemainīgas politikas sagaidāma deficīta samazināšanās - 2022. gadā līdz 2,5% no </w:t>
      </w:r>
      <w:r>
        <w:rPr>
          <w:rFonts w:cs="Times New Roman"/>
          <w:color w:val="000000"/>
          <w:szCs w:val="24"/>
        </w:rPr>
        <w:t>iekšzemes kopprodukta</w:t>
      </w:r>
      <w:r w:rsidRPr="008C0CE2">
        <w:rPr>
          <w:rFonts w:eastAsia="Calibri" w:cs="Times New Roman"/>
          <w:color w:val="000000"/>
          <w:szCs w:val="24"/>
        </w:rPr>
        <w:t xml:space="preserve">, 2023. gadā līdz 1,2% no </w:t>
      </w:r>
      <w:r>
        <w:rPr>
          <w:rFonts w:cs="Times New Roman"/>
          <w:color w:val="000000"/>
          <w:szCs w:val="24"/>
        </w:rPr>
        <w:t>iekšzemes kopprodukta</w:t>
      </w:r>
      <w:r w:rsidRPr="008C0CE2">
        <w:rPr>
          <w:rFonts w:eastAsia="Calibri" w:cs="Times New Roman"/>
          <w:color w:val="000000"/>
          <w:szCs w:val="24"/>
        </w:rPr>
        <w:t xml:space="preserve"> un 2024. gadā līdz 0,2% no </w:t>
      </w:r>
      <w:r>
        <w:rPr>
          <w:rFonts w:cs="Times New Roman"/>
          <w:color w:val="000000"/>
          <w:szCs w:val="24"/>
        </w:rPr>
        <w:t>iekšzemes kopprodukta</w:t>
      </w:r>
      <w:r w:rsidRPr="008C0CE2">
        <w:rPr>
          <w:rFonts w:eastAsia="Calibri" w:cs="Times New Roman"/>
          <w:color w:val="000000"/>
          <w:szCs w:val="24"/>
        </w:rPr>
        <w:t>. Centrālās valdības budžetā tiek plānots, ka izdevumu īpatsvars ar 2022. gadu samazināsies, kas skaidrojams ar augsto izdevumu līmeni 2021. gadā Covid-</w:t>
      </w:r>
      <w:r w:rsidRPr="008C0CE2">
        <w:rPr>
          <w:rFonts w:eastAsia="Calibri" w:cs="Times New Roman"/>
          <w:color w:val="000000"/>
          <w:szCs w:val="24"/>
        </w:rPr>
        <w:lastRenderedPageBreak/>
        <w:t>19 seku mazināšanai un to, ka šobrīd nav pieņemti lēmumi par papildus resursu piešķiršanu vidējā termiņā (ģimenes valsts pabalsta palielināšana, mediķu atalgojums, pedagogu atlīdzības sistēmas reforma u.c.). Ieņēmumu apmērs, līdz ar augstākiem nodokļu ieņēmumiem, ik gadu nomināli pieaugs, attiecīgi centrālās valdības budžeta bilance pie nemainīgas politikas ik gadu uzlabosies.</w:t>
      </w:r>
    </w:p>
    <w:p w:rsidR="00BF4753" w:rsidRPr="008C0CE2" w:rsidRDefault="00BF4753" w:rsidP="00BF4753">
      <w:pPr>
        <w:numPr>
          <w:ilvl w:val="0"/>
          <w:numId w:val="16"/>
        </w:numPr>
        <w:spacing w:line="259" w:lineRule="auto"/>
        <w:ind w:left="782" w:hanging="357"/>
        <w:rPr>
          <w:rFonts w:eastAsia="Calibri" w:cs="Times New Roman"/>
          <w:strike/>
          <w:color w:val="000000"/>
          <w:szCs w:val="24"/>
        </w:rPr>
      </w:pPr>
      <w:r w:rsidRPr="008C0CE2">
        <w:rPr>
          <w:rFonts w:eastAsia="Calibri" w:cs="Times New Roman"/>
          <w:noProof/>
          <w:szCs w:val="24"/>
        </w:rPr>
        <w:t>2021. gads ir pēdējais, kad zemāki</w:t>
      </w:r>
      <w:r>
        <w:rPr>
          <w:rFonts w:eastAsia="Calibri" w:cs="Times New Roman"/>
          <w:noProof/>
          <w:szCs w:val="24"/>
        </w:rPr>
        <w:t xml:space="preserve"> kā iepriekšējā gadā gaidāmi iedzīvotāju ienākuma nodokļu</w:t>
      </w:r>
      <w:r w:rsidRPr="008C0CE2">
        <w:rPr>
          <w:rFonts w:eastAsia="Calibri" w:cs="Times New Roman"/>
          <w:noProof/>
          <w:szCs w:val="24"/>
        </w:rPr>
        <w:t xml:space="preserve"> ieņēmumi, jo tālākas izmaiņas ar nodokli neapliekamo ienākumu</w:t>
      </w:r>
      <w:r>
        <w:rPr>
          <w:rFonts w:eastAsia="Calibri" w:cs="Times New Roman"/>
          <w:noProof/>
          <w:szCs w:val="24"/>
        </w:rPr>
        <w:t xml:space="preserve"> bāzē nav apstiprinātas. Arī uzņēmuma ienākuma nodokļa</w:t>
      </w:r>
      <w:r w:rsidRPr="008C0CE2">
        <w:rPr>
          <w:rFonts w:eastAsia="Calibri" w:cs="Times New Roman"/>
          <w:noProof/>
          <w:szCs w:val="24"/>
        </w:rPr>
        <w:t xml:space="preserve"> ieņēmumi pēc reformas ik gadu pieaugs, lai gan vidējā termiņā vēl nesasniegs pirmsreformas līmeni. 2022. gadā līdz ar prognozēto iziešanu no Covid-19 krīzes nodokļu ieņēmumi pieaugs straujāk un pieaugums sagaidāms visās nozīmīgākajās nodokļu grupās. Kopumā nodokļu ieņēmumu pieaugumu nodrošinās darba samaksas fonda un patēriņa pieaugums.</w:t>
      </w:r>
    </w:p>
    <w:p w:rsidR="00BF4753" w:rsidRPr="008C0CE2" w:rsidRDefault="00BF4753" w:rsidP="00BF4753">
      <w:pPr>
        <w:numPr>
          <w:ilvl w:val="0"/>
          <w:numId w:val="16"/>
        </w:numPr>
        <w:spacing w:line="259" w:lineRule="auto"/>
        <w:ind w:left="782" w:hanging="357"/>
        <w:rPr>
          <w:rFonts w:eastAsia="Calibri" w:cs="Times New Roman"/>
          <w:strike/>
          <w:color w:val="000000"/>
          <w:szCs w:val="24"/>
        </w:rPr>
      </w:pPr>
      <w:r w:rsidRPr="008C0CE2">
        <w:rPr>
          <w:rFonts w:eastAsia="Calibri" w:cs="Times New Roman"/>
          <w:color w:val="000000"/>
          <w:szCs w:val="24"/>
        </w:rPr>
        <w:t xml:space="preserve">Pēc 2021. gada, kad izdevumu pieaugumu atalgojumam, sociālajiem izdevumiem un starppatēriņam lielā mērā ietekmē papildus izdevumi Covid-19 atbalsta pasākumiem, sākot ar 2022. gadu izdevumi šajās pozīcijās pieaugs daudz lēnākā tempā. Jāņem vērā, ka vidēja termiņa prognozēs nav ņemti vērā potenciālie papildus izdevumi, piemēram, ģimenes valsts pabalstam, mediķu atalgojumam u.c., par ko vēl nav pieņemti lēmumi.  </w:t>
      </w:r>
    </w:p>
    <w:p w:rsidR="002C3840" w:rsidRPr="0027190A" w:rsidRDefault="00BF4753" w:rsidP="0027190A">
      <w:pPr>
        <w:numPr>
          <w:ilvl w:val="0"/>
          <w:numId w:val="16"/>
        </w:numPr>
        <w:spacing w:line="259" w:lineRule="auto"/>
        <w:rPr>
          <w:rFonts w:eastAsia="Calibri" w:cs="Times New Roman"/>
          <w:color w:val="000000"/>
          <w:szCs w:val="24"/>
        </w:rPr>
      </w:pPr>
      <w:r w:rsidRPr="008C0CE2">
        <w:rPr>
          <w:rFonts w:eastAsia="Calibri" w:cs="Times New Roman"/>
          <w:color w:val="000000"/>
          <w:szCs w:val="24"/>
        </w:rPr>
        <w:t>Pamatlīdzekļu veidošanas izdevumi</w:t>
      </w:r>
      <w:r>
        <w:rPr>
          <w:rFonts w:eastAsia="Calibri" w:cs="Times New Roman"/>
          <w:color w:val="000000"/>
          <w:szCs w:val="24"/>
        </w:rPr>
        <w:t>, palielinoties Eiropas Savienības</w:t>
      </w:r>
      <w:r w:rsidRPr="008C0CE2">
        <w:rPr>
          <w:rFonts w:eastAsia="Calibri" w:cs="Times New Roman"/>
          <w:color w:val="000000"/>
          <w:szCs w:val="24"/>
        </w:rPr>
        <w:t xml:space="preserve"> fondu investīciju plūsmām, 2021.</w:t>
      </w:r>
      <w:r>
        <w:rPr>
          <w:rFonts w:eastAsia="Calibri" w:cs="Times New Roman"/>
          <w:color w:val="000000"/>
          <w:szCs w:val="24"/>
        </w:rPr>
        <w:t xml:space="preserve">  </w:t>
      </w:r>
      <w:r w:rsidRPr="008C0CE2">
        <w:rPr>
          <w:rFonts w:eastAsia="Calibri" w:cs="Times New Roman"/>
          <w:color w:val="000000"/>
          <w:szCs w:val="24"/>
        </w:rPr>
        <w:t xml:space="preserve">-2022. gadā kāps. </w:t>
      </w:r>
      <w:r>
        <w:rPr>
          <w:rFonts w:eastAsia="Calibri" w:cs="Times New Roman"/>
          <w:color w:val="000000"/>
          <w:szCs w:val="24"/>
        </w:rPr>
        <w:t>Eiropas Savienības</w:t>
      </w:r>
      <w:r w:rsidRPr="008C0CE2">
        <w:rPr>
          <w:rFonts w:eastAsia="Calibri" w:cs="Times New Roman"/>
          <w:color w:val="000000"/>
          <w:szCs w:val="24"/>
        </w:rPr>
        <w:t xml:space="preserve"> fondu investīcijas centrālās valdības budžetā pēc samazinājuma 2020. </w:t>
      </w:r>
      <w:r>
        <w:rPr>
          <w:rFonts w:eastAsia="Calibri" w:cs="Times New Roman"/>
          <w:color w:val="000000"/>
          <w:szCs w:val="24"/>
        </w:rPr>
        <w:t>gadā, kad veikta nozīmīga Eiropas Savienības</w:t>
      </w:r>
      <w:r w:rsidRPr="008C0CE2">
        <w:rPr>
          <w:rFonts w:eastAsia="Calibri" w:cs="Times New Roman"/>
          <w:color w:val="000000"/>
          <w:szCs w:val="24"/>
        </w:rPr>
        <w:t xml:space="preserve"> fondu pārstrukturēšana</w:t>
      </w:r>
      <w:r>
        <w:rPr>
          <w:rFonts w:eastAsia="Calibri" w:cs="Times New Roman"/>
          <w:color w:val="000000"/>
          <w:szCs w:val="24"/>
        </w:rPr>
        <w:t xml:space="preserve">, tos gandrīz 0,5 mljrd. </w:t>
      </w:r>
      <w:r w:rsidRPr="008C0CE2">
        <w:rPr>
          <w:rFonts w:eastAsia="Calibri" w:cs="Times New Roman"/>
          <w:i/>
          <w:color w:val="000000"/>
          <w:szCs w:val="24"/>
        </w:rPr>
        <w:t>euro</w:t>
      </w:r>
      <w:r w:rsidRPr="008C0CE2">
        <w:rPr>
          <w:rFonts w:eastAsia="Calibri" w:cs="Times New Roman"/>
          <w:color w:val="000000"/>
          <w:szCs w:val="24"/>
        </w:rPr>
        <w:t xml:space="preserve"> apmērā pārdalot Covid-19 iete</w:t>
      </w:r>
      <w:r>
        <w:rPr>
          <w:rFonts w:eastAsia="Calibri" w:cs="Times New Roman"/>
          <w:color w:val="000000"/>
          <w:szCs w:val="24"/>
        </w:rPr>
        <w:t>k</w:t>
      </w:r>
      <w:r w:rsidRPr="008C0CE2">
        <w:rPr>
          <w:rFonts w:eastAsia="Calibri" w:cs="Times New Roman"/>
          <w:color w:val="000000"/>
          <w:szCs w:val="24"/>
        </w:rPr>
        <w:t>mes mazināšanai, 2021. un 2022. gadā pieaugs. To sekmēs arī 2021.</w:t>
      </w:r>
      <w:r>
        <w:rPr>
          <w:rFonts w:eastAsia="Calibri" w:cs="Times New Roman"/>
          <w:color w:val="000000"/>
          <w:szCs w:val="24"/>
        </w:rPr>
        <w:t> - </w:t>
      </w:r>
      <w:r w:rsidRPr="008C0CE2">
        <w:rPr>
          <w:rFonts w:eastAsia="Calibri" w:cs="Times New Roman"/>
          <w:color w:val="000000"/>
          <w:szCs w:val="24"/>
        </w:rPr>
        <w:t xml:space="preserve">2027. gada plānošanas perioda uzsākšana un </w:t>
      </w:r>
      <w:r w:rsidRPr="00526DD8">
        <w:rPr>
          <w:rFonts w:eastAsia="Calibri" w:cs="Times New Roman"/>
          <w:color w:val="000000"/>
          <w:szCs w:val="24"/>
        </w:rPr>
        <w:t>Eiropas Atve</w:t>
      </w:r>
      <w:r>
        <w:rPr>
          <w:rFonts w:eastAsia="Calibri" w:cs="Times New Roman"/>
          <w:color w:val="000000"/>
          <w:szCs w:val="24"/>
        </w:rPr>
        <w:t>seļošanas un noturības mehānisma</w:t>
      </w:r>
      <w:r w:rsidRPr="008C0CE2">
        <w:rPr>
          <w:rFonts w:eastAsia="Calibri" w:cs="Times New Roman"/>
          <w:color w:val="000000"/>
          <w:szCs w:val="24"/>
        </w:rPr>
        <w:t xml:space="preserve"> līdzekļu ieplūšana Latvijā, kas ir iekļauts prognozēs. Tāpat </w:t>
      </w:r>
      <w:r w:rsidRPr="008C0CE2">
        <w:rPr>
          <w:rFonts w:eastAsia="Calibri" w:cs="Times New Roman"/>
          <w:noProof/>
          <w:szCs w:val="24"/>
        </w:rPr>
        <w:t>apstiprinātais finansējums augstas gatavības projektiem, lai mazinātu Covid-19 ietekmi uz tautsaimniecību, noteiks investīciju palielināšanos 2021. un 2022. gadā.</w:t>
      </w:r>
      <w:r w:rsidRPr="008C0CE2">
        <w:rPr>
          <w:rFonts w:eastAsia="Calibri" w:cs="Times New Roman"/>
          <w:color w:val="000000"/>
          <w:szCs w:val="24"/>
        </w:rPr>
        <w:t xml:space="preserve"> Ņemot vērā, ka nozīmīgā infrastruktūras projekta </w:t>
      </w:r>
      <w:r w:rsidRPr="008C0CE2">
        <w:rPr>
          <w:rFonts w:eastAsia="Calibri" w:cs="Times New Roman"/>
          <w:i/>
          <w:iCs/>
          <w:color w:val="000000"/>
          <w:szCs w:val="24"/>
        </w:rPr>
        <w:t>Rail Baltica</w:t>
      </w:r>
      <w:r w:rsidRPr="008C0CE2">
        <w:rPr>
          <w:rFonts w:eastAsia="Calibri" w:cs="Times New Roman"/>
          <w:color w:val="000000"/>
          <w:szCs w:val="24"/>
        </w:rPr>
        <w:t xml:space="preserve"> finansējums līdz šim ir piešķirts ierobežotā apjomā atbilstoši noslēgtajiem līgumiem, 2023. gadā tā finansējums jau tiek plānots ar nozīmīgu samazinājumu, kas lielā mērā noteiks arī zemāku investīciju apmēru centrālās valdības budžetā, salīdzinot ar 2022. gadu.  </w:t>
      </w:r>
    </w:p>
    <w:p w:rsidR="00BF4753" w:rsidRPr="008C0CE2" w:rsidRDefault="00BF4753" w:rsidP="0027190A">
      <w:pPr>
        <w:spacing w:before="120" w:after="120"/>
        <w:ind w:firstLine="425"/>
        <w:rPr>
          <w:rFonts w:eastAsia="Times New Roman" w:cs="Times New Roman"/>
          <w:szCs w:val="24"/>
        </w:rPr>
      </w:pPr>
      <w:r w:rsidRPr="008C0CE2">
        <w:rPr>
          <w:rFonts w:eastAsia="Times New Roman" w:cs="Times New Roman"/>
          <w:b/>
          <w:szCs w:val="24"/>
        </w:rPr>
        <w:t>Sociālās nodrošināšanas fonds</w:t>
      </w:r>
    </w:p>
    <w:p w:rsidR="00BF4753" w:rsidRPr="008C0CE2" w:rsidRDefault="00BF4753" w:rsidP="00BF4753">
      <w:pPr>
        <w:numPr>
          <w:ilvl w:val="0"/>
          <w:numId w:val="18"/>
        </w:numPr>
        <w:spacing w:line="259" w:lineRule="auto"/>
        <w:rPr>
          <w:rFonts w:eastAsia="Calibri" w:cs="Times New Roman"/>
          <w:szCs w:val="24"/>
        </w:rPr>
      </w:pPr>
      <w:r w:rsidRPr="008C0CE2">
        <w:rPr>
          <w:rFonts w:eastAsia="Calibri" w:cs="Times New Roman"/>
          <w:szCs w:val="24"/>
        </w:rPr>
        <w:t xml:space="preserve">Sociālās nodrošināšanas fondā pēc vairākiem gadiem ar pārpalikumu 2021. gadā sagaidāms 0,3% no </w:t>
      </w:r>
      <w:r>
        <w:rPr>
          <w:rFonts w:eastAsia="Calibri" w:cs="Times New Roman"/>
          <w:szCs w:val="24"/>
        </w:rPr>
        <w:t>iekšzemes kopprodukta</w:t>
      </w:r>
      <w:r w:rsidRPr="008C0CE2">
        <w:rPr>
          <w:rFonts w:eastAsia="Calibri" w:cs="Times New Roman"/>
          <w:szCs w:val="24"/>
        </w:rPr>
        <w:t xml:space="preserve"> deficīts. Deficīta veidošanos ietekmēja ekonomiskās situācijas pasliktināšanās, kad Covid-19 ietekmē pieaug gan īstermiņa pabalsti (slimības, bezdarba), gan bremzējas </w:t>
      </w:r>
      <w:r w:rsidRPr="008C0CE2">
        <w:rPr>
          <w:rFonts w:eastAsia="Calibri" w:cs="Times New Roman"/>
          <w:szCs w:val="24"/>
        </w:rPr>
        <w:lastRenderedPageBreak/>
        <w:t xml:space="preserve">nodokļu iemaksu pieaugums. Nodokļu ieņēmumu pieaugumu ietekmē ar 2021. gadu par 1 procentpunktu samazinātā </w:t>
      </w:r>
      <w:r w:rsidRPr="00526DD8">
        <w:rPr>
          <w:rFonts w:eastAsia="Calibri" w:cs="Times New Roman"/>
          <w:szCs w:val="24"/>
        </w:rPr>
        <w:t>Valsts sociālās apdrošināšanas obligāto iemaksu</w:t>
      </w:r>
      <w:r w:rsidRPr="008C0CE2">
        <w:rPr>
          <w:rFonts w:eastAsia="Calibri" w:cs="Times New Roman"/>
          <w:szCs w:val="24"/>
        </w:rPr>
        <w:t xml:space="preserve"> likme, līdz ar ko ieņēmumu apjoma pieaugums turpinās, taču lēnākā tempā. Līdz ar ekonomikas atkopšanos jau 2023. un 2024. gadā sociālās nodrošināšanas fondā tiek prognozēts sabalansēts budžets.</w:t>
      </w:r>
    </w:p>
    <w:p w:rsidR="00BF4753" w:rsidRPr="008C0CE2" w:rsidRDefault="00BF4753" w:rsidP="00BF4753">
      <w:pPr>
        <w:numPr>
          <w:ilvl w:val="0"/>
          <w:numId w:val="18"/>
        </w:numPr>
        <w:spacing w:line="259" w:lineRule="auto"/>
        <w:rPr>
          <w:rFonts w:eastAsia="Calibri" w:cs="Times New Roman"/>
          <w:szCs w:val="24"/>
        </w:rPr>
      </w:pPr>
      <w:r w:rsidRPr="008C0CE2">
        <w:rPr>
          <w:rFonts w:eastAsia="Calibri" w:cs="Times New Roman"/>
          <w:szCs w:val="24"/>
        </w:rPr>
        <w:t xml:space="preserve">2021. gadā sagaidāms izdevumu pieaugums pensijām, ņemot vērā gan vidējās iemaksu algas kāpumu, gan lielākus indeksus. Saskaņā ar atjaunoto makroscenāriju 2021. gadā būtu jāveic pārrēķins pensiju indeksācijas koeficientiem, līdz ar to tiek prognozēti papildus izdevumi pensiju indeksācijai ar 2021. gada 1. oktobri, kas ietekmē arī turpmāko gadu izdevumus vecuma pensijām. Izdevumi pensijām pieaugtu vēl straujāk, ja netiktu īstenota pensionēšanās vecuma reforma, kas ir ieviesta 2014. gadā un paredz ik gadu par trim mēnešiem līdz 2025. gadam celt pensionēšanās vecumu līdz 65 gadiem, kā rezultātā pensiju saņēmēju skaits sarūk un šobrīd tiek prognozēts, ka turpinās samazināties arī vidējā termiņā. Tiesības uz valsts vecuma pensiju 2021. gadā būs personām, kuras sasniegušas 64 gadu vecumu. Personām, kuru apdrošināšanas stāžs nav mazāks par 30 gadiem, ir tiesības pensionēties priekšlaicīgi – divus gadus pirms vispārējā pensionēšanās vecuma sasniegšanas, tātad 2021. gadā priekšlaicīgi pensionēties var personas, kuras sasniegušas 62 gadu vecumu. </w:t>
      </w:r>
    </w:p>
    <w:p w:rsidR="00BF4753" w:rsidRPr="008C0CE2" w:rsidRDefault="00BF4753" w:rsidP="00BF4753">
      <w:pPr>
        <w:numPr>
          <w:ilvl w:val="0"/>
          <w:numId w:val="18"/>
        </w:numPr>
        <w:spacing w:line="259" w:lineRule="auto"/>
        <w:rPr>
          <w:rFonts w:eastAsia="Calibri" w:cs="Times New Roman"/>
          <w:szCs w:val="24"/>
        </w:rPr>
      </w:pPr>
      <w:r w:rsidRPr="008C0CE2">
        <w:rPr>
          <w:rFonts w:eastAsia="Calibri" w:cs="Times New Roman"/>
          <w:szCs w:val="24"/>
        </w:rPr>
        <w:t xml:space="preserve">Ņemot vērā Satversmes tiesas spriedumu par minimālo pensiju apmēriem, ar 2021. gadu noteikts jauns minimālais vecuma pensijas apmērs, kas turpmāk būs atkarīgs no katra personas apdrošināšanas stāža gada. Minimālo vecuma pensiju aprēķinās, minimālās vecuma pensijas aprēķina bāzei 136 </w:t>
      </w:r>
      <w:r w:rsidRPr="008C0CE2">
        <w:rPr>
          <w:rFonts w:eastAsia="Calibri" w:cs="Times New Roman"/>
          <w:i/>
          <w:szCs w:val="24"/>
        </w:rPr>
        <w:t>euro</w:t>
      </w:r>
      <w:r w:rsidRPr="008C0CE2">
        <w:rPr>
          <w:rFonts w:eastAsia="Calibri" w:cs="Times New Roman"/>
          <w:szCs w:val="24"/>
        </w:rPr>
        <w:t xml:space="preserve"> piemērojot koeficientu 1,1. Par katru nākamo gadu, kas pārsniedz 15 gadus, kuri nepieciešami vecuma pensijas piešķiršanai, apmērs tiks palielināts par diviem procentiem no minimālās vecuma pensijas aprēķina bāzes.</w:t>
      </w:r>
    </w:p>
    <w:p w:rsidR="00BF4753" w:rsidRPr="008C0CE2" w:rsidRDefault="00BF4753" w:rsidP="00BF4753">
      <w:pPr>
        <w:numPr>
          <w:ilvl w:val="0"/>
          <w:numId w:val="18"/>
        </w:numPr>
        <w:spacing w:line="259" w:lineRule="auto"/>
        <w:ind w:left="714" w:hanging="357"/>
        <w:rPr>
          <w:rFonts w:eastAsia="Calibri" w:cs="Times New Roman"/>
          <w:szCs w:val="24"/>
        </w:rPr>
      </w:pPr>
      <w:r w:rsidRPr="008C0CE2">
        <w:rPr>
          <w:rFonts w:eastAsia="Calibri" w:cs="Times New Roman"/>
          <w:szCs w:val="24"/>
        </w:rPr>
        <w:t xml:space="preserve">No 2021. gada 1. janvāra paaugstināts invaliditātes pensijas minimālais apmērs. Noteiktais jaunais minimālais invaliditātes pensijas apmērs ir atkarīgs no invaliditātes pensijas aprēķina bāzes, kas ir 136 </w:t>
      </w:r>
      <w:r w:rsidRPr="008C0CE2">
        <w:rPr>
          <w:rFonts w:eastAsia="Calibri" w:cs="Times New Roman"/>
          <w:i/>
          <w:szCs w:val="24"/>
        </w:rPr>
        <w:t>euro</w:t>
      </w:r>
      <w:r w:rsidRPr="008C0CE2">
        <w:rPr>
          <w:rFonts w:eastAsia="Calibri" w:cs="Times New Roman"/>
          <w:szCs w:val="24"/>
        </w:rPr>
        <w:t xml:space="preserve">, personām ar invaliditāti no bērnības 163 </w:t>
      </w:r>
      <w:r w:rsidRPr="008C0CE2">
        <w:rPr>
          <w:rFonts w:eastAsia="Calibri" w:cs="Times New Roman"/>
          <w:i/>
          <w:szCs w:val="24"/>
        </w:rPr>
        <w:t>euro</w:t>
      </w:r>
      <w:r w:rsidRPr="008C0CE2">
        <w:rPr>
          <w:rFonts w:eastAsia="Calibri" w:cs="Times New Roman"/>
          <w:szCs w:val="24"/>
        </w:rPr>
        <w:t xml:space="preserve"> apmērā. Personām ar 1. un 2. grupas invaliditāti minimālo pensijas apmēru aprēķinās, piemērojot palielinošos koeficientus.</w:t>
      </w:r>
    </w:p>
    <w:p w:rsidR="00BF4753" w:rsidRPr="008C0CE2" w:rsidRDefault="00BF4753" w:rsidP="00BF4753">
      <w:pPr>
        <w:numPr>
          <w:ilvl w:val="0"/>
          <w:numId w:val="18"/>
        </w:numPr>
        <w:spacing w:line="259" w:lineRule="auto"/>
        <w:ind w:left="714" w:hanging="357"/>
        <w:rPr>
          <w:rFonts w:eastAsia="Calibri" w:cs="Times New Roman"/>
          <w:szCs w:val="24"/>
        </w:rPr>
      </w:pPr>
      <w:r w:rsidRPr="008C0CE2">
        <w:rPr>
          <w:rFonts w:eastAsia="Calibri" w:cs="Times New Roman"/>
          <w:szCs w:val="24"/>
        </w:rPr>
        <w:t xml:space="preserve">Sagatavojot izdevumu prognozes sociālās nodrošināšanas fondā, tika ņemts vērā, ka izdevumi bezdarbnieku pabalstiem 2021. gadā nozīmīgi pieaugs, bet vidējā termiņā ik gadu samazināsies. To pamatā noteiks bezdarbnieku pabalsta saņēmēju skaita izmaiņas, paredzot, ka 2021. gadā salīdzinājumā ar 2020. gadu tas pieaugs līdz 40,3 </w:t>
      </w:r>
      <w:r w:rsidR="0027190A">
        <w:rPr>
          <w:rFonts w:eastAsia="Calibri" w:cs="Times New Roman"/>
          <w:szCs w:val="24"/>
        </w:rPr>
        <w:t>tūkst.</w:t>
      </w:r>
      <w:r w:rsidRPr="008C0CE2">
        <w:rPr>
          <w:rFonts w:eastAsia="Calibri" w:cs="Times New Roman"/>
          <w:szCs w:val="24"/>
        </w:rPr>
        <w:t xml:space="preserve"> saņēmēju, un pieaugums tiek prognozēts gada otrā pusē, kad vairs netiks piešķirts atbalsts dīkstāvē un daļa uzņēmumu varētu neatsākt darbu. Savukārt, vidējā termiņā tiek prognozēta saņēmēju skaita </w:t>
      </w:r>
      <w:r w:rsidR="0027190A">
        <w:rPr>
          <w:rFonts w:eastAsia="Calibri" w:cs="Times New Roman"/>
          <w:szCs w:val="24"/>
        </w:rPr>
        <w:t>samazināšanās līdz 29 tūkst.</w:t>
      </w:r>
      <w:r w:rsidRPr="008C0CE2">
        <w:rPr>
          <w:rFonts w:eastAsia="Calibri" w:cs="Times New Roman"/>
          <w:szCs w:val="24"/>
        </w:rPr>
        <w:t xml:space="preserve"> 2024. gadā, kas arī noteiks </w:t>
      </w:r>
      <w:r w:rsidRPr="008C0CE2">
        <w:rPr>
          <w:rFonts w:eastAsia="Calibri" w:cs="Times New Roman"/>
          <w:szCs w:val="24"/>
        </w:rPr>
        <w:lastRenderedPageBreak/>
        <w:t xml:space="preserve">izdevumu samazināšanos vidējā termiņā. Vidējais pabalsta apmērs lielā mērā korelē ar sagaidāmajām vidējās darba samaksas izmaiņām valstī, kas ik gadu plānotas ar pieaugumu. No 2021. gada 1. janvāra paaugstināts bezdarbnieka pabalsts tiem bezdarbniekiem, kuriem tas noteikts 60% apmērā no divkārša valsts sociālā nodrošinājuma pabalsta apmēra. Šīs izmaiņas pēc Satversmes tiesas lēmuma saistītas ar valsts sociālā nodrošinājuma pabalsta apmēra paaugstināšanu no 64,03 </w:t>
      </w:r>
      <w:r w:rsidRPr="008C0CE2">
        <w:rPr>
          <w:rFonts w:eastAsia="Calibri" w:cs="Times New Roman"/>
          <w:i/>
          <w:szCs w:val="24"/>
        </w:rPr>
        <w:t>euro</w:t>
      </w:r>
      <w:r w:rsidRPr="008C0CE2">
        <w:rPr>
          <w:rFonts w:eastAsia="Calibri" w:cs="Times New Roman"/>
          <w:szCs w:val="24"/>
        </w:rPr>
        <w:t xml:space="preserve"> uz 109 </w:t>
      </w:r>
      <w:r w:rsidRPr="008C0CE2">
        <w:rPr>
          <w:rFonts w:eastAsia="Calibri" w:cs="Times New Roman"/>
          <w:i/>
          <w:szCs w:val="24"/>
        </w:rPr>
        <w:t>euro</w:t>
      </w:r>
      <w:r w:rsidRPr="008C0CE2">
        <w:rPr>
          <w:rFonts w:eastAsia="Calibri" w:cs="Times New Roman"/>
          <w:szCs w:val="24"/>
        </w:rPr>
        <w:t>. Jāatzīmē, ka no 2020. gada 1.</w:t>
      </w:r>
      <w:r w:rsidR="0027190A">
        <w:rPr>
          <w:rFonts w:eastAsia="Calibri" w:cs="Times New Roman"/>
          <w:szCs w:val="24"/>
        </w:rPr>
        <w:t xml:space="preserve"> </w:t>
      </w:r>
      <w:r w:rsidRPr="008C0CE2">
        <w:rPr>
          <w:rFonts w:eastAsia="Calibri" w:cs="Times New Roman"/>
          <w:szCs w:val="24"/>
        </w:rPr>
        <w:t>janvāra tika veiktas arī izmaiņas bezdarbnieka pabalsta izmaksas ilgumā un apmērā, to saīsinot no 9 uz 8 mēnešiem, tāpat pārskatot pabalsta izmaksas apmēru attiecībā pret personas darba algu.</w:t>
      </w:r>
    </w:p>
    <w:p w:rsidR="00BF4753" w:rsidRPr="008C0CE2" w:rsidRDefault="00BF4753" w:rsidP="00BF4753">
      <w:pPr>
        <w:numPr>
          <w:ilvl w:val="0"/>
          <w:numId w:val="18"/>
        </w:numPr>
        <w:spacing w:line="259" w:lineRule="auto"/>
        <w:rPr>
          <w:rFonts w:eastAsia="Calibri" w:cs="Times New Roman"/>
          <w:szCs w:val="24"/>
        </w:rPr>
      </w:pPr>
      <w:r w:rsidRPr="008C0CE2">
        <w:rPr>
          <w:rFonts w:eastAsia="Calibri" w:cs="Times New Roman"/>
          <w:szCs w:val="24"/>
        </w:rPr>
        <w:t>Tāpat ņemtas vērā sagaidāmās izmaiņas slimības pabalstu saņēmēju skaitā un vidējā apmērā. Covid-19 pandēmijas ietekmē valdība apstiprinājusi arī atbalstu slimības lapu apmaksai -  aizdomu par Covid-19 gadījumā slimības lapa tiek apmaksāta jau no 1.</w:t>
      </w:r>
      <w:r>
        <w:rPr>
          <w:rFonts w:eastAsia="Calibri" w:cs="Times New Roman"/>
          <w:szCs w:val="24"/>
        </w:rPr>
        <w:t xml:space="preserve"> </w:t>
      </w:r>
      <w:r w:rsidRPr="008C0CE2">
        <w:rPr>
          <w:rFonts w:eastAsia="Calibri" w:cs="Times New Roman"/>
          <w:szCs w:val="24"/>
        </w:rPr>
        <w:t>darba nespējas dienas līdz 3.</w:t>
      </w:r>
      <w:r>
        <w:rPr>
          <w:rFonts w:eastAsia="Calibri" w:cs="Times New Roman"/>
          <w:szCs w:val="24"/>
        </w:rPr>
        <w:t xml:space="preserve"> </w:t>
      </w:r>
      <w:r w:rsidRPr="008C0CE2">
        <w:rPr>
          <w:rFonts w:eastAsia="Calibri" w:cs="Times New Roman"/>
          <w:szCs w:val="24"/>
        </w:rPr>
        <w:t>dienai, bet pozitīva Covid-19 testa gadījumā turpinās pēc nepieciešamības (standarta kārtībā valsts slimošanu apmaksā no 11.</w:t>
      </w:r>
      <w:r>
        <w:rPr>
          <w:rFonts w:eastAsia="Calibri" w:cs="Times New Roman"/>
          <w:szCs w:val="24"/>
        </w:rPr>
        <w:t xml:space="preserve"> </w:t>
      </w:r>
      <w:r w:rsidRPr="008C0CE2">
        <w:rPr>
          <w:rFonts w:eastAsia="Calibri" w:cs="Times New Roman"/>
          <w:szCs w:val="24"/>
        </w:rPr>
        <w:t>darba nespējas dienas). Atbilstoši Labklājības ministrijas prognozēm Covid-19 saslimušo skaits 2021. gadā sasniegs 10% no sociāli apdrošināto personu kopskaita, tādējādi sagaidāms, ka kopumā izdevumi slimības pabalstiem 2021. gadā par 16,4% pārsniegs 2020. gada izdevumu līmeni. Vidējā termiņā, lai gan saņēmēju skaits plānots ar ikgadēju samazinājumu, ar pieaugumu tiek prognozēts vidējais pabalsta apmērs, tādējādi arī kopējie izdevumu slimības pabalstiem ik gadu pieaugs.</w:t>
      </w:r>
    </w:p>
    <w:p w:rsidR="00BF4753" w:rsidRPr="008C0CE2" w:rsidRDefault="00BF4753" w:rsidP="002C3840">
      <w:pPr>
        <w:spacing w:before="120" w:after="120"/>
        <w:ind w:left="709" w:hanging="284"/>
        <w:rPr>
          <w:rFonts w:eastAsia="Times New Roman" w:cs="Times New Roman"/>
          <w:color w:val="000000"/>
          <w:szCs w:val="24"/>
        </w:rPr>
      </w:pPr>
      <w:r w:rsidRPr="008C0CE2">
        <w:rPr>
          <w:rFonts w:eastAsia="Times New Roman" w:cs="Times New Roman"/>
          <w:b/>
          <w:color w:val="000000"/>
          <w:szCs w:val="24"/>
        </w:rPr>
        <w:t>Vietējās valdības budžets</w:t>
      </w:r>
    </w:p>
    <w:p w:rsidR="00BF4753" w:rsidRPr="008C0CE2" w:rsidRDefault="00BF4753" w:rsidP="00BF4753">
      <w:pPr>
        <w:numPr>
          <w:ilvl w:val="0"/>
          <w:numId w:val="17"/>
        </w:numPr>
        <w:spacing w:line="259" w:lineRule="auto"/>
        <w:ind w:left="714" w:hanging="357"/>
        <w:rPr>
          <w:rFonts w:eastAsia="Calibri" w:cs="Times New Roman"/>
          <w:szCs w:val="24"/>
        </w:rPr>
      </w:pPr>
      <w:r w:rsidRPr="008C0CE2">
        <w:rPr>
          <w:rFonts w:eastAsia="Calibri" w:cs="Times New Roman"/>
          <w:szCs w:val="24"/>
        </w:rPr>
        <w:t xml:space="preserve">2021. gadā vietējās valdības budžetā deficīts saglabāsies 2020. gada līmenī (0,4% no </w:t>
      </w:r>
      <w:r>
        <w:rPr>
          <w:rFonts w:eastAsia="Calibri" w:cs="Times New Roman"/>
          <w:szCs w:val="24"/>
        </w:rPr>
        <w:t>iekšzemes kopprodukta</w:t>
      </w:r>
      <w:r w:rsidRPr="008C0CE2">
        <w:rPr>
          <w:rFonts w:eastAsia="Calibri" w:cs="Times New Roman"/>
          <w:szCs w:val="24"/>
        </w:rPr>
        <w:t>). 2021. gada budžeta deficīts skaidrojams liel</w:t>
      </w:r>
      <w:r>
        <w:rPr>
          <w:rFonts w:eastAsia="Calibri" w:cs="Times New Roman"/>
          <w:szCs w:val="24"/>
        </w:rPr>
        <w:t>ā mērā ar plānotiem zemākiem iedzīvotāju ienākuma nodokļa</w:t>
      </w:r>
      <w:r w:rsidRPr="008C0CE2">
        <w:rPr>
          <w:rFonts w:eastAsia="Calibri" w:cs="Times New Roman"/>
          <w:szCs w:val="24"/>
        </w:rPr>
        <w:t xml:space="preserve"> ieņēmumiem salīdzinājumā ar 2020. gadu, galvenokārt dēļ izmaiņām likumdošanā. Ar 2021. gada 1. janvāri tiek paaugstināts neapliekamais minimums pensionāriem un </w:t>
      </w:r>
      <w:r w:rsidRPr="008C0CE2">
        <w:rPr>
          <w:rFonts w:cs="Times New Roman"/>
          <w:szCs w:val="24"/>
        </w:rPr>
        <w:t>ar nodokli neapliekamajā ieņēmumu bāze ienākumiem</w:t>
      </w:r>
      <w:r w:rsidRPr="008C0CE2">
        <w:rPr>
          <w:rFonts w:eastAsia="Calibri" w:cs="Times New Roman"/>
          <w:szCs w:val="24"/>
        </w:rPr>
        <w:t>. Prognozēts, ka 2022.</w:t>
      </w:r>
      <w:r>
        <w:rPr>
          <w:rFonts w:eastAsia="Calibri" w:cs="Times New Roman"/>
          <w:szCs w:val="24"/>
        </w:rPr>
        <w:t xml:space="preserve"> </w:t>
      </w:r>
      <w:r w:rsidRPr="008C0CE2">
        <w:rPr>
          <w:rFonts w:eastAsia="Calibri" w:cs="Times New Roman"/>
          <w:szCs w:val="24"/>
        </w:rPr>
        <w:t>-</w:t>
      </w:r>
      <w:r>
        <w:rPr>
          <w:rFonts w:eastAsia="Calibri" w:cs="Times New Roman"/>
          <w:szCs w:val="24"/>
        </w:rPr>
        <w:t xml:space="preserve"> </w:t>
      </w:r>
      <w:r w:rsidRPr="008C0CE2">
        <w:rPr>
          <w:rFonts w:eastAsia="Calibri" w:cs="Times New Roman"/>
          <w:szCs w:val="24"/>
        </w:rPr>
        <w:t xml:space="preserve">2024. gadā deficīts vietējās valdības budžetā samazināsies līdz 0,1% no </w:t>
      </w:r>
      <w:r>
        <w:rPr>
          <w:rFonts w:eastAsia="Calibri" w:cs="Times New Roman"/>
          <w:szCs w:val="24"/>
        </w:rPr>
        <w:t>iekšzemes kopprodukta</w:t>
      </w:r>
      <w:r w:rsidRPr="008C0CE2">
        <w:rPr>
          <w:rFonts w:eastAsia="Calibri" w:cs="Times New Roman"/>
          <w:szCs w:val="24"/>
        </w:rPr>
        <w:t>,</w:t>
      </w:r>
      <w:r>
        <w:rPr>
          <w:rFonts w:eastAsia="Calibri" w:cs="Times New Roman"/>
          <w:szCs w:val="24"/>
        </w:rPr>
        <w:t xml:space="preserve"> paredzot iedzīvotāju ienākuma nodokļa</w:t>
      </w:r>
      <w:r w:rsidRPr="008C0CE2">
        <w:rPr>
          <w:rFonts w:eastAsia="Calibri" w:cs="Times New Roman"/>
          <w:szCs w:val="24"/>
        </w:rPr>
        <w:t xml:space="preserve"> ieņēmumu ikgadēju pieaugumu. </w:t>
      </w:r>
    </w:p>
    <w:p w:rsidR="00BF4753" w:rsidRPr="008C0CE2" w:rsidRDefault="00BF4753" w:rsidP="00BF4753">
      <w:pPr>
        <w:numPr>
          <w:ilvl w:val="0"/>
          <w:numId w:val="17"/>
        </w:numPr>
        <w:spacing w:line="259" w:lineRule="auto"/>
        <w:ind w:left="714" w:hanging="357"/>
        <w:rPr>
          <w:rFonts w:eastAsia="Calibri" w:cs="Times New Roman"/>
          <w:szCs w:val="24"/>
        </w:rPr>
      </w:pPr>
      <w:r w:rsidRPr="008C0CE2">
        <w:rPr>
          <w:rFonts w:eastAsia="Calibri" w:cs="Times New Roman"/>
          <w:szCs w:val="24"/>
        </w:rPr>
        <w:t>Ar pieaugošu tendenci vietējās valdības budžetā prognozēti transferti, ko nodrošinās palielinājums speciālajā dotācijā pašvaldībām, kas kopš ieviešanas iepriekšējos gados nodrošina pašvaldību ieņēmumus noteiktā apmērā. Tāpat palielinās mērķdotācijas, tostarp pedagogiem, gan pieaug pieklasificēto komersantu transferti pašvaldībām.</w:t>
      </w:r>
    </w:p>
    <w:p w:rsidR="00BF4753" w:rsidRPr="002F061C" w:rsidRDefault="00BF4753" w:rsidP="00BF4753">
      <w:pPr>
        <w:numPr>
          <w:ilvl w:val="0"/>
          <w:numId w:val="17"/>
        </w:numPr>
        <w:spacing w:line="259" w:lineRule="auto"/>
        <w:ind w:left="714" w:hanging="357"/>
        <w:rPr>
          <w:rFonts w:eastAsia="Calibri" w:cs="Times New Roman"/>
          <w:szCs w:val="24"/>
        </w:rPr>
      </w:pPr>
      <w:r w:rsidRPr="008C0CE2">
        <w:rPr>
          <w:rFonts w:eastAsia="Calibri" w:cs="Times New Roman"/>
          <w:szCs w:val="24"/>
        </w:rPr>
        <w:t xml:space="preserve">Vietējās valdības budžeta izdevumi 2021. gadā kopumā pieaugs mēreni, tomēr vidējā termiņā sagaidāms straujāks izdevumu palielinājums. Ikgadējs pieaugums prognozēts izdevumos atlīdzībai, starppatēriņam, subsīdijām, kā </w:t>
      </w:r>
      <w:r w:rsidRPr="008C0CE2">
        <w:rPr>
          <w:rFonts w:eastAsia="Calibri" w:cs="Times New Roman"/>
          <w:szCs w:val="24"/>
        </w:rPr>
        <w:lastRenderedPageBreak/>
        <w:t xml:space="preserve">arī sociālajiem izdevumiem. Izdevumus pamatlīdzekļu </w:t>
      </w:r>
      <w:r>
        <w:rPr>
          <w:rFonts w:eastAsia="Calibri" w:cs="Times New Roman"/>
          <w:szCs w:val="24"/>
        </w:rPr>
        <w:t>veidošanai lielā mērā noteiks Eiropas Savienības</w:t>
      </w:r>
      <w:r w:rsidRPr="008C0CE2">
        <w:rPr>
          <w:rFonts w:eastAsia="Calibri" w:cs="Times New Roman"/>
          <w:szCs w:val="24"/>
        </w:rPr>
        <w:t xml:space="preserve"> fondu investīciju cikli. 2021. gadā  izdevumu samazinājums skaidrojams ar 2014.</w:t>
      </w:r>
      <w:r w:rsidR="0027190A">
        <w:rPr>
          <w:rFonts w:eastAsia="Calibri" w:cs="Times New Roman"/>
          <w:szCs w:val="24"/>
        </w:rPr>
        <w:t>-</w:t>
      </w:r>
      <w:r>
        <w:rPr>
          <w:rFonts w:eastAsia="Calibri" w:cs="Times New Roman"/>
          <w:szCs w:val="24"/>
        </w:rPr>
        <w:t>2020. gada Eiropas Savienības</w:t>
      </w:r>
      <w:r w:rsidRPr="008C0CE2">
        <w:rPr>
          <w:rFonts w:eastAsia="Calibri" w:cs="Times New Roman"/>
          <w:szCs w:val="24"/>
        </w:rPr>
        <w:t xml:space="preserve"> fondu perioda noslēgšanos, bet ar 2022. gadu izdevumi</w:t>
      </w:r>
      <w:r>
        <w:rPr>
          <w:rFonts w:eastAsia="Calibri" w:cs="Times New Roman"/>
          <w:szCs w:val="24"/>
        </w:rPr>
        <w:t xml:space="preserve"> ikgadēji pieaugs dēļ Eiropas Savienības</w:t>
      </w:r>
      <w:r w:rsidRPr="008C0CE2">
        <w:rPr>
          <w:rFonts w:eastAsia="Calibri" w:cs="Times New Roman"/>
          <w:szCs w:val="24"/>
        </w:rPr>
        <w:t xml:space="preserve"> fondu 2021.</w:t>
      </w:r>
      <w:r w:rsidR="0027190A">
        <w:rPr>
          <w:rFonts w:eastAsia="Calibri" w:cs="Times New Roman"/>
          <w:szCs w:val="24"/>
        </w:rPr>
        <w:t>-</w:t>
      </w:r>
      <w:r w:rsidRPr="008C0CE2">
        <w:rPr>
          <w:rFonts w:eastAsia="Calibri" w:cs="Times New Roman"/>
          <w:szCs w:val="24"/>
        </w:rPr>
        <w:t xml:space="preserve">2027. gada perioda ieviešanas. Pozitīvu ietekmi uz investīciju apjomu 2020. un 2021. gadā rada pašvaldībām par 150 milj. </w:t>
      </w:r>
      <w:r w:rsidRPr="008C0CE2">
        <w:rPr>
          <w:rFonts w:eastAsia="Calibri" w:cs="Times New Roman"/>
          <w:i/>
          <w:szCs w:val="24"/>
        </w:rPr>
        <w:t>euro</w:t>
      </w:r>
      <w:r w:rsidRPr="008C0CE2">
        <w:rPr>
          <w:rFonts w:eastAsia="Calibri" w:cs="Times New Roman"/>
          <w:szCs w:val="24"/>
        </w:rPr>
        <w:t xml:space="preserve"> palielinātais pašvaldību aizņēmumu limits Valsts kasē.</w:t>
      </w:r>
    </w:p>
    <w:p w:rsidR="00BF4753" w:rsidRDefault="00BF4753" w:rsidP="00BF4753">
      <w:pPr>
        <w:pStyle w:val="Heading2"/>
        <w:numPr>
          <w:ilvl w:val="1"/>
          <w:numId w:val="15"/>
        </w:numPr>
        <w:jc w:val="both"/>
        <w:rPr>
          <w:rFonts w:eastAsia="Calibri"/>
        </w:rPr>
      </w:pPr>
      <w:bookmarkStart w:id="25" w:name="_Toc68335003"/>
      <w:r w:rsidRPr="008C0CE2">
        <w:rPr>
          <w:rFonts w:eastAsia="Calibri"/>
        </w:rPr>
        <w:t>Valdības parāda vidējā termiņa attīstības tendences</w:t>
      </w:r>
      <w:bookmarkEnd w:id="25"/>
    </w:p>
    <w:p w:rsidR="00BF4753" w:rsidRDefault="00BF4753" w:rsidP="00BF4753"/>
    <w:p w:rsidR="00BF4753" w:rsidRPr="000C173C" w:rsidRDefault="00BF4753" w:rsidP="00BF4753">
      <w:pPr>
        <w:rPr>
          <w:rFonts w:cs="Times New Roman"/>
          <w:szCs w:val="26"/>
        </w:rPr>
      </w:pPr>
      <w:r w:rsidRPr="000C173C">
        <w:rPr>
          <w:rFonts w:cs="Times New Roman"/>
          <w:szCs w:val="26"/>
        </w:rPr>
        <w:t>Valsts parāda vadības pamatprincipus un uzdevumus vidējam termiņam nosaka Valsts parāda un naudas līdzekļu vadības stratēģija, kuru apstiprina finanšu ministrs. Saskaņā ar  stratēģiju valsts parāda un naudas līdzekļu vadības mērķis ir savlaicīgi nodrošināt finanšu resursu pieejamību finansēšanas nepieciešamības segšanai ar zemām valsts parāda apkalpošanas izmaksām, ierobežojot finanšu riskus un vienlaikus sekmējot iekšējā finanšu tirgus attīstību. Valsts parāda un budžeta saistību izpildē tiek izmantota stratēģiska pieeja valsts aizņemšanās un parāda vadības procesa nodrošināšanā, saglabājot pēc iespējas lielāku elastību finanšu tirgos veicamo aizņēmumu nosacījumu (aizņemšanās laiks, instruments, apjoms, termiņš) izvēlē. Tas ļauj ierobežot finanšu riskus vidējā termiņā, kā arī nodrošināt kopējās finansēšanas nepieciešamības segšanai nepieciešamos resursus ar pēc iespējas labvēlīgākiem un izdevīgākiem nosacījumiem.</w:t>
      </w:r>
    </w:p>
    <w:p w:rsidR="00BF4753" w:rsidRPr="000C173C" w:rsidRDefault="00BF4753" w:rsidP="00BF4753">
      <w:pPr>
        <w:rPr>
          <w:rFonts w:cs="Times New Roman"/>
          <w:szCs w:val="26"/>
        </w:rPr>
      </w:pPr>
      <w:r w:rsidRPr="000C173C">
        <w:rPr>
          <w:rFonts w:cs="Times New Roman"/>
          <w:szCs w:val="26"/>
        </w:rPr>
        <w:t>Covid-19 uzliesmojums izraisīja nepieciešamību 2020.</w:t>
      </w:r>
      <w:r>
        <w:rPr>
          <w:rFonts w:cs="Times New Roman"/>
          <w:szCs w:val="26"/>
        </w:rPr>
        <w:t xml:space="preserve"> </w:t>
      </w:r>
      <w:r w:rsidRPr="000C173C">
        <w:rPr>
          <w:rFonts w:cs="Times New Roman"/>
          <w:szCs w:val="26"/>
        </w:rPr>
        <w:t>gadā ievērojamā apjomā nodrošināt finansējumu Covid-19 uzliesmojuma ietekmes mazināšanai un ekonomikas atbalstam ārkārtas situācijā, veicot aizņemšanos finanšu tirgos, aizņemšanos no starptautiskajām finanšu institūcijām un Eiropas Komisijas (</w:t>
      </w:r>
      <w:r w:rsidRPr="000C173C">
        <w:rPr>
          <w:rFonts w:cs="Times New Roman"/>
          <w:i/>
          <w:szCs w:val="26"/>
        </w:rPr>
        <w:t>SURE</w:t>
      </w:r>
      <w:r w:rsidRPr="000C173C">
        <w:rPr>
          <w:rFonts w:cs="Times New Roman"/>
          <w:szCs w:val="26"/>
        </w:rPr>
        <w:t>), kā rezultātā ievērojami pieauga vispārējās valdības parāds. Saskaņā ar operatīvo novērtējumu, 2020.</w:t>
      </w:r>
      <w:r>
        <w:rPr>
          <w:rFonts w:cs="Times New Roman"/>
          <w:szCs w:val="26"/>
        </w:rPr>
        <w:t xml:space="preserve"> </w:t>
      </w:r>
      <w:r w:rsidRPr="000C173C">
        <w:rPr>
          <w:rFonts w:cs="Times New Roman"/>
          <w:szCs w:val="26"/>
        </w:rPr>
        <w:t>gada beigās vispārējās valdības parāds pēc Eiropas naci</w:t>
      </w:r>
      <w:r>
        <w:rPr>
          <w:rFonts w:cs="Times New Roman"/>
          <w:szCs w:val="26"/>
        </w:rPr>
        <w:t>onālo un reģionālo kontu sistēmas</w:t>
      </w:r>
      <w:r w:rsidRPr="000C173C">
        <w:rPr>
          <w:rFonts w:cs="Times New Roman"/>
          <w:szCs w:val="26"/>
        </w:rPr>
        <w:t xml:space="preserve"> Eiropas Savienībā metodoloģijas sasniedza 12,7 mljrd. </w:t>
      </w:r>
      <w:r w:rsidRPr="000C173C">
        <w:rPr>
          <w:rFonts w:cs="Times New Roman"/>
          <w:i/>
          <w:szCs w:val="26"/>
        </w:rPr>
        <w:t>euro</w:t>
      </w:r>
      <w:r w:rsidRPr="000C173C">
        <w:rPr>
          <w:rFonts w:cs="Times New Roman"/>
          <w:szCs w:val="26"/>
        </w:rPr>
        <w:t xml:space="preserve"> jeb 43,5</w:t>
      </w:r>
      <w:r>
        <w:rPr>
          <w:rFonts w:cs="Times New Roman"/>
          <w:szCs w:val="26"/>
        </w:rPr>
        <w:t>% no iekšzemes kopprodukta</w:t>
      </w:r>
      <w:r w:rsidRPr="000C173C">
        <w:rPr>
          <w:rStyle w:val="FootnoteReference"/>
          <w:rFonts w:ascii="Times New Roman" w:hAnsi="Times New Roman" w:cs="Times New Roman"/>
          <w:sz w:val="28"/>
          <w:szCs w:val="26"/>
        </w:rPr>
        <w:footnoteReference w:id="9"/>
      </w:r>
      <w:r w:rsidRPr="000C173C">
        <w:rPr>
          <w:rFonts w:cs="Times New Roman"/>
          <w:szCs w:val="26"/>
        </w:rPr>
        <w:t>. Vispārējās valdības parāda līmeni galvenokārt ietekmē valsts parāds, kas 2020.</w:t>
      </w:r>
      <w:r>
        <w:rPr>
          <w:rFonts w:cs="Times New Roman"/>
          <w:szCs w:val="26"/>
        </w:rPr>
        <w:t xml:space="preserve"> </w:t>
      </w:r>
      <w:r w:rsidRPr="000C173C">
        <w:rPr>
          <w:rFonts w:cs="Times New Roman"/>
          <w:szCs w:val="26"/>
        </w:rPr>
        <w:t xml:space="preserve">gada beigās bija 12,4 mljrd. </w:t>
      </w:r>
      <w:r w:rsidRPr="000C173C">
        <w:rPr>
          <w:rFonts w:cs="Times New Roman"/>
          <w:i/>
          <w:szCs w:val="26"/>
        </w:rPr>
        <w:t>euro</w:t>
      </w:r>
      <w:r w:rsidRPr="000C173C">
        <w:rPr>
          <w:rStyle w:val="FootnoteReference"/>
          <w:rFonts w:ascii="Times New Roman" w:hAnsi="Times New Roman" w:cs="Times New Roman"/>
          <w:sz w:val="28"/>
          <w:szCs w:val="26"/>
        </w:rPr>
        <w:footnoteReference w:id="10"/>
      </w:r>
      <w:r w:rsidRPr="000C173C">
        <w:rPr>
          <w:rFonts w:cs="Times New Roman"/>
          <w:szCs w:val="26"/>
        </w:rPr>
        <w:t xml:space="preserve">. </w:t>
      </w:r>
    </w:p>
    <w:p w:rsidR="00BF4753" w:rsidRPr="000C173C" w:rsidRDefault="00BF4753" w:rsidP="00BF4753">
      <w:pPr>
        <w:rPr>
          <w:rFonts w:cs="Times New Roman"/>
          <w:szCs w:val="26"/>
        </w:rPr>
      </w:pPr>
      <w:r w:rsidRPr="000C173C">
        <w:rPr>
          <w:rFonts w:cs="Times New Roman"/>
          <w:szCs w:val="26"/>
        </w:rPr>
        <w:t>Covid-19 uzliesmojuma apstākļos operatīvi nodrošināts finansiāls segums valdības lēmumiem Covid-19 uzliesmojuma ietekmes mazināšanai un ekonomikas atbalstam ārkārtējā situācijā, 2020.</w:t>
      </w:r>
      <w:r>
        <w:rPr>
          <w:rFonts w:cs="Times New Roman"/>
          <w:szCs w:val="26"/>
        </w:rPr>
        <w:t xml:space="preserve"> </w:t>
      </w:r>
      <w:r w:rsidRPr="000C173C">
        <w:rPr>
          <w:rFonts w:cs="Times New Roman"/>
          <w:szCs w:val="26"/>
        </w:rPr>
        <w:t xml:space="preserve">gadā aizņemoties resursus iekšējā un starptautiskajos finanšu tirgos 2,230 mljrd. </w:t>
      </w:r>
      <w:r w:rsidRPr="000C173C">
        <w:rPr>
          <w:rFonts w:cs="Times New Roman"/>
          <w:i/>
          <w:szCs w:val="26"/>
        </w:rPr>
        <w:t>euro</w:t>
      </w:r>
      <w:r w:rsidRPr="000C173C">
        <w:rPr>
          <w:rFonts w:cs="Times New Roman"/>
          <w:szCs w:val="26"/>
        </w:rPr>
        <w:t xml:space="preserve"> apmērā. Lai mazinātu šādos apstākļos veicamo aizņemšanās izmaksu (procentu izdevumu) ietekmi uz valsts budžetu, Valsts kase finanšu tirgos piesaistīja resursus uz salīdzinoši īsiem termiņiem un ar iespējami zemākām procentu likmēm, vienlaikus nepalielinot valsts parāda pārfinansēšanas risku tuvākajos gados. </w:t>
      </w:r>
    </w:p>
    <w:p w:rsidR="00BF4753" w:rsidRPr="000C173C" w:rsidRDefault="00BF4753" w:rsidP="00BF4753">
      <w:pPr>
        <w:rPr>
          <w:rFonts w:cs="Times New Roman"/>
          <w:szCs w:val="26"/>
          <w:highlight w:val="lightGray"/>
        </w:rPr>
      </w:pPr>
      <w:r w:rsidRPr="000C173C">
        <w:rPr>
          <w:rFonts w:cs="Times New Roman"/>
          <w:szCs w:val="26"/>
        </w:rPr>
        <w:lastRenderedPageBreak/>
        <w:t>Starptautiskajos finanšu tirgos 2020.</w:t>
      </w:r>
      <w:r>
        <w:rPr>
          <w:rFonts w:cs="Times New Roman"/>
          <w:szCs w:val="26"/>
        </w:rPr>
        <w:t xml:space="preserve"> </w:t>
      </w:r>
      <w:r w:rsidRPr="000C173C">
        <w:rPr>
          <w:rFonts w:cs="Times New Roman"/>
          <w:szCs w:val="26"/>
        </w:rPr>
        <w:t xml:space="preserve">gadā piesaistīti resursi 1,550 mljrd. </w:t>
      </w:r>
      <w:r w:rsidRPr="000C173C">
        <w:rPr>
          <w:rFonts w:cs="Times New Roman"/>
          <w:i/>
          <w:szCs w:val="26"/>
        </w:rPr>
        <w:t>euro</w:t>
      </w:r>
      <w:r w:rsidRPr="000C173C">
        <w:rPr>
          <w:rFonts w:cs="Times New Roman"/>
          <w:szCs w:val="26"/>
        </w:rPr>
        <w:t xml:space="preserve"> apmērā, veicot papildu emisiju 550 milj. </w:t>
      </w:r>
      <w:r w:rsidRPr="000C173C">
        <w:rPr>
          <w:rFonts w:cs="Times New Roman"/>
          <w:i/>
          <w:szCs w:val="26"/>
        </w:rPr>
        <w:t xml:space="preserve">euro </w:t>
      </w:r>
      <w:r w:rsidRPr="000C173C">
        <w:rPr>
          <w:rFonts w:cs="Times New Roman"/>
          <w:szCs w:val="26"/>
        </w:rPr>
        <w:t>apmēra 2026.</w:t>
      </w:r>
      <w:r>
        <w:rPr>
          <w:rFonts w:cs="Times New Roman"/>
          <w:szCs w:val="26"/>
        </w:rPr>
        <w:t xml:space="preserve"> </w:t>
      </w:r>
      <w:r w:rsidRPr="000C173C">
        <w:rPr>
          <w:rFonts w:cs="Times New Roman"/>
          <w:szCs w:val="26"/>
        </w:rPr>
        <w:t xml:space="preserve">gadā dzēšamajām eiroobligācijām pie iepriekš fiksētas procentu (kupona) likmes 0,375% gadā un jaunu 3 gadu eiroobligāciju emisiju 1 mljrd. </w:t>
      </w:r>
      <w:r w:rsidRPr="000C173C">
        <w:rPr>
          <w:rFonts w:cs="Times New Roman"/>
          <w:i/>
          <w:szCs w:val="26"/>
        </w:rPr>
        <w:t>euro</w:t>
      </w:r>
      <w:r w:rsidRPr="000C173C">
        <w:rPr>
          <w:rFonts w:cs="Times New Roman"/>
          <w:szCs w:val="26"/>
        </w:rPr>
        <w:t xml:space="preserve"> apmērā ar procentu (kupona) likmi 0,125% gadā.</w:t>
      </w:r>
    </w:p>
    <w:p w:rsidR="00BF4753" w:rsidRPr="000C173C" w:rsidRDefault="00BF4753" w:rsidP="00BF4753">
      <w:pPr>
        <w:rPr>
          <w:rFonts w:cs="Times New Roman"/>
          <w:szCs w:val="26"/>
        </w:rPr>
      </w:pPr>
      <w:r w:rsidRPr="000C173C">
        <w:rPr>
          <w:rFonts w:cs="Times New Roman"/>
          <w:szCs w:val="26"/>
        </w:rPr>
        <w:t>2020.</w:t>
      </w:r>
      <w:r>
        <w:rPr>
          <w:rFonts w:cs="Times New Roman"/>
          <w:szCs w:val="26"/>
        </w:rPr>
        <w:t xml:space="preserve"> </w:t>
      </w:r>
      <w:r w:rsidRPr="000C173C">
        <w:rPr>
          <w:rFonts w:cs="Times New Roman"/>
          <w:szCs w:val="26"/>
        </w:rPr>
        <w:t xml:space="preserve">gadā iekšējā finanšu tirgū veikts pēdējos gados lielākais aizņemšanās apjoms (680 milj. </w:t>
      </w:r>
      <w:r w:rsidRPr="000C173C">
        <w:rPr>
          <w:rFonts w:cs="Times New Roman"/>
          <w:i/>
          <w:szCs w:val="26"/>
        </w:rPr>
        <w:t>euro</w:t>
      </w:r>
      <w:r w:rsidRPr="000C173C">
        <w:rPr>
          <w:rFonts w:cs="Times New Roman"/>
          <w:szCs w:val="26"/>
        </w:rPr>
        <w:t xml:space="preserve">), organizējot 2, 5 un 7 gadu obligāciju izsoles pie fiksētas kupona likmes 0% (atsevišķās izsolēs sasniedzot negatīvu ienesīgumu), kā arī uzsākot apgrozībā esošo Latvijas eiroobligāciju izsoles iekšējā finanšu tirgū un tādējādi paplašinot vietējiem investoriem pieejamo instrumentu klāstu ar papildus piedāvājumu likvīdiem finanšu instrumentiem (2020. gadā veikti 2026. gadā dzēšamo eiroobligāciju papildu laidieni 40 milj. </w:t>
      </w:r>
      <w:r w:rsidRPr="000C173C">
        <w:rPr>
          <w:rFonts w:cs="Times New Roman"/>
          <w:i/>
          <w:szCs w:val="26"/>
        </w:rPr>
        <w:t>euro</w:t>
      </w:r>
      <w:r w:rsidRPr="000C173C">
        <w:rPr>
          <w:rFonts w:cs="Times New Roman"/>
          <w:szCs w:val="26"/>
        </w:rPr>
        <w:t xml:space="preserve"> apmērā, sasniedzot vēsturiski zemāko attiecīga termiņa ienesīgumu). </w:t>
      </w:r>
    </w:p>
    <w:p w:rsidR="00BF4753" w:rsidRPr="000C173C" w:rsidRDefault="00BF4753" w:rsidP="00BF4753">
      <w:pPr>
        <w:rPr>
          <w:rFonts w:cs="Times New Roman"/>
          <w:szCs w:val="28"/>
        </w:rPr>
      </w:pPr>
      <w:r w:rsidRPr="000C173C">
        <w:rPr>
          <w:rFonts w:cs="Times New Roman"/>
          <w:szCs w:val="28"/>
        </w:rPr>
        <w:t>Paralēli tiek nodrošinātas arī papildu aizņemšanās iespējas no starptautiskajām finanšu institūcijām un Eiropas Komisijas. 2020.</w:t>
      </w:r>
      <w:r>
        <w:rPr>
          <w:rFonts w:cs="Times New Roman"/>
          <w:szCs w:val="28"/>
        </w:rPr>
        <w:t xml:space="preserve"> </w:t>
      </w:r>
      <w:r w:rsidRPr="000C173C">
        <w:rPr>
          <w:rFonts w:cs="Times New Roman"/>
          <w:szCs w:val="28"/>
        </w:rPr>
        <w:t>gada 8.</w:t>
      </w:r>
      <w:r>
        <w:rPr>
          <w:rFonts w:cs="Times New Roman"/>
          <w:szCs w:val="28"/>
        </w:rPr>
        <w:t xml:space="preserve"> </w:t>
      </w:r>
      <w:r w:rsidRPr="000C173C">
        <w:rPr>
          <w:rFonts w:cs="Times New Roman"/>
          <w:szCs w:val="28"/>
        </w:rPr>
        <w:t xml:space="preserve">aprīlī noslēgts aizņēmuma līgums ar Ziemeļu Investīciju banku, kura ietvaros ir pieejams ilgtermiņa finansējums 500 milj. </w:t>
      </w:r>
      <w:r w:rsidRPr="000C173C">
        <w:rPr>
          <w:rFonts w:cs="Times New Roman"/>
          <w:i/>
          <w:szCs w:val="28"/>
        </w:rPr>
        <w:t>euro</w:t>
      </w:r>
      <w:r w:rsidRPr="000C173C">
        <w:rPr>
          <w:rFonts w:cs="Times New Roman"/>
          <w:szCs w:val="28"/>
        </w:rPr>
        <w:t xml:space="preserve"> apmērā Covid-19 seku mazināšanas un pārvarēšanas pasākumiem, un kura ietvaros 2020.</w:t>
      </w:r>
      <w:r>
        <w:rPr>
          <w:rFonts w:cs="Times New Roman"/>
          <w:szCs w:val="28"/>
        </w:rPr>
        <w:t xml:space="preserve"> </w:t>
      </w:r>
      <w:r w:rsidRPr="000C173C">
        <w:rPr>
          <w:rFonts w:cs="Times New Roman"/>
          <w:szCs w:val="28"/>
        </w:rPr>
        <w:t xml:space="preserve">gada septembrī un oktobrī saņemti aizdevuma resursi 250 milj. </w:t>
      </w:r>
      <w:r w:rsidRPr="000C173C">
        <w:rPr>
          <w:rFonts w:cs="Times New Roman"/>
          <w:i/>
          <w:szCs w:val="28"/>
        </w:rPr>
        <w:t>euro</w:t>
      </w:r>
      <w:r w:rsidRPr="000C173C">
        <w:rPr>
          <w:rFonts w:cs="Times New Roman"/>
          <w:szCs w:val="28"/>
        </w:rPr>
        <w:t xml:space="preserve"> apmērā, atlikušie 250 milj. </w:t>
      </w:r>
      <w:r w:rsidRPr="000C173C">
        <w:rPr>
          <w:rFonts w:cs="Times New Roman"/>
          <w:i/>
          <w:szCs w:val="28"/>
        </w:rPr>
        <w:t>euro</w:t>
      </w:r>
      <w:r w:rsidRPr="000C173C">
        <w:rPr>
          <w:rFonts w:cs="Times New Roman"/>
          <w:szCs w:val="28"/>
        </w:rPr>
        <w:t xml:space="preserve"> saņemti 2021.</w:t>
      </w:r>
      <w:r>
        <w:rPr>
          <w:rFonts w:cs="Times New Roman"/>
          <w:szCs w:val="28"/>
        </w:rPr>
        <w:t xml:space="preserve"> </w:t>
      </w:r>
      <w:r w:rsidRPr="000C173C">
        <w:rPr>
          <w:rFonts w:cs="Times New Roman"/>
          <w:szCs w:val="28"/>
        </w:rPr>
        <w:t xml:space="preserve">gada janvārī. Saglabāta aizņemšanās iespēja no Eiropas Investīciju bankas 400 milj. </w:t>
      </w:r>
      <w:r w:rsidRPr="000C173C">
        <w:rPr>
          <w:rFonts w:cs="Times New Roman"/>
          <w:i/>
          <w:szCs w:val="28"/>
        </w:rPr>
        <w:t>euro</w:t>
      </w:r>
      <w:r w:rsidRPr="000C173C">
        <w:rPr>
          <w:rFonts w:cs="Times New Roman"/>
          <w:szCs w:val="28"/>
        </w:rPr>
        <w:t xml:space="preserve"> apmērā noslēgto līgumu ietvaros, kā arī ir apstiprināta papildu aizņemšanās iespēja no Eiropas Investīciju bankas 100 milj. </w:t>
      </w:r>
      <w:r w:rsidRPr="000C173C">
        <w:rPr>
          <w:rFonts w:cs="Times New Roman"/>
          <w:i/>
          <w:szCs w:val="28"/>
        </w:rPr>
        <w:t>euro</w:t>
      </w:r>
      <w:r w:rsidRPr="000C173C">
        <w:rPr>
          <w:rFonts w:cs="Times New Roman"/>
          <w:szCs w:val="28"/>
        </w:rPr>
        <w:t xml:space="preserve"> apmērā un aizņemšanās iespēja no Eiropas Padomes attīstības bankas 150 milj. </w:t>
      </w:r>
      <w:r w:rsidRPr="000C173C">
        <w:rPr>
          <w:rFonts w:cs="Times New Roman"/>
          <w:i/>
          <w:szCs w:val="28"/>
        </w:rPr>
        <w:t>euro</w:t>
      </w:r>
      <w:r w:rsidRPr="000C173C">
        <w:rPr>
          <w:rFonts w:cs="Times New Roman"/>
          <w:szCs w:val="28"/>
        </w:rPr>
        <w:t xml:space="preserve"> apmērā. Tāpat arī saskaņā ar Padomes 2020.</w:t>
      </w:r>
      <w:r>
        <w:rPr>
          <w:rFonts w:cs="Times New Roman"/>
          <w:szCs w:val="28"/>
        </w:rPr>
        <w:t xml:space="preserve"> </w:t>
      </w:r>
      <w:r w:rsidRPr="000C173C">
        <w:rPr>
          <w:rFonts w:cs="Times New Roman"/>
          <w:szCs w:val="28"/>
        </w:rPr>
        <w:t>gada 25.</w:t>
      </w:r>
      <w:r>
        <w:rPr>
          <w:rFonts w:cs="Times New Roman"/>
          <w:szCs w:val="28"/>
        </w:rPr>
        <w:t xml:space="preserve"> </w:t>
      </w:r>
      <w:r w:rsidRPr="000C173C">
        <w:rPr>
          <w:rFonts w:cs="Times New Roman"/>
          <w:szCs w:val="28"/>
        </w:rPr>
        <w:t>septembra īstenošanas lēmumu (ES) Nr.</w:t>
      </w:r>
      <w:r>
        <w:rPr>
          <w:rFonts w:cs="Times New Roman"/>
          <w:szCs w:val="28"/>
        </w:rPr>
        <w:t xml:space="preserve"> </w:t>
      </w:r>
      <w:r w:rsidRPr="000C173C">
        <w:rPr>
          <w:rFonts w:cs="Times New Roman"/>
          <w:szCs w:val="28"/>
        </w:rPr>
        <w:t xml:space="preserve">2020/1351 Latvijai pieejams </w:t>
      </w:r>
      <w:r>
        <w:rPr>
          <w:rFonts w:cs="Times New Roman"/>
          <w:szCs w:val="28"/>
        </w:rPr>
        <w:t>Eiropas Savienības atbalsta instrumenta</w:t>
      </w:r>
      <w:r w:rsidRPr="000C173C">
        <w:rPr>
          <w:rFonts w:cs="Times New Roman"/>
          <w:szCs w:val="28"/>
        </w:rPr>
        <w:t xml:space="preserve"> bezdarba risku mazināšanai ārkārtas situācijā (</w:t>
      </w:r>
      <w:r w:rsidRPr="004A66F2">
        <w:rPr>
          <w:rFonts w:cs="Times New Roman"/>
          <w:i/>
          <w:szCs w:val="28"/>
        </w:rPr>
        <w:t>SURE</w:t>
      </w:r>
      <w:r w:rsidRPr="000C173C">
        <w:rPr>
          <w:rFonts w:cs="Times New Roman"/>
          <w:szCs w:val="28"/>
        </w:rPr>
        <w:t xml:space="preserve">) aizņēmums no Eiropas Komisijas 192,7 milj. </w:t>
      </w:r>
      <w:r w:rsidRPr="000C173C">
        <w:rPr>
          <w:rFonts w:cs="Times New Roman"/>
          <w:i/>
          <w:szCs w:val="28"/>
        </w:rPr>
        <w:t>euro</w:t>
      </w:r>
      <w:r w:rsidRPr="000C173C">
        <w:rPr>
          <w:rFonts w:cs="Times New Roman"/>
          <w:szCs w:val="28"/>
        </w:rPr>
        <w:t xml:space="preserve"> apmērā. Pirmā </w:t>
      </w:r>
      <w:r w:rsidRPr="000C173C">
        <w:rPr>
          <w:rFonts w:cs="Times New Roman"/>
          <w:i/>
          <w:szCs w:val="28"/>
        </w:rPr>
        <w:t>SURE</w:t>
      </w:r>
      <w:r w:rsidRPr="000C173C">
        <w:rPr>
          <w:rFonts w:cs="Times New Roman"/>
          <w:szCs w:val="28"/>
        </w:rPr>
        <w:t xml:space="preserve"> aizņēmuma daļa 120 milj. </w:t>
      </w:r>
      <w:r w:rsidRPr="000C173C">
        <w:rPr>
          <w:rFonts w:cs="Times New Roman"/>
          <w:i/>
          <w:szCs w:val="28"/>
        </w:rPr>
        <w:t>euro</w:t>
      </w:r>
      <w:r w:rsidRPr="000C173C">
        <w:rPr>
          <w:rFonts w:cs="Times New Roman"/>
          <w:szCs w:val="28"/>
        </w:rPr>
        <w:t xml:space="preserve"> apmērā tika saņemta 2020.</w:t>
      </w:r>
      <w:r>
        <w:rPr>
          <w:rFonts w:cs="Times New Roman"/>
          <w:szCs w:val="28"/>
        </w:rPr>
        <w:t xml:space="preserve"> </w:t>
      </w:r>
      <w:r w:rsidRPr="000C173C">
        <w:rPr>
          <w:rFonts w:cs="Times New Roman"/>
          <w:szCs w:val="28"/>
        </w:rPr>
        <w:t>gada novembrī, atlikušie 72 mil</w:t>
      </w:r>
      <w:r>
        <w:rPr>
          <w:rFonts w:cs="Times New Roman"/>
          <w:szCs w:val="28"/>
        </w:rPr>
        <w:t>j</w:t>
      </w:r>
      <w:r w:rsidRPr="000C173C">
        <w:rPr>
          <w:rFonts w:cs="Times New Roman"/>
          <w:szCs w:val="28"/>
        </w:rPr>
        <w:t xml:space="preserve">. </w:t>
      </w:r>
      <w:r w:rsidRPr="000C173C">
        <w:rPr>
          <w:rFonts w:cs="Times New Roman"/>
          <w:i/>
          <w:szCs w:val="28"/>
        </w:rPr>
        <w:t>euro</w:t>
      </w:r>
      <w:r w:rsidRPr="000C173C">
        <w:rPr>
          <w:rFonts w:cs="Times New Roman"/>
          <w:szCs w:val="28"/>
        </w:rPr>
        <w:t xml:space="preserve"> tika saņemti 2021.</w:t>
      </w:r>
      <w:r>
        <w:rPr>
          <w:rFonts w:cs="Times New Roman"/>
          <w:szCs w:val="28"/>
        </w:rPr>
        <w:t xml:space="preserve"> </w:t>
      </w:r>
      <w:r w:rsidRPr="000C173C">
        <w:rPr>
          <w:rFonts w:cs="Times New Roman"/>
          <w:szCs w:val="28"/>
        </w:rPr>
        <w:t>gada februārī. 2020.</w:t>
      </w:r>
      <w:r>
        <w:rPr>
          <w:rFonts w:cs="Times New Roman"/>
          <w:szCs w:val="28"/>
        </w:rPr>
        <w:t xml:space="preserve"> </w:t>
      </w:r>
      <w:r w:rsidRPr="000C173C">
        <w:rPr>
          <w:rFonts w:cs="Times New Roman"/>
          <w:szCs w:val="28"/>
        </w:rPr>
        <w:t>gada 11.</w:t>
      </w:r>
      <w:r>
        <w:rPr>
          <w:rFonts w:cs="Times New Roman"/>
          <w:szCs w:val="28"/>
        </w:rPr>
        <w:t xml:space="preserve"> </w:t>
      </w:r>
      <w:r w:rsidRPr="000C173C">
        <w:rPr>
          <w:rFonts w:cs="Times New Roman"/>
          <w:szCs w:val="28"/>
        </w:rPr>
        <w:t xml:space="preserve">martā Latvija iesniedza pieteikumu papildu aizņēmumam </w:t>
      </w:r>
      <w:r w:rsidRPr="000C173C">
        <w:rPr>
          <w:rFonts w:cs="Times New Roman"/>
          <w:i/>
          <w:szCs w:val="28"/>
        </w:rPr>
        <w:t xml:space="preserve">SURE </w:t>
      </w:r>
      <w:r w:rsidRPr="000C173C">
        <w:rPr>
          <w:rFonts w:cs="Times New Roman"/>
          <w:szCs w:val="28"/>
        </w:rPr>
        <w:t xml:space="preserve">ietvaros 113 milj. </w:t>
      </w:r>
      <w:r w:rsidRPr="000C173C">
        <w:rPr>
          <w:rFonts w:cs="Times New Roman"/>
          <w:i/>
          <w:szCs w:val="28"/>
        </w:rPr>
        <w:t>euro</w:t>
      </w:r>
      <w:r w:rsidRPr="000C173C">
        <w:rPr>
          <w:rFonts w:cs="Times New Roman"/>
          <w:szCs w:val="28"/>
        </w:rPr>
        <w:t xml:space="preserve"> apmērā.</w:t>
      </w:r>
    </w:p>
    <w:p w:rsidR="00BF4753" w:rsidRPr="000C173C" w:rsidRDefault="00BF4753" w:rsidP="00BF4753">
      <w:pPr>
        <w:rPr>
          <w:rFonts w:cs="Times New Roman"/>
          <w:szCs w:val="28"/>
        </w:rPr>
      </w:pPr>
      <w:r w:rsidRPr="000C173C">
        <w:rPr>
          <w:rFonts w:cs="Times New Roman"/>
          <w:szCs w:val="28"/>
        </w:rPr>
        <w:t>Arī turpmāk finansējums ekonomikas atbalstam un Covid-19 uzliesmojuma seku mazināšanai tiks nodrošināts nepieciešamajā apjomā, aizņemoties iekšējā un starptautiskajos finanšu tirgos, kā arī izmantojot finansiāli izdevīgas aizņemšanās iespējas no starptautiskajām finanšu institūcijām (Eiropas Investīciju bankas u.c.) un Eiropas Komisijas finansēšanas instrumentiem (</w:t>
      </w:r>
      <w:r w:rsidRPr="000C173C">
        <w:rPr>
          <w:rFonts w:cs="Times New Roman"/>
          <w:i/>
          <w:szCs w:val="28"/>
        </w:rPr>
        <w:t>SURE</w:t>
      </w:r>
      <w:r w:rsidRPr="000C173C">
        <w:rPr>
          <w:rFonts w:cs="Times New Roman"/>
          <w:szCs w:val="28"/>
        </w:rPr>
        <w:t xml:space="preserve">, </w:t>
      </w:r>
      <w:r w:rsidRPr="004A66F2">
        <w:rPr>
          <w:rFonts w:cs="Times New Roman"/>
          <w:szCs w:val="28"/>
        </w:rPr>
        <w:t>Eiropas Atveseļošanas un noturības mehānisms</w:t>
      </w:r>
      <w:r w:rsidRPr="000C173C">
        <w:rPr>
          <w:rFonts w:cs="Times New Roman"/>
          <w:szCs w:val="28"/>
        </w:rPr>
        <w:t xml:space="preserve">). Iekšējā finanšu tirgū resursu piesaiste tiks nodrošināta ar apgrozībā esošo eiroobligāciju papildu laidieniem, izmantojot iekšējā finanšu tirgus potenciālu un iespēju aizņemties ar vēsturiski zemākajām, t.sk. negatīvām, procentu likmēm. Aizņemšanos starptautiskajos finanšu tirgos plānots nodrošināt ar publiskām ilgtermiņa etalona eiroobligāciju un ilgtspējīgo (piemēram, “zaļo”) obligāciju emisijām, uzturot pēc iespējas plašākas un elastīgākas finansiāli izdevīgākā aizņemšanās instrumenta izvēles iespējas. </w:t>
      </w:r>
    </w:p>
    <w:p w:rsidR="00BF4753" w:rsidRPr="000C173C" w:rsidRDefault="00BF4753" w:rsidP="00BF4753">
      <w:pPr>
        <w:rPr>
          <w:rFonts w:cs="Times New Roman"/>
          <w:szCs w:val="28"/>
        </w:rPr>
      </w:pPr>
      <w:r w:rsidRPr="000C173C">
        <w:rPr>
          <w:rFonts w:cs="Times New Roman"/>
          <w:szCs w:val="28"/>
        </w:rPr>
        <w:t>2021.</w:t>
      </w:r>
      <w:r>
        <w:rPr>
          <w:rFonts w:cs="Times New Roman"/>
          <w:szCs w:val="28"/>
        </w:rPr>
        <w:t xml:space="preserve"> </w:t>
      </w:r>
      <w:r w:rsidRPr="000C173C">
        <w:rPr>
          <w:rFonts w:cs="Times New Roman"/>
          <w:szCs w:val="28"/>
        </w:rPr>
        <w:t xml:space="preserve">gada martā starptautiskajos finanšu tirgos tika veikta 10 gadu obligāciju emisija, piesaistot finansējumu 1,250 mljrd. </w:t>
      </w:r>
      <w:r w:rsidRPr="000C173C">
        <w:rPr>
          <w:rFonts w:cs="Times New Roman"/>
          <w:i/>
          <w:szCs w:val="28"/>
        </w:rPr>
        <w:t>euro</w:t>
      </w:r>
      <w:r w:rsidRPr="000C173C">
        <w:rPr>
          <w:rFonts w:cs="Times New Roman"/>
          <w:szCs w:val="28"/>
        </w:rPr>
        <w:t xml:space="preserve"> apmērā ar ienesīgumu 0,105% un </w:t>
      </w:r>
      <w:r w:rsidRPr="000C173C">
        <w:rPr>
          <w:rFonts w:cs="Times New Roman"/>
          <w:szCs w:val="28"/>
        </w:rPr>
        <w:lastRenderedPageBreak/>
        <w:t>fiksējot kupona likmi 0,000%, kas ir vēsturiski zemākais Latvijas parāda vērtspapīru emisijās starptautiskajos tirgos jebkad sasniegtais tik gara termiņa ienesīguma un kupona līmenis. Darījuma rezultātā tika nodrošināta resursu pieejamība gan Covid-19 uzliesmojuma ietekmes mazināšanas pasākumu finansēšanai un ekonomikas atbalstam, gan arī pārējo budžeta vajadzību finansēšanai un valsts parāda saistību izpildei. Iekšējā finanšu tirgū, savukārt, 2021.</w:t>
      </w:r>
      <w:r>
        <w:rPr>
          <w:rFonts w:cs="Times New Roman"/>
          <w:szCs w:val="28"/>
        </w:rPr>
        <w:t xml:space="preserve"> </w:t>
      </w:r>
      <w:r w:rsidRPr="000C173C">
        <w:rPr>
          <w:rFonts w:cs="Times New Roman"/>
          <w:szCs w:val="28"/>
        </w:rPr>
        <w:t>gada janvārī – martā organizētas 2025., 2026. un 2028.</w:t>
      </w:r>
      <w:r>
        <w:rPr>
          <w:rFonts w:cs="Times New Roman"/>
          <w:szCs w:val="28"/>
        </w:rPr>
        <w:t xml:space="preserve"> </w:t>
      </w:r>
      <w:r w:rsidRPr="000C173C">
        <w:rPr>
          <w:rFonts w:cs="Times New Roman"/>
          <w:szCs w:val="28"/>
        </w:rPr>
        <w:t xml:space="preserve">gadā dzēšamo eiroobligāciju papildu emisijas 141,8 milj. </w:t>
      </w:r>
      <w:r w:rsidRPr="000C173C">
        <w:rPr>
          <w:rFonts w:cs="Times New Roman"/>
          <w:i/>
          <w:szCs w:val="28"/>
        </w:rPr>
        <w:t>euro</w:t>
      </w:r>
      <w:r w:rsidRPr="000C173C">
        <w:rPr>
          <w:rFonts w:cs="Times New Roman"/>
          <w:szCs w:val="28"/>
        </w:rPr>
        <w:t xml:space="preserve"> apmērā, fiksējot negatīvus ienesīguma līmeņus.</w:t>
      </w:r>
    </w:p>
    <w:p w:rsidR="00BF4753" w:rsidRDefault="00BF4753" w:rsidP="00BF4753">
      <w:pPr>
        <w:rPr>
          <w:rFonts w:cs="Times New Roman"/>
          <w:szCs w:val="28"/>
        </w:rPr>
      </w:pPr>
      <w:r w:rsidRPr="000C173C">
        <w:rPr>
          <w:rFonts w:cs="Times New Roman"/>
          <w:szCs w:val="28"/>
        </w:rPr>
        <w:t>Ņemot vērā līdz 2021.</w:t>
      </w:r>
      <w:r>
        <w:rPr>
          <w:rFonts w:cs="Times New Roman"/>
          <w:szCs w:val="28"/>
        </w:rPr>
        <w:t xml:space="preserve">  </w:t>
      </w:r>
      <w:r w:rsidRPr="000C173C">
        <w:rPr>
          <w:rFonts w:cs="Times New Roman"/>
          <w:szCs w:val="28"/>
        </w:rPr>
        <w:t>gada 28.</w:t>
      </w:r>
      <w:r>
        <w:rPr>
          <w:rFonts w:cs="Times New Roman"/>
          <w:szCs w:val="28"/>
        </w:rPr>
        <w:t xml:space="preserve"> </w:t>
      </w:r>
      <w:r w:rsidRPr="000C173C">
        <w:rPr>
          <w:rFonts w:cs="Times New Roman"/>
          <w:szCs w:val="28"/>
        </w:rPr>
        <w:t>februārim uzņemtās valsts parāda saistības, saskaņā ar valsts parāda atmaksas grafiku 2021.</w:t>
      </w:r>
      <w:r>
        <w:rPr>
          <w:rFonts w:cs="Times New Roman"/>
          <w:szCs w:val="28"/>
        </w:rPr>
        <w:t xml:space="preserve"> </w:t>
      </w:r>
      <w:r w:rsidRPr="000C173C">
        <w:rPr>
          <w:rFonts w:cs="Times New Roman"/>
          <w:szCs w:val="28"/>
        </w:rPr>
        <w:t>gada martā – 2024.</w:t>
      </w:r>
      <w:r>
        <w:rPr>
          <w:rFonts w:cs="Times New Roman"/>
          <w:szCs w:val="28"/>
        </w:rPr>
        <w:t xml:space="preserve"> </w:t>
      </w:r>
      <w:r w:rsidRPr="000C173C">
        <w:rPr>
          <w:rFonts w:cs="Times New Roman"/>
          <w:szCs w:val="28"/>
        </w:rPr>
        <w:t>gada decembrī jāpārfinansē valsts parāda saistības ~3,9 mljrd.</w:t>
      </w:r>
      <w:r>
        <w:rPr>
          <w:rFonts w:cs="Times New Roman"/>
          <w:szCs w:val="28"/>
        </w:rPr>
        <w:t xml:space="preserve"> </w:t>
      </w:r>
      <w:r w:rsidRPr="000C173C">
        <w:rPr>
          <w:rFonts w:cs="Times New Roman"/>
          <w:i/>
          <w:szCs w:val="28"/>
        </w:rPr>
        <w:t>euro</w:t>
      </w:r>
      <w:r w:rsidRPr="000C173C">
        <w:rPr>
          <w:rFonts w:cs="Times New Roman"/>
          <w:szCs w:val="28"/>
        </w:rPr>
        <w:t xml:space="preserve"> apmērā (sk. </w:t>
      </w:r>
      <w:r>
        <w:rPr>
          <w:rFonts w:cs="Times New Roman"/>
          <w:szCs w:val="28"/>
        </w:rPr>
        <w:t>3.8. att.</w:t>
      </w:r>
      <w:r w:rsidRPr="000C173C">
        <w:rPr>
          <w:rFonts w:cs="Times New Roman"/>
          <w:szCs w:val="28"/>
        </w:rPr>
        <w:t>). Lielāko daļu no minētajā periodā pārfinansējamā parāda apjoma veido starptautiskajos finanšu tirgos emitētās eiroobligācijas, kurām pienāks dzēšanas termiņš (skat. 1.att.).</w:t>
      </w:r>
    </w:p>
    <w:p w:rsidR="00BF4753" w:rsidRPr="000C173C" w:rsidRDefault="00BF4753" w:rsidP="00BF4753">
      <w:pPr>
        <w:rPr>
          <w:rFonts w:cs="Times New Roman"/>
          <w:szCs w:val="28"/>
        </w:rPr>
      </w:pPr>
    </w:p>
    <w:p w:rsidR="00BF4753" w:rsidRPr="00FD1A0D" w:rsidRDefault="00BF4753" w:rsidP="00BF4753">
      <w:pPr>
        <w:ind w:firstLine="0"/>
        <w:jc w:val="center"/>
        <w:rPr>
          <w:szCs w:val="28"/>
        </w:rPr>
      </w:pPr>
      <w:r>
        <w:rPr>
          <w:noProof/>
          <w:szCs w:val="28"/>
          <w:lang w:eastAsia="lv-LV"/>
        </w:rPr>
        <w:drawing>
          <wp:inline distT="0" distB="0" distL="0" distR="0" wp14:anchorId="327C4C79" wp14:editId="658E867C">
            <wp:extent cx="5843361" cy="1229355"/>
            <wp:effectExtent l="0" t="0" r="508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0300" cy="1241334"/>
                    </a:xfrm>
                    <a:prstGeom prst="rect">
                      <a:avLst/>
                    </a:prstGeom>
                    <a:noFill/>
                  </pic:spPr>
                </pic:pic>
              </a:graphicData>
            </a:graphic>
          </wp:inline>
        </w:drawing>
      </w:r>
    </w:p>
    <w:p w:rsidR="00BF4753" w:rsidRPr="00FD1A0D" w:rsidRDefault="00BF4753" w:rsidP="00BF4753">
      <w:pPr>
        <w:ind w:left="142" w:hanging="142"/>
        <w:rPr>
          <w:i/>
          <w:sz w:val="16"/>
        </w:rPr>
      </w:pPr>
      <w:r w:rsidRPr="00FD1A0D">
        <w:rPr>
          <w:i/>
          <w:sz w:val="16"/>
        </w:rPr>
        <w:t xml:space="preserve">* nav iekļauti sektori S130130, S130140, S130330, S130340, kā arī pieprasījuma un īstermiņa noguldījumi; aprēķinos izmantoti ECB </w:t>
      </w:r>
      <w:r>
        <w:rPr>
          <w:i/>
          <w:sz w:val="16"/>
        </w:rPr>
        <w:t>28.02</w:t>
      </w:r>
      <w:r w:rsidRPr="00FD1A0D">
        <w:rPr>
          <w:i/>
          <w:sz w:val="16"/>
        </w:rPr>
        <w:t>.202</w:t>
      </w:r>
      <w:r>
        <w:rPr>
          <w:i/>
          <w:sz w:val="16"/>
        </w:rPr>
        <w:t>1</w:t>
      </w:r>
      <w:r w:rsidRPr="00FD1A0D">
        <w:rPr>
          <w:i/>
          <w:sz w:val="16"/>
        </w:rPr>
        <w:t>. noteiktie valūtu kursi</w:t>
      </w:r>
    </w:p>
    <w:p w:rsidR="00BF4753" w:rsidRDefault="00BF4753" w:rsidP="00BF4753">
      <w:pPr>
        <w:ind w:left="142" w:hanging="142"/>
        <w:rPr>
          <w:i/>
          <w:sz w:val="16"/>
        </w:rPr>
      </w:pPr>
      <w:r w:rsidRPr="00FD1A0D">
        <w:rPr>
          <w:i/>
          <w:sz w:val="16"/>
        </w:rPr>
        <w:t>** 2009.-2011.gada starptautiskā aizņēmuma programmas ietvaros</w:t>
      </w:r>
    </w:p>
    <w:p w:rsidR="00BF4753" w:rsidRDefault="00BF4753" w:rsidP="00BF4753">
      <w:pPr>
        <w:ind w:left="142" w:hanging="142"/>
        <w:rPr>
          <w:i/>
          <w:sz w:val="16"/>
        </w:rPr>
      </w:pPr>
    </w:p>
    <w:p w:rsidR="00BF4753" w:rsidRPr="004A66F2" w:rsidRDefault="00BF4753" w:rsidP="00BF4753">
      <w:pPr>
        <w:ind w:firstLine="0"/>
        <w:jc w:val="center"/>
        <w:rPr>
          <w:b/>
          <w:i/>
          <w:sz w:val="26"/>
          <w:szCs w:val="26"/>
        </w:rPr>
      </w:pPr>
      <w:r>
        <w:rPr>
          <w:b/>
          <w:i/>
          <w:sz w:val="24"/>
          <w:szCs w:val="26"/>
        </w:rPr>
        <w:t>3.8</w:t>
      </w:r>
      <w:r w:rsidRPr="000C173C">
        <w:rPr>
          <w:b/>
          <w:i/>
          <w:sz w:val="24"/>
          <w:szCs w:val="26"/>
        </w:rPr>
        <w:t>.</w:t>
      </w:r>
      <w:r>
        <w:rPr>
          <w:b/>
          <w:i/>
          <w:sz w:val="24"/>
          <w:szCs w:val="26"/>
        </w:rPr>
        <w:t xml:space="preserve"> </w:t>
      </w:r>
      <w:r w:rsidRPr="000C173C">
        <w:rPr>
          <w:b/>
          <w:i/>
          <w:sz w:val="24"/>
          <w:szCs w:val="26"/>
        </w:rPr>
        <w:t>att.</w:t>
      </w:r>
      <w:r w:rsidRPr="000C173C">
        <w:rPr>
          <w:i/>
          <w:sz w:val="24"/>
          <w:szCs w:val="26"/>
        </w:rPr>
        <w:t xml:space="preserve"> </w:t>
      </w:r>
      <w:r w:rsidRPr="000C173C">
        <w:rPr>
          <w:b/>
          <w:i/>
          <w:sz w:val="24"/>
          <w:szCs w:val="26"/>
        </w:rPr>
        <w:t>Centrālās valdības aizņēmumu atmaksas grafiks</w:t>
      </w:r>
      <w:r>
        <w:rPr>
          <w:b/>
          <w:i/>
          <w:sz w:val="26"/>
          <w:szCs w:val="26"/>
        </w:rPr>
        <w:t xml:space="preserve"> </w:t>
      </w:r>
      <w:r w:rsidRPr="000C173C">
        <w:rPr>
          <w:i/>
          <w:sz w:val="20"/>
        </w:rPr>
        <w:t>(līdz 2021.gada 28.februārim uzņemtās saistības, nominālvērtībā)</w:t>
      </w:r>
    </w:p>
    <w:p w:rsidR="00BF4753" w:rsidRPr="00297C72" w:rsidRDefault="00BF4753" w:rsidP="00BF4753">
      <w:pPr>
        <w:ind w:left="142" w:hanging="142"/>
        <w:jc w:val="center"/>
        <w:rPr>
          <w:i/>
          <w:sz w:val="16"/>
        </w:rPr>
      </w:pPr>
    </w:p>
    <w:p w:rsidR="00BF4753" w:rsidRPr="000C173C" w:rsidRDefault="00BF4753" w:rsidP="00BF4753">
      <w:pPr>
        <w:rPr>
          <w:szCs w:val="26"/>
        </w:rPr>
      </w:pPr>
      <w:r w:rsidRPr="000C173C">
        <w:rPr>
          <w:szCs w:val="26"/>
        </w:rPr>
        <w:t>Arvien jaunu Covid-19 uzliesmojuma ietekmes mazināšanas un ekonomikas atbalsta pasākumu īstenošana 2021.</w:t>
      </w:r>
      <w:r>
        <w:rPr>
          <w:szCs w:val="26"/>
        </w:rPr>
        <w:t xml:space="preserve"> </w:t>
      </w:r>
      <w:r w:rsidRPr="000C173C">
        <w:rPr>
          <w:szCs w:val="26"/>
        </w:rPr>
        <w:t xml:space="preserve">gadā turpinās ietekmēt vispārējās valdības parāda tendences, jo finansējums šo pasākumu finansēšanai būs jānodrošina ar aizņēmumiem iekšējā un starptautiskajos tirgos, papildus izmantojot finansiāli izdevīgas aizņemšanās iespējas no starptautiskajām finanšu institūcijām un Eiropas Komisijas. </w:t>
      </w:r>
    </w:p>
    <w:p w:rsidR="00BF4753" w:rsidRPr="000C173C" w:rsidRDefault="00BF4753" w:rsidP="00BF4753">
      <w:pPr>
        <w:rPr>
          <w:szCs w:val="24"/>
        </w:rPr>
      </w:pPr>
      <w:r w:rsidRPr="000C173C">
        <w:rPr>
          <w:szCs w:val="26"/>
        </w:rPr>
        <w:t>Atbilstoši aktuālajam novērtējumam, kurš sagatavots joprojām lielas nenoteiktības apstākļos, sagaidāms, ka nepieciešamība nodrošināt finanšu resursus valsts apdraudējuma un tā seku novēršanas un pārvarēšanas pasākumiem sakarā ar Covid-19 izplatību izraisīs vispārējās valdības parāda pieaugumu 2021.</w:t>
      </w:r>
      <w:r>
        <w:rPr>
          <w:szCs w:val="26"/>
        </w:rPr>
        <w:t xml:space="preserve"> </w:t>
      </w:r>
      <w:r w:rsidRPr="000C173C">
        <w:rPr>
          <w:szCs w:val="26"/>
        </w:rPr>
        <w:t>gadā līdz ~49</w:t>
      </w:r>
      <w:r>
        <w:rPr>
          <w:szCs w:val="26"/>
        </w:rPr>
        <w:t>% no iekšzemes kopprodukta</w:t>
      </w:r>
      <w:r w:rsidRPr="000C173C">
        <w:rPr>
          <w:szCs w:val="26"/>
        </w:rPr>
        <w:t xml:space="preserve"> un 2022.</w:t>
      </w:r>
      <w:r>
        <w:rPr>
          <w:szCs w:val="26"/>
        </w:rPr>
        <w:t xml:space="preserve"> </w:t>
      </w:r>
      <w:r w:rsidRPr="000C173C">
        <w:rPr>
          <w:szCs w:val="26"/>
        </w:rPr>
        <w:t xml:space="preserve">gadā līdz ~50% no </w:t>
      </w:r>
      <w:r>
        <w:rPr>
          <w:szCs w:val="26"/>
        </w:rPr>
        <w:t>iekšzemes kopprodukta</w:t>
      </w:r>
      <w:r w:rsidRPr="000C173C">
        <w:rPr>
          <w:szCs w:val="26"/>
        </w:rPr>
        <w:t xml:space="preserve">  (sk. </w:t>
      </w:r>
      <w:r>
        <w:rPr>
          <w:szCs w:val="26"/>
        </w:rPr>
        <w:t>3.9</w:t>
      </w:r>
      <w:r w:rsidRPr="000C173C">
        <w:rPr>
          <w:szCs w:val="26"/>
        </w:rPr>
        <w:t>.</w:t>
      </w:r>
      <w:r>
        <w:rPr>
          <w:szCs w:val="26"/>
        </w:rPr>
        <w:t xml:space="preserve"> att.</w:t>
      </w:r>
      <w:r w:rsidRPr="000C173C">
        <w:rPr>
          <w:szCs w:val="26"/>
        </w:rPr>
        <w:t>). Pēc 2022.</w:t>
      </w:r>
      <w:r>
        <w:rPr>
          <w:szCs w:val="26"/>
        </w:rPr>
        <w:t xml:space="preserve"> </w:t>
      </w:r>
      <w:r w:rsidRPr="000C173C">
        <w:rPr>
          <w:szCs w:val="26"/>
        </w:rPr>
        <w:t>-</w:t>
      </w:r>
      <w:r>
        <w:rPr>
          <w:szCs w:val="26"/>
        </w:rPr>
        <w:t xml:space="preserve"> </w:t>
      </w:r>
      <w:r w:rsidRPr="000C173C">
        <w:rPr>
          <w:szCs w:val="26"/>
        </w:rPr>
        <w:t>2023.</w:t>
      </w:r>
      <w:r>
        <w:rPr>
          <w:szCs w:val="26"/>
        </w:rPr>
        <w:t xml:space="preserve"> </w:t>
      </w:r>
      <w:r w:rsidRPr="000C173C">
        <w:rPr>
          <w:szCs w:val="26"/>
        </w:rPr>
        <w:t>gadā plānotās valsts parāda atmaksas, kā arī stabilizējoties situācijai sakarā ar Covid-19 uzliesmojuma ietekmi uz valsts budžeta fiskālajiem radītajiem, sagaidāms, ka vispārējās valdības parāda apjoms, sākot ar 2023.</w:t>
      </w:r>
      <w:r>
        <w:rPr>
          <w:szCs w:val="26"/>
        </w:rPr>
        <w:t xml:space="preserve"> </w:t>
      </w:r>
      <w:r w:rsidRPr="000C173C">
        <w:rPr>
          <w:szCs w:val="26"/>
        </w:rPr>
        <w:t>gadu nedaudz samazināsies un stabilizēsies attiecībā pret iekšzemes kopproduktu vidējā termiņā (sk</w:t>
      </w:r>
      <w:r>
        <w:rPr>
          <w:szCs w:val="26"/>
        </w:rPr>
        <w:t>at. 3.9</w:t>
      </w:r>
      <w:r w:rsidRPr="000C173C">
        <w:rPr>
          <w:szCs w:val="26"/>
        </w:rPr>
        <w:t>.</w:t>
      </w:r>
      <w:r>
        <w:rPr>
          <w:szCs w:val="26"/>
        </w:rPr>
        <w:t xml:space="preserve"> </w:t>
      </w:r>
      <w:r w:rsidRPr="000C173C">
        <w:rPr>
          <w:szCs w:val="26"/>
        </w:rPr>
        <w:t xml:space="preserve">att.) </w:t>
      </w:r>
    </w:p>
    <w:p w:rsidR="00BF4753" w:rsidRPr="00891B25" w:rsidRDefault="00BF4753" w:rsidP="00BF4753">
      <w:pPr>
        <w:jc w:val="center"/>
        <w:rPr>
          <w:szCs w:val="24"/>
        </w:rPr>
      </w:pPr>
      <w:r>
        <w:rPr>
          <w:noProof/>
          <w:szCs w:val="24"/>
          <w:lang w:eastAsia="lv-LV"/>
        </w:rPr>
        <w:lastRenderedPageBreak/>
        <w:drawing>
          <wp:inline distT="0" distB="0" distL="0" distR="0" wp14:anchorId="27CA3CA8" wp14:editId="1485CB4E">
            <wp:extent cx="3393506" cy="2006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1496" cy="2017238"/>
                    </a:xfrm>
                    <a:prstGeom prst="rect">
                      <a:avLst/>
                    </a:prstGeom>
                    <a:noFill/>
                  </pic:spPr>
                </pic:pic>
              </a:graphicData>
            </a:graphic>
          </wp:inline>
        </w:drawing>
      </w:r>
    </w:p>
    <w:p w:rsidR="00BF4753" w:rsidRDefault="00BF4753" w:rsidP="00BF4753">
      <w:pPr>
        <w:rPr>
          <w:bCs/>
          <w:i/>
          <w:sz w:val="18"/>
          <w:szCs w:val="18"/>
        </w:rPr>
      </w:pPr>
      <w:r w:rsidRPr="00FD1A0D">
        <w:rPr>
          <w:bCs/>
          <w:i/>
          <w:sz w:val="18"/>
          <w:szCs w:val="18"/>
        </w:rPr>
        <w:t>p – prognoze</w:t>
      </w:r>
    </w:p>
    <w:p w:rsidR="00BF4753" w:rsidRDefault="00BF4753" w:rsidP="00BF4753">
      <w:pPr>
        <w:rPr>
          <w:bCs/>
          <w:i/>
          <w:sz w:val="18"/>
          <w:szCs w:val="18"/>
        </w:rPr>
      </w:pPr>
    </w:p>
    <w:p w:rsidR="00BF4753" w:rsidRPr="004A66F2" w:rsidRDefault="00BF4753" w:rsidP="00BF4753">
      <w:pPr>
        <w:pStyle w:val="ListParagraph"/>
        <w:numPr>
          <w:ilvl w:val="1"/>
          <w:numId w:val="19"/>
        </w:numPr>
        <w:ind w:left="426"/>
        <w:jc w:val="center"/>
        <w:rPr>
          <w:b/>
          <w:i/>
          <w:sz w:val="24"/>
          <w:szCs w:val="26"/>
        </w:rPr>
      </w:pPr>
      <w:r>
        <w:rPr>
          <w:b/>
          <w:i/>
          <w:sz w:val="24"/>
          <w:szCs w:val="26"/>
        </w:rPr>
        <w:t>att</w:t>
      </w:r>
      <w:r w:rsidRPr="004A66F2">
        <w:rPr>
          <w:b/>
          <w:i/>
          <w:sz w:val="24"/>
          <w:szCs w:val="26"/>
        </w:rPr>
        <w:t xml:space="preserve">. Vispārējās valdības parāda attīstības tendences </w:t>
      </w:r>
      <w:r>
        <w:rPr>
          <w:b/>
          <w:i/>
          <w:sz w:val="24"/>
          <w:szCs w:val="26"/>
        </w:rPr>
        <w:t xml:space="preserve">(% no </w:t>
      </w:r>
      <w:r w:rsidRPr="004A66F2">
        <w:rPr>
          <w:b/>
          <w:i/>
          <w:sz w:val="24"/>
          <w:szCs w:val="26"/>
        </w:rPr>
        <w:t>iekšzemes kopprodukta)</w:t>
      </w:r>
    </w:p>
    <w:p w:rsidR="00BF4753" w:rsidRPr="00FD1A0D" w:rsidRDefault="00BF4753" w:rsidP="00BF4753">
      <w:pPr>
        <w:rPr>
          <w:bCs/>
          <w:i/>
          <w:sz w:val="18"/>
          <w:szCs w:val="18"/>
        </w:rPr>
      </w:pPr>
    </w:p>
    <w:p w:rsidR="00BF4753" w:rsidRPr="000C173C" w:rsidRDefault="00BF4753" w:rsidP="00BF4753">
      <w:pPr>
        <w:rPr>
          <w:szCs w:val="24"/>
        </w:rPr>
      </w:pPr>
      <w:r w:rsidRPr="000C173C">
        <w:rPr>
          <w:szCs w:val="26"/>
        </w:rPr>
        <w:t>Neskatoties uz vispārējās valdības parāda līmeņa pieaugumu, ko ietekmē ar Covid-19 saistīto pasākumu finansēšanas nepieciešamība, šai ietekmei būtu īstermiņa raksturs, kas vidējā termiņā un ilgtermiņā neizraisītu risku vispārējās valdības parāda ilgtspējai.</w:t>
      </w:r>
      <w:r w:rsidRPr="000C173C">
        <w:rPr>
          <w:sz w:val="32"/>
        </w:rPr>
        <w:t xml:space="preserve"> </w:t>
      </w:r>
      <w:r w:rsidRPr="000C173C">
        <w:rPr>
          <w:szCs w:val="26"/>
        </w:rPr>
        <w:t>Sagaidāms, ka</w:t>
      </w:r>
      <w:r w:rsidRPr="000C173C">
        <w:rPr>
          <w:sz w:val="32"/>
        </w:rPr>
        <w:t xml:space="preserve"> </w:t>
      </w:r>
      <w:r w:rsidRPr="000C173C">
        <w:rPr>
          <w:szCs w:val="26"/>
        </w:rPr>
        <w:t>gan 2021.</w:t>
      </w:r>
      <w:r>
        <w:rPr>
          <w:szCs w:val="26"/>
        </w:rPr>
        <w:t xml:space="preserve"> </w:t>
      </w:r>
      <w:r w:rsidRPr="000C173C">
        <w:rPr>
          <w:szCs w:val="26"/>
        </w:rPr>
        <w:t xml:space="preserve">gadā, gan vidējā termiņā Fiskālās disciplīnas likumā noteiktais parāda nosacījums tiks ievērots. </w:t>
      </w:r>
    </w:p>
    <w:p w:rsidR="00BF4753" w:rsidRDefault="00BF4753" w:rsidP="00BF4753">
      <w:pPr>
        <w:rPr>
          <w:sz w:val="24"/>
          <w:szCs w:val="26"/>
        </w:rPr>
      </w:pPr>
    </w:p>
    <w:p w:rsidR="00BF4753" w:rsidRDefault="00BF4753" w:rsidP="00BF4753">
      <w:pPr>
        <w:rPr>
          <w:sz w:val="24"/>
          <w:szCs w:val="26"/>
        </w:rPr>
      </w:pPr>
    </w:p>
    <w:p w:rsidR="00BF4753" w:rsidRDefault="00BF4753" w:rsidP="00BF4753">
      <w:pPr>
        <w:rPr>
          <w:sz w:val="24"/>
          <w:szCs w:val="26"/>
        </w:rPr>
      </w:pPr>
    </w:p>
    <w:p w:rsidR="00BF4753" w:rsidRDefault="00BF4753" w:rsidP="00BF4753">
      <w:pPr>
        <w:rPr>
          <w:sz w:val="24"/>
          <w:szCs w:val="26"/>
        </w:rPr>
      </w:pPr>
    </w:p>
    <w:p w:rsidR="00BF4753" w:rsidRDefault="00BF4753" w:rsidP="00BF4753">
      <w:pPr>
        <w:rPr>
          <w:sz w:val="24"/>
          <w:szCs w:val="26"/>
        </w:rPr>
      </w:pPr>
    </w:p>
    <w:p w:rsidR="00BF4753" w:rsidRDefault="00BF4753" w:rsidP="00BF4753">
      <w:pPr>
        <w:rPr>
          <w:sz w:val="24"/>
          <w:szCs w:val="26"/>
        </w:rPr>
      </w:pPr>
    </w:p>
    <w:p w:rsidR="00BF4753" w:rsidRDefault="00BF4753" w:rsidP="00BF4753">
      <w:pPr>
        <w:ind w:firstLine="0"/>
        <w:jc w:val="left"/>
        <w:rPr>
          <w:sz w:val="24"/>
          <w:szCs w:val="26"/>
        </w:rPr>
      </w:pPr>
    </w:p>
    <w:p w:rsidR="00BF4753" w:rsidRPr="008C0CE2" w:rsidRDefault="00BF4753" w:rsidP="00BF4753"/>
    <w:p w:rsidR="00BF4753" w:rsidRPr="00B07F83" w:rsidRDefault="00BF4753" w:rsidP="00BF4753">
      <w:pPr>
        <w:ind w:firstLine="709"/>
        <w:rPr>
          <w:rFonts w:eastAsia="Calibri" w:cs="Times New Roman"/>
          <w:noProof/>
          <w:sz w:val="32"/>
          <w:szCs w:val="28"/>
        </w:rPr>
      </w:pPr>
    </w:p>
    <w:bookmarkEnd w:id="23"/>
    <w:p w:rsidR="00BF4753" w:rsidRPr="000A6AF4" w:rsidRDefault="00BF4753" w:rsidP="00BF4753">
      <w:pPr>
        <w:ind w:firstLine="0"/>
        <w:rPr>
          <w:sz w:val="24"/>
          <w:szCs w:val="24"/>
        </w:rPr>
      </w:pPr>
    </w:p>
    <w:p w:rsidR="00BF4753" w:rsidRDefault="00BF4753" w:rsidP="00BF4753"/>
    <w:p w:rsidR="00BF4753" w:rsidRDefault="00BF4753" w:rsidP="00BF4753"/>
    <w:p w:rsidR="00BF4753" w:rsidRDefault="00BF4753" w:rsidP="00BF4753"/>
    <w:p w:rsidR="00BF4753" w:rsidRDefault="00BF4753" w:rsidP="00BF4753"/>
    <w:p w:rsidR="00BF4753" w:rsidRDefault="00BF4753" w:rsidP="00BF4753"/>
    <w:p w:rsidR="00BF4753" w:rsidRDefault="00BF4753" w:rsidP="00BF4753"/>
    <w:p w:rsidR="00BF4753" w:rsidRDefault="00BF4753" w:rsidP="00BF4753"/>
    <w:p w:rsidR="00BF4753" w:rsidRDefault="00BF4753" w:rsidP="00BF4753"/>
    <w:p w:rsidR="00BF4753" w:rsidRDefault="00BF4753" w:rsidP="00BF4753"/>
    <w:p w:rsidR="0027190A" w:rsidRDefault="0027190A" w:rsidP="00BF4753"/>
    <w:p w:rsidR="00BF4753" w:rsidRPr="00EB0CA4" w:rsidRDefault="00BF4753" w:rsidP="00BF4753"/>
    <w:p w:rsidR="00BF4753" w:rsidRDefault="00BF4753" w:rsidP="00BF4753">
      <w:pPr>
        <w:pStyle w:val="Heading1"/>
      </w:pPr>
      <w:bookmarkStart w:id="26" w:name="_Toc68335004"/>
      <w:r>
        <w:lastRenderedPageBreak/>
        <w:t xml:space="preserve">4. </w:t>
      </w:r>
      <w:r w:rsidRPr="00A66F3B">
        <w:t xml:space="preserve">Jutīguma </w:t>
      </w:r>
      <w:r w:rsidRPr="00833725">
        <w:t>analīze</w:t>
      </w:r>
      <w:r w:rsidRPr="00A66F3B">
        <w:t xml:space="preserve"> un salīdzinājums</w:t>
      </w:r>
      <w:bookmarkEnd w:id="26"/>
    </w:p>
    <w:p w:rsidR="00BF4753" w:rsidRDefault="00BF4753" w:rsidP="00BF4753">
      <w:pPr>
        <w:pStyle w:val="Heading2"/>
        <w:numPr>
          <w:ilvl w:val="0"/>
          <w:numId w:val="0"/>
        </w:numPr>
        <w:spacing w:before="240" w:after="240"/>
        <w:rPr>
          <w:rFonts w:eastAsia="Times New Roman"/>
          <w:lang w:eastAsia="lv-LV"/>
        </w:rPr>
      </w:pPr>
      <w:bookmarkStart w:id="27" w:name="_Toc68335005"/>
      <w:r w:rsidRPr="00A66F3B">
        <w:rPr>
          <w:rFonts w:eastAsia="Times New Roman"/>
          <w:lang w:eastAsia="lv-LV"/>
        </w:rPr>
        <w:t>4.1. Makroekonomiskā scenārija riski</w:t>
      </w:r>
      <w:bookmarkEnd w:id="27"/>
    </w:p>
    <w:p w:rsidR="00BF4753" w:rsidRPr="002A0E06" w:rsidRDefault="00BF4753" w:rsidP="00BF4753">
      <w:pPr>
        <w:autoSpaceDE w:val="0"/>
        <w:autoSpaceDN w:val="0"/>
        <w:adjustRightInd w:val="0"/>
        <w:rPr>
          <w:rFonts w:cs="Times New Roman"/>
          <w:szCs w:val="24"/>
        </w:rPr>
      </w:pPr>
      <w:r w:rsidRPr="002A0E06">
        <w:rPr>
          <w:rFonts w:cs="Times New Roman"/>
          <w:szCs w:val="24"/>
        </w:rPr>
        <w:t>Makroekonomiskās attīstības vidējā termiņa scenārija pamatā ir konservatīvi pieņēmumi par ekonomisko attīstību vidējā periodā un makroekonomiskās attīstības scenārija augšup un lejupvērstie riski kopumā ir sabalansēti, lai arī nenoteiktība, kas izriet no Covid</w:t>
      </w:r>
      <w:r w:rsidRPr="002A0E06">
        <w:rPr>
          <w:rFonts w:cs="Times New Roman"/>
          <w:szCs w:val="24"/>
        </w:rPr>
        <w:noBreakHyphen/>
        <w:t>19 ierobežojošiem pasākumiem un to efektivitāti, ir liela.</w:t>
      </w:r>
    </w:p>
    <w:p w:rsidR="00BF4753" w:rsidRPr="002A0E06" w:rsidRDefault="00BF4753" w:rsidP="00BF4753">
      <w:pPr>
        <w:autoSpaceDE w:val="0"/>
        <w:autoSpaceDN w:val="0"/>
        <w:adjustRightInd w:val="0"/>
        <w:rPr>
          <w:rFonts w:cs="Times New Roman"/>
          <w:szCs w:val="24"/>
        </w:rPr>
      </w:pPr>
      <w:r w:rsidRPr="002A0E06">
        <w:rPr>
          <w:rFonts w:cs="Times New Roman"/>
          <w:szCs w:val="24"/>
        </w:rPr>
        <w:t>Līdz ar to Finanšu ministrija, izstrādājot savas makroekonomisko rādītāju prognozes vidējam termiņam, ir identificējusi un izvērtējusi vairāku iekšējās un ārējās vides riskus, kuriem īstenojoties, ekonomikas izaugsme Latvijā var izrādīties straujāka vai lēnāka, nekā paredzēts bāzes scenārijā. Balstoties uz zemāk apskatītajiem makroekonomiskajiem riskiem, ir izstrādāti divi alternatīvie makroekonomiskās attīstības scenāriji 2021.</w:t>
      </w:r>
      <w:r w:rsidRPr="002A0E06">
        <w:rPr>
          <w:rFonts w:cs="Times New Roman"/>
          <w:szCs w:val="24"/>
        </w:rPr>
        <w:noBreakHyphen/>
        <w:t>2024.</w:t>
      </w:r>
      <w:r>
        <w:rPr>
          <w:rFonts w:cs="Times New Roman"/>
          <w:szCs w:val="24"/>
        </w:rPr>
        <w:t xml:space="preserve"> </w:t>
      </w:r>
      <w:r w:rsidRPr="002A0E06">
        <w:rPr>
          <w:rFonts w:cs="Times New Roman"/>
          <w:szCs w:val="24"/>
        </w:rPr>
        <w:t>gadam.</w:t>
      </w:r>
    </w:p>
    <w:p w:rsidR="00BF4753" w:rsidRPr="002A0E06" w:rsidRDefault="00BF4753" w:rsidP="00BF4753">
      <w:pPr>
        <w:autoSpaceDE w:val="0"/>
        <w:autoSpaceDN w:val="0"/>
        <w:adjustRightInd w:val="0"/>
        <w:rPr>
          <w:rFonts w:cs="Times New Roman"/>
          <w:szCs w:val="24"/>
        </w:rPr>
      </w:pPr>
      <w:r w:rsidRPr="002A0E06">
        <w:rPr>
          <w:rFonts w:cs="Times New Roman"/>
          <w:szCs w:val="24"/>
        </w:rPr>
        <w:t>Galvenie negatīvie riski ir saistīti ar Veselības ministrijas vakcinācijas plāna neizdošanos tādā apmērā, kā paredzēts, piemēram, ir iespējami Covid-19 vakcīnu piegāžu traucējumi vai iedzīvotāju vakcinācijas tempi var izrādīties nepietiekami, kā arī vīrusa mutācija var izsaukt jaunu pandēmijas vilni, sākot ar 2021.</w:t>
      </w:r>
      <w:r>
        <w:rPr>
          <w:rFonts w:cs="Times New Roman"/>
          <w:szCs w:val="24"/>
        </w:rPr>
        <w:t xml:space="preserve"> </w:t>
      </w:r>
      <w:r w:rsidRPr="002A0E06">
        <w:rPr>
          <w:rFonts w:cs="Times New Roman"/>
          <w:szCs w:val="24"/>
        </w:rPr>
        <w:t>gada oktobri. Līdz ar to valdība būtu spiesta pagarināt ierobežojumus, kas ne tikai bremzētu ekonomisko izaugsmi, bet bez nopietniem atbalsta pasākumiem izraisītu arī uzņēmumu bankrotus, beidzoties uzņēmumu iekšējām rezervēm, turklāt kā blakus parādība šeit būtu ēnu ekonomikas pieaugums. Papildus Covid</w:t>
      </w:r>
      <w:r w:rsidRPr="002A0E06">
        <w:rPr>
          <w:rFonts w:cs="Times New Roman"/>
          <w:szCs w:val="24"/>
        </w:rPr>
        <w:noBreakHyphen/>
        <w:t>19 ierobežojumiem, būvniecības nozare varētu saskarties ar kapacitātes trūkumu, mēģinot īstenot lielos valdības finansētos projektus, kas izraisītu cenu kāpumu. Ārējie negatīvie riski Latvijai pašlaik ir saistīti arī ar joprojām augsto ģeopolitisko nenoteiktību reģionā, kas var ierobežot ekonomikas attīstību.</w:t>
      </w:r>
    </w:p>
    <w:p w:rsidR="00BF4753" w:rsidRDefault="00BF4753" w:rsidP="00BF4753">
      <w:pPr>
        <w:autoSpaceDE w:val="0"/>
        <w:autoSpaceDN w:val="0"/>
        <w:adjustRightInd w:val="0"/>
        <w:rPr>
          <w:rFonts w:cs="Times New Roman"/>
          <w:szCs w:val="24"/>
        </w:rPr>
      </w:pPr>
      <w:r w:rsidRPr="002A0E06">
        <w:rPr>
          <w:rFonts w:cs="Times New Roman"/>
          <w:szCs w:val="24"/>
        </w:rPr>
        <w:t xml:space="preserve">Savukārt pozitīvie riski galvenokārt saistīti ar negatīvajiem riskiem pretēju risku realizēšanos, piemēram, ja vakcinācijas plānu izdodas veiksmīgi realizēt un sabiedrības iegūtā kolektīvā imunitāte ļautu ātrāk, jau vasarā, atcelt visus ierobežojumus, turklāt arī mūsu tirdzniecības partnervalstu straujāka ekonomiskā atkopšanās veicinātu straujāku visa reģiona izaugsmi. Citi iekšējie pozitīvie riski ir saistīti ar investīciju straujāku izaugsmi, veiksmīgi īstenojot plānotos lielos projektus, kā arī veiksmīgāku </w:t>
      </w:r>
      <w:r>
        <w:rPr>
          <w:rFonts w:cs="Times New Roman"/>
          <w:szCs w:val="24"/>
        </w:rPr>
        <w:t xml:space="preserve">Eiropas Savienības </w:t>
      </w:r>
      <w:r w:rsidRPr="002A0E06">
        <w:rPr>
          <w:rFonts w:cs="Times New Roman"/>
          <w:szCs w:val="24"/>
        </w:rPr>
        <w:t>Atveseļošanās un noturības mehānisma plāna realizāciju Latvijā.</w:t>
      </w:r>
    </w:p>
    <w:p w:rsidR="00BF4753" w:rsidRPr="00CC3EAE" w:rsidRDefault="00BF4753" w:rsidP="00BF4753">
      <w:pPr>
        <w:pStyle w:val="Heading2"/>
        <w:numPr>
          <w:ilvl w:val="0"/>
          <w:numId w:val="0"/>
        </w:numPr>
        <w:rPr>
          <w:rFonts w:eastAsia="Times New Roman"/>
          <w:lang w:eastAsia="lv-LV"/>
        </w:rPr>
      </w:pPr>
      <w:bookmarkStart w:id="28" w:name="_Toc68335006"/>
      <w:bookmarkStart w:id="29" w:name="_Toc510790669"/>
      <w:bookmarkStart w:id="30" w:name="_Toc5627376"/>
      <w:bookmarkStart w:id="31" w:name="_Toc5693315"/>
      <w:r w:rsidRPr="00A66F3B">
        <w:rPr>
          <w:rFonts w:eastAsia="Times New Roman"/>
          <w:lang w:eastAsia="lv-LV"/>
        </w:rPr>
        <w:t>4.2. Jutīguma analīze</w:t>
      </w:r>
      <w:bookmarkEnd w:id="28"/>
    </w:p>
    <w:p w:rsidR="00BF4753" w:rsidRDefault="00BF4753" w:rsidP="00BF4753">
      <w:pPr>
        <w:pStyle w:val="Heading3"/>
        <w:numPr>
          <w:ilvl w:val="2"/>
          <w:numId w:val="41"/>
        </w:numPr>
        <w:spacing w:before="240" w:after="240"/>
        <w:jc w:val="center"/>
      </w:pPr>
      <w:bookmarkStart w:id="32" w:name="_Toc68335007"/>
      <w:r w:rsidRPr="002A0E06">
        <w:t>Optimistiskais scenārijs</w:t>
      </w:r>
      <w:bookmarkEnd w:id="29"/>
      <w:bookmarkEnd w:id="30"/>
      <w:bookmarkEnd w:id="31"/>
      <w:bookmarkEnd w:id="32"/>
    </w:p>
    <w:p w:rsidR="00BF4753" w:rsidRDefault="00BF4753" w:rsidP="00BF4753">
      <w:pPr>
        <w:autoSpaceDE w:val="0"/>
        <w:autoSpaceDN w:val="0"/>
        <w:adjustRightInd w:val="0"/>
        <w:spacing w:before="120" w:after="120"/>
        <w:rPr>
          <w:rFonts w:eastAsia="Times New Roman" w:cs="Times New Roman"/>
          <w:b/>
          <w:szCs w:val="24"/>
          <w:lang w:eastAsia="lv-LV"/>
        </w:rPr>
      </w:pPr>
      <w:r>
        <w:rPr>
          <w:rFonts w:eastAsia="Times New Roman" w:cs="Times New Roman"/>
          <w:b/>
          <w:szCs w:val="24"/>
          <w:lang w:eastAsia="lv-LV"/>
        </w:rPr>
        <w:t>Ietekme uz ekonomiku</w:t>
      </w:r>
    </w:p>
    <w:p w:rsidR="00BF4753" w:rsidRPr="00E64029" w:rsidRDefault="00BF4753" w:rsidP="00BF4753">
      <w:pPr>
        <w:autoSpaceDE w:val="0"/>
        <w:autoSpaceDN w:val="0"/>
        <w:adjustRightInd w:val="0"/>
        <w:rPr>
          <w:rFonts w:eastAsia="Times New Roman" w:cs="Times New Roman"/>
          <w:szCs w:val="24"/>
          <w:lang w:eastAsia="lv-LV"/>
        </w:rPr>
      </w:pPr>
      <w:r w:rsidRPr="00E64029">
        <w:rPr>
          <w:rFonts w:eastAsia="Times New Roman" w:cs="Times New Roman"/>
          <w:szCs w:val="24"/>
          <w:lang w:eastAsia="lv-LV"/>
        </w:rPr>
        <w:t xml:space="preserve"> 2020.</w:t>
      </w:r>
      <w:r>
        <w:rPr>
          <w:rFonts w:eastAsia="Times New Roman" w:cs="Times New Roman"/>
          <w:szCs w:val="24"/>
          <w:lang w:eastAsia="lv-LV"/>
        </w:rPr>
        <w:t xml:space="preserve"> </w:t>
      </w:r>
      <w:r w:rsidRPr="00E64029">
        <w:rPr>
          <w:rFonts w:eastAsia="Times New Roman" w:cs="Times New Roman"/>
          <w:szCs w:val="24"/>
          <w:lang w:eastAsia="lv-LV"/>
        </w:rPr>
        <w:t xml:space="preserve">gads kopumā noslēdzās labāk nekā bija prognozēts </w:t>
      </w:r>
      <w:r>
        <w:rPr>
          <w:rFonts w:eastAsia="Times New Roman" w:cs="Times New Roman"/>
          <w:szCs w:val="24"/>
          <w:lang w:eastAsia="lv-LV"/>
        </w:rPr>
        <w:t>iepriekš. Ekonomika ir pielāgojusies</w:t>
      </w:r>
      <w:r w:rsidRPr="00E64029">
        <w:rPr>
          <w:rFonts w:eastAsia="Times New Roman" w:cs="Times New Roman"/>
          <w:szCs w:val="24"/>
          <w:lang w:eastAsia="lv-LV"/>
        </w:rPr>
        <w:t xml:space="preserve"> jauniem apstākļiem, kas izpaustos arī kā privātā patēriņa līmeņa atgūšanās 2021.</w:t>
      </w:r>
      <w:r>
        <w:rPr>
          <w:rFonts w:eastAsia="Times New Roman" w:cs="Times New Roman"/>
          <w:szCs w:val="24"/>
          <w:lang w:eastAsia="lv-LV"/>
        </w:rPr>
        <w:t xml:space="preserve"> </w:t>
      </w:r>
      <w:r w:rsidRPr="00E64029">
        <w:rPr>
          <w:rFonts w:eastAsia="Times New Roman" w:cs="Times New Roman"/>
          <w:szCs w:val="24"/>
          <w:lang w:eastAsia="lv-LV"/>
        </w:rPr>
        <w:t>gada 3.</w:t>
      </w:r>
      <w:r>
        <w:rPr>
          <w:rFonts w:eastAsia="Times New Roman" w:cs="Times New Roman"/>
          <w:szCs w:val="24"/>
          <w:lang w:eastAsia="lv-LV"/>
        </w:rPr>
        <w:t xml:space="preserve"> </w:t>
      </w:r>
      <w:r w:rsidRPr="00E64029">
        <w:rPr>
          <w:rFonts w:eastAsia="Times New Roman" w:cs="Times New Roman"/>
          <w:szCs w:val="24"/>
          <w:lang w:eastAsia="lv-LV"/>
        </w:rPr>
        <w:t>ceturksnī.</w:t>
      </w:r>
      <w:r>
        <w:rPr>
          <w:rFonts w:eastAsia="Times New Roman" w:cs="Times New Roman"/>
          <w:szCs w:val="24"/>
          <w:lang w:eastAsia="lv-LV"/>
        </w:rPr>
        <w:t xml:space="preserve"> Turklāt Veselības ministrijas v</w:t>
      </w:r>
      <w:r w:rsidRPr="00E64029">
        <w:rPr>
          <w:rFonts w:eastAsia="Times New Roman" w:cs="Times New Roman"/>
          <w:szCs w:val="24"/>
          <w:lang w:eastAsia="lv-LV"/>
        </w:rPr>
        <w:t xml:space="preserve">akcinācijas </w:t>
      </w:r>
      <w:r w:rsidRPr="00E64029">
        <w:rPr>
          <w:rFonts w:eastAsia="Times New Roman" w:cs="Times New Roman"/>
          <w:szCs w:val="24"/>
          <w:lang w:eastAsia="lv-LV"/>
        </w:rPr>
        <w:lastRenderedPageBreak/>
        <w:t>plāna veiksmīga īstenošanās un kolektīvās imunitātes iestāšanās radītu apstākļus, kad varētu ātrāk atcelt ieviestos ierobežojumus.</w:t>
      </w:r>
    </w:p>
    <w:p w:rsidR="00BF4753" w:rsidRPr="00E64029" w:rsidRDefault="00BF4753" w:rsidP="00BF4753">
      <w:pPr>
        <w:autoSpaceDE w:val="0"/>
        <w:autoSpaceDN w:val="0"/>
        <w:adjustRightInd w:val="0"/>
        <w:rPr>
          <w:rFonts w:eastAsia="Times New Roman" w:cs="Times New Roman"/>
          <w:szCs w:val="24"/>
          <w:lang w:eastAsia="lv-LV"/>
        </w:rPr>
      </w:pPr>
      <w:r w:rsidRPr="00E64029">
        <w:rPr>
          <w:rFonts w:eastAsia="Times New Roman" w:cs="Times New Roman"/>
          <w:szCs w:val="24"/>
          <w:lang w:eastAsia="lv-LV"/>
        </w:rPr>
        <w:t xml:space="preserve">Līdz ar to ekonomiskās aktivitātes pieaugumu uzlabojumi būs jūtami visās jomās - gan pieprasījumā, gan ienākumu pieaugumā, un rezultātā optimistiskā scenārija gadījumā Latvijas </w:t>
      </w:r>
      <w:r>
        <w:rPr>
          <w:rFonts w:eastAsia="Times New Roman" w:cs="Times New Roman"/>
          <w:szCs w:val="24"/>
          <w:lang w:eastAsia="lv-LV"/>
        </w:rPr>
        <w:t>iekšzemes kopprodukta</w:t>
      </w:r>
      <w:r w:rsidRPr="00E64029">
        <w:rPr>
          <w:rFonts w:eastAsia="Times New Roman" w:cs="Times New Roman"/>
          <w:szCs w:val="24"/>
          <w:lang w:eastAsia="lv-LV"/>
        </w:rPr>
        <w:t xml:space="preserve"> izaugsme salīdzināmās cenās 2021.</w:t>
      </w:r>
      <w:r>
        <w:rPr>
          <w:rFonts w:eastAsia="Times New Roman" w:cs="Times New Roman"/>
          <w:szCs w:val="24"/>
          <w:lang w:eastAsia="lv-LV"/>
        </w:rPr>
        <w:t xml:space="preserve"> </w:t>
      </w:r>
      <w:r w:rsidRPr="00E64029">
        <w:rPr>
          <w:rFonts w:eastAsia="Times New Roman" w:cs="Times New Roman"/>
          <w:szCs w:val="24"/>
          <w:lang w:eastAsia="lv-LV"/>
        </w:rPr>
        <w:t>gadā vidēji būtu vidēji par 1 procentpunktu un 2022.</w:t>
      </w:r>
      <w:r>
        <w:rPr>
          <w:rFonts w:eastAsia="Times New Roman" w:cs="Times New Roman"/>
          <w:szCs w:val="24"/>
          <w:lang w:eastAsia="lv-LV"/>
        </w:rPr>
        <w:t xml:space="preserve"> </w:t>
      </w:r>
      <w:r w:rsidRPr="00E64029">
        <w:rPr>
          <w:rFonts w:eastAsia="Times New Roman" w:cs="Times New Roman"/>
          <w:szCs w:val="24"/>
          <w:lang w:eastAsia="lv-LV"/>
        </w:rPr>
        <w:t>gadā par 0,6 procentpunktiem straujāka nekā bāzes scenārijā.</w:t>
      </w:r>
    </w:p>
    <w:p w:rsidR="00BF4753" w:rsidRPr="00E64029" w:rsidRDefault="00BF4753" w:rsidP="00BF4753">
      <w:pPr>
        <w:autoSpaceDE w:val="0"/>
        <w:autoSpaceDN w:val="0"/>
        <w:adjustRightInd w:val="0"/>
        <w:spacing w:before="120" w:after="120"/>
        <w:jc w:val="right"/>
        <w:rPr>
          <w:rFonts w:cs="Times New Roman"/>
          <w:b/>
          <w:i/>
          <w:sz w:val="24"/>
          <w:szCs w:val="24"/>
        </w:rPr>
      </w:pPr>
      <w:r>
        <w:rPr>
          <w:rFonts w:cs="Times New Roman"/>
          <w:b/>
          <w:i/>
          <w:sz w:val="24"/>
          <w:szCs w:val="24"/>
        </w:rPr>
        <w:t>4.1</w:t>
      </w:r>
      <w:r w:rsidRPr="00E64029">
        <w:rPr>
          <w:rFonts w:cs="Times New Roman"/>
          <w:b/>
          <w:i/>
          <w:sz w:val="24"/>
          <w:szCs w:val="24"/>
        </w:rPr>
        <w:t>.tabula. Optimistiskais makroekonomiskais scenārijs</w:t>
      </w:r>
    </w:p>
    <w:tbl>
      <w:tblPr>
        <w:tblStyle w:val="GridTable6Colorful-Accent12"/>
        <w:tblW w:w="9068" w:type="dxa"/>
        <w:jc w:val="center"/>
        <w:tblLayout w:type="fixed"/>
        <w:tblLook w:val="04A0" w:firstRow="1" w:lastRow="0" w:firstColumn="1" w:lastColumn="0" w:noHBand="0" w:noVBand="1"/>
      </w:tblPr>
      <w:tblGrid>
        <w:gridCol w:w="2972"/>
        <w:gridCol w:w="709"/>
        <w:gridCol w:w="850"/>
        <w:gridCol w:w="709"/>
        <w:gridCol w:w="851"/>
        <w:gridCol w:w="708"/>
        <w:gridCol w:w="709"/>
        <w:gridCol w:w="922"/>
        <w:gridCol w:w="638"/>
      </w:tblGrid>
      <w:tr w:rsidR="00BF4753" w:rsidRPr="00BD2805" w:rsidTr="002D7CA8">
        <w:trPr>
          <w:cnfStyle w:val="100000000000" w:firstRow="1" w:lastRow="0" w:firstColumn="0" w:lastColumn="0" w:oddVBand="0" w:evenVBand="0" w:oddHBand="0"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tcPr>
          <w:p w:rsidR="00BF4753" w:rsidRPr="00BD2805" w:rsidRDefault="00BF4753" w:rsidP="002D7CA8">
            <w:pPr>
              <w:spacing w:before="100" w:beforeAutospacing="1" w:after="100" w:afterAutospacing="1"/>
              <w:rPr>
                <w:rFonts w:cs="Times New Roman"/>
                <w:b w:val="0"/>
                <w:color w:val="auto"/>
                <w:sz w:val="20"/>
                <w:szCs w:val="20"/>
              </w:rPr>
            </w:pPr>
          </w:p>
        </w:tc>
        <w:tc>
          <w:tcPr>
            <w:tcW w:w="3119" w:type="dxa"/>
            <w:gridSpan w:val="4"/>
            <w:tcBorders>
              <w:right w:val="double" w:sz="4" w:space="0" w:color="9CC2E5" w:themeColor="accent1" w:themeTint="99"/>
            </w:tcBorders>
            <w:noWrap/>
            <w:vAlign w:val="center"/>
          </w:tcPr>
          <w:p w:rsidR="00BF4753" w:rsidRPr="00BD2805" w:rsidRDefault="00BF4753" w:rsidP="002D7CA8">
            <w:pPr>
              <w:spacing w:before="100" w:beforeAutospacing="1" w:after="100" w:afterAutospacing="1"/>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0"/>
                <w:szCs w:val="20"/>
              </w:rPr>
            </w:pPr>
            <w:r w:rsidRPr="00BD2805">
              <w:rPr>
                <w:rFonts w:cs="Times New Roman"/>
                <w:b w:val="0"/>
                <w:color w:val="auto"/>
                <w:sz w:val="20"/>
                <w:szCs w:val="20"/>
              </w:rPr>
              <w:t>Optimistiskais scenārijs</w:t>
            </w:r>
          </w:p>
        </w:tc>
        <w:tc>
          <w:tcPr>
            <w:tcW w:w="2976" w:type="dxa"/>
            <w:gridSpan w:val="4"/>
            <w:tcBorders>
              <w:left w:val="double" w:sz="4" w:space="0" w:color="9CC2E5" w:themeColor="accent1" w:themeTint="99"/>
            </w:tcBorders>
            <w:noWrap/>
            <w:vAlign w:val="center"/>
          </w:tcPr>
          <w:p w:rsidR="00BF4753" w:rsidRPr="00BD2805" w:rsidRDefault="00BF4753" w:rsidP="002D7CA8">
            <w:pPr>
              <w:spacing w:before="100" w:beforeAutospacing="1" w:after="100" w:afterAutospacing="1"/>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0"/>
                <w:szCs w:val="20"/>
              </w:rPr>
            </w:pPr>
            <w:r w:rsidRPr="00BD2805">
              <w:rPr>
                <w:rFonts w:cs="Times New Roman"/>
                <w:b w:val="0"/>
                <w:color w:val="auto"/>
                <w:sz w:val="20"/>
                <w:szCs w:val="20"/>
              </w:rPr>
              <w:t>Novirze no bāzes scenārija</w:t>
            </w:r>
          </w:p>
        </w:tc>
      </w:tr>
      <w:tr w:rsidR="00BF4753" w:rsidRPr="00BD2805" w:rsidTr="002D7CA8">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tcPr>
          <w:p w:rsidR="00BF4753" w:rsidRPr="00BD2805" w:rsidRDefault="00BF4753" w:rsidP="002D7CA8">
            <w:pPr>
              <w:spacing w:before="100" w:beforeAutospacing="1" w:after="100" w:afterAutospacing="1"/>
              <w:rPr>
                <w:rFonts w:cs="Times New Roman"/>
                <w:b w:val="0"/>
                <w:color w:val="auto"/>
                <w:sz w:val="20"/>
                <w:szCs w:val="20"/>
              </w:rPr>
            </w:pPr>
          </w:p>
        </w:tc>
        <w:tc>
          <w:tcPr>
            <w:tcW w:w="709" w:type="dxa"/>
            <w:noWrap/>
            <w:vAlign w:val="center"/>
          </w:tcPr>
          <w:p w:rsidR="00BF4753" w:rsidRPr="00BD2805" w:rsidRDefault="00BF4753" w:rsidP="002D7CA8">
            <w:pPr>
              <w:spacing w:before="100" w:beforeAutospacing="1" w:after="100" w:afterAutospacing="1"/>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2021</w:t>
            </w:r>
          </w:p>
        </w:tc>
        <w:tc>
          <w:tcPr>
            <w:tcW w:w="850" w:type="dxa"/>
            <w:noWrap/>
            <w:vAlign w:val="center"/>
          </w:tcPr>
          <w:p w:rsidR="00BF4753" w:rsidRPr="00BD2805" w:rsidRDefault="00BF4753" w:rsidP="002D7CA8">
            <w:pPr>
              <w:spacing w:before="100" w:beforeAutospacing="1" w:after="100" w:afterAutospacing="1"/>
              <w:ind w:hanging="63"/>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2022</w:t>
            </w:r>
          </w:p>
        </w:tc>
        <w:tc>
          <w:tcPr>
            <w:tcW w:w="709" w:type="dxa"/>
            <w:noWrap/>
            <w:vAlign w:val="center"/>
          </w:tcPr>
          <w:p w:rsidR="00BF4753" w:rsidRPr="00BD2805" w:rsidRDefault="00BF4753" w:rsidP="002D7CA8">
            <w:pPr>
              <w:spacing w:before="100" w:beforeAutospacing="1" w:after="100" w:afterAutospacing="1"/>
              <w:ind w:hanging="194"/>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2023</w:t>
            </w:r>
          </w:p>
        </w:tc>
        <w:tc>
          <w:tcPr>
            <w:tcW w:w="851" w:type="dxa"/>
            <w:tcBorders>
              <w:right w:val="double" w:sz="4" w:space="0" w:color="9CC2E5" w:themeColor="accent1" w:themeTint="99"/>
            </w:tcBorders>
            <w:noWrap/>
            <w:vAlign w:val="center"/>
          </w:tcPr>
          <w:p w:rsidR="00BF4753" w:rsidRPr="00BD2805" w:rsidRDefault="00BF4753" w:rsidP="002D7CA8">
            <w:pPr>
              <w:spacing w:before="100" w:beforeAutospacing="1" w:after="100" w:afterAutospacing="1"/>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2024</w:t>
            </w:r>
          </w:p>
        </w:tc>
        <w:tc>
          <w:tcPr>
            <w:tcW w:w="708" w:type="dxa"/>
            <w:tcBorders>
              <w:left w:val="double" w:sz="4" w:space="0" w:color="9CC2E5" w:themeColor="accent1" w:themeTint="99"/>
            </w:tcBorders>
            <w:noWrap/>
            <w:vAlign w:val="center"/>
          </w:tcPr>
          <w:p w:rsidR="00BF4753" w:rsidRPr="00BD2805" w:rsidRDefault="00BF4753" w:rsidP="002D7CA8">
            <w:pPr>
              <w:spacing w:before="100" w:beforeAutospacing="1" w:after="100" w:afterAutospacing="1"/>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2021</w:t>
            </w:r>
          </w:p>
        </w:tc>
        <w:tc>
          <w:tcPr>
            <w:tcW w:w="709" w:type="dxa"/>
            <w:noWrap/>
            <w:vAlign w:val="center"/>
          </w:tcPr>
          <w:p w:rsidR="00BF4753" w:rsidRPr="00BD2805" w:rsidRDefault="00BF4753" w:rsidP="002D7CA8">
            <w:pPr>
              <w:spacing w:before="100" w:beforeAutospacing="1" w:after="100" w:afterAutospacing="1"/>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2022</w:t>
            </w:r>
          </w:p>
        </w:tc>
        <w:tc>
          <w:tcPr>
            <w:tcW w:w="922" w:type="dxa"/>
            <w:noWrap/>
            <w:vAlign w:val="center"/>
          </w:tcPr>
          <w:p w:rsidR="00BF4753" w:rsidRPr="00BD2805" w:rsidRDefault="00BF4753" w:rsidP="002D7CA8">
            <w:pPr>
              <w:spacing w:before="100" w:beforeAutospacing="1" w:after="100" w:afterAutospacing="1"/>
              <w:ind w:hanging="201"/>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2023</w:t>
            </w:r>
          </w:p>
        </w:tc>
        <w:tc>
          <w:tcPr>
            <w:tcW w:w="638" w:type="dxa"/>
            <w:noWrap/>
            <w:vAlign w:val="center"/>
          </w:tcPr>
          <w:p w:rsidR="00BF4753" w:rsidRPr="00BD2805" w:rsidRDefault="00BF4753" w:rsidP="002D7CA8">
            <w:pPr>
              <w:spacing w:before="100" w:beforeAutospacing="1" w:after="100" w:afterAutospacing="1"/>
              <w:ind w:hanging="132"/>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2024</w:t>
            </w:r>
          </w:p>
        </w:tc>
      </w:tr>
      <w:tr w:rsidR="00BF4753" w:rsidRPr="00BD2805" w:rsidTr="002D7CA8">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tcPr>
          <w:p w:rsidR="00BF4753" w:rsidRPr="00BD2805" w:rsidRDefault="00BF4753" w:rsidP="002D7CA8">
            <w:pPr>
              <w:spacing w:before="100" w:beforeAutospacing="1" w:after="100" w:afterAutospacing="1"/>
              <w:ind w:firstLine="0"/>
              <w:rPr>
                <w:rFonts w:cs="Times New Roman"/>
                <w:b w:val="0"/>
                <w:color w:val="auto"/>
                <w:sz w:val="20"/>
                <w:szCs w:val="20"/>
              </w:rPr>
            </w:pPr>
            <w:r w:rsidRPr="00BD2805">
              <w:rPr>
                <w:rFonts w:cs="Times New Roman"/>
                <w:b w:val="0"/>
                <w:color w:val="auto"/>
                <w:sz w:val="20"/>
                <w:szCs w:val="20"/>
              </w:rPr>
              <w:t>IKP pieaugums faktiskajās cenās, %</w:t>
            </w:r>
          </w:p>
        </w:tc>
        <w:tc>
          <w:tcPr>
            <w:tcW w:w="709" w:type="dxa"/>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5,5</w:t>
            </w:r>
          </w:p>
        </w:tc>
        <w:tc>
          <w:tcPr>
            <w:tcW w:w="850" w:type="dxa"/>
            <w:noWrap/>
            <w:tcMar>
              <w:left w:w="57" w:type="dxa"/>
              <w:right w:w="57" w:type="dxa"/>
            </w:tcMar>
            <w:vAlign w:val="center"/>
          </w:tcPr>
          <w:p w:rsidR="00BF4753" w:rsidRPr="00BD2805" w:rsidRDefault="00BF4753" w:rsidP="002D7CA8">
            <w:pPr>
              <w:ind w:right="68" w:hanging="63"/>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7,1</w:t>
            </w:r>
          </w:p>
        </w:tc>
        <w:tc>
          <w:tcPr>
            <w:tcW w:w="709" w:type="dxa"/>
            <w:noWrap/>
            <w:tcMar>
              <w:left w:w="57" w:type="dxa"/>
              <w:right w:w="57" w:type="dxa"/>
            </w:tcMar>
            <w:vAlign w:val="center"/>
          </w:tcPr>
          <w:p w:rsidR="00BF4753" w:rsidRPr="00BD2805" w:rsidRDefault="00BF4753" w:rsidP="002D7CA8">
            <w:pPr>
              <w:ind w:right="68" w:hanging="194"/>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5,2</w:t>
            </w:r>
          </w:p>
        </w:tc>
        <w:tc>
          <w:tcPr>
            <w:tcW w:w="851" w:type="dxa"/>
            <w:tcBorders>
              <w:righ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5,0</w:t>
            </w:r>
          </w:p>
        </w:tc>
        <w:tc>
          <w:tcPr>
            <w:tcW w:w="708" w:type="dxa"/>
            <w:tcBorders>
              <w:lef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1,1</w:t>
            </w:r>
          </w:p>
        </w:tc>
        <w:tc>
          <w:tcPr>
            <w:tcW w:w="709" w:type="dxa"/>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0,7</w:t>
            </w:r>
          </w:p>
        </w:tc>
        <w:tc>
          <w:tcPr>
            <w:tcW w:w="922" w:type="dxa"/>
            <w:noWrap/>
            <w:tcMar>
              <w:left w:w="57" w:type="dxa"/>
              <w:right w:w="57" w:type="dxa"/>
            </w:tcMar>
            <w:vAlign w:val="center"/>
          </w:tcPr>
          <w:p w:rsidR="00BF4753" w:rsidRPr="00BD2805" w:rsidRDefault="00BF4753" w:rsidP="002D7CA8">
            <w:pPr>
              <w:ind w:right="68" w:hanging="201"/>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638" w:type="dxa"/>
            <w:noWrap/>
            <w:tcMar>
              <w:left w:w="57" w:type="dxa"/>
              <w:right w:w="57" w:type="dxa"/>
            </w:tcMar>
            <w:vAlign w:val="center"/>
          </w:tcPr>
          <w:p w:rsidR="00BF4753" w:rsidRPr="00BD2805" w:rsidRDefault="00BF4753" w:rsidP="002D7CA8">
            <w:pPr>
              <w:ind w:right="68" w:hanging="132"/>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r w:rsidR="00BF4753" w:rsidRPr="00BD2805" w:rsidTr="002D7CA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tcPr>
          <w:p w:rsidR="00BF4753" w:rsidRPr="00BD2805" w:rsidRDefault="00BF4753" w:rsidP="002D7CA8">
            <w:pPr>
              <w:spacing w:before="100" w:beforeAutospacing="1" w:after="100" w:afterAutospacing="1"/>
              <w:ind w:firstLine="0"/>
              <w:rPr>
                <w:rFonts w:cs="Times New Roman"/>
                <w:b w:val="0"/>
                <w:color w:val="auto"/>
                <w:sz w:val="20"/>
                <w:szCs w:val="20"/>
              </w:rPr>
            </w:pPr>
            <w:r w:rsidRPr="00BD2805">
              <w:rPr>
                <w:rFonts w:cs="Times New Roman"/>
                <w:b w:val="0"/>
                <w:color w:val="auto"/>
                <w:sz w:val="20"/>
                <w:szCs w:val="20"/>
              </w:rPr>
              <w:t>IKP pieaugums salīdzināmās cenās, %</w:t>
            </w:r>
          </w:p>
        </w:tc>
        <w:tc>
          <w:tcPr>
            <w:tcW w:w="709" w:type="dxa"/>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4,0</w:t>
            </w:r>
          </w:p>
        </w:tc>
        <w:tc>
          <w:tcPr>
            <w:tcW w:w="850" w:type="dxa"/>
            <w:noWrap/>
            <w:tcMar>
              <w:left w:w="57" w:type="dxa"/>
              <w:right w:w="57" w:type="dxa"/>
            </w:tcMar>
            <w:vAlign w:val="center"/>
          </w:tcPr>
          <w:p w:rsidR="00BF4753" w:rsidRPr="00BD2805" w:rsidRDefault="00BF4753" w:rsidP="002D7CA8">
            <w:pPr>
              <w:ind w:right="68" w:hanging="63"/>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5,1</w:t>
            </w:r>
          </w:p>
        </w:tc>
        <w:tc>
          <w:tcPr>
            <w:tcW w:w="709" w:type="dxa"/>
            <w:noWrap/>
            <w:tcMar>
              <w:left w:w="57" w:type="dxa"/>
              <w:right w:w="57" w:type="dxa"/>
            </w:tcMar>
            <w:vAlign w:val="center"/>
          </w:tcPr>
          <w:p w:rsidR="00BF4753" w:rsidRPr="00BD2805" w:rsidRDefault="00BF4753" w:rsidP="002D7CA8">
            <w:pPr>
              <w:ind w:right="68" w:hanging="194"/>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3,2</w:t>
            </w:r>
          </w:p>
        </w:tc>
        <w:tc>
          <w:tcPr>
            <w:tcW w:w="851" w:type="dxa"/>
            <w:tcBorders>
              <w:righ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2,8</w:t>
            </w:r>
          </w:p>
        </w:tc>
        <w:tc>
          <w:tcPr>
            <w:tcW w:w="708" w:type="dxa"/>
            <w:tcBorders>
              <w:lef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1,0</w:t>
            </w:r>
          </w:p>
        </w:tc>
        <w:tc>
          <w:tcPr>
            <w:tcW w:w="709" w:type="dxa"/>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0,6</w:t>
            </w:r>
          </w:p>
        </w:tc>
        <w:tc>
          <w:tcPr>
            <w:tcW w:w="922" w:type="dxa"/>
            <w:noWrap/>
            <w:tcMar>
              <w:left w:w="57" w:type="dxa"/>
              <w:right w:w="57" w:type="dxa"/>
            </w:tcMar>
            <w:vAlign w:val="center"/>
          </w:tcPr>
          <w:p w:rsidR="00BF4753" w:rsidRPr="00BD2805" w:rsidRDefault="00BF4753" w:rsidP="002D7CA8">
            <w:pPr>
              <w:ind w:right="68" w:hanging="201"/>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638" w:type="dxa"/>
            <w:noWrap/>
            <w:tcMar>
              <w:left w:w="57" w:type="dxa"/>
              <w:right w:w="57" w:type="dxa"/>
            </w:tcMar>
            <w:vAlign w:val="center"/>
          </w:tcPr>
          <w:p w:rsidR="00BF4753" w:rsidRPr="00BD2805" w:rsidRDefault="00BF4753" w:rsidP="002D7CA8">
            <w:pPr>
              <w:ind w:right="68" w:hanging="132"/>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r w:rsidR="00BF4753" w:rsidRPr="00BD2805" w:rsidTr="002D7CA8">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tcPr>
          <w:p w:rsidR="00BF4753" w:rsidRPr="00BD2805" w:rsidRDefault="00BF4753" w:rsidP="002D7CA8">
            <w:pPr>
              <w:spacing w:before="100" w:beforeAutospacing="1" w:after="100" w:afterAutospacing="1"/>
              <w:ind w:firstLine="0"/>
              <w:rPr>
                <w:rFonts w:cs="Times New Roman"/>
                <w:b w:val="0"/>
                <w:color w:val="auto"/>
                <w:sz w:val="20"/>
                <w:szCs w:val="20"/>
              </w:rPr>
            </w:pPr>
            <w:r w:rsidRPr="00BD2805">
              <w:rPr>
                <w:rFonts w:cs="Times New Roman"/>
                <w:b w:val="0"/>
                <w:color w:val="auto"/>
                <w:sz w:val="20"/>
                <w:szCs w:val="20"/>
              </w:rPr>
              <w:t>Privātais patēriņš, pieaugums salīdzināmās cenās, %</w:t>
            </w:r>
          </w:p>
        </w:tc>
        <w:tc>
          <w:tcPr>
            <w:tcW w:w="709" w:type="dxa"/>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5,0</w:t>
            </w:r>
          </w:p>
        </w:tc>
        <w:tc>
          <w:tcPr>
            <w:tcW w:w="850" w:type="dxa"/>
            <w:noWrap/>
            <w:tcMar>
              <w:left w:w="57" w:type="dxa"/>
              <w:right w:w="57" w:type="dxa"/>
            </w:tcMar>
            <w:vAlign w:val="center"/>
          </w:tcPr>
          <w:p w:rsidR="00BF4753" w:rsidRPr="00BD2805" w:rsidRDefault="00BF4753" w:rsidP="002D7CA8">
            <w:pPr>
              <w:ind w:right="68" w:hanging="63"/>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10,5</w:t>
            </w:r>
          </w:p>
        </w:tc>
        <w:tc>
          <w:tcPr>
            <w:tcW w:w="709" w:type="dxa"/>
            <w:noWrap/>
            <w:tcMar>
              <w:left w:w="57" w:type="dxa"/>
              <w:right w:w="57" w:type="dxa"/>
            </w:tcMar>
            <w:vAlign w:val="center"/>
          </w:tcPr>
          <w:p w:rsidR="00BF4753" w:rsidRPr="00BD2805" w:rsidRDefault="00BF4753" w:rsidP="002D7CA8">
            <w:pPr>
              <w:ind w:right="68" w:hanging="194"/>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4,0</w:t>
            </w:r>
          </w:p>
        </w:tc>
        <w:tc>
          <w:tcPr>
            <w:tcW w:w="851" w:type="dxa"/>
            <w:tcBorders>
              <w:righ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2,6</w:t>
            </w:r>
          </w:p>
        </w:tc>
        <w:tc>
          <w:tcPr>
            <w:tcW w:w="708" w:type="dxa"/>
            <w:tcBorders>
              <w:lef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1,0</w:t>
            </w:r>
          </w:p>
        </w:tc>
        <w:tc>
          <w:tcPr>
            <w:tcW w:w="709" w:type="dxa"/>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0,4</w:t>
            </w:r>
          </w:p>
        </w:tc>
        <w:tc>
          <w:tcPr>
            <w:tcW w:w="922" w:type="dxa"/>
            <w:noWrap/>
            <w:tcMar>
              <w:left w:w="57" w:type="dxa"/>
              <w:right w:w="57" w:type="dxa"/>
            </w:tcMar>
            <w:vAlign w:val="center"/>
          </w:tcPr>
          <w:p w:rsidR="00BF4753" w:rsidRPr="00BD2805" w:rsidRDefault="00BF4753" w:rsidP="002D7CA8">
            <w:pPr>
              <w:ind w:right="68" w:hanging="201"/>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638" w:type="dxa"/>
            <w:noWrap/>
            <w:tcMar>
              <w:left w:w="57" w:type="dxa"/>
              <w:right w:w="57" w:type="dxa"/>
            </w:tcMar>
            <w:vAlign w:val="center"/>
          </w:tcPr>
          <w:p w:rsidR="00BF4753" w:rsidRPr="00BD2805" w:rsidRDefault="00BF4753" w:rsidP="002D7CA8">
            <w:pPr>
              <w:ind w:right="68" w:hanging="132"/>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r w:rsidR="00BF4753" w:rsidRPr="00BD2805" w:rsidTr="002D7CA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tcPr>
          <w:p w:rsidR="00BF4753" w:rsidRPr="00BD2805" w:rsidRDefault="00BF4753" w:rsidP="002D7CA8">
            <w:pPr>
              <w:spacing w:before="100" w:beforeAutospacing="1" w:after="100" w:afterAutospacing="1"/>
              <w:ind w:firstLine="0"/>
              <w:rPr>
                <w:rFonts w:cs="Times New Roman"/>
                <w:b w:val="0"/>
                <w:color w:val="auto"/>
                <w:sz w:val="20"/>
                <w:szCs w:val="20"/>
              </w:rPr>
            </w:pPr>
            <w:r w:rsidRPr="00BD2805">
              <w:rPr>
                <w:rFonts w:cs="Times New Roman"/>
                <w:b w:val="0"/>
                <w:color w:val="auto"/>
                <w:sz w:val="20"/>
                <w:szCs w:val="20"/>
              </w:rPr>
              <w:t xml:space="preserve">Sabiedriskais patēriņš, pieaugums salīdzināmās cenās, % </w:t>
            </w:r>
          </w:p>
        </w:tc>
        <w:tc>
          <w:tcPr>
            <w:tcW w:w="709" w:type="dxa"/>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2,5</w:t>
            </w:r>
          </w:p>
        </w:tc>
        <w:tc>
          <w:tcPr>
            <w:tcW w:w="850" w:type="dxa"/>
            <w:noWrap/>
            <w:tcMar>
              <w:left w:w="57" w:type="dxa"/>
              <w:right w:w="57" w:type="dxa"/>
            </w:tcMar>
            <w:vAlign w:val="center"/>
          </w:tcPr>
          <w:p w:rsidR="00BF4753" w:rsidRPr="00BD2805" w:rsidRDefault="00BF4753" w:rsidP="002D7CA8">
            <w:pPr>
              <w:ind w:right="68" w:hanging="63"/>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2,5</w:t>
            </w:r>
          </w:p>
        </w:tc>
        <w:tc>
          <w:tcPr>
            <w:tcW w:w="709" w:type="dxa"/>
            <w:noWrap/>
            <w:tcMar>
              <w:left w:w="57" w:type="dxa"/>
              <w:right w:w="57" w:type="dxa"/>
            </w:tcMar>
            <w:vAlign w:val="center"/>
          </w:tcPr>
          <w:p w:rsidR="00BF4753" w:rsidRPr="00BD2805" w:rsidRDefault="00BF4753" w:rsidP="002D7CA8">
            <w:pPr>
              <w:ind w:right="68" w:hanging="194"/>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2,4</w:t>
            </w:r>
          </w:p>
        </w:tc>
        <w:tc>
          <w:tcPr>
            <w:tcW w:w="851" w:type="dxa"/>
            <w:tcBorders>
              <w:righ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2,4</w:t>
            </w:r>
          </w:p>
        </w:tc>
        <w:tc>
          <w:tcPr>
            <w:tcW w:w="708" w:type="dxa"/>
            <w:tcBorders>
              <w:lef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0,1</w:t>
            </w:r>
          </w:p>
        </w:tc>
        <w:tc>
          <w:tcPr>
            <w:tcW w:w="709" w:type="dxa"/>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0,1</w:t>
            </w:r>
          </w:p>
        </w:tc>
        <w:tc>
          <w:tcPr>
            <w:tcW w:w="922" w:type="dxa"/>
            <w:noWrap/>
            <w:tcMar>
              <w:left w:w="57" w:type="dxa"/>
              <w:right w:w="57" w:type="dxa"/>
            </w:tcMar>
            <w:vAlign w:val="center"/>
          </w:tcPr>
          <w:p w:rsidR="00BF4753" w:rsidRPr="00BD2805" w:rsidRDefault="00BF4753" w:rsidP="002D7CA8">
            <w:pPr>
              <w:ind w:right="68" w:hanging="201"/>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638" w:type="dxa"/>
            <w:noWrap/>
            <w:tcMar>
              <w:left w:w="57" w:type="dxa"/>
              <w:right w:w="57" w:type="dxa"/>
            </w:tcMar>
            <w:vAlign w:val="center"/>
          </w:tcPr>
          <w:p w:rsidR="00BF4753" w:rsidRPr="00BD2805" w:rsidRDefault="00BF4753" w:rsidP="002D7CA8">
            <w:pPr>
              <w:ind w:right="68" w:hanging="132"/>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r w:rsidR="00BF4753" w:rsidRPr="00BD2805" w:rsidTr="002D7CA8">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tcPr>
          <w:p w:rsidR="00BF4753" w:rsidRPr="00BD2805" w:rsidRDefault="00BF4753" w:rsidP="002D7CA8">
            <w:pPr>
              <w:spacing w:before="100" w:beforeAutospacing="1" w:after="100" w:afterAutospacing="1"/>
              <w:ind w:firstLine="0"/>
              <w:rPr>
                <w:rFonts w:cs="Times New Roman"/>
                <w:b w:val="0"/>
                <w:color w:val="auto"/>
                <w:sz w:val="20"/>
                <w:szCs w:val="20"/>
              </w:rPr>
            </w:pPr>
            <w:r w:rsidRPr="00BD2805">
              <w:rPr>
                <w:rFonts w:cs="Times New Roman"/>
                <w:b w:val="0"/>
                <w:color w:val="auto"/>
                <w:sz w:val="20"/>
                <w:szCs w:val="20"/>
              </w:rPr>
              <w:t>Kopējā pamatkapitāla veidošana, pieaugums salīdzināmās cenās, %</w:t>
            </w:r>
          </w:p>
        </w:tc>
        <w:tc>
          <w:tcPr>
            <w:tcW w:w="709" w:type="dxa"/>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5,5</w:t>
            </w:r>
          </w:p>
        </w:tc>
        <w:tc>
          <w:tcPr>
            <w:tcW w:w="850" w:type="dxa"/>
            <w:noWrap/>
            <w:tcMar>
              <w:left w:w="57" w:type="dxa"/>
              <w:right w:w="57" w:type="dxa"/>
            </w:tcMar>
            <w:vAlign w:val="center"/>
          </w:tcPr>
          <w:p w:rsidR="00BF4753" w:rsidRPr="00BD2805" w:rsidRDefault="00BF4753" w:rsidP="002D7CA8">
            <w:pPr>
              <w:ind w:right="68" w:hanging="63"/>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9,0</w:t>
            </w:r>
          </w:p>
        </w:tc>
        <w:tc>
          <w:tcPr>
            <w:tcW w:w="709" w:type="dxa"/>
            <w:noWrap/>
            <w:tcMar>
              <w:left w:w="57" w:type="dxa"/>
              <w:right w:w="57" w:type="dxa"/>
            </w:tcMar>
            <w:vAlign w:val="center"/>
          </w:tcPr>
          <w:p w:rsidR="00BF4753" w:rsidRPr="00BD2805" w:rsidRDefault="00BF4753" w:rsidP="002D7CA8">
            <w:pPr>
              <w:ind w:right="68" w:hanging="194"/>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2,5</w:t>
            </w:r>
          </w:p>
        </w:tc>
        <w:tc>
          <w:tcPr>
            <w:tcW w:w="851" w:type="dxa"/>
            <w:tcBorders>
              <w:righ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2,5</w:t>
            </w:r>
          </w:p>
        </w:tc>
        <w:tc>
          <w:tcPr>
            <w:tcW w:w="708" w:type="dxa"/>
            <w:tcBorders>
              <w:lef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1,4</w:t>
            </w:r>
          </w:p>
        </w:tc>
        <w:tc>
          <w:tcPr>
            <w:tcW w:w="709" w:type="dxa"/>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1,4</w:t>
            </w:r>
          </w:p>
        </w:tc>
        <w:tc>
          <w:tcPr>
            <w:tcW w:w="922" w:type="dxa"/>
            <w:noWrap/>
            <w:tcMar>
              <w:left w:w="57" w:type="dxa"/>
              <w:right w:w="57" w:type="dxa"/>
            </w:tcMar>
            <w:vAlign w:val="center"/>
          </w:tcPr>
          <w:p w:rsidR="00BF4753" w:rsidRPr="00BD2805" w:rsidRDefault="00BF4753" w:rsidP="002D7CA8">
            <w:pPr>
              <w:ind w:right="68" w:hanging="201"/>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638" w:type="dxa"/>
            <w:noWrap/>
            <w:tcMar>
              <w:left w:w="57" w:type="dxa"/>
              <w:right w:w="57" w:type="dxa"/>
            </w:tcMar>
            <w:vAlign w:val="center"/>
          </w:tcPr>
          <w:p w:rsidR="00BF4753" w:rsidRPr="00BD2805" w:rsidRDefault="00BF4753" w:rsidP="002D7CA8">
            <w:pPr>
              <w:ind w:right="68" w:hanging="132"/>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r w:rsidR="00BF4753" w:rsidRPr="00BD2805" w:rsidTr="002D7CA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tcPr>
          <w:p w:rsidR="00BF4753" w:rsidRPr="00BD2805" w:rsidRDefault="00BF4753" w:rsidP="002D7CA8">
            <w:pPr>
              <w:spacing w:before="100" w:beforeAutospacing="1" w:after="100" w:afterAutospacing="1"/>
              <w:ind w:firstLine="0"/>
              <w:rPr>
                <w:rFonts w:cs="Times New Roman"/>
                <w:b w:val="0"/>
                <w:color w:val="auto"/>
                <w:sz w:val="20"/>
                <w:szCs w:val="20"/>
              </w:rPr>
            </w:pPr>
            <w:r w:rsidRPr="00BD2805">
              <w:rPr>
                <w:rFonts w:cs="Times New Roman"/>
                <w:b w:val="0"/>
                <w:color w:val="auto"/>
                <w:sz w:val="20"/>
                <w:szCs w:val="20"/>
              </w:rPr>
              <w:t>Preču un pakalpojumu eksports, pieaugums salīdzināmās cenās, %</w:t>
            </w:r>
          </w:p>
        </w:tc>
        <w:tc>
          <w:tcPr>
            <w:tcW w:w="709" w:type="dxa"/>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4,5</w:t>
            </w:r>
          </w:p>
        </w:tc>
        <w:tc>
          <w:tcPr>
            <w:tcW w:w="850" w:type="dxa"/>
            <w:noWrap/>
            <w:tcMar>
              <w:left w:w="57" w:type="dxa"/>
              <w:right w:w="57" w:type="dxa"/>
            </w:tcMar>
            <w:vAlign w:val="center"/>
          </w:tcPr>
          <w:p w:rsidR="00BF4753" w:rsidRPr="00BD2805" w:rsidRDefault="00BF4753" w:rsidP="002D7CA8">
            <w:pPr>
              <w:ind w:right="68" w:hanging="63"/>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4,7</w:t>
            </w:r>
          </w:p>
        </w:tc>
        <w:tc>
          <w:tcPr>
            <w:tcW w:w="709" w:type="dxa"/>
            <w:noWrap/>
            <w:tcMar>
              <w:left w:w="57" w:type="dxa"/>
              <w:right w:w="57" w:type="dxa"/>
            </w:tcMar>
            <w:vAlign w:val="center"/>
          </w:tcPr>
          <w:p w:rsidR="00BF4753" w:rsidRPr="00BD2805" w:rsidRDefault="00BF4753" w:rsidP="002D7CA8">
            <w:pPr>
              <w:ind w:right="68" w:hanging="194"/>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4,0</w:t>
            </w:r>
          </w:p>
        </w:tc>
        <w:tc>
          <w:tcPr>
            <w:tcW w:w="851" w:type="dxa"/>
            <w:tcBorders>
              <w:righ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4,0</w:t>
            </w:r>
          </w:p>
        </w:tc>
        <w:tc>
          <w:tcPr>
            <w:tcW w:w="708" w:type="dxa"/>
            <w:tcBorders>
              <w:lef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0,2</w:t>
            </w:r>
          </w:p>
        </w:tc>
        <w:tc>
          <w:tcPr>
            <w:tcW w:w="709" w:type="dxa"/>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922" w:type="dxa"/>
            <w:noWrap/>
            <w:tcMar>
              <w:left w:w="57" w:type="dxa"/>
              <w:right w:w="57" w:type="dxa"/>
            </w:tcMar>
            <w:vAlign w:val="center"/>
          </w:tcPr>
          <w:p w:rsidR="00BF4753" w:rsidRPr="00BD2805" w:rsidRDefault="00BF4753" w:rsidP="002D7CA8">
            <w:pPr>
              <w:ind w:right="68" w:hanging="201"/>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638" w:type="dxa"/>
            <w:noWrap/>
            <w:tcMar>
              <w:left w:w="57" w:type="dxa"/>
              <w:right w:w="57" w:type="dxa"/>
            </w:tcMar>
            <w:vAlign w:val="center"/>
          </w:tcPr>
          <w:p w:rsidR="00BF4753" w:rsidRPr="00BD2805" w:rsidRDefault="00BF4753" w:rsidP="002D7CA8">
            <w:pPr>
              <w:ind w:right="68" w:hanging="132"/>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r w:rsidR="00BF4753" w:rsidRPr="00BD2805" w:rsidTr="002D7CA8">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tcPr>
          <w:p w:rsidR="00BF4753" w:rsidRPr="00BD2805" w:rsidRDefault="00BF4753" w:rsidP="002D7CA8">
            <w:pPr>
              <w:spacing w:before="100" w:beforeAutospacing="1" w:after="100" w:afterAutospacing="1"/>
              <w:ind w:firstLine="0"/>
              <w:rPr>
                <w:rFonts w:cs="Times New Roman"/>
                <w:b w:val="0"/>
                <w:color w:val="auto"/>
                <w:sz w:val="20"/>
                <w:szCs w:val="20"/>
              </w:rPr>
            </w:pPr>
            <w:r w:rsidRPr="00BD2805">
              <w:rPr>
                <w:rFonts w:cs="Times New Roman"/>
                <w:b w:val="0"/>
                <w:color w:val="auto"/>
                <w:sz w:val="20"/>
                <w:szCs w:val="20"/>
              </w:rPr>
              <w:t>Preču un pakalpojumu imports, pieaugums salīdzināmās cenās, %</w:t>
            </w:r>
          </w:p>
        </w:tc>
        <w:tc>
          <w:tcPr>
            <w:tcW w:w="709" w:type="dxa"/>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4,9</w:t>
            </w:r>
          </w:p>
        </w:tc>
        <w:tc>
          <w:tcPr>
            <w:tcW w:w="850" w:type="dxa"/>
            <w:noWrap/>
            <w:tcMar>
              <w:left w:w="57" w:type="dxa"/>
              <w:right w:w="57" w:type="dxa"/>
            </w:tcMar>
            <w:vAlign w:val="center"/>
          </w:tcPr>
          <w:p w:rsidR="00BF4753" w:rsidRPr="00BD2805" w:rsidRDefault="00BF4753" w:rsidP="002D7CA8">
            <w:pPr>
              <w:ind w:right="68" w:hanging="63"/>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5,4</w:t>
            </w:r>
          </w:p>
        </w:tc>
        <w:tc>
          <w:tcPr>
            <w:tcW w:w="709" w:type="dxa"/>
            <w:noWrap/>
            <w:tcMar>
              <w:left w:w="57" w:type="dxa"/>
              <w:right w:w="57" w:type="dxa"/>
            </w:tcMar>
            <w:vAlign w:val="center"/>
          </w:tcPr>
          <w:p w:rsidR="00BF4753" w:rsidRPr="00BD2805" w:rsidRDefault="00BF4753" w:rsidP="002D7CA8">
            <w:pPr>
              <w:ind w:right="68" w:hanging="194"/>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4,0</w:t>
            </w:r>
          </w:p>
        </w:tc>
        <w:tc>
          <w:tcPr>
            <w:tcW w:w="851" w:type="dxa"/>
            <w:tcBorders>
              <w:righ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5,0</w:t>
            </w:r>
          </w:p>
        </w:tc>
        <w:tc>
          <w:tcPr>
            <w:tcW w:w="708" w:type="dxa"/>
            <w:tcBorders>
              <w:lef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709" w:type="dxa"/>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922" w:type="dxa"/>
            <w:noWrap/>
            <w:tcMar>
              <w:left w:w="57" w:type="dxa"/>
              <w:right w:w="57" w:type="dxa"/>
            </w:tcMar>
            <w:vAlign w:val="center"/>
          </w:tcPr>
          <w:p w:rsidR="00BF4753" w:rsidRPr="00BD2805" w:rsidRDefault="00BF4753" w:rsidP="002D7CA8">
            <w:pPr>
              <w:ind w:right="68" w:hanging="201"/>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638" w:type="dxa"/>
            <w:noWrap/>
            <w:tcMar>
              <w:left w:w="57" w:type="dxa"/>
              <w:right w:w="57" w:type="dxa"/>
            </w:tcMar>
            <w:vAlign w:val="center"/>
          </w:tcPr>
          <w:p w:rsidR="00BF4753" w:rsidRPr="00BD2805" w:rsidRDefault="00BF4753" w:rsidP="002D7CA8">
            <w:pPr>
              <w:ind w:right="68" w:hanging="132"/>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r w:rsidR="00BF4753" w:rsidRPr="00BD2805" w:rsidTr="002D7CA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rsidR="00BF4753" w:rsidRPr="00BD2805" w:rsidRDefault="00BF4753" w:rsidP="002D7CA8">
            <w:pPr>
              <w:spacing w:before="100" w:beforeAutospacing="1" w:after="100" w:afterAutospacing="1"/>
              <w:ind w:firstLine="0"/>
              <w:rPr>
                <w:rFonts w:cs="Times New Roman"/>
                <w:b w:val="0"/>
                <w:color w:val="auto"/>
                <w:sz w:val="20"/>
                <w:szCs w:val="20"/>
              </w:rPr>
            </w:pPr>
            <w:r w:rsidRPr="00BD2805">
              <w:rPr>
                <w:rFonts w:cs="Times New Roman"/>
                <w:b w:val="0"/>
                <w:color w:val="auto"/>
                <w:sz w:val="20"/>
                <w:szCs w:val="20"/>
              </w:rPr>
              <w:t>Vidējās darba samaksas tautsaimniecībā pieaugums faktiskajās cenās, %</w:t>
            </w:r>
          </w:p>
        </w:tc>
        <w:tc>
          <w:tcPr>
            <w:tcW w:w="709" w:type="dxa"/>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4,5</w:t>
            </w:r>
          </w:p>
        </w:tc>
        <w:tc>
          <w:tcPr>
            <w:tcW w:w="850" w:type="dxa"/>
            <w:noWrap/>
            <w:tcMar>
              <w:left w:w="57" w:type="dxa"/>
              <w:right w:w="57" w:type="dxa"/>
            </w:tcMar>
            <w:vAlign w:val="center"/>
          </w:tcPr>
          <w:p w:rsidR="00BF4753" w:rsidRPr="00BD2805" w:rsidRDefault="00BF4753" w:rsidP="002D7CA8">
            <w:pPr>
              <w:ind w:right="68" w:hanging="63"/>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5,5</w:t>
            </w:r>
          </w:p>
        </w:tc>
        <w:tc>
          <w:tcPr>
            <w:tcW w:w="709" w:type="dxa"/>
            <w:noWrap/>
            <w:tcMar>
              <w:left w:w="57" w:type="dxa"/>
              <w:right w:w="57" w:type="dxa"/>
            </w:tcMar>
            <w:vAlign w:val="center"/>
          </w:tcPr>
          <w:p w:rsidR="00BF4753" w:rsidRPr="00BD2805" w:rsidRDefault="00BF4753" w:rsidP="002D7CA8">
            <w:pPr>
              <w:ind w:right="68" w:hanging="194"/>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5,0</w:t>
            </w:r>
          </w:p>
        </w:tc>
        <w:tc>
          <w:tcPr>
            <w:tcW w:w="851" w:type="dxa"/>
            <w:tcBorders>
              <w:righ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5,0</w:t>
            </w:r>
          </w:p>
        </w:tc>
        <w:tc>
          <w:tcPr>
            <w:tcW w:w="708" w:type="dxa"/>
            <w:tcBorders>
              <w:lef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709" w:type="dxa"/>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0,5</w:t>
            </w:r>
          </w:p>
        </w:tc>
        <w:tc>
          <w:tcPr>
            <w:tcW w:w="922" w:type="dxa"/>
            <w:noWrap/>
            <w:tcMar>
              <w:left w:w="57" w:type="dxa"/>
              <w:right w:w="57" w:type="dxa"/>
            </w:tcMar>
            <w:vAlign w:val="center"/>
          </w:tcPr>
          <w:p w:rsidR="00BF4753" w:rsidRPr="00BD2805" w:rsidRDefault="00BF4753" w:rsidP="002D7CA8">
            <w:pPr>
              <w:ind w:right="68" w:hanging="201"/>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0,5</w:t>
            </w:r>
          </w:p>
        </w:tc>
        <w:tc>
          <w:tcPr>
            <w:tcW w:w="638" w:type="dxa"/>
            <w:noWrap/>
            <w:tcMar>
              <w:left w:w="57" w:type="dxa"/>
              <w:right w:w="57" w:type="dxa"/>
            </w:tcMar>
            <w:vAlign w:val="center"/>
          </w:tcPr>
          <w:p w:rsidR="00BF4753" w:rsidRPr="00BD2805" w:rsidRDefault="00BF4753" w:rsidP="002D7CA8">
            <w:pPr>
              <w:ind w:right="68" w:hanging="132"/>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r w:rsidR="00BF4753" w:rsidRPr="00BD2805" w:rsidTr="002D7CA8">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rsidR="00BF4753" w:rsidRPr="00BD2805" w:rsidRDefault="00BF4753" w:rsidP="002D7CA8">
            <w:pPr>
              <w:spacing w:before="100" w:beforeAutospacing="1" w:after="100" w:afterAutospacing="1"/>
              <w:ind w:firstLine="0"/>
              <w:rPr>
                <w:rFonts w:cs="Times New Roman"/>
                <w:b w:val="0"/>
                <w:color w:val="auto"/>
                <w:sz w:val="20"/>
                <w:szCs w:val="20"/>
              </w:rPr>
            </w:pPr>
            <w:r w:rsidRPr="00BD2805">
              <w:rPr>
                <w:rFonts w:cs="Times New Roman"/>
                <w:b w:val="0"/>
                <w:color w:val="auto"/>
                <w:sz w:val="20"/>
                <w:szCs w:val="20"/>
              </w:rPr>
              <w:t>Nodarbinātības pieaugums, %</w:t>
            </w:r>
          </w:p>
        </w:tc>
        <w:tc>
          <w:tcPr>
            <w:tcW w:w="709" w:type="dxa"/>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-0,2</w:t>
            </w:r>
          </w:p>
        </w:tc>
        <w:tc>
          <w:tcPr>
            <w:tcW w:w="850" w:type="dxa"/>
            <w:noWrap/>
            <w:tcMar>
              <w:left w:w="57" w:type="dxa"/>
              <w:right w:w="57" w:type="dxa"/>
            </w:tcMar>
            <w:vAlign w:val="center"/>
          </w:tcPr>
          <w:p w:rsidR="00BF4753" w:rsidRPr="00BD2805" w:rsidRDefault="00BF4753" w:rsidP="002D7CA8">
            <w:pPr>
              <w:ind w:right="68" w:hanging="63"/>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1,5</w:t>
            </w:r>
          </w:p>
        </w:tc>
        <w:tc>
          <w:tcPr>
            <w:tcW w:w="709" w:type="dxa"/>
            <w:noWrap/>
            <w:tcMar>
              <w:left w:w="57" w:type="dxa"/>
              <w:right w:w="57" w:type="dxa"/>
            </w:tcMar>
            <w:vAlign w:val="center"/>
          </w:tcPr>
          <w:p w:rsidR="00BF4753" w:rsidRPr="00BD2805" w:rsidRDefault="00BF4753" w:rsidP="002D7CA8">
            <w:pPr>
              <w:ind w:right="68" w:hanging="194"/>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0,3</w:t>
            </w:r>
          </w:p>
        </w:tc>
        <w:tc>
          <w:tcPr>
            <w:tcW w:w="851" w:type="dxa"/>
            <w:tcBorders>
              <w:righ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708" w:type="dxa"/>
            <w:tcBorders>
              <w:lef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709" w:type="dxa"/>
            <w:noWrap/>
            <w:tcMar>
              <w:left w:w="57" w:type="dxa"/>
              <w:right w:w="57" w:type="dxa"/>
            </w:tcMar>
            <w:vAlign w:val="center"/>
          </w:tcPr>
          <w:p w:rsidR="00BF4753" w:rsidRPr="00BD2805" w:rsidRDefault="00BF4753" w:rsidP="002D7CA8">
            <w:pPr>
              <w:ind w:right="68"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0,2</w:t>
            </w:r>
          </w:p>
        </w:tc>
        <w:tc>
          <w:tcPr>
            <w:tcW w:w="922" w:type="dxa"/>
            <w:noWrap/>
            <w:tcMar>
              <w:left w:w="57" w:type="dxa"/>
              <w:right w:w="57" w:type="dxa"/>
            </w:tcMar>
            <w:vAlign w:val="center"/>
          </w:tcPr>
          <w:p w:rsidR="00BF4753" w:rsidRPr="00BD2805" w:rsidRDefault="00BF4753" w:rsidP="002D7CA8">
            <w:pPr>
              <w:ind w:right="68" w:hanging="201"/>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0,5</w:t>
            </w:r>
          </w:p>
        </w:tc>
        <w:tc>
          <w:tcPr>
            <w:tcW w:w="638" w:type="dxa"/>
            <w:noWrap/>
            <w:tcMar>
              <w:left w:w="57" w:type="dxa"/>
              <w:right w:w="57" w:type="dxa"/>
            </w:tcMar>
            <w:vAlign w:val="center"/>
          </w:tcPr>
          <w:p w:rsidR="00BF4753" w:rsidRPr="00BD2805" w:rsidRDefault="00BF4753" w:rsidP="002D7CA8">
            <w:pPr>
              <w:ind w:right="68" w:hanging="132"/>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r w:rsidR="00BF4753" w:rsidRPr="00BD2805" w:rsidTr="002D7CA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tcPr>
          <w:p w:rsidR="00BF4753" w:rsidRPr="00BD2805" w:rsidRDefault="00BF4753" w:rsidP="002D7CA8">
            <w:pPr>
              <w:spacing w:before="100" w:beforeAutospacing="1" w:after="100" w:afterAutospacing="1"/>
              <w:ind w:firstLine="0"/>
              <w:rPr>
                <w:rFonts w:cs="Times New Roman"/>
                <w:b w:val="0"/>
                <w:color w:val="auto"/>
                <w:sz w:val="20"/>
                <w:szCs w:val="20"/>
              </w:rPr>
            </w:pPr>
            <w:r w:rsidRPr="00BD2805">
              <w:rPr>
                <w:rFonts w:cs="Times New Roman"/>
                <w:b w:val="0"/>
                <w:color w:val="auto"/>
                <w:sz w:val="20"/>
                <w:szCs w:val="20"/>
              </w:rPr>
              <w:t>Bezdarba līmenis, %</w:t>
            </w:r>
          </w:p>
        </w:tc>
        <w:tc>
          <w:tcPr>
            <w:tcW w:w="709" w:type="dxa"/>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8,2</w:t>
            </w:r>
          </w:p>
        </w:tc>
        <w:tc>
          <w:tcPr>
            <w:tcW w:w="850" w:type="dxa"/>
            <w:noWrap/>
            <w:tcMar>
              <w:left w:w="57" w:type="dxa"/>
              <w:right w:w="57" w:type="dxa"/>
            </w:tcMar>
            <w:vAlign w:val="center"/>
          </w:tcPr>
          <w:p w:rsidR="00BF4753" w:rsidRPr="00BD2805" w:rsidRDefault="00BF4753" w:rsidP="002D7CA8">
            <w:pPr>
              <w:ind w:right="68" w:hanging="63"/>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6,5</w:t>
            </w:r>
          </w:p>
        </w:tc>
        <w:tc>
          <w:tcPr>
            <w:tcW w:w="709" w:type="dxa"/>
            <w:noWrap/>
            <w:tcMar>
              <w:left w:w="57" w:type="dxa"/>
              <w:right w:w="57" w:type="dxa"/>
            </w:tcMar>
            <w:vAlign w:val="center"/>
          </w:tcPr>
          <w:p w:rsidR="00BF4753" w:rsidRPr="00BD2805" w:rsidRDefault="00BF4753" w:rsidP="002D7CA8">
            <w:pPr>
              <w:ind w:right="68" w:hanging="194"/>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5,7</w:t>
            </w:r>
          </w:p>
        </w:tc>
        <w:tc>
          <w:tcPr>
            <w:tcW w:w="851" w:type="dxa"/>
            <w:tcBorders>
              <w:righ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5,3</w:t>
            </w:r>
          </w:p>
        </w:tc>
        <w:tc>
          <w:tcPr>
            <w:tcW w:w="708" w:type="dxa"/>
            <w:tcBorders>
              <w:left w:val="double" w:sz="4" w:space="0" w:color="9CC2E5" w:themeColor="accent1" w:themeTint="99"/>
            </w:tcBorders>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709" w:type="dxa"/>
            <w:noWrap/>
            <w:tcMar>
              <w:left w:w="57" w:type="dxa"/>
              <w:right w:w="57" w:type="dxa"/>
            </w:tcMar>
            <w:vAlign w:val="center"/>
          </w:tcPr>
          <w:p w:rsidR="00BF4753" w:rsidRPr="00BD2805" w:rsidRDefault="00BF4753" w:rsidP="002D7CA8">
            <w:pPr>
              <w:ind w:right="68"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-0,1</w:t>
            </w:r>
          </w:p>
        </w:tc>
        <w:tc>
          <w:tcPr>
            <w:tcW w:w="922" w:type="dxa"/>
            <w:noWrap/>
            <w:tcMar>
              <w:left w:w="57" w:type="dxa"/>
              <w:right w:w="57" w:type="dxa"/>
            </w:tcMar>
            <w:vAlign w:val="center"/>
          </w:tcPr>
          <w:p w:rsidR="00BF4753" w:rsidRPr="00BD2805" w:rsidRDefault="00BF4753" w:rsidP="002D7CA8">
            <w:pPr>
              <w:ind w:right="68" w:hanging="201"/>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-0,6</w:t>
            </w:r>
          </w:p>
        </w:tc>
        <w:tc>
          <w:tcPr>
            <w:tcW w:w="638" w:type="dxa"/>
            <w:noWrap/>
            <w:tcMar>
              <w:left w:w="57" w:type="dxa"/>
              <w:right w:w="57" w:type="dxa"/>
            </w:tcMar>
            <w:vAlign w:val="center"/>
          </w:tcPr>
          <w:p w:rsidR="00BF4753" w:rsidRPr="00BD2805" w:rsidRDefault="00BF4753" w:rsidP="002D7CA8">
            <w:pPr>
              <w:ind w:right="68" w:hanging="132"/>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-0,6</w:t>
            </w:r>
          </w:p>
        </w:tc>
      </w:tr>
    </w:tbl>
    <w:p w:rsidR="00BF4753" w:rsidRPr="00BD2805" w:rsidRDefault="00BF4753" w:rsidP="00BF4753">
      <w:pPr>
        <w:autoSpaceDE w:val="0"/>
        <w:autoSpaceDN w:val="0"/>
        <w:adjustRightInd w:val="0"/>
        <w:rPr>
          <w:rFonts w:eastAsia="Times New Roman" w:cs="Times New Roman"/>
          <w:lang w:eastAsia="lv-LV"/>
        </w:rPr>
      </w:pPr>
    </w:p>
    <w:p w:rsidR="002C3840" w:rsidRDefault="002C3840" w:rsidP="00BF4753">
      <w:pPr>
        <w:autoSpaceDE w:val="0"/>
        <w:autoSpaceDN w:val="0"/>
        <w:adjustRightInd w:val="0"/>
        <w:spacing w:after="120"/>
        <w:rPr>
          <w:rFonts w:eastAsia="Times New Roman" w:cs="Times New Roman"/>
          <w:b/>
          <w:szCs w:val="24"/>
          <w:lang w:eastAsia="lv-LV"/>
        </w:rPr>
      </w:pPr>
      <w:r w:rsidRPr="002C3840">
        <w:rPr>
          <w:rFonts w:eastAsia="Times New Roman" w:cs="Times New Roman"/>
          <w:b/>
          <w:szCs w:val="24"/>
          <w:lang w:eastAsia="lv-LV"/>
        </w:rPr>
        <w:t>Ietekme uz vispārējās valdības budžetu</w:t>
      </w:r>
    </w:p>
    <w:p w:rsidR="00BF4753" w:rsidRDefault="00BF4753" w:rsidP="00BF4753">
      <w:pPr>
        <w:autoSpaceDE w:val="0"/>
        <w:autoSpaceDN w:val="0"/>
        <w:adjustRightInd w:val="0"/>
        <w:spacing w:after="120"/>
        <w:rPr>
          <w:rFonts w:eastAsia="Times New Roman" w:cs="Times New Roman"/>
          <w:color w:val="000000"/>
          <w:szCs w:val="24"/>
          <w:lang w:eastAsia="lv-LV"/>
        </w:rPr>
      </w:pPr>
      <w:r w:rsidRPr="00F57E72">
        <w:rPr>
          <w:rFonts w:eastAsia="Times New Roman" w:cs="Times New Roman"/>
          <w:color w:val="000000"/>
          <w:szCs w:val="24"/>
          <w:lang w:eastAsia="lv-LV"/>
        </w:rPr>
        <w:t>Īstenojoties optimistiskajam scenārijam</w:t>
      </w:r>
      <w:r>
        <w:rPr>
          <w:rFonts w:eastAsia="Times New Roman" w:cs="Times New Roman"/>
          <w:color w:val="000000"/>
          <w:szCs w:val="24"/>
          <w:lang w:eastAsia="lv-LV"/>
        </w:rPr>
        <w:t>, kurā palielinās nodokļu un ne</w:t>
      </w:r>
      <w:r w:rsidRPr="00F57E72">
        <w:rPr>
          <w:rFonts w:eastAsia="Times New Roman" w:cs="Times New Roman"/>
          <w:color w:val="000000"/>
          <w:szCs w:val="24"/>
          <w:lang w:eastAsia="lv-LV"/>
        </w:rPr>
        <w:t xml:space="preserve">nodokļu ieņēmumi, kā arī samazinās procentu izdevumi, vispārējās valdības budžeta bilance uzlabotos. Salīdzinājumā ar bāzes scenāriju optimistiskā scenārija gadījumā vispārējās valdības deficīts 2021. gadā samazinātos par 99,5 milj. </w:t>
      </w:r>
      <w:r w:rsidRPr="00F57E72">
        <w:rPr>
          <w:rFonts w:eastAsia="Times New Roman" w:cs="Times New Roman"/>
          <w:i/>
          <w:color w:val="000000"/>
          <w:szCs w:val="24"/>
          <w:lang w:eastAsia="lv-LV"/>
        </w:rPr>
        <w:t>euro</w:t>
      </w:r>
      <w:r w:rsidRPr="00F57E72">
        <w:rPr>
          <w:rFonts w:eastAsia="Times New Roman" w:cs="Times New Roman"/>
          <w:color w:val="000000"/>
          <w:szCs w:val="24"/>
          <w:lang w:eastAsia="lv-LV"/>
        </w:rPr>
        <w:t xml:space="preserve"> jeb 0,4 procentpunktiem</w:t>
      </w:r>
      <w:r>
        <w:rPr>
          <w:rFonts w:eastAsia="Times New Roman" w:cs="Times New Roman"/>
          <w:color w:val="000000"/>
          <w:szCs w:val="24"/>
          <w:lang w:eastAsia="lv-LV"/>
        </w:rPr>
        <w:t xml:space="preserve"> no iekšzemes kopprodukta</w:t>
      </w:r>
      <w:r w:rsidRPr="00F57E72">
        <w:rPr>
          <w:rFonts w:eastAsia="Times New Roman" w:cs="Times New Roman"/>
          <w:color w:val="000000"/>
          <w:szCs w:val="24"/>
          <w:lang w:eastAsia="lv-LV"/>
        </w:rPr>
        <w:t xml:space="preserve">. Savukārt 2022., 2023. un 2024. gadā vispārējās valdības bilance uzlabotos attiecīgi par 0,6 (par 174,9 milj. </w:t>
      </w:r>
      <w:r w:rsidRPr="00F57E72">
        <w:rPr>
          <w:rFonts w:eastAsia="Times New Roman" w:cs="Times New Roman"/>
          <w:i/>
          <w:color w:val="000000"/>
          <w:szCs w:val="24"/>
          <w:lang w:eastAsia="lv-LV"/>
        </w:rPr>
        <w:t>euro</w:t>
      </w:r>
      <w:r w:rsidRPr="00F57E72">
        <w:rPr>
          <w:rFonts w:eastAsia="Times New Roman" w:cs="Times New Roman"/>
          <w:color w:val="000000"/>
          <w:szCs w:val="24"/>
          <w:lang w:eastAsia="lv-LV"/>
        </w:rPr>
        <w:t xml:space="preserve">), 0,6 (186,6 milj. </w:t>
      </w:r>
      <w:r w:rsidRPr="00F57E72">
        <w:rPr>
          <w:rFonts w:eastAsia="Times New Roman" w:cs="Times New Roman"/>
          <w:i/>
          <w:color w:val="000000"/>
          <w:szCs w:val="24"/>
          <w:lang w:eastAsia="lv-LV"/>
        </w:rPr>
        <w:t>euro</w:t>
      </w:r>
      <w:r w:rsidRPr="00F57E72">
        <w:rPr>
          <w:rFonts w:eastAsia="Times New Roman" w:cs="Times New Roman"/>
          <w:color w:val="000000"/>
          <w:szCs w:val="24"/>
          <w:lang w:eastAsia="lv-LV"/>
        </w:rPr>
        <w:t xml:space="preserve">) un 0,5 (196,4 milj. </w:t>
      </w:r>
      <w:r w:rsidRPr="00F57E72">
        <w:rPr>
          <w:rFonts w:eastAsia="Times New Roman" w:cs="Times New Roman"/>
          <w:i/>
          <w:color w:val="000000"/>
          <w:szCs w:val="24"/>
          <w:lang w:eastAsia="lv-LV"/>
        </w:rPr>
        <w:t>euro</w:t>
      </w:r>
      <w:r w:rsidRPr="00F57E72">
        <w:rPr>
          <w:rFonts w:eastAsia="Times New Roman" w:cs="Times New Roman"/>
          <w:color w:val="000000"/>
          <w:szCs w:val="24"/>
          <w:lang w:eastAsia="lv-LV"/>
        </w:rPr>
        <w:t xml:space="preserve">) procentpunktiem no </w:t>
      </w:r>
      <w:r>
        <w:rPr>
          <w:rFonts w:eastAsia="Times New Roman" w:cs="Times New Roman"/>
          <w:color w:val="000000"/>
          <w:szCs w:val="24"/>
          <w:lang w:eastAsia="lv-LV"/>
        </w:rPr>
        <w:t>iekšzemes kopprodukta</w:t>
      </w:r>
      <w:r w:rsidRPr="00F57E72">
        <w:rPr>
          <w:rFonts w:eastAsia="Times New Roman" w:cs="Times New Roman"/>
          <w:color w:val="000000"/>
          <w:szCs w:val="24"/>
          <w:lang w:eastAsia="lv-LV"/>
        </w:rPr>
        <w:t xml:space="preserve"> salīdzinājumā ar bāzes scenāriju. Bilances uzlabošanos ietekmēs lielāki nodokļu ieņēmumi, salīdzinājumā ar bāzes sce</w:t>
      </w:r>
      <w:r>
        <w:rPr>
          <w:rFonts w:eastAsia="Times New Roman" w:cs="Times New Roman"/>
          <w:color w:val="000000"/>
          <w:szCs w:val="24"/>
          <w:lang w:eastAsia="lv-LV"/>
        </w:rPr>
        <w:t>nāriju, pamatā palielinoties pievienotās vērtības nodokļa un valsts sociālās apdrošināšanas obligāto iemaksu</w:t>
      </w:r>
      <w:r w:rsidRPr="00F57E72">
        <w:rPr>
          <w:rFonts w:eastAsia="Times New Roman" w:cs="Times New Roman"/>
          <w:color w:val="000000"/>
          <w:szCs w:val="24"/>
          <w:lang w:eastAsia="lv-LV"/>
        </w:rPr>
        <w:t xml:space="preserve"> ieņēmumiem. </w:t>
      </w:r>
    </w:p>
    <w:p w:rsidR="00BF4753" w:rsidRDefault="00BF4753" w:rsidP="00BF4753">
      <w:pPr>
        <w:autoSpaceDE w:val="0"/>
        <w:autoSpaceDN w:val="0"/>
        <w:adjustRightInd w:val="0"/>
        <w:spacing w:after="120"/>
        <w:rPr>
          <w:rFonts w:eastAsia="Times New Roman" w:cs="Times New Roman"/>
          <w:color w:val="000000"/>
          <w:szCs w:val="24"/>
          <w:lang w:eastAsia="lv-LV"/>
        </w:rPr>
      </w:pPr>
    </w:p>
    <w:p w:rsidR="00BF4753" w:rsidRDefault="00BF4753" w:rsidP="00BF4753">
      <w:pPr>
        <w:autoSpaceDE w:val="0"/>
        <w:autoSpaceDN w:val="0"/>
        <w:adjustRightInd w:val="0"/>
        <w:spacing w:after="120"/>
        <w:rPr>
          <w:rFonts w:eastAsia="Times New Roman" w:cs="Times New Roman"/>
          <w:color w:val="000000"/>
          <w:szCs w:val="24"/>
          <w:lang w:eastAsia="lv-LV"/>
        </w:rPr>
      </w:pPr>
    </w:p>
    <w:p w:rsidR="00BB526F" w:rsidRDefault="00BB526F" w:rsidP="00BF4753">
      <w:pPr>
        <w:autoSpaceDE w:val="0"/>
        <w:autoSpaceDN w:val="0"/>
        <w:adjustRightInd w:val="0"/>
        <w:spacing w:after="120"/>
        <w:rPr>
          <w:rFonts w:eastAsia="Times New Roman" w:cs="Times New Roman"/>
          <w:color w:val="000000"/>
          <w:szCs w:val="24"/>
          <w:lang w:eastAsia="lv-LV"/>
        </w:rPr>
      </w:pPr>
    </w:p>
    <w:p w:rsidR="00BF4753" w:rsidRPr="00F57E72" w:rsidRDefault="00BF4753" w:rsidP="00BF4753">
      <w:pPr>
        <w:autoSpaceDE w:val="0"/>
        <w:autoSpaceDN w:val="0"/>
        <w:adjustRightInd w:val="0"/>
        <w:spacing w:after="120"/>
        <w:rPr>
          <w:rFonts w:eastAsia="Times New Roman" w:cs="Times New Roman"/>
          <w:color w:val="000000"/>
          <w:szCs w:val="24"/>
          <w:highlight w:val="yellow"/>
          <w:lang w:eastAsia="lv-LV"/>
        </w:rPr>
      </w:pPr>
    </w:p>
    <w:p w:rsidR="00BB526F" w:rsidRDefault="00BB526F" w:rsidP="00BF4753">
      <w:pPr>
        <w:spacing w:before="120" w:after="60"/>
        <w:jc w:val="right"/>
        <w:rPr>
          <w:rFonts w:cs="Times New Roman"/>
          <w:b/>
          <w:i/>
          <w:sz w:val="24"/>
          <w:szCs w:val="24"/>
        </w:rPr>
      </w:pPr>
    </w:p>
    <w:p w:rsidR="00BF4753" w:rsidRPr="00F57E72" w:rsidRDefault="00BF4753" w:rsidP="00BF4753">
      <w:pPr>
        <w:spacing w:before="120" w:after="60"/>
        <w:jc w:val="right"/>
        <w:rPr>
          <w:rFonts w:cs="Times New Roman"/>
          <w:b/>
          <w:i/>
          <w:sz w:val="24"/>
          <w:szCs w:val="24"/>
        </w:rPr>
      </w:pPr>
      <w:r>
        <w:rPr>
          <w:rFonts w:cs="Times New Roman"/>
          <w:b/>
          <w:i/>
          <w:sz w:val="24"/>
          <w:szCs w:val="24"/>
        </w:rPr>
        <w:t>4.2</w:t>
      </w:r>
      <w:r w:rsidRPr="00F57E72">
        <w:rPr>
          <w:rFonts w:cs="Times New Roman"/>
          <w:b/>
          <w:i/>
          <w:sz w:val="24"/>
          <w:szCs w:val="24"/>
        </w:rPr>
        <w:t>.</w:t>
      </w:r>
      <w:r>
        <w:rPr>
          <w:rFonts w:cs="Times New Roman"/>
          <w:b/>
          <w:i/>
          <w:sz w:val="24"/>
          <w:szCs w:val="24"/>
        </w:rPr>
        <w:t xml:space="preserve"> </w:t>
      </w:r>
      <w:r w:rsidRPr="00F57E72">
        <w:rPr>
          <w:rFonts w:cs="Times New Roman"/>
          <w:b/>
          <w:i/>
          <w:sz w:val="24"/>
          <w:szCs w:val="24"/>
        </w:rPr>
        <w:t xml:space="preserve">tabula. Optimistiskā scenārija ietekme uz vispārējās valdības budžetu, </w:t>
      </w:r>
      <w:r w:rsidRPr="00F57E72">
        <w:rPr>
          <w:rFonts w:cs="Times New Roman"/>
          <w:b/>
          <w:i/>
          <w:noProof/>
          <w:sz w:val="24"/>
          <w:szCs w:val="24"/>
        </w:rPr>
        <w:t>milj. euro</w:t>
      </w:r>
    </w:p>
    <w:tbl>
      <w:tblPr>
        <w:tblW w:w="9073" w:type="dxa"/>
        <w:jc w:val="cente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2836"/>
        <w:gridCol w:w="851"/>
        <w:gridCol w:w="844"/>
        <w:gridCol w:w="851"/>
        <w:gridCol w:w="850"/>
        <w:gridCol w:w="709"/>
        <w:gridCol w:w="709"/>
        <w:gridCol w:w="709"/>
        <w:gridCol w:w="708"/>
        <w:gridCol w:w="6"/>
      </w:tblGrid>
      <w:tr w:rsidR="00BF4753" w:rsidRPr="0059271D" w:rsidTr="002D7CA8">
        <w:trPr>
          <w:tblHeader/>
          <w:jc w:val="center"/>
        </w:trPr>
        <w:tc>
          <w:tcPr>
            <w:tcW w:w="2836" w:type="dxa"/>
            <w:shd w:val="clear" w:color="auto" w:fill="auto"/>
            <w:vAlign w:val="center"/>
            <w:hideMark/>
          </w:tcPr>
          <w:p w:rsidR="00BF4753" w:rsidRPr="0059271D" w:rsidRDefault="00BF4753" w:rsidP="002D7CA8">
            <w:pPr>
              <w:rPr>
                <w:rFonts w:eastAsia="Times New Roman" w:cs="Times New Roman"/>
                <w:sz w:val="20"/>
                <w:szCs w:val="20"/>
                <w:lang w:eastAsia="lv-LV"/>
              </w:rPr>
            </w:pPr>
          </w:p>
        </w:tc>
        <w:tc>
          <w:tcPr>
            <w:tcW w:w="3396" w:type="dxa"/>
            <w:gridSpan w:val="4"/>
            <w:vAlign w:val="center"/>
          </w:tcPr>
          <w:p w:rsidR="00BF4753" w:rsidRPr="0059271D" w:rsidRDefault="00BF4753" w:rsidP="002D7CA8">
            <w:pPr>
              <w:jc w:val="center"/>
              <w:rPr>
                <w:rFonts w:eastAsia="Times New Roman" w:cs="Times New Roman"/>
                <w:b/>
                <w:sz w:val="20"/>
                <w:szCs w:val="20"/>
                <w:lang w:eastAsia="lv-LV"/>
              </w:rPr>
            </w:pPr>
            <w:r w:rsidRPr="0059271D">
              <w:rPr>
                <w:rFonts w:eastAsia="Times New Roman" w:cs="Times New Roman"/>
                <w:b/>
                <w:sz w:val="20"/>
                <w:szCs w:val="20"/>
                <w:lang w:eastAsia="lv-LV"/>
              </w:rPr>
              <w:t>Optimistiskais scenārijs</w:t>
            </w:r>
          </w:p>
        </w:tc>
        <w:tc>
          <w:tcPr>
            <w:tcW w:w="2841" w:type="dxa"/>
            <w:gridSpan w:val="5"/>
            <w:vAlign w:val="center"/>
          </w:tcPr>
          <w:p w:rsidR="00BF4753" w:rsidRPr="0059271D" w:rsidRDefault="00BF4753" w:rsidP="002D7CA8">
            <w:pPr>
              <w:jc w:val="center"/>
              <w:rPr>
                <w:rFonts w:eastAsia="Times New Roman" w:cs="Times New Roman"/>
                <w:b/>
                <w:sz w:val="20"/>
                <w:szCs w:val="20"/>
                <w:lang w:eastAsia="lv-LV"/>
              </w:rPr>
            </w:pPr>
            <w:r w:rsidRPr="0059271D">
              <w:rPr>
                <w:rFonts w:eastAsia="Times New Roman" w:cs="Times New Roman"/>
                <w:b/>
                <w:sz w:val="20"/>
                <w:szCs w:val="20"/>
                <w:lang w:eastAsia="lv-LV"/>
              </w:rPr>
              <w:t>Novirze no bāzes scenārija</w:t>
            </w:r>
          </w:p>
        </w:tc>
      </w:tr>
      <w:tr w:rsidR="00BF4753" w:rsidRPr="0059271D" w:rsidTr="002D7CA8">
        <w:trPr>
          <w:gridAfter w:val="1"/>
          <w:wAfter w:w="6" w:type="dxa"/>
          <w:jc w:val="center"/>
        </w:trPr>
        <w:tc>
          <w:tcPr>
            <w:tcW w:w="2836" w:type="dxa"/>
            <w:shd w:val="clear" w:color="auto" w:fill="auto"/>
            <w:vAlign w:val="center"/>
            <w:hideMark/>
          </w:tcPr>
          <w:p w:rsidR="00BF4753" w:rsidRPr="0059271D" w:rsidRDefault="00BF4753" w:rsidP="002D7CA8">
            <w:pPr>
              <w:rPr>
                <w:rFonts w:eastAsia="Times New Roman" w:cs="Times New Roman"/>
                <w:sz w:val="20"/>
                <w:szCs w:val="20"/>
                <w:lang w:eastAsia="lv-LV"/>
              </w:rPr>
            </w:pPr>
          </w:p>
        </w:tc>
        <w:tc>
          <w:tcPr>
            <w:tcW w:w="851" w:type="dxa"/>
            <w:shd w:val="clear" w:color="auto" w:fill="auto"/>
            <w:tcMar>
              <w:left w:w="57" w:type="dxa"/>
              <w:right w:w="57" w:type="dxa"/>
            </w:tcMar>
            <w:vAlign w:val="center"/>
          </w:tcPr>
          <w:p w:rsidR="00BF4753" w:rsidRPr="0059271D" w:rsidRDefault="00BF4753" w:rsidP="002D7CA8">
            <w:pPr>
              <w:ind w:firstLine="0"/>
              <w:jc w:val="center"/>
              <w:rPr>
                <w:rFonts w:eastAsia="Times New Roman" w:cs="Times New Roman"/>
                <w:b/>
                <w:sz w:val="20"/>
                <w:szCs w:val="20"/>
                <w:lang w:eastAsia="lv-LV"/>
              </w:rPr>
            </w:pPr>
            <w:r w:rsidRPr="0059271D">
              <w:rPr>
                <w:rFonts w:eastAsia="Times New Roman" w:cs="Times New Roman"/>
                <w:b/>
                <w:sz w:val="20"/>
                <w:szCs w:val="20"/>
                <w:lang w:eastAsia="lv-LV"/>
              </w:rPr>
              <w:t>20</w:t>
            </w:r>
            <w:r>
              <w:rPr>
                <w:rFonts w:eastAsia="Times New Roman" w:cs="Times New Roman"/>
                <w:b/>
                <w:sz w:val="20"/>
                <w:szCs w:val="20"/>
                <w:lang w:eastAsia="lv-LV"/>
              </w:rPr>
              <w:t>21</w:t>
            </w:r>
          </w:p>
        </w:tc>
        <w:tc>
          <w:tcPr>
            <w:tcW w:w="844" w:type="dxa"/>
            <w:shd w:val="clear" w:color="auto" w:fill="auto"/>
            <w:tcMar>
              <w:left w:w="57" w:type="dxa"/>
              <w:right w:w="57" w:type="dxa"/>
            </w:tcMar>
            <w:vAlign w:val="center"/>
          </w:tcPr>
          <w:p w:rsidR="00BF4753" w:rsidRPr="0059271D" w:rsidRDefault="00BF4753" w:rsidP="002D7CA8">
            <w:pPr>
              <w:ind w:firstLine="0"/>
              <w:jc w:val="center"/>
              <w:rPr>
                <w:rFonts w:eastAsia="Times New Roman" w:cs="Times New Roman"/>
                <w:b/>
                <w:sz w:val="20"/>
                <w:szCs w:val="20"/>
                <w:lang w:eastAsia="lv-LV"/>
              </w:rPr>
            </w:pPr>
            <w:r w:rsidRPr="0059271D">
              <w:rPr>
                <w:rFonts w:eastAsia="Times New Roman" w:cs="Times New Roman"/>
                <w:b/>
                <w:sz w:val="20"/>
                <w:szCs w:val="20"/>
                <w:lang w:eastAsia="lv-LV"/>
              </w:rPr>
              <w:t>202</w:t>
            </w:r>
            <w:r>
              <w:rPr>
                <w:rFonts w:eastAsia="Times New Roman" w:cs="Times New Roman"/>
                <w:b/>
                <w:sz w:val="20"/>
                <w:szCs w:val="20"/>
                <w:lang w:eastAsia="lv-LV"/>
              </w:rPr>
              <w:t>2</w:t>
            </w:r>
          </w:p>
        </w:tc>
        <w:tc>
          <w:tcPr>
            <w:tcW w:w="851" w:type="dxa"/>
            <w:tcMar>
              <w:left w:w="57" w:type="dxa"/>
              <w:right w:w="57" w:type="dxa"/>
            </w:tcMar>
            <w:vAlign w:val="center"/>
          </w:tcPr>
          <w:p w:rsidR="00BF4753" w:rsidRPr="0059271D" w:rsidRDefault="00BF4753" w:rsidP="002D7CA8">
            <w:pPr>
              <w:ind w:hanging="60"/>
              <w:jc w:val="center"/>
              <w:rPr>
                <w:rFonts w:eastAsia="Times New Roman" w:cs="Times New Roman"/>
                <w:b/>
                <w:sz w:val="20"/>
                <w:szCs w:val="20"/>
                <w:lang w:eastAsia="lv-LV"/>
              </w:rPr>
            </w:pPr>
            <w:r w:rsidRPr="0059271D">
              <w:rPr>
                <w:rFonts w:eastAsia="Times New Roman" w:cs="Times New Roman"/>
                <w:b/>
                <w:sz w:val="20"/>
                <w:szCs w:val="20"/>
                <w:lang w:eastAsia="lv-LV"/>
              </w:rPr>
              <w:t>202</w:t>
            </w:r>
            <w:r>
              <w:rPr>
                <w:rFonts w:eastAsia="Times New Roman" w:cs="Times New Roman"/>
                <w:b/>
                <w:sz w:val="20"/>
                <w:szCs w:val="20"/>
                <w:lang w:eastAsia="lv-LV"/>
              </w:rPr>
              <w:t>3</w:t>
            </w:r>
          </w:p>
        </w:tc>
        <w:tc>
          <w:tcPr>
            <w:tcW w:w="850" w:type="dxa"/>
            <w:shd w:val="clear" w:color="auto" w:fill="auto"/>
            <w:tcMar>
              <w:left w:w="57" w:type="dxa"/>
              <w:right w:w="57" w:type="dxa"/>
            </w:tcMar>
            <w:vAlign w:val="center"/>
          </w:tcPr>
          <w:p w:rsidR="00BF4753" w:rsidRPr="0059271D" w:rsidRDefault="00BF4753" w:rsidP="002D7CA8">
            <w:pPr>
              <w:ind w:hanging="61"/>
              <w:jc w:val="center"/>
              <w:rPr>
                <w:rFonts w:eastAsia="Times New Roman" w:cs="Times New Roman"/>
                <w:b/>
                <w:sz w:val="20"/>
                <w:szCs w:val="20"/>
                <w:lang w:eastAsia="lv-LV"/>
              </w:rPr>
            </w:pPr>
            <w:r w:rsidRPr="0059271D">
              <w:rPr>
                <w:rFonts w:eastAsia="Times New Roman" w:cs="Times New Roman"/>
                <w:b/>
                <w:sz w:val="20"/>
                <w:szCs w:val="20"/>
                <w:lang w:eastAsia="lv-LV"/>
              </w:rPr>
              <w:t>202</w:t>
            </w:r>
            <w:r>
              <w:rPr>
                <w:rFonts w:eastAsia="Times New Roman" w:cs="Times New Roman"/>
                <w:b/>
                <w:sz w:val="20"/>
                <w:szCs w:val="20"/>
                <w:lang w:eastAsia="lv-LV"/>
              </w:rPr>
              <w:t>4</w:t>
            </w:r>
          </w:p>
        </w:tc>
        <w:tc>
          <w:tcPr>
            <w:tcW w:w="709" w:type="dxa"/>
            <w:shd w:val="clear" w:color="auto" w:fill="auto"/>
            <w:tcMar>
              <w:left w:w="57" w:type="dxa"/>
              <w:right w:w="57" w:type="dxa"/>
            </w:tcMar>
            <w:vAlign w:val="center"/>
            <w:hideMark/>
          </w:tcPr>
          <w:p w:rsidR="00BF4753" w:rsidRPr="0059271D" w:rsidRDefault="00BF4753" w:rsidP="002D7CA8">
            <w:pPr>
              <w:ind w:hanging="63"/>
              <w:jc w:val="center"/>
              <w:rPr>
                <w:rFonts w:eastAsia="Times New Roman" w:cs="Times New Roman"/>
                <w:b/>
                <w:sz w:val="20"/>
                <w:szCs w:val="20"/>
                <w:lang w:eastAsia="lv-LV"/>
              </w:rPr>
            </w:pPr>
            <w:r w:rsidRPr="0059271D">
              <w:rPr>
                <w:rFonts w:eastAsia="Times New Roman" w:cs="Times New Roman"/>
                <w:b/>
                <w:sz w:val="20"/>
                <w:szCs w:val="20"/>
                <w:lang w:eastAsia="lv-LV"/>
              </w:rPr>
              <w:t>20</w:t>
            </w:r>
            <w:r>
              <w:rPr>
                <w:rFonts w:eastAsia="Times New Roman" w:cs="Times New Roman"/>
                <w:b/>
                <w:sz w:val="20"/>
                <w:szCs w:val="20"/>
                <w:lang w:eastAsia="lv-LV"/>
              </w:rPr>
              <w:t>21</w:t>
            </w:r>
          </w:p>
        </w:tc>
        <w:tc>
          <w:tcPr>
            <w:tcW w:w="709" w:type="dxa"/>
            <w:shd w:val="clear" w:color="auto" w:fill="auto"/>
            <w:tcMar>
              <w:left w:w="57" w:type="dxa"/>
              <w:right w:w="57" w:type="dxa"/>
            </w:tcMar>
            <w:vAlign w:val="center"/>
            <w:hideMark/>
          </w:tcPr>
          <w:p w:rsidR="00BF4753" w:rsidRPr="0059271D" w:rsidRDefault="00BF4753" w:rsidP="002D7CA8">
            <w:pPr>
              <w:ind w:hanging="62"/>
              <w:jc w:val="center"/>
              <w:rPr>
                <w:rFonts w:eastAsia="Times New Roman" w:cs="Times New Roman"/>
                <w:b/>
                <w:sz w:val="20"/>
                <w:szCs w:val="20"/>
                <w:lang w:eastAsia="lv-LV"/>
              </w:rPr>
            </w:pPr>
            <w:r w:rsidRPr="0059271D">
              <w:rPr>
                <w:rFonts w:eastAsia="Times New Roman" w:cs="Times New Roman"/>
                <w:b/>
                <w:sz w:val="20"/>
                <w:szCs w:val="20"/>
                <w:lang w:eastAsia="lv-LV"/>
              </w:rPr>
              <w:t>202</w:t>
            </w:r>
            <w:r>
              <w:rPr>
                <w:rFonts w:eastAsia="Times New Roman" w:cs="Times New Roman"/>
                <w:b/>
                <w:sz w:val="20"/>
                <w:szCs w:val="20"/>
                <w:lang w:eastAsia="lv-LV"/>
              </w:rPr>
              <w:t>2</w:t>
            </w:r>
          </w:p>
        </w:tc>
        <w:tc>
          <w:tcPr>
            <w:tcW w:w="709" w:type="dxa"/>
            <w:tcMar>
              <w:left w:w="57" w:type="dxa"/>
              <w:right w:w="57" w:type="dxa"/>
            </w:tcMar>
            <w:vAlign w:val="center"/>
          </w:tcPr>
          <w:p w:rsidR="00BF4753" w:rsidRPr="0059271D" w:rsidRDefault="00BF4753" w:rsidP="002D7CA8">
            <w:pPr>
              <w:ind w:firstLine="0"/>
              <w:jc w:val="center"/>
              <w:rPr>
                <w:rFonts w:eastAsia="Times New Roman" w:cs="Times New Roman"/>
                <w:b/>
                <w:sz w:val="20"/>
                <w:szCs w:val="20"/>
                <w:lang w:eastAsia="lv-LV"/>
              </w:rPr>
            </w:pPr>
            <w:r w:rsidRPr="0059271D">
              <w:rPr>
                <w:rFonts w:eastAsia="Times New Roman" w:cs="Times New Roman"/>
                <w:b/>
                <w:sz w:val="20"/>
                <w:szCs w:val="20"/>
                <w:lang w:eastAsia="lv-LV"/>
              </w:rPr>
              <w:t>202</w:t>
            </w:r>
            <w:r>
              <w:rPr>
                <w:rFonts w:eastAsia="Times New Roman" w:cs="Times New Roman"/>
                <w:b/>
                <w:sz w:val="20"/>
                <w:szCs w:val="20"/>
                <w:lang w:eastAsia="lv-LV"/>
              </w:rPr>
              <w:t>3</w:t>
            </w:r>
          </w:p>
        </w:tc>
        <w:tc>
          <w:tcPr>
            <w:tcW w:w="708" w:type="dxa"/>
            <w:shd w:val="clear" w:color="auto" w:fill="auto"/>
            <w:tcMar>
              <w:left w:w="57" w:type="dxa"/>
              <w:right w:w="57" w:type="dxa"/>
            </w:tcMar>
            <w:vAlign w:val="center"/>
            <w:hideMark/>
          </w:tcPr>
          <w:p w:rsidR="00BF4753" w:rsidRPr="0059271D" w:rsidRDefault="00BF4753" w:rsidP="002D7CA8">
            <w:pPr>
              <w:ind w:firstLine="0"/>
              <w:jc w:val="center"/>
              <w:rPr>
                <w:rFonts w:eastAsia="Times New Roman" w:cs="Times New Roman"/>
                <w:b/>
                <w:sz w:val="20"/>
                <w:szCs w:val="20"/>
                <w:lang w:eastAsia="lv-LV"/>
              </w:rPr>
            </w:pPr>
            <w:r w:rsidRPr="0059271D">
              <w:rPr>
                <w:rFonts w:eastAsia="Times New Roman" w:cs="Times New Roman"/>
                <w:b/>
                <w:sz w:val="20"/>
                <w:szCs w:val="20"/>
                <w:lang w:eastAsia="lv-LV"/>
              </w:rPr>
              <w:t>202</w:t>
            </w:r>
            <w:r>
              <w:rPr>
                <w:rFonts w:eastAsia="Times New Roman" w:cs="Times New Roman"/>
                <w:b/>
                <w:sz w:val="20"/>
                <w:szCs w:val="20"/>
                <w:lang w:eastAsia="lv-LV"/>
              </w:rPr>
              <w:t>4</w:t>
            </w:r>
          </w:p>
        </w:tc>
      </w:tr>
      <w:tr w:rsidR="00BF4753" w:rsidRPr="0059271D" w:rsidTr="002D7CA8">
        <w:trPr>
          <w:gridAfter w:val="1"/>
          <w:wAfter w:w="6" w:type="dxa"/>
          <w:jc w:val="center"/>
        </w:trPr>
        <w:tc>
          <w:tcPr>
            <w:tcW w:w="2836" w:type="dxa"/>
            <w:shd w:val="clear" w:color="auto" w:fill="DEEAF6" w:themeFill="accent1" w:themeFillTint="33"/>
            <w:vAlign w:val="center"/>
          </w:tcPr>
          <w:p w:rsidR="00BF4753" w:rsidRPr="0059271D" w:rsidRDefault="00BF4753" w:rsidP="002D7CA8">
            <w:pPr>
              <w:ind w:hanging="108"/>
              <w:rPr>
                <w:rFonts w:eastAsia="Times New Roman" w:cs="Times New Roman"/>
                <w:b/>
                <w:sz w:val="20"/>
                <w:szCs w:val="20"/>
                <w:lang w:eastAsia="lv-LV"/>
              </w:rPr>
            </w:pPr>
            <w:r w:rsidRPr="0059271D">
              <w:rPr>
                <w:rFonts w:eastAsia="Times New Roman" w:cs="Times New Roman"/>
                <w:b/>
                <w:sz w:val="20"/>
                <w:szCs w:val="20"/>
                <w:lang w:eastAsia="lv-LV"/>
              </w:rPr>
              <w:t>Vispārējās valdības budžeta bilance, % no IKP</w:t>
            </w:r>
          </w:p>
        </w:tc>
        <w:tc>
          <w:tcPr>
            <w:tcW w:w="851" w:type="dxa"/>
            <w:shd w:val="clear" w:color="auto" w:fill="DEEAF6" w:themeFill="accent1" w:themeFillTint="33"/>
            <w:tcMar>
              <w:left w:w="57" w:type="dxa"/>
              <w:right w:w="57" w:type="dxa"/>
            </w:tcMar>
            <w:vAlign w:val="center"/>
          </w:tcPr>
          <w:p w:rsidR="00BF4753" w:rsidRPr="00255048" w:rsidRDefault="00BF4753" w:rsidP="002D7CA8">
            <w:pPr>
              <w:ind w:right="5" w:firstLine="0"/>
              <w:jc w:val="center"/>
              <w:rPr>
                <w:rFonts w:cs="Times New Roman"/>
                <w:b/>
                <w:sz w:val="20"/>
                <w:szCs w:val="20"/>
              </w:rPr>
            </w:pPr>
            <w:r w:rsidRPr="00255048">
              <w:rPr>
                <w:rFonts w:cs="Times New Roman"/>
                <w:b/>
                <w:sz w:val="20"/>
                <w:szCs w:val="20"/>
              </w:rPr>
              <w:t>-8,9</w:t>
            </w:r>
          </w:p>
        </w:tc>
        <w:tc>
          <w:tcPr>
            <w:tcW w:w="844" w:type="dxa"/>
            <w:shd w:val="clear" w:color="auto" w:fill="DEEAF6" w:themeFill="accent1" w:themeFillTint="33"/>
            <w:tcMar>
              <w:left w:w="57" w:type="dxa"/>
              <w:right w:w="57" w:type="dxa"/>
            </w:tcMar>
            <w:vAlign w:val="center"/>
          </w:tcPr>
          <w:p w:rsidR="00BF4753" w:rsidRPr="00255048" w:rsidRDefault="00BF4753" w:rsidP="002D7CA8">
            <w:pPr>
              <w:ind w:right="5" w:firstLine="0"/>
              <w:jc w:val="center"/>
              <w:rPr>
                <w:rFonts w:cs="Times New Roman"/>
                <w:b/>
                <w:sz w:val="20"/>
                <w:szCs w:val="20"/>
              </w:rPr>
            </w:pPr>
            <w:r w:rsidRPr="00255048">
              <w:rPr>
                <w:rFonts w:cs="Times New Roman"/>
                <w:b/>
                <w:sz w:val="20"/>
                <w:szCs w:val="20"/>
              </w:rPr>
              <w:t>-2,1</w:t>
            </w:r>
          </w:p>
        </w:tc>
        <w:tc>
          <w:tcPr>
            <w:tcW w:w="851" w:type="dxa"/>
            <w:shd w:val="clear" w:color="auto" w:fill="DEEAF6" w:themeFill="accent1" w:themeFillTint="33"/>
            <w:tcMar>
              <w:left w:w="57" w:type="dxa"/>
              <w:right w:w="57" w:type="dxa"/>
            </w:tcMar>
            <w:vAlign w:val="center"/>
          </w:tcPr>
          <w:p w:rsidR="00BF4753" w:rsidRPr="00255048" w:rsidRDefault="00BF4753" w:rsidP="002D7CA8">
            <w:pPr>
              <w:ind w:right="5" w:hanging="60"/>
              <w:jc w:val="center"/>
              <w:rPr>
                <w:rFonts w:cs="Times New Roman"/>
                <w:b/>
                <w:sz w:val="20"/>
                <w:szCs w:val="20"/>
              </w:rPr>
            </w:pPr>
            <w:r w:rsidRPr="00255048">
              <w:rPr>
                <w:rFonts w:cs="Times New Roman"/>
                <w:b/>
                <w:sz w:val="20"/>
                <w:szCs w:val="20"/>
              </w:rPr>
              <w:t>-0,8</w:t>
            </w:r>
          </w:p>
        </w:tc>
        <w:tc>
          <w:tcPr>
            <w:tcW w:w="850" w:type="dxa"/>
            <w:shd w:val="clear" w:color="auto" w:fill="DEEAF6" w:themeFill="accent1" w:themeFillTint="33"/>
            <w:tcMar>
              <w:left w:w="57" w:type="dxa"/>
              <w:right w:w="57" w:type="dxa"/>
            </w:tcMar>
            <w:vAlign w:val="center"/>
          </w:tcPr>
          <w:p w:rsidR="00BF4753" w:rsidRPr="00255048" w:rsidRDefault="00BF4753" w:rsidP="002D7CA8">
            <w:pPr>
              <w:ind w:right="5" w:hanging="61"/>
              <w:jc w:val="center"/>
              <w:rPr>
                <w:rFonts w:cs="Times New Roman"/>
                <w:b/>
                <w:color w:val="FF0000"/>
                <w:sz w:val="20"/>
                <w:szCs w:val="20"/>
              </w:rPr>
            </w:pPr>
            <w:r w:rsidRPr="00255048">
              <w:rPr>
                <w:rFonts w:cs="Times New Roman"/>
                <w:b/>
                <w:sz w:val="20"/>
                <w:szCs w:val="20"/>
              </w:rPr>
              <w:t>0,2</w:t>
            </w:r>
          </w:p>
        </w:tc>
        <w:tc>
          <w:tcPr>
            <w:tcW w:w="709" w:type="dxa"/>
            <w:shd w:val="clear" w:color="auto" w:fill="DEEAF6" w:themeFill="accent1" w:themeFillTint="33"/>
            <w:tcMar>
              <w:left w:w="57" w:type="dxa"/>
              <w:right w:w="57" w:type="dxa"/>
            </w:tcMar>
            <w:vAlign w:val="center"/>
          </w:tcPr>
          <w:p w:rsidR="00BF4753" w:rsidRPr="00255048" w:rsidRDefault="00BF4753" w:rsidP="002D7CA8">
            <w:pPr>
              <w:ind w:right="5" w:hanging="63"/>
              <w:jc w:val="center"/>
              <w:rPr>
                <w:rFonts w:cs="Times New Roman"/>
                <w:b/>
                <w:sz w:val="20"/>
                <w:szCs w:val="20"/>
              </w:rPr>
            </w:pPr>
            <w:r w:rsidRPr="00255048">
              <w:rPr>
                <w:rFonts w:cs="Times New Roman"/>
                <w:b/>
                <w:sz w:val="20"/>
                <w:szCs w:val="20"/>
              </w:rPr>
              <w:t>0,4</w:t>
            </w:r>
          </w:p>
        </w:tc>
        <w:tc>
          <w:tcPr>
            <w:tcW w:w="709" w:type="dxa"/>
            <w:shd w:val="clear" w:color="auto" w:fill="DEEAF6" w:themeFill="accent1" w:themeFillTint="33"/>
            <w:tcMar>
              <w:left w:w="57" w:type="dxa"/>
              <w:right w:w="57" w:type="dxa"/>
            </w:tcMar>
            <w:vAlign w:val="center"/>
          </w:tcPr>
          <w:p w:rsidR="00BF4753" w:rsidRPr="00255048" w:rsidRDefault="00BF4753" w:rsidP="002D7CA8">
            <w:pPr>
              <w:ind w:right="5" w:hanging="62"/>
              <w:jc w:val="center"/>
              <w:rPr>
                <w:rFonts w:cs="Times New Roman"/>
                <w:b/>
                <w:sz w:val="20"/>
                <w:szCs w:val="20"/>
              </w:rPr>
            </w:pPr>
            <w:r w:rsidRPr="00255048">
              <w:rPr>
                <w:rFonts w:cs="Times New Roman"/>
                <w:b/>
                <w:sz w:val="20"/>
                <w:szCs w:val="20"/>
              </w:rPr>
              <w:t>0,6</w:t>
            </w:r>
          </w:p>
        </w:tc>
        <w:tc>
          <w:tcPr>
            <w:tcW w:w="709" w:type="dxa"/>
            <w:shd w:val="clear" w:color="auto" w:fill="DEEAF6" w:themeFill="accent1" w:themeFillTint="33"/>
            <w:tcMar>
              <w:left w:w="57" w:type="dxa"/>
              <w:right w:w="57" w:type="dxa"/>
            </w:tcMar>
            <w:vAlign w:val="center"/>
          </w:tcPr>
          <w:p w:rsidR="00BF4753" w:rsidRPr="00255048" w:rsidRDefault="00BF4753" w:rsidP="002D7CA8">
            <w:pPr>
              <w:ind w:right="5" w:firstLine="0"/>
              <w:jc w:val="center"/>
              <w:rPr>
                <w:rFonts w:cs="Times New Roman"/>
                <w:b/>
                <w:sz w:val="20"/>
                <w:szCs w:val="20"/>
              </w:rPr>
            </w:pPr>
            <w:r w:rsidRPr="00255048">
              <w:rPr>
                <w:rFonts w:cs="Times New Roman"/>
                <w:b/>
                <w:sz w:val="20"/>
                <w:szCs w:val="20"/>
              </w:rPr>
              <w:t>0,6</w:t>
            </w:r>
          </w:p>
        </w:tc>
        <w:tc>
          <w:tcPr>
            <w:tcW w:w="708" w:type="dxa"/>
            <w:shd w:val="clear" w:color="auto" w:fill="DEEAF6" w:themeFill="accent1" w:themeFillTint="33"/>
            <w:tcMar>
              <w:left w:w="57" w:type="dxa"/>
              <w:right w:w="57" w:type="dxa"/>
            </w:tcMar>
            <w:vAlign w:val="center"/>
          </w:tcPr>
          <w:p w:rsidR="00BF4753" w:rsidRPr="00255048" w:rsidRDefault="00BF4753" w:rsidP="002D7CA8">
            <w:pPr>
              <w:ind w:right="5" w:firstLine="0"/>
              <w:jc w:val="center"/>
              <w:rPr>
                <w:rFonts w:cs="Times New Roman"/>
                <w:b/>
                <w:sz w:val="20"/>
                <w:szCs w:val="20"/>
              </w:rPr>
            </w:pPr>
            <w:r w:rsidRPr="00255048">
              <w:rPr>
                <w:rFonts w:cs="Times New Roman"/>
                <w:b/>
                <w:sz w:val="20"/>
                <w:szCs w:val="20"/>
              </w:rPr>
              <w:t>0,5</w:t>
            </w:r>
          </w:p>
        </w:tc>
      </w:tr>
      <w:tr w:rsidR="00BF4753" w:rsidRPr="0059271D" w:rsidTr="002D7CA8">
        <w:trPr>
          <w:gridAfter w:val="1"/>
          <w:wAfter w:w="6" w:type="dxa"/>
          <w:jc w:val="center"/>
        </w:trPr>
        <w:tc>
          <w:tcPr>
            <w:tcW w:w="2836" w:type="dxa"/>
            <w:shd w:val="clear" w:color="auto" w:fill="auto"/>
            <w:vAlign w:val="center"/>
          </w:tcPr>
          <w:p w:rsidR="00BF4753" w:rsidRPr="005958C8" w:rsidRDefault="00BF4753" w:rsidP="002D7CA8">
            <w:pPr>
              <w:ind w:hanging="108"/>
              <w:rPr>
                <w:rFonts w:eastAsia="Times New Roman" w:cs="Times New Roman"/>
                <w:bCs/>
                <w:sz w:val="20"/>
                <w:szCs w:val="20"/>
                <w:lang w:eastAsia="lv-LV"/>
              </w:rPr>
            </w:pPr>
            <w:r w:rsidRPr="005958C8">
              <w:rPr>
                <w:rFonts w:eastAsia="Times New Roman" w:cs="Times New Roman"/>
                <w:bCs/>
                <w:sz w:val="20"/>
                <w:szCs w:val="20"/>
                <w:lang w:eastAsia="lv-LV"/>
              </w:rPr>
              <w:t>Vispārējās valdības budžeta bilance</w:t>
            </w:r>
          </w:p>
        </w:tc>
        <w:tc>
          <w:tcPr>
            <w:tcW w:w="851" w:type="dxa"/>
            <w:shd w:val="clear" w:color="auto" w:fill="auto"/>
            <w:tcMar>
              <w:left w:w="57" w:type="dxa"/>
              <w:right w:w="57" w:type="dxa"/>
            </w:tcMar>
            <w:vAlign w:val="center"/>
          </w:tcPr>
          <w:p w:rsidR="00BF4753" w:rsidRPr="00255048" w:rsidRDefault="00BF4753" w:rsidP="002D7CA8">
            <w:pPr>
              <w:ind w:firstLine="0"/>
              <w:jc w:val="center"/>
              <w:rPr>
                <w:rFonts w:eastAsia="Times New Roman" w:cs="Times New Roman"/>
                <w:sz w:val="20"/>
                <w:szCs w:val="20"/>
                <w:lang w:eastAsia="lv-LV"/>
              </w:rPr>
            </w:pPr>
            <w:r w:rsidRPr="00255048">
              <w:rPr>
                <w:rFonts w:eastAsia="Times New Roman" w:cs="Times New Roman"/>
                <w:sz w:val="20"/>
                <w:szCs w:val="20"/>
                <w:lang w:eastAsia="lv-LV"/>
              </w:rPr>
              <w:t>-2 753,4</w:t>
            </w:r>
          </w:p>
        </w:tc>
        <w:tc>
          <w:tcPr>
            <w:tcW w:w="844" w:type="dxa"/>
            <w:shd w:val="clear" w:color="auto" w:fill="auto"/>
            <w:tcMar>
              <w:left w:w="57" w:type="dxa"/>
              <w:right w:w="57" w:type="dxa"/>
            </w:tcMar>
            <w:vAlign w:val="center"/>
          </w:tcPr>
          <w:p w:rsidR="00BF4753" w:rsidRPr="00255048" w:rsidRDefault="00BF4753" w:rsidP="002D7CA8">
            <w:pPr>
              <w:ind w:firstLine="0"/>
              <w:jc w:val="center"/>
              <w:rPr>
                <w:rFonts w:eastAsia="Times New Roman" w:cs="Times New Roman"/>
                <w:sz w:val="20"/>
                <w:szCs w:val="20"/>
                <w:lang w:eastAsia="lv-LV"/>
              </w:rPr>
            </w:pPr>
            <w:r w:rsidRPr="00255048">
              <w:rPr>
                <w:rFonts w:eastAsia="Times New Roman" w:cs="Times New Roman"/>
                <w:sz w:val="20"/>
                <w:szCs w:val="20"/>
                <w:lang w:eastAsia="lv-LV"/>
              </w:rPr>
              <w:t>-700,2</w:t>
            </w:r>
          </w:p>
        </w:tc>
        <w:tc>
          <w:tcPr>
            <w:tcW w:w="851" w:type="dxa"/>
            <w:tcMar>
              <w:left w:w="57" w:type="dxa"/>
              <w:right w:w="57" w:type="dxa"/>
            </w:tcMar>
            <w:vAlign w:val="center"/>
          </w:tcPr>
          <w:p w:rsidR="00BF4753" w:rsidRPr="00255048" w:rsidRDefault="00BF4753" w:rsidP="002D7CA8">
            <w:pPr>
              <w:ind w:hanging="60"/>
              <w:jc w:val="center"/>
              <w:rPr>
                <w:rFonts w:eastAsia="Times New Roman" w:cs="Times New Roman"/>
                <w:sz w:val="20"/>
                <w:szCs w:val="20"/>
                <w:lang w:eastAsia="lv-LV"/>
              </w:rPr>
            </w:pPr>
            <w:r w:rsidRPr="00255048">
              <w:rPr>
                <w:rFonts w:eastAsia="Times New Roman" w:cs="Times New Roman"/>
                <w:sz w:val="20"/>
                <w:szCs w:val="20"/>
                <w:lang w:eastAsia="lv-LV"/>
              </w:rPr>
              <w:t>-265,6</w:t>
            </w:r>
          </w:p>
        </w:tc>
        <w:tc>
          <w:tcPr>
            <w:tcW w:w="850" w:type="dxa"/>
            <w:shd w:val="clear" w:color="auto" w:fill="auto"/>
            <w:tcMar>
              <w:left w:w="57" w:type="dxa"/>
              <w:right w:w="57" w:type="dxa"/>
            </w:tcMar>
            <w:vAlign w:val="center"/>
          </w:tcPr>
          <w:p w:rsidR="00BF4753" w:rsidRPr="00255048" w:rsidRDefault="00BF4753" w:rsidP="002D7CA8">
            <w:pPr>
              <w:ind w:hanging="61"/>
              <w:jc w:val="center"/>
              <w:rPr>
                <w:rFonts w:eastAsia="Times New Roman" w:cs="Times New Roman"/>
                <w:sz w:val="20"/>
                <w:szCs w:val="20"/>
                <w:lang w:eastAsia="lv-LV"/>
              </w:rPr>
            </w:pPr>
            <w:r w:rsidRPr="00255048">
              <w:rPr>
                <w:rFonts w:eastAsia="Times New Roman" w:cs="Times New Roman"/>
                <w:sz w:val="20"/>
                <w:szCs w:val="20"/>
                <w:lang w:eastAsia="lv-LV"/>
              </w:rPr>
              <w:t>71,3</w:t>
            </w:r>
          </w:p>
        </w:tc>
        <w:tc>
          <w:tcPr>
            <w:tcW w:w="709" w:type="dxa"/>
            <w:shd w:val="clear" w:color="auto" w:fill="auto"/>
            <w:tcMar>
              <w:left w:w="57" w:type="dxa"/>
              <w:right w:w="57" w:type="dxa"/>
            </w:tcMar>
            <w:vAlign w:val="center"/>
          </w:tcPr>
          <w:p w:rsidR="00BF4753" w:rsidRPr="00255048" w:rsidRDefault="00BF4753" w:rsidP="002D7CA8">
            <w:pPr>
              <w:ind w:hanging="63"/>
              <w:jc w:val="center"/>
              <w:rPr>
                <w:rFonts w:eastAsia="Times New Roman" w:cs="Times New Roman"/>
                <w:sz w:val="20"/>
                <w:szCs w:val="20"/>
                <w:lang w:eastAsia="lv-LV"/>
              </w:rPr>
            </w:pPr>
            <w:r w:rsidRPr="00255048">
              <w:rPr>
                <w:rFonts w:eastAsia="Times New Roman" w:cs="Times New Roman"/>
                <w:sz w:val="20"/>
                <w:szCs w:val="20"/>
                <w:lang w:eastAsia="lv-LV"/>
              </w:rPr>
              <w:t>99,5</w:t>
            </w:r>
          </w:p>
        </w:tc>
        <w:tc>
          <w:tcPr>
            <w:tcW w:w="709" w:type="dxa"/>
            <w:shd w:val="clear" w:color="auto" w:fill="auto"/>
            <w:tcMar>
              <w:left w:w="57" w:type="dxa"/>
              <w:right w:w="57" w:type="dxa"/>
            </w:tcMar>
            <w:vAlign w:val="center"/>
          </w:tcPr>
          <w:p w:rsidR="00BF4753" w:rsidRPr="00255048" w:rsidRDefault="00BF4753" w:rsidP="002D7CA8">
            <w:pPr>
              <w:ind w:hanging="62"/>
              <w:jc w:val="center"/>
              <w:rPr>
                <w:rFonts w:eastAsia="Times New Roman" w:cs="Times New Roman"/>
                <w:sz w:val="20"/>
                <w:szCs w:val="20"/>
                <w:lang w:eastAsia="lv-LV"/>
              </w:rPr>
            </w:pPr>
            <w:r w:rsidRPr="00255048">
              <w:rPr>
                <w:rFonts w:eastAsia="Times New Roman" w:cs="Times New Roman"/>
                <w:sz w:val="20"/>
                <w:szCs w:val="20"/>
                <w:lang w:eastAsia="lv-LV"/>
              </w:rPr>
              <w:t>174,9</w:t>
            </w:r>
          </w:p>
        </w:tc>
        <w:tc>
          <w:tcPr>
            <w:tcW w:w="709" w:type="dxa"/>
            <w:tcMar>
              <w:left w:w="57" w:type="dxa"/>
              <w:right w:w="57" w:type="dxa"/>
            </w:tcMar>
            <w:vAlign w:val="center"/>
          </w:tcPr>
          <w:p w:rsidR="00BF4753" w:rsidRPr="00255048" w:rsidRDefault="00BF4753" w:rsidP="002D7CA8">
            <w:pPr>
              <w:ind w:firstLine="0"/>
              <w:jc w:val="center"/>
              <w:rPr>
                <w:rFonts w:eastAsia="Times New Roman" w:cs="Times New Roman"/>
                <w:sz w:val="20"/>
                <w:szCs w:val="20"/>
                <w:lang w:eastAsia="lv-LV"/>
              </w:rPr>
            </w:pPr>
            <w:r w:rsidRPr="00255048">
              <w:rPr>
                <w:rFonts w:eastAsia="Times New Roman" w:cs="Times New Roman"/>
                <w:sz w:val="20"/>
                <w:szCs w:val="20"/>
                <w:lang w:eastAsia="lv-LV"/>
              </w:rPr>
              <w:t>186,6</w:t>
            </w:r>
          </w:p>
        </w:tc>
        <w:tc>
          <w:tcPr>
            <w:tcW w:w="708" w:type="dxa"/>
            <w:shd w:val="clear" w:color="auto" w:fill="auto"/>
            <w:tcMar>
              <w:left w:w="57" w:type="dxa"/>
              <w:right w:w="57" w:type="dxa"/>
            </w:tcMar>
            <w:vAlign w:val="center"/>
          </w:tcPr>
          <w:p w:rsidR="00BF4753" w:rsidRPr="00255048" w:rsidRDefault="00BF4753" w:rsidP="002D7CA8">
            <w:pPr>
              <w:ind w:firstLine="0"/>
              <w:jc w:val="center"/>
              <w:rPr>
                <w:rFonts w:eastAsia="Times New Roman" w:cs="Times New Roman"/>
                <w:sz w:val="20"/>
                <w:szCs w:val="20"/>
                <w:lang w:eastAsia="lv-LV"/>
              </w:rPr>
            </w:pPr>
            <w:r w:rsidRPr="00255048">
              <w:rPr>
                <w:rFonts w:eastAsia="Times New Roman" w:cs="Times New Roman"/>
                <w:sz w:val="20"/>
                <w:szCs w:val="20"/>
                <w:lang w:eastAsia="lv-LV"/>
              </w:rPr>
              <w:t>196,4</w:t>
            </w:r>
          </w:p>
        </w:tc>
      </w:tr>
      <w:tr w:rsidR="00BF4753" w:rsidRPr="0059271D" w:rsidTr="002D7CA8">
        <w:trPr>
          <w:gridAfter w:val="1"/>
          <w:wAfter w:w="6" w:type="dxa"/>
          <w:jc w:val="center"/>
        </w:trPr>
        <w:tc>
          <w:tcPr>
            <w:tcW w:w="2836" w:type="dxa"/>
            <w:shd w:val="clear" w:color="auto" w:fill="DEEAF6"/>
            <w:vAlign w:val="center"/>
          </w:tcPr>
          <w:p w:rsidR="00BF4753" w:rsidRPr="005958C8" w:rsidRDefault="00BF4753" w:rsidP="002D7CA8">
            <w:pPr>
              <w:ind w:left="166" w:hanging="108"/>
              <w:rPr>
                <w:rFonts w:eastAsia="Times New Roman" w:cs="Times New Roman"/>
                <w:bCs/>
                <w:sz w:val="20"/>
                <w:szCs w:val="20"/>
                <w:lang w:eastAsia="lv-LV"/>
              </w:rPr>
            </w:pPr>
            <w:r w:rsidRPr="005958C8">
              <w:rPr>
                <w:rFonts w:eastAsia="Times New Roman" w:cs="Times New Roman"/>
                <w:bCs/>
                <w:sz w:val="20"/>
                <w:szCs w:val="20"/>
                <w:lang w:eastAsia="lv-LV"/>
              </w:rPr>
              <w:t>Nodokļu ieņēmumi</w:t>
            </w:r>
          </w:p>
        </w:tc>
        <w:tc>
          <w:tcPr>
            <w:tcW w:w="851" w:type="dxa"/>
            <w:shd w:val="clear" w:color="auto" w:fill="DEEAF6"/>
            <w:tcMar>
              <w:left w:w="57" w:type="dxa"/>
              <w:right w:w="57" w:type="dxa"/>
            </w:tcMar>
            <w:vAlign w:val="center"/>
          </w:tcPr>
          <w:p w:rsidR="00BF4753" w:rsidRPr="00100166" w:rsidRDefault="00BF4753" w:rsidP="002D7CA8">
            <w:pPr>
              <w:ind w:right="5" w:firstLine="0"/>
              <w:jc w:val="center"/>
              <w:rPr>
                <w:rFonts w:cs="Times New Roman"/>
                <w:sz w:val="20"/>
                <w:szCs w:val="20"/>
              </w:rPr>
            </w:pPr>
            <w:r w:rsidRPr="00100166">
              <w:rPr>
                <w:rFonts w:cs="Times New Roman"/>
                <w:sz w:val="20"/>
                <w:szCs w:val="20"/>
              </w:rPr>
              <w:t>9 343,4</w:t>
            </w:r>
          </w:p>
        </w:tc>
        <w:tc>
          <w:tcPr>
            <w:tcW w:w="844" w:type="dxa"/>
            <w:shd w:val="clear" w:color="auto" w:fill="DEEAF6"/>
            <w:tcMar>
              <w:left w:w="57" w:type="dxa"/>
              <w:right w:w="57" w:type="dxa"/>
            </w:tcMar>
            <w:vAlign w:val="center"/>
          </w:tcPr>
          <w:p w:rsidR="00BF4753" w:rsidRPr="00100166" w:rsidRDefault="00BF4753" w:rsidP="002D7CA8">
            <w:pPr>
              <w:ind w:right="5" w:firstLine="0"/>
              <w:jc w:val="center"/>
              <w:rPr>
                <w:rFonts w:cs="Times New Roman"/>
                <w:sz w:val="20"/>
                <w:szCs w:val="20"/>
              </w:rPr>
            </w:pPr>
            <w:r w:rsidRPr="00100166">
              <w:rPr>
                <w:rFonts w:cs="Times New Roman"/>
                <w:sz w:val="20"/>
                <w:szCs w:val="20"/>
              </w:rPr>
              <w:t>10 217,0</w:t>
            </w:r>
          </w:p>
        </w:tc>
        <w:tc>
          <w:tcPr>
            <w:tcW w:w="851" w:type="dxa"/>
            <w:shd w:val="clear" w:color="auto" w:fill="DEEAF6"/>
            <w:tcMar>
              <w:left w:w="57" w:type="dxa"/>
              <w:right w:w="57" w:type="dxa"/>
            </w:tcMar>
            <w:vAlign w:val="center"/>
          </w:tcPr>
          <w:p w:rsidR="00BF4753" w:rsidRPr="00100166" w:rsidRDefault="00BF4753" w:rsidP="002D7CA8">
            <w:pPr>
              <w:ind w:right="5" w:hanging="60"/>
              <w:jc w:val="center"/>
              <w:rPr>
                <w:rFonts w:cs="Times New Roman"/>
                <w:sz w:val="20"/>
                <w:szCs w:val="20"/>
              </w:rPr>
            </w:pPr>
            <w:r w:rsidRPr="00100166">
              <w:rPr>
                <w:rFonts w:cs="Times New Roman"/>
                <w:sz w:val="20"/>
                <w:szCs w:val="20"/>
              </w:rPr>
              <w:t>10 783,5</w:t>
            </w:r>
          </w:p>
        </w:tc>
        <w:tc>
          <w:tcPr>
            <w:tcW w:w="850" w:type="dxa"/>
            <w:shd w:val="clear" w:color="auto" w:fill="DEEAF6"/>
            <w:tcMar>
              <w:left w:w="57" w:type="dxa"/>
              <w:right w:w="57" w:type="dxa"/>
            </w:tcMar>
            <w:vAlign w:val="center"/>
          </w:tcPr>
          <w:p w:rsidR="00BF4753" w:rsidRPr="00100166" w:rsidRDefault="00BF4753" w:rsidP="002D7CA8">
            <w:pPr>
              <w:ind w:right="5" w:hanging="61"/>
              <w:jc w:val="center"/>
              <w:rPr>
                <w:rFonts w:cs="Times New Roman"/>
                <w:sz w:val="20"/>
                <w:szCs w:val="20"/>
              </w:rPr>
            </w:pPr>
            <w:r w:rsidRPr="00100166">
              <w:rPr>
                <w:rFonts w:cs="Times New Roman"/>
                <w:sz w:val="20"/>
                <w:szCs w:val="20"/>
              </w:rPr>
              <w:t>11 293,8</w:t>
            </w:r>
          </w:p>
        </w:tc>
        <w:tc>
          <w:tcPr>
            <w:tcW w:w="709" w:type="dxa"/>
            <w:shd w:val="clear" w:color="auto" w:fill="DEEAF6"/>
            <w:tcMar>
              <w:left w:w="57" w:type="dxa"/>
              <w:right w:w="57" w:type="dxa"/>
            </w:tcMar>
            <w:vAlign w:val="center"/>
          </w:tcPr>
          <w:p w:rsidR="00BF4753" w:rsidRPr="00100166" w:rsidRDefault="00BF4753" w:rsidP="002D7CA8">
            <w:pPr>
              <w:ind w:right="5" w:hanging="63"/>
              <w:jc w:val="center"/>
              <w:rPr>
                <w:rFonts w:cs="Times New Roman"/>
                <w:sz w:val="20"/>
                <w:szCs w:val="20"/>
              </w:rPr>
            </w:pPr>
            <w:r w:rsidRPr="00100166">
              <w:rPr>
                <w:rFonts w:cs="Times New Roman"/>
                <w:sz w:val="20"/>
                <w:szCs w:val="20"/>
              </w:rPr>
              <w:t>93,8</w:t>
            </w:r>
          </w:p>
        </w:tc>
        <w:tc>
          <w:tcPr>
            <w:tcW w:w="709" w:type="dxa"/>
            <w:shd w:val="clear" w:color="auto" w:fill="DEEAF6"/>
            <w:tcMar>
              <w:left w:w="57" w:type="dxa"/>
              <w:right w:w="57" w:type="dxa"/>
            </w:tcMar>
            <w:vAlign w:val="center"/>
          </w:tcPr>
          <w:p w:rsidR="00BF4753" w:rsidRPr="00100166" w:rsidRDefault="00BF4753" w:rsidP="002D7CA8">
            <w:pPr>
              <w:ind w:right="5" w:hanging="62"/>
              <w:jc w:val="center"/>
              <w:rPr>
                <w:rFonts w:cs="Times New Roman"/>
                <w:sz w:val="20"/>
                <w:szCs w:val="20"/>
              </w:rPr>
            </w:pPr>
            <w:r w:rsidRPr="00100166">
              <w:rPr>
                <w:rFonts w:cs="Times New Roman"/>
                <w:sz w:val="20"/>
                <w:szCs w:val="20"/>
              </w:rPr>
              <w:t>167,3</w:t>
            </w:r>
          </w:p>
        </w:tc>
        <w:tc>
          <w:tcPr>
            <w:tcW w:w="709" w:type="dxa"/>
            <w:shd w:val="clear" w:color="auto" w:fill="DEEAF6"/>
            <w:tcMar>
              <w:left w:w="57" w:type="dxa"/>
              <w:right w:w="57" w:type="dxa"/>
            </w:tcMar>
            <w:vAlign w:val="center"/>
          </w:tcPr>
          <w:p w:rsidR="00BF4753" w:rsidRPr="00100166" w:rsidRDefault="00BF4753" w:rsidP="002D7CA8">
            <w:pPr>
              <w:ind w:right="5" w:firstLine="0"/>
              <w:jc w:val="center"/>
              <w:rPr>
                <w:rFonts w:cs="Times New Roman"/>
                <w:sz w:val="20"/>
                <w:szCs w:val="20"/>
              </w:rPr>
            </w:pPr>
            <w:r w:rsidRPr="00100166">
              <w:rPr>
                <w:rFonts w:cs="Times New Roman"/>
                <w:sz w:val="20"/>
                <w:szCs w:val="20"/>
              </w:rPr>
              <w:t>178,4</w:t>
            </w:r>
          </w:p>
        </w:tc>
        <w:tc>
          <w:tcPr>
            <w:tcW w:w="708" w:type="dxa"/>
            <w:shd w:val="clear" w:color="auto" w:fill="DEEAF6"/>
            <w:tcMar>
              <w:left w:w="57" w:type="dxa"/>
              <w:right w:w="57" w:type="dxa"/>
            </w:tcMar>
            <w:vAlign w:val="center"/>
          </w:tcPr>
          <w:p w:rsidR="00BF4753" w:rsidRPr="00100166" w:rsidRDefault="00BF4753" w:rsidP="002D7CA8">
            <w:pPr>
              <w:ind w:right="5" w:firstLine="0"/>
              <w:jc w:val="center"/>
              <w:rPr>
                <w:rFonts w:cs="Times New Roman"/>
                <w:sz w:val="20"/>
                <w:szCs w:val="20"/>
              </w:rPr>
            </w:pPr>
            <w:r w:rsidRPr="00100166">
              <w:rPr>
                <w:rFonts w:cs="Times New Roman"/>
                <w:sz w:val="20"/>
                <w:szCs w:val="20"/>
              </w:rPr>
              <w:t>187,2</w:t>
            </w:r>
          </w:p>
        </w:tc>
      </w:tr>
      <w:tr w:rsidR="00BF4753" w:rsidRPr="0059271D" w:rsidTr="002D7CA8">
        <w:trPr>
          <w:gridAfter w:val="1"/>
          <w:wAfter w:w="6" w:type="dxa"/>
          <w:jc w:val="center"/>
        </w:trPr>
        <w:tc>
          <w:tcPr>
            <w:tcW w:w="2836" w:type="dxa"/>
            <w:shd w:val="clear" w:color="auto" w:fill="auto"/>
          </w:tcPr>
          <w:p w:rsidR="00BF4753" w:rsidRPr="005958C8" w:rsidRDefault="00BF4753" w:rsidP="002D7CA8">
            <w:pPr>
              <w:ind w:left="601" w:firstLine="35"/>
              <w:rPr>
                <w:rFonts w:cs="Times New Roman"/>
                <w:bCs/>
                <w:i/>
                <w:sz w:val="20"/>
                <w:szCs w:val="20"/>
              </w:rPr>
            </w:pPr>
            <w:r w:rsidRPr="005958C8">
              <w:rPr>
                <w:rFonts w:cs="Times New Roman"/>
                <w:bCs/>
                <w:i/>
                <w:sz w:val="20"/>
                <w:szCs w:val="20"/>
              </w:rPr>
              <w:t>Iedzīvotāju ienākuma nodoklis</w:t>
            </w:r>
          </w:p>
        </w:tc>
        <w:tc>
          <w:tcPr>
            <w:tcW w:w="851" w:type="dxa"/>
            <w:shd w:val="clear" w:color="auto" w:fill="auto"/>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1 806,1</w:t>
            </w:r>
          </w:p>
        </w:tc>
        <w:tc>
          <w:tcPr>
            <w:tcW w:w="844" w:type="dxa"/>
            <w:shd w:val="clear" w:color="auto" w:fill="auto"/>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1 978,1</w:t>
            </w:r>
          </w:p>
        </w:tc>
        <w:tc>
          <w:tcPr>
            <w:tcW w:w="851" w:type="dxa"/>
            <w:tcMar>
              <w:left w:w="57" w:type="dxa"/>
              <w:right w:w="57" w:type="dxa"/>
            </w:tcMar>
            <w:vAlign w:val="bottom"/>
          </w:tcPr>
          <w:p w:rsidR="00BF4753" w:rsidRPr="00D7401B" w:rsidRDefault="00BF4753" w:rsidP="002D7CA8">
            <w:pPr>
              <w:ind w:right="5" w:hanging="60"/>
              <w:jc w:val="center"/>
              <w:rPr>
                <w:rFonts w:cs="Times New Roman"/>
                <w:sz w:val="20"/>
                <w:szCs w:val="20"/>
                <w:highlight w:val="yellow"/>
              </w:rPr>
            </w:pPr>
            <w:r w:rsidRPr="00D7401B">
              <w:rPr>
                <w:rFonts w:cs="Times New Roman"/>
                <w:sz w:val="20"/>
                <w:szCs w:val="20"/>
              </w:rPr>
              <w:t>2 060,9</w:t>
            </w:r>
          </w:p>
        </w:tc>
        <w:tc>
          <w:tcPr>
            <w:tcW w:w="850" w:type="dxa"/>
            <w:shd w:val="clear" w:color="auto" w:fill="auto"/>
            <w:tcMar>
              <w:left w:w="57" w:type="dxa"/>
              <w:right w:w="57" w:type="dxa"/>
            </w:tcMar>
            <w:vAlign w:val="bottom"/>
          </w:tcPr>
          <w:p w:rsidR="00BF4753" w:rsidRPr="00D7401B" w:rsidRDefault="00BF4753" w:rsidP="002D7CA8">
            <w:pPr>
              <w:ind w:right="5" w:hanging="61"/>
              <w:jc w:val="center"/>
              <w:rPr>
                <w:rFonts w:cs="Times New Roman"/>
                <w:sz w:val="20"/>
                <w:szCs w:val="20"/>
                <w:highlight w:val="yellow"/>
              </w:rPr>
            </w:pPr>
            <w:r w:rsidRPr="00D7401B">
              <w:rPr>
                <w:rFonts w:cs="Times New Roman"/>
                <w:sz w:val="20"/>
                <w:szCs w:val="20"/>
              </w:rPr>
              <w:t>2 160,6</w:t>
            </w:r>
          </w:p>
        </w:tc>
        <w:tc>
          <w:tcPr>
            <w:tcW w:w="709" w:type="dxa"/>
            <w:shd w:val="clear" w:color="auto" w:fill="auto"/>
            <w:tcMar>
              <w:left w:w="57" w:type="dxa"/>
              <w:right w:w="57" w:type="dxa"/>
            </w:tcMar>
            <w:vAlign w:val="bottom"/>
          </w:tcPr>
          <w:p w:rsidR="00BF4753" w:rsidRPr="00D7401B" w:rsidRDefault="00BF4753" w:rsidP="002D7CA8">
            <w:pPr>
              <w:ind w:right="5" w:hanging="63"/>
              <w:jc w:val="center"/>
              <w:rPr>
                <w:rFonts w:cs="Times New Roman"/>
                <w:sz w:val="20"/>
                <w:szCs w:val="20"/>
                <w:highlight w:val="yellow"/>
              </w:rPr>
            </w:pPr>
            <w:r w:rsidRPr="00D7401B">
              <w:rPr>
                <w:rFonts w:cs="Times New Roman"/>
                <w:sz w:val="20"/>
                <w:szCs w:val="20"/>
              </w:rPr>
              <w:t>19,1</w:t>
            </w:r>
          </w:p>
        </w:tc>
        <w:tc>
          <w:tcPr>
            <w:tcW w:w="709" w:type="dxa"/>
            <w:shd w:val="clear" w:color="auto" w:fill="auto"/>
            <w:tcMar>
              <w:left w:w="57" w:type="dxa"/>
              <w:right w:w="57" w:type="dxa"/>
            </w:tcMar>
            <w:vAlign w:val="bottom"/>
          </w:tcPr>
          <w:p w:rsidR="00BF4753" w:rsidRPr="00D7401B" w:rsidRDefault="00BF4753" w:rsidP="002D7CA8">
            <w:pPr>
              <w:ind w:right="5" w:hanging="62"/>
              <w:jc w:val="center"/>
              <w:rPr>
                <w:rFonts w:cs="Times New Roman"/>
                <w:sz w:val="20"/>
                <w:szCs w:val="20"/>
                <w:highlight w:val="yellow"/>
              </w:rPr>
            </w:pPr>
            <w:r w:rsidRPr="00D7401B">
              <w:rPr>
                <w:rFonts w:cs="Times New Roman"/>
                <w:sz w:val="20"/>
                <w:szCs w:val="20"/>
              </w:rPr>
              <w:t>34,1</w:t>
            </w:r>
          </w:p>
        </w:tc>
        <w:tc>
          <w:tcPr>
            <w:tcW w:w="709" w:type="dxa"/>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35,9</w:t>
            </w:r>
          </w:p>
        </w:tc>
        <w:tc>
          <w:tcPr>
            <w:tcW w:w="708" w:type="dxa"/>
            <w:shd w:val="clear" w:color="auto" w:fill="auto"/>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37,6</w:t>
            </w:r>
          </w:p>
        </w:tc>
      </w:tr>
      <w:tr w:rsidR="00BF4753" w:rsidRPr="0059271D" w:rsidTr="002D7CA8">
        <w:trPr>
          <w:gridAfter w:val="1"/>
          <w:wAfter w:w="6" w:type="dxa"/>
          <w:jc w:val="center"/>
        </w:trPr>
        <w:tc>
          <w:tcPr>
            <w:tcW w:w="2836" w:type="dxa"/>
            <w:shd w:val="clear" w:color="auto" w:fill="DEEAF6"/>
          </w:tcPr>
          <w:p w:rsidR="00BF4753" w:rsidRPr="005958C8" w:rsidRDefault="00BF4753" w:rsidP="002D7CA8">
            <w:pPr>
              <w:ind w:left="601" w:firstLine="35"/>
              <w:rPr>
                <w:rFonts w:cs="Times New Roman"/>
                <w:bCs/>
                <w:i/>
                <w:sz w:val="20"/>
                <w:szCs w:val="20"/>
              </w:rPr>
            </w:pPr>
            <w:r w:rsidRPr="005958C8">
              <w:rPr>
                <w:rFonts w:cs="Times New Roman"/>
                <w:bCs/>
                <w:i/>
                <w:sz w:val="20"/>
                <w:szCs w:val="20"/>
              </w:rPr>
              <w:t>Uzņēmuma ienākuma nodoklis</w:t>
            </w:r>
          </w:p>
        </w:tc>
        <w:tc>
          <w:tcPr>
            <w:tcW w:w="851" w:type="dxa"/>
            <w:shd w:val="clear" w:color="auto" w:fill="DEEAF6"/>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262,8</w:t>
            </w:r>
          </w:p>
        </w:tc>
        <w:tc>
          <w:tcPr>
            <w:tcW w:w="844" w:type="dxa"/>
            <w:shd w:val="clear" w:color="auto" w:fill="DEEAF6"/>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310,4</w:t>
            </w:r>
          </w:p>
        </w:tc>
        <w:tc>
          <w:tcPr>
            <w:tcW w:w="851" w:type="dxa"/>
            <w:shd w:val="clear" w:color="auto" w:fill="DEEAF6"/>
            <w:tcMar>
              <w:left w:w="57" w:type="dxa"/>
              <w:right w:w="57" w:type="dxa"/>
            </w:tcMar>
            <w:vAlign w:val="bottom"/>
          </w:tcPr>
          <w:p w:rsidR="00BF4753" w:rsidRPr="00D7401B" w:rsidRDefault="00BF4753" w:rsidP="002D7CA8">
            <w:pPr>
              <w:ind w:right="5" w:hanging="60"/>
              <w:jc w:val="center"/>
              <w:rPr>
                <w:rFonts w:cs="Times New Roman"/>
                <w:sz w:val="20"/>
                <w:szCs w:val="20"/>
                <w:highlight w:val="yellow"/>
              </w:rPr>
            </w:pPr>
            <w:r w:rsidRPr="00D7401B">
              <w:rPr>
                <w:rFonts w:cs="Times New Roman"/>
                <w:sz w:val="20"/>
                <w:szCs w:val="20"/>
              </w:rPr>
              <w:t>326,7</w:t>
            </w:r>
          </w:p>
        </w:tc>
        <w:tc>
          <w:tcPr>
            <w:tcW w:w="850" w:type="dxa"/>
            <w:shd w:val="clear" w:color="auto" w:fill="DEEAF6"/>
            <w:tcMar>
              <w:left w:w="57" w:type="dxa"/>
              <w:right w:w="57" w:type="dxa"/>
            </w:tcMar>
            <w:vAlign w:val="bottom"/>
          </w:tcPr>
          <w:p w:rsidR="00BF4753" w:rsidRPr="00D7401B" w:rsidRDefault="00BF4753" w:rsidP="002D7CA8">
            <w:pPr>
              <w:ind w:right="5" w:hanging="61"/>
              <w:jc w:val="center"/>
              <w:rPr>
                <w:rFonts w:cs="Times New Roman"/>
                <w:sz w:val="20"/>
                <w:szCs w:val="20"/>
                <w:highlight w:val="yellow"/>
              </w:rPr>
            </w:pPr>
            <w:r w:rsidRPr="00D7401B">
              <w:rPr>
                <w:rFonts w:cs="Times New Roman"/>
                <w:sz w:val="20"/>
                <w:szCs w:val="20"/>
              </w:rPr>
              <w:t>343,0</w:t>
            </w:r>
          </w:p>
        </w:tc>
        <w:tc>
          <w:tcPr>
            <w:tcW w:w="709" w:type="dxa"/>
            <w:shd w:val="clear" w:color="auto" w:fill="DEEAF6"/>
            <w:tcMar>
              <w:left w:w="57" w:type="dxa"/>
              <w:right w:w="57" w:type="dxa"/>
            </w:tcMar>
            <w:vAlign w:val="bottom"/>
          </w:tcPr>
          <w:p w:rsidR="00BF4753" w:rsidRPr="00D7401B" w:rsidRDefault="00BF4753" w:rsidP="002D7CA8">
            <w:pPr>
              <w:ind w:right="5" w:hanging="63"/>
              <w:jc w:val="center"/>
              <w:rPr>
                <w:rFonts w:cs="Times New Roman"/>
                <w:sz w:val="20"/>
                <w:szCs w:val="20"/>
                <w:highlight w:val="yellow"/>
              </w:rPr>
            </w:pPr>
            <w:r w:rsidRPr="00D7401B">
              <w:rPr>
                <w:rFonts w:cs="Times New Roman"/>
                <w:sz w:val="20"/>
                <w:szCs w:val="20"/>
              </w:rPr>
              <w:t>2,8</w:t>
            </w:r>
          </w:p>
        </w:tc>
        <w:tc>
          <w:tcPr>
            <w:tcW w:w="709" w:type="dxa"/>
            <w:shd w:val="clear" w:color="auto" w:fill="DEEAF6"/>
            <w:tcMar>
              <w:left w:w="57" w:type="dxa"/>
              <w:right w:w="57" w:type="dxa"/>
            </w:tcMar>
            <w:vAlign w:val="bottom"/>
          </w:tcPr>
          <w:p w:rsidR="00BF4753" w:rsidRPr="00D7401B" w:rsidRDefault="00BF4753" w:rsidP="002D7CA8">
            <w:pPr>
              <w:ind w:right="5" w:hanging="62"/>
              <w:jc w:val="center"/>
              <w:rPr>
                <w:rFonts w:cs="Times New Roman"/>
                <w:sz w:val="20"/>
                <w:szCs w:val="20"/>
                <w:highlight w:val="yellow"/>
              </w:rPr>
            </w:pPr>
            <w:r w:rsidRPr="00D7401B">
              <w:rPr>
                <w:rFonts w:cs="Times New Roman"/>
                <w:sz w:val="20"/>
                <w:szCs w:val="20"/>
              </w:rPr>
              <w:t>5,4</w:t>
            </w:r>
          </w:p>
        </w:tc>
        <w:tc>
          <w:tcPr>
            <w:tcW w:w="709" w:type="dxa"/>
            <w:shd w:val="clear" w:color="auto" w:fill="DEEAF6"/>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5,7</w:t>
            </w:r>
          </w:p>
        </w:tc>
        <w:tc>
          <w:tcPr>
            <w:tcW w:w="708" w:type="dxa"/>
            <w:shd w:val="clear" w:color="auto" w:fill="DEEAF6"/>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6,0</w:t>
            </w:r>
          </w:p>
        </w:tc>
      </w:tr>
      <w:tr w:rsidR="00BF4753" w:rsidRPr="0059271D" w:rsidTr="002D7CA8">
        <w:trPr>
          <w:gridAfter w:val="1"/>
          <w:wAfter w:w="6" w:type="dxa"/>
          <w:jc w:val="center"/>
        </w:trPr>
        <w:tc>
          <w:tcPr>
            <w:tcW w:w="2836" w:type="dxa"/>
            <w:shd w:val="clear" w:color="auto" w:fill="auto"/>
          </w:tcPr>
          <w:p w:rsidR="00BF4753" w:rsidRPr="005958C8" w:rsidRDefault="00BF4753" w:rsidP="002D7CA8">
            <w:pPr>
              <w:ind w:left="601" w:firstLine="35"/>
              <w:rPr>
                <w:rFonts w:cs="Times New Roman"/>
                <w:bCs/>
                <w:i/>
                <w:sz w:val="20"/>
                <w:szCs w:val="20"/>
              </w:rPr>
            </w:pPr>
            <w:r w:rsidRPr="005958C8">
              <w:rPr>
                <w:rFonts w:cs="Times New Roman"/>
                <w:bCs/>
                <w:i/>
                <w:sz w:val="20"/>
                <w:szCs w:val="20"/>
              </w:rPr>
              <w:t>PVN</w:t>
            </w:r>
          </w:p>
        </w:tc>
        <w:tc>
          <w:tcPr>
            <w:tcW w:w="851" w:type="dxa"/>
            <w:shd w:val="clear" w:color="auto" w:fill="auto"/>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2 764,9</w:t>
            </w:r>
          </w:p>
        </w:tc>
        <w:tc>
          <w:tcPr>
            <w:tcW w:w="844" w:type="dxa"/>
            <w:shd w:val="clear" w:color="auto" w:fill="auto"/>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3 026,0</w:t>
            </w:r>
          </w:p>
        </w:tc>
        <w:tc>
          <w:tcPr>
            <w:tcW w:w="851" w:type="dxa"/>
            <w:tcMar>
              <w:left w:w="57" w:type="dxa"/>
              <w:right w:w="57" w:type="dxa"/>
            </w:tcMar>
            <w:vAlign w:val="bottom"/>
          </w:tcPr>
          <w:p w:rsidR="00BF4753" w:rsidRPr="00D7401B" w:rsidRDefault="00BF4753" w:rsidP="002D7CA8">
            <w:pPr>
              <w:ind w:right="5" w:hanging="60"/>
              <w:jc w:val="center"/>
              <w:rPr>
                <w:rFonts w:cs="Times New Roman"/>
                <w:sz w:val="20"/>
                <w:szCs w:val="20"/>
                <w:highlight w:val="yellow"/>
              </w:rPr>
            </w:pPr>
            <w:r w:rsidRPr="00D7401B">
              <w:rPr>
                <w:rFonts w:cs="Times New Roman"/>
                <w:sz w:val="20"/>
                <w:szCs w:val="20"/>
              </w:rPr>
              <w:t>3 239,9</w:t>
            </w:r>
          </w:p>
        </w:tc>
        <w:tc>
          <w:tcPr>
            <w:tcW w:w="850" w:type="dxa"/>
            <w:shd w:val="clear" w:color="auto" w:fill="auto"/>
            <w:tcMar>
              <w:left w:w="57" w:type="dxa"/>
              <w:right w:w="57" w:type="dxa"/>
            </w:tcMar>
            <w:vAlign w:val="bottom"/>
          </w:tcPr>
          <w:p w:rsidR="00BF4753" w:rsidRPr="00D7401B" w:rsidRDefault="00BF4753" w:rsidP="002D7CA8">
            <w:pPr>
              <w:ind w:right="5" w:hanging="61"/>
              <w:jc w:val="center"/>
              <w:rPr>
                <w:rFonts w:cs="Times New Roman"/>
                <w:sz w:val="20"/>
                <w:szCs w:val="20"/>
                <w:highlight w:val="yellow"/>
              </w:rPr>
            </w:pPr>
            <w:r w:rsidRPr="00D7401B">
              <w:rPr>
                <w:rFonts w:cs="Times New Roman"/>
                <w:sz w:val="20"/>
                <w:szCs w:val="20"/>
              </w:rPr>
              <w:t>3 439,8</w:t>
            </w:r>
          </w:p>
        </w:tc>
        <w:tc>
          <w:tcPr>
            <w:tcW w:w="709" w:type="dxa"/>
            <w:shd w:val="clear" w:color="auto" w:fill="auto"/>
            <w:tcMar>
              <w:left w:w="57" w:type="dxa"/>
              <w:right w:w="57" w:type="dxa"/>
            </w:tcMar>
            <w:vAlign w:val="bottom"/>
          </w:tcPr>
          <w:p w:rsidR="00BF4753" w:rsidRPr="00D7401B" w:rsidRDefault="00BF4753" w:rsidP="002D7CA8">
            <w:pPr>
              <w:ind w:right="5" w:hanging="63"/>
              <w:jc w:val="center"/>
              <w:rPr>
                <w:rFonts w:cs="Times New Roman"/>
                <w:sz w:val="20"/>
                <w:szCs w:val="20"/>
                <w:highlight w:val="yellow"/>
              </w:rPr>
            </w:pPr>
            <w:r w:rsidRPr="00D7401B">
              <w:rPr>
                <w:rFonts w:cs="Times New Roman"/>
                <w:sz w:val="20"/>
                <w:szCs w:val="20"/>
              </w:rPr>
              <w:t>29,3</w:t>
            </w:r>
          </w:p>
        </w:tc>
        <w:tc>
          <w:tcPr>
            <w:tcW w:w="709" w:type="dxa"/>
            <w:shd w:val="clear" w:color="auto" w:fill="auto"/>
            <w:tcMar>
              <w:left w:w="57" w:type="dxa"/>
              <w:right w:w="57" w:type="dxa"/>
            </w:tcMar>
            <w:vAlign w:val="bottom"/>
          </w:tcPr>
          <w:p w:rsidR="00BF4753" w:rsidRPr="00D7401B" w:rsidRDefault="00BF4753" w:rsidP="002D7CA8">
            <w:pPr>
              <w:ind w:right="5" w:hanging="62"/>
              <w:jc w:val="center"/>
              <w:rPr>
                <w:rFonts w:cs="Times New Roman"/>
                <w:sz w:val="20"/>
                <w:szCs w:val="20"/>
                <w:highlight w:val="yellow"/>
              </w:rPr>
            </w:pPr>
            <w:r w:rsidRPr="00D7401B">
              <w:rPr>
                <w:rFonts w:cs="Times New Roman"/>
                <w:sz w:val="20"/>
                <w:szCs w:val="20"/>
              </w:rPr>
              <w:t>52,2</w:t>
            </w:r>
          </w:p>
        </w:tc>
        <w:tc>
          <w:tcPr>
            <w:tcW w:w="709" w:type="dxa"/>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56,4</w:t>
            </w:r>
          </w:p>
        </w:tc>
        <w:tc>
          <w:tcPr>
            <w:tcW w:w="708" w:type="dxa"/>
            <w:shd w:val="clear" w:color="auto" w:fill="auto"/>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59,9</w:t>
            </w:r>
          </w:p>
        </w:tc>
      </w:tr>
      <w:tr w:rsidR="00BF4753" w:rsidRPr="0059271D" w:rsidTr="002D7CA8">
        <w:trPr>
          <w:gridAfter w:val="1"/>
          <w:wAfter w:w="6" w:type="dxa"/>
          <w:jc w:val="center"/>
        </w:trPr>
        <w:tc>
          <w:tcPr>
            <w:tcW w:w="2836" w:type="dxa"/>
            <w:shd w:val="clear" w:color="auto" w:fill="DEEAF6"/>
          </w:tcPr>
          <w:p w:rsidR="00BF4753" w:rsidRPr="005958C8" w:rsidRDefault="00BF4753" w:rsidP="002D7CA8">
            <w:pPr>
              <w:ind w:left="601" w:firstLine="35"/>
              <w:rPr>
                <w:rFonts w:cs="Times New Roman"/>
                <w:bCs/>
                <w:i/>
                <w:sz w:val="20"/>
                <w:szCs w:val="20"/>
              </w:rPr>
            </w:pPr>
            <w:r w:rsidRPr="005958C8">
              <w:rPr>
                <w:rFonts w:cs="Times New Roman"/>
                <w:bCs/>
                <w:i/>
                <w:sz w:val="20"/>
                <w:szCs w:val="20"/>
              </w:rPr>
              <w:t>Valsts sociālās apdrošināšanas obligātās  iemaksas</w:t>
            </w:r>
            <w:r w:rsidRPr="005958C8">
              <w:rPr>
                <w:rFonts w:cs="Times New Roman"/>
                <w:bCs/>
                <w:i/>
                <w:sz w:val="20"/>
                <w:szCs w:val="20"/>
                <w:vertAlign w:val="superscript"/>
              </w:rPr>
              <w:footnoteReference w:id="11"/>
            </w:r>
          </w:p>
        </w:tc>
        <w:tc>
          <w:tcPr>
            <w:tcW w:w="851" w:type="dxa"/>
            <w:shd w:val="clear" w:color="auto" w:fill="DEEAF6"/>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2 891,8</w:t>
            </w:r>
          </w:p>
        </w:tc>
        <w:tc>
          <w:tcPr>
            <w:tcW w:w="844" w:type="dxa"/>
            <w:shd w:val="clear" w:color="auto" w:fill="DEEAF6"/>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3 195,6</w:t>
            </w:r>
          </w:p>
        </w:tc>
        <w:tc>
          <w:tcPr>
            <w:tcW w:w="851" w:type="dxa"/>
            <w:shd w:val="clear" w:color="auto" w:fill="DEEAF6"/>
            <w:tcMar>
              <w:left w:w="57" w:type="dxa"/>
              <w:right w:w="57" w:type="dxa"/>
            </w:tcMar>
            <w:vAlign w:val="bottom"/>
          </w:tcPr>
          <w:p w:rsidR="00BF4753" w:rsidRPr="00D7401B" w:rsidRDefault="00BF4753" w:rsidP="002D7CA8">
            <w:pPr>
              <w:ind w:right="5" w:hanging="60"/>
              <w:jc w:val="center"/>
              <w:rPr>
                <w:rFonts w:cs="Times New Roman"/>
                <w:sz w:val="20"/>
                <w:szCs w:val="20"/>
                <w:highlight w:val="yellow"/>
              </w:rPr>
            </w:pPr>
            <w:r w:rsidRPr="00D7401B">
              <w:rPr>
                <w:rFonts w:cs="Times New Roman"/>
                <w:sz w:val="20"/>
                <w:szCs w:val="20"/>
              </w:rPr>
              <w:t>3 397,4</w:t>
            </w:r>
          </w:p>
        </w:tc>
        <w:tc>
          <w:tcPr>
            <w:tcW w:w="850" w:type="dxa"/>
            <w:shd w:val="clear" w:color="auto" w:fill="DEEAF6"/>
            <w:tcMar>
              <w:left w:w="57" w:type="dxa"/>
              <w:right w:w="57" w:type="dxa"/>
            </w:tcMar>
            <w:vAlign w:val="bottom"/>
          </w:tcPr>
          <w:p w:rsidR="00BF4753" w:rsidRPr="00D7401B" w:rsidRDefault="00BF4753" w:rsidP="002D7CA8">
            <w:pPr>
              <w:ind w:right="5" w:hanging="61"/>
              <w:jc w:val="center"/>
              <w:rPr>
                <w:rFonts w:cs="Times New Roman"/>
                <w:sz w:val="20"/>
                <w:szCs w:val="20"/>
                <w:highlight w:val="yellow"/>
              </w:rPr>
            </w:pPr>
            <w:r w:rsidRPr="00D7401B">
              <w:rPr>
                <w:rFonts w:cs="Times New Roman"/>
                <w:sz w:val="20"/>
                <w:szCs w:val="20"/>
              </w:rPr>
              <w:t>3 550,7</w:t>
            </w:r>
          </w:p>
        </w:tc>
        <w:tc>
          <w:tcPr>
            <w:tcW w:w="709" w:type="dxa"/>
            <w:shd w:val="clear" w:color="auto" w:fill="DEEAF6"/>
            <w:tcMar>
              <w:left w:w="57" w:type="dxa"/>
              <w:right w:w="57" w:type="dxa"/>
            </w:tcMar>
            <w:vAlign w:val="bottom"/>
          </w:tcPr>
          <w:p w:rsidR="00BF4753" w:rsidRPr="00D7401B" w:rsidRDefault="00BF4753" w:rsidP="002D7CA8">
            <w:pPr>
              <w:ind w:right="5" w:hanging="63"/>
              <w:jc w:val="center"/>
              <w:rPr>
                <w:rFonts w:cs="Times New Roman"/>
                <w:sz w:val="20"/>
                <w:szCs w:val="20"/>
                <w:highlight w:val="yellow"/>
              </w:rPr>
            </w:pPr>
            <w:r w:rsidRPr="00D7401B">
              <w:rPr>
                <w:rFonts w:cs="Times New Roman"/>
                <w:sz w:val="20"/>
                <w:szCs w:val="20"/>
              </w:rPr>
              <w:t>30,6</w:t>
            </w:r>
          </w:p>
        </w:tc>
        <w:tc>
          <w:tcPr>
            <w:tcW w:w="709" w:type="dxa"/>
            <w:shd w:val="clear" w:color="auto" w:fill="DEEAF6"/>
            <w:tcMar>
              <w:left w:w="57" w:type="dxa"/>
              <w:right w:w="57" w:type="dxa"/>
            </w:tcMar>
            <w:vAlign w:val="bottom"/>
          </w:tcPr>
          <w:p w:rsidR="00BF4753" w:rsidRPr="00D7401B" w:rsidRDefault="00BF4753" w:rsidP="002D7CA8">
            <w:pPr>
              <w:ind w:right="5" w:hanging="62"/>
              <w:jc w:val="center"/>
              <w:rPr>
                <w:rFonts w:cs="Times New Roman"/>
                <w:sz w:val="20"/>
                <w:szCs w:val="20"/>
                <w:highlight w:val="yellow"/>
              </w:rPr>
            </w:pPr>
            <w:r w:rsidRPr="00D7401B">
              <w:rPr>
                <w:rFonts w:cs="Times New Roman"/>
                <w:sz w:val="20"/>
                <w:szCs w:val="20"/>
              </w:rPr>
              <w:t>55,1</w:t>
            </w:r>
          </w:p>
        </w:tc>
        <w:tc>
          <w:tcPr>
            <w:tcW w:w="709" w:type="dxa"/>
            <w:shd w:val="clear" w:color="auto" w:fill="DEEAF6"/>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59,1</w:t>
            </w:r>
          </w:p>
        </w:tc>
        <w:tc>
          <w:tcPr>
            <w:tcW w:w="708" w:type="dxa"/>
            <w:shd w:val="clear" w:color="auto" w:fill="DEEAF6"/>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61,8</w:t>
            </w:r>
          </w:p>
        </w:tc>
      </w:tr>
      <w:tr w:rsidR="00BF4753" w:rsidRPr="0059271D" w:rsidTr="002D7CA8">
        <w:trPr>
          <w:gridAfter w:val="1"/>
          <w:wAfter w:w="6" w:type="dxa"/>
          <w:jc w:val="center"/>
        </w:trPr>
        <w:tc>
          <w:tcPr>
            <w:tcW w:w="2836" w:type="dxa"/>
            <w:shd w:val="clear" w:color="auto" w:fill="auto"/>
          </w:tcPr>
          <w:p w:rsidR="00BF4753" w:rsidRPr="005958C8" w:rsidRDefault="00BF4753" w:rsidP="002D7CA8">
            <w:pPr>
              <w:ind w:left="601" w:firstLine="35"/>
              <w:rPr>
                <w:rFonts w:cs="Times New Roman"/>
                <w:bCs/>
                <w:i/>
                <w:sz w:val="20"/>
                <w:szCs w:val="20"/>
              </w:rPr>
            </w:pPr>
            <w:r w:rsidRPr="005958C8">
              <w:rPr>
                <w:rFonts w:cs="Times New Roman"/>
                <w:bCs/>
                <w:i/>
                <w:sz w:val="20"/>
                <w:szCs w:val="20"/>
              </w:rPr>
              <w:t>Akcīzes nodoklis</w:t>
            </w:r>
          </w:p>
        </w:tc>
        <w:tc>
          <w:tcPr>
            <w:tcW w:w="851" w:type="dxa"/>
            <w:shd w:val="clear" w:color="auto" w:fill="auto"/>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1 129,4</w:t>
            </w:r>
          </w:p>
        </w:tc>
        <w:tc>
          <w:tcPr>
            <w:tcW w:w="844" w:type="dxa"/>
            <w:shd w:val="clear" w:color="auto" w:fill="auto"/>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1 187,7</w:t>
            </w:r>
          </w:p>
        </w:tc>
        <w:tc>
          <w:tcPr>
            <w:tcW w:w="851" w:type="dxa"/>
            <w:tcMar>
              <w:left w:w="57" w:type="dxa"/>
              <w:right w:w="57" w:type="dxa"/>
            </w:tcMar>
            <w:vAlign w:val="bottom"/>
          </w:tcPr>
          <w:p w:rsidR="00BF4753" w:rsidRPr="00D7401B" w:rsidRDefault="00BF4753" w:rsidP="002D7CA8">
            <w:pPr>
              <w:ind w:right="5" w:hanging="60"/>
              <w:jc w:val="center"/>
              <w:rPr>
                <w:rFonts w:cs="Times New Roman"/>
                <w:sz w:val="20"/>
                <w:szCs w:val="20"/>
                <w:highlight w:val="yellow"/>
              </w:rPr>
            </w:pPr>
            <w:r w:rsidRPr="00D7401B">
              <w:rPr>
                <w:rFonts w:cs="Times New Roman"/>
                <w:sz w:val="20"/>
                <w:szCs w:val="20"/>
              </w:rPr>
              <w:t>1 226,4</w:t>
            </w:r>
          </w:p>
        </w:tc>
        <w:tc>
          <w:tcPr>
            <w:tcW w:w="850" w:type="dxa"/>
            <w:shd w:val="clear" w:color="auto" w:fill="auto"/>
            <w:tcMar>
              <w:left w:w="57" w:type="dxa"/>
              <w:right w:w="57" w:type="dxa"/>
            </w:tcMar>
            <w:vAlign w:val="bottom"/>
          </w:tcPr>
          <w:p w:rsidR="00BF4753" w:rsidRPr="00D7401B" w:rsidRDefault="00BF4753" w:rsidP="002D7CA8">
            <w:pPr>
              <w:ind w:right="5" w:hanging="61"/>
              <w:jc w:val="center"/>
              <w:rPr>
                <w:rFonts w:cs="Times New Roman"/>
                <w:sz w:val="20"/>
                <w:szCs w:val="20"/>
                <w:highlight w:val="yellow"/>
              </w:rPr>
            </w:pPr>
            <w:r w:rsidRPr="00D7401B">
              <w:rPr>
                <w:rFonts w:cs="Times New Roman"/>
                <w:sz w:val="20"/>
                <w:szCs w:val="20"/>
              </w:rPr>
              <w:t>1 256,4</w:t>
            </w:r>
          </w:p>
        </w:tc>
        <w:tc>
          <w:tcPr>
            <w:tcW w:w="709" w:type="dxa"/>
            <w:shd w:val="clear" w:color="auto" w:fill="auto"/>
            <w:tcMar>
              <w:left w:w="57" w:type="dxa"/>
              <w:right w:w="57" w:type="dxa"/>
            </w:tcMar>
            <w:vAlign w:val="bottom"/>
          </w:tcPr>
          <w:p w:rsidR="00BF4753" w:rsidRPr="00D7401B" w:rsidRDefault="00BF4753" w:rsidP="002D7CA8">
            <w:pPr>
              <w:ind w:right="5" w:hanging="63"/>
              <w:jc w:val="center"/>
              <w:rPr>
                <w:rFonts w:cs="Times New Roman"/>
                <w:sz w:val="20"/>
                <w:szCs w:val="20"/>
                <w:highlight w:val="yellow"/>
              </w:rPr>
            </w:pPr>
            <w:r w:rsidRPr="00D7401B">
              <w:rPr>
                <w:rFonts w:cs="Times New Roman"/>
                <w:sz w:val="20"/>
                <w:szCs w:val="20"/>
              </w:rPr>
              <w:t>12,0</w:t>
            </w:r>
          </w:p>
        </w:tc>
        <w:tc>
          <w:tcPr>
            <w:tcW w:w="709" w:type="dxa"/>
            <w:shd w:val="clear" w:color="auto" w:fill="auto"/>
            <w:tcMar>
              <w:left w:w="57" w:type="dxa"/>
              <w:right w:w="57" w:type="dxa"/>
            </w:tcMar>
            <w:vAlign w:val="bottom"/>
          </w:tcPr>
          <w:p w:rsidR="00BF4753" w:rsidRPr="00D7401B" w:rsidRDefault="00BF4753" w:rsidP="002D7CA8">
            <w:pPr>
              <w:ind w:right="5" w:hanging="62"/>
              <w:jc w:val="center"/>
              <w:rPr>
                <w:rFonts w:cs="Times New Roman"/>
                <w:sz w:val="20"/>
                <w:szCs w:val="20"/>
                <w:highlight w:val="yellow"/>
              </w:rPr>
            </w:pPr>
            <w:r w:rsidRPr="00D7401B">
              <w:rPr>
                <w:rFonts w:cs="Times New Roman"/>
                <w:sz w:val="20"/>
                <w:szCs w:val="20"/>
              </w:rPr>
              <w:t>20,5</w:t>
            </w:r>
          </w:p>
        </w:tc>
        <w:tc>
          <w:tcPr>
            <w:tcW w:w="709" w:type="dxa"/>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21,3</w:t>
            </w:r>
          </w:p>
        </w:tc>
        <w:tc>
          <w:tcPr>
            <w:tcW w:w="708" w:type="dxa"/>
            <w:shd w:val="clear" w:color="auto" w:fill="auto"/>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21,9</w:t>
            </w:r>
          </w:p>
        </w:tc>
      </w:tr>
      <w:tr w:rsidR="00BF4753" w:rsidRPr="0059271D" w:rsidTr="002D7CA8">
        <w:trPr>
          <w:gridAfter w:val="1"/>
          <w:wAfter w:w="6" w:type="dxa"/>
          <w:jc w:val="center"/>
        </w:trPr>
        <w:tc>
          <w:tcPr>
            <w:tcW w:w="2836" w:type="dxa"/>
            <w:shd w:val="clear" w:color="auto" w:fill="DEEAF6"/>
            <w:vAlign w:val="center"/>
          </w:tcPr>
          <w:p w:rsidR="00BF4753" w:rsidRPr="005958C8" w:rsidRDefault="00BF4753" w:rsidP="002D7CA8">
            <w:pPr>
              <w:ind w:left="166" w:hanging="108"/>
              <w:rPr>
                <w:rFonts w:eastAsia="Times New Roman" w:cs="Times New Roman"/>
                <w:bCs/>
                <w:noProof/>
                <w:sz w:val="20"/>
                <w:szCs w:val="20"/>
                <w:lang w:eastAsia="lv-LV"/>
              </w:rPr>
            </w:pPr>
            <w:r w:rsidRPr="005958C8">
              <w:rPr>
                <w:rFonts w:eastAsia="Times New Roman" w:cs="Times New Roman"/>
                <w:bCs/>
                <w:noProof/>
                <w:sz w:val="20"/>
                <w:szCs w:val="20"/>
                <w:lang w:eastAsia="lv-LV"/>
              </w:rPr>
              <w:t>Nenodokļu ieņēmumi</w:t>
            </w:r>
          </w:p>
        </w:tc>
        <w:tc>
          <w:tcPr>
            <w:tcW w:w="851" w:type="dxa"/>
            <w:shd w:val="clear" w:color="auto" w:fill="DEEAF6"/>
            <w:tcMar>
              <w:left w:w="57" w:type="dxa"/>
              <w:right w:w="57" w:type="dxa"/>
            </w:tcMar>
            <w:vAlign w:val="center"/>
          </w:tcPr>
          <w:p w:rsidR="00BF4753" w:rsidRPr="00100166" w:rsidRDefault="00BF4753" w:rsidP="002D7CA8">
            <w:pPr>
              <w:ind w:right="6" w:firstLine="0"/>
              <w:jc w:val="center"/>
              <w:rPr>
                <w:rFonts w:cs="Times New Roman"/>
                <w:sz w:val="20"/>
                <w:szCs w:val="20"/>
              </w:rPr>
            </w:pPr>
            <w:r w:rsidRPr="00100166">
              <w:rPr>
                <w:rFonts w:cs="Times New Roman"/>
                <w:sz w:val="20"/>
                <w:szCs w:val="20"/>
              </w:rPr>
              <w:t>648,5</w:t>
            </w:r>
          </w:p>
        </w:tc>
        <w:tc>
          <w:tcPr>
            <w:tcW w:w="844" w:type="dxa"/>
            <w:shd w:val="clear" w:color="auto" w:fill="DEEAF6"/>
            <w:tcMar>
              <w:left w:w="57" w:type="dxa"/>
              <w:right w:w="57" w:type="dxa"/>
            </w:tcMar>
            <w:vAlign w:val="center"/>
          </w:tcPr>
          <w:p w:rsidR="00BF4753" w:rsidRPr="00100166" w:rsidRDefault="00BF4753" w:rsidP="002D7CA8">
            <w:pPr>
              <w:ind w:right="6" w:firstLine="0"/>
              <w:jc w:val="center"/>
              <w:rPr>
                <w:rFonts w:cs="Times New Roman"/>
                <w:sz w:val="20"/>
                <w:szCs w:val="20"/>
              </w:rPr>
            </w:pPr>
            <w:r w:rsidRPr="00100166">
              <w:rPr>
                <w:rFonts w:cs="Times New Roman"/>
                <w:sz w:val="20"/>
                <w:szCs w:val="20"/>
              </w:rPr>
              <w:t>557,2</w:t>
            </w:r>
          </w:p>
        </w:tc>
        <w:tc>
          <w:tcPr>
            <w:tcW w:w="851" w:type="dxa"/>
            <w:shd w:val="clear" w:color="auto" w:fill="DEEAF6"/>
            <w:tcMar>
              <w:left w:w="57" w:type="dxa"/>
              <w:right w:w="57" w:type="dxa"/>
            </w:tcMar>
            <w:vAlign w:val="center"/>
          </w:tcPr>
          <w:p w:rsidR="00BF4753" w:rsidRPr="00100166" w:rsidRDefault="00BF4753" w:rsidP="002D7CA8">
            <w:pPr>
              <w:ind w:right="6" w:hanging="60"/>
              <w:jc w:val="center"/>
              <w:rPr>
                <w:rFonts w:cs="Times New Roman"/>
                <w:sz w:val="20"/>
                <w:szCs w:val="20"/>
              </w:rPr>
            </w:pPr>
            <w:r w:rsidRPr="00100166">
              <w:rPr>
                <w:rFonts w:cs="Times New Roman"/>
                <w:sz w:val="20"/>
                <w:szCs w:val="20"/>
              </w:rPr>
              <w:t>548,7</w:t>
            </w:r>
          </w:p>
        </w:tc>
        <w:tc>
          <w:tcPr>
            <w:tcW w:w="850" w:type="dxa"/>
            <w:shd w:val="clear" w:color="auto" w:fill="DEEAF6"/>
            <w:tcMar>
              <w:left w:w="57" w:type="dxa"/>
              <w:right w:w="57" w:type="dxa"/>
            </w:tcMar>
            <w:vAlign w:val="center"/>
          </w:tcPr>
          <w:p w:rsidR="00BF4753" w:rsidRPr="00100166" w:rsidRDefault="00BF4753" w:rsidP="002D7CA8">
            <w:pPr>
              <w:ind w:right="6" w:hanging="61"/>
              <w:jc w:val="center"/>
              <w:rPr>
                <w:rFonts w:cs="Times New Roman"/>
                <w:sz w:val="20"/>
                <w:szCs w:val="20"/>
              </w:rPr>
            </w:pPr>
            <w:r w:rsidRPr="00100166">
              <w:rPr>
                <w:rFonts w:cs="Times New Roman"/>
                <w:sz w:val="20"/>
                <w:szCs w:val="20"/>
              </w:rPr>
              <w:t>514,6</w:t>
            </w:r>
          </w:p>
        </w:tc>
        <w:tc>
          <w:tcPr>
            <w:tcW w:w="709" w:type="dxa"/>
            <w:shd w:val="clear" w:color="auto" w:fill="DEEAF6"/>
            <w:tcMar>
              <w:left w:w="57" w:type="dxa"/>
              <w:right w:w="57" w:type="dxa"/>
            </w:tcMar>
            <w:vAlign w:val="center"/>
          </w:tcPr>
          <w:p w:rsidR="00BF4753" w:rsidRPr="00100166" w:rsidRDefault="00BF4753" w:rsidP="002D7CA8">
            <w:pPr>
              <w:ind w:right="6" w:hanging="63"/>
              <w:jc w:val="center"/>
              <w:rPr>
                <w:rFonts w:cs="Times New Roman"/>
                <w:sz w:val="20"/>
                <w:szCs w:val="20"/>
              </w:rPr>
            </w:pPr>
            <w:r w:rsidRPr="00100166">
              <w:rPr>
                <w:rFonts w:cs="Times New Roman"/>
                <w:sz w:val="20"/>
                <w:szCs w:val="20"/>
              </w:rPr>
              <w:t>5,6</w:t>
            </w:r>
          </w:p>
        </w:tc>
        <w:tc>
          <w:tcPr>
            <w:tcW w:w="709" w:type="dxa"/>
            <w:shd w:val="clear" w:color="auto" w:fill="DEEAF6"/>
            <w:tcMar>
              <w:left w:w="57" w:type="dxa"/>
              <w:right w:w="57" w:type="dxa"/>
            </w:tcMar>
            <w:vAlign w:val="center"/>
          </w:tcPr>
          <w:p w:rsidR="00BF4753" w:rsidRPr="00100166" w:rsidRDefault="00BF4753" w:rsidP="002D7CA8">
            <w:pPr>
              <w:ind w:right="6" w:hanging="62"/>
              <w:jc w:val="center"/>
              <w:rPr>
                <w:rFonts w:cs="Times New Roman"/>
                <w:sz w:val="20"/>
                <w:szCs w:val="20"/>
              </w:rPr>
            </w:pPr>
            <w:r w:rsidRPr="00100166">
              <w:rPr>
                <w:rFonts w:cs="Times New Roman"/>
                <w:sz w:val="20"/>
                <w:szCs w:val="20"/>
              </w:rPr>
              <w:t>7,5</w:t>
            </w:r>
          </w:p>
        </w:tc>
        <w:tc>
          <w:tcPr>
            <w:tcW w:w="709" w:type="dxa"/>
            <w:shd w:val="clear" w:color="auto" w:fill="DEEAF6"/>
            <w:tcMar>
              <w:left w:w="57" w:type="dxa"/>
              <w:right w:w="57" w:type="dxa"/>
            </w:tcMar>
            <w:vAlign w:val="center"/>
          </w:tcPr>
          <w:p w:rsidR="00BF4753" w:rsidRPr="00100166" w:rsidRDefault="00BF4753" w:rsidP="002D7CA8">
            <w:pPr>
              <w:ind w:right="6" w:firstLine="0"/>
              <w:jc w:val="center"/>
              <w:rPr>
                <w:rFonts w:cs="Times New Roman"/>
                <w:sz w:val="20"/>
                <w:szCs w:val="20"/>
              </w:rPr>
            </w:pPr>
            <w:r w:rsidRPr="00100166">
              <w:rPr>
                <w:rFonts w:cs="Times New Roman"/>
                <w:sz w:val="20"/>
                <w:szCs w:val="20"/>
              </w:rPr>
              <w:t>7,4</w:t>
            </w:r>
          </w:p>
        </w:tc>
        <w:tc>
          <w:tcPr>
            <w:tcW w:w="708" w:type="dxa"/>
            <w:shd w:val="clear" w:color="auto" w:fill="DEEAF6"/>
            <w:tcMar>
              <w:left w:w="57" w:type="dxa"/>
              <w:right w:w="57" w:type="dxa"/>
            </w:tcMar>
            <w:vAlign w:val="center"/>
          </w:tcPr>
          <w:p w:rsidR="00BF4753" w:rsidRPr="00100166" w:rsidRDefault="00BF4753" w:rsidP="002D7CA8">
            <w:pPr>
              <w:ind w:right="6" w:firstLine="0"/>
              <w:jc w:val="center"/>
              <w:rPr>
                <w:rFonts w:cs="Times New Roman"/>
                <w:sz w:val="20"/>
                <w:szCs w:val="20"/>
              </w:rPr>
            </w:pPr>
            <w:r w:rsidRPr="00100166">
              <w:rPr>
                <w:rFonts w:cs="Times New Roman"/>
                <w:sz w:val="20"/>
                <w:szCs w:val="20"/>
              </w:rPr>
              <w:t>6,7</w:t>
            </w:r>
          </w:p>
        </w:tc>
      </w:tr>
      <w:tr w:rsidR="00BF4753" w:rsidRPr="0059271D" w:rsidTr="002D7CA8">
        <w:trPr>
          <w:gridAfter w:val="1"/>
          <w:wAfter w:w="6" w:type="dxa"/>
          <w:jc w:val="center"/>
        </w:trPr>
        <w:tc>
          <w:tcPr>
            <w:tcW w:w="2836" w:type="dxa"/>
            <w:shd w:val="clear" w:color="auto" w:fill="auto"/>
            <w:vAlign w:val="center"/>
          </w:tcPr>
          <w:p w:rsidR="00BF4753" w:rsidRPr="005958C8" w:rsidRDefault="00BF4753" w:rsidP="002D7CA8">
            <w:pPr>
              <w:ind w:left="166" w:hanging="108"/>
              <w:rPr>
                <w:rFonts w:eastAsia="Times New Roman" w:cs="Times New Roman"/>
                <w:bCs/>
                <w:noProof/>
                <w:sz w:val="20"/>
                <w:szCs w:val="20"/>
                <w:lang w:eastAsia="lv-LV"/>
              </w:rPr>
            </w:pPr>
            <w:r w:rsidRPr="005958C8">
              <w:rPr>
                <w:rFonts w:eastAsia="Times New Roman" w:cs="Times New Roman"/>
                <w:bCs/>
                <w:noProof/>
                <w:sz w:val="20"/>
                <w:szCs w:val="20"/>
                <w:lang w:eastAsia="lv-LV"/>
              </w:rPr>
              <w:t>Procentu izdevumi</w:t>
            </w:r>
          </w:p>
        </w:tc>
        <w:tc>
          <w:tcPr>
            <w:tcW w:w="851" w:type="dxa"/>
            <w:shd w:val="clear" w:color="auto" w:fill="auto"/>
            <w:tcMar>
              <w:left w:w="57" w:type="dxa"/>
              <w:right w:w="57" w:type="dxa"/>
            </w:tcMar>
            <w:vAlign w:val="center"/>
          </w:tcPr>
          <w:p w:rsidR="00BF4753" w:rsidRPr="00100166" w:rsidRDefault="00BF4753" w:rsidP="002D7CA8">
            <w:pPr>
              <w:ind w:right="5" w:firstLine="0"/>
              <w:jc w:val="center"/>
              <w:rPr>
                <w:rFonts w:cs="Times New Roman"/>
                <w:sz w:val="20"/>
                <w:szCs w:val="20"/>
              </w:rPr>
            </w:pPr>
            <w:r w:rsidRPr="00100166">
              <w:rPr>
                <w:rFonts w:cs="Times New Roman"/>
                <w:sz w:val="20"/>
                <w:szCs w:val="20"/>
              </w:rPr>
              <w:t>262,2</w:t>
            </w:r>
          </w:p>
        </w:tc>
        <w:tc>
          <w:tcPr>
            <w:tcW w:w="844" w:type="dxa"/>
            <w:shd w:val="clear" w:color="auto" w:fill="auto"/>
            <w:tcMar>
              <w:left w:w="57" w:type="dxa"/>
              <w:right w:w="57" w:type="dxa"/>
            </w:tcMar>
            <w:vAlign w:val="center"/>
          </w:tcPr>
          <w:p w:rsidR="00BF4753" w:rsidRPr="00100166" w:rsidRDefault="00BF4753" w:rsidP="002D7CA8">
            <w:pPr>
              <w:ind w:right="5" w:firstLine="0"/>
              <w:jc w:val="center"/>
              <w:rPr>
                <w:rFonts w:cs="Times New Roman"/>
                <w:sz w:val="20"/>
                <w:szCs w:val="20"/>
              </w:rPr>
            </w:pPr>
            <w:r w:rsidRPr="00100166">
              <w:rPr>
                <w:rFonts w:cs="Times New Roman"/>
                <w:sz w:val="20"/>
                <w:szCs w:val="20"/>
              </w:rPr>
              <w:t>242,1</w:t>
            </w:r>
          </w:p>
        </w:tc>
        <w:tc>
          <w:tcPr>
            <w:tcW w:w="851" w:type="dxa"/>
            <w:tcMar>
              <w:left w:w="57" w:type="dxa"/>
              <w:right w:w="57" w:type="dxa"/>
            </w:tcMar>
            <w:vAlign w:val="center"/>
          </w:tcPr>
          <w:p w:rsidR="00BF4753" w:rsidRPr="00100166" w:rsidRDefault="00BF4753" w:rsidP="002D7CA8">
            <w:pPr>
              <w:ind w:right="5" w:hanging="60"/>
              <w:jc w:val="center"/>
              <w:rPr>
                <w:rFonts w:cs="Times New Roman"/>
                <w:sz w:val="20"/>
                <w:szCs w:val="20"/>
              </w:rPr>
            </w:pPr>
            <w:r w:rsidRPr="00100166">
              <w:rPr>
                <w:rFonts w:cs="Times New Roman"/>
                <w:sz w:val="20"/>
                <w:szCs w:val="20"/>
              </w:rPr>
              <w:t>239,1</w:t>
            </w:r>
          </w:p>
        </w:tc>
        <w:tc>
          <w:tcPr>
            <w:tcW w:w="850" w:type="dxa"/>
            <w:shd w:val="clear" w:color="auto" w:fill="auto"/>
            <w:tcMar>
              <w:left w:w="57" w:type="dxa"/>
              <w:right w:w="57" w:type="dxa"/>
            </w:tcMar>
            <w:vAlign w:val="center"/>
          </w:tcPr>
          <w:p w:rsidR="00BF4753" w:rsidRPr="00100166" w:rsidRDefault="00BF4753" w:rsidP="002D7CA8">
            <w:pPr>
              <w:ind w:right="5" w:hanging="61"/>
              <w:jc w:val="center"/>
              <w:rPr>
                <w:rFonts w:cs="Times New Roman"/>
                <w:sz w:val="20"/>
                <w:szCs w:val="20"/>
              </w:rPr>
            </w:pPr>
            <w:r w:rsidRPr="00100166">
              <w:rPr>
                <w:rFonts w:cs="Times New Roman"/>
                <w:sz w:val="20"/>
                <w:szCs w:val="20"/>
              </w:rPr>
              <w:t>236,7</w:t>
            </w:r>
          </w:p>
        </w:tc>
        <w:tc>
          <w:tcPr>
            <w:tcW w:w="709" w:type="dxa"/>
            <w:shd w:val="clear" w:color="auto" w:fill="auto"/>
            <w:tcMar>
              <w:left w:w="57" w:type="dxa"/>
              <w:right w:w="57" w:type="dxa"/>
            </w:tcMar>
            <w:vAlign w:val="center"/>
          </w:tcPr>
          <w:p w:rsidR="00BF4753" w:rsidRPr="00100166" w:rsidRDefault="00BF4753" w:rsidP="002D7CA8">
            <w:pPr>
              <w:ind w:right="5" w:hanging="63"/>
              <w:jc w:val="center"/>
              <w:rPr>
                <w:rFonts w:cs="Times New Roman"/>
                <w:sz w:val="20"/>
                <w:szCs w:val="20"/>
              </w:rPr>
            </w:pPr>
            <w:r w:rsidRPr="00100166">
              <w:rPr>
                <w:rFonts w:cs="Times New Roman"/>
                <w:sz w:val="20"/>
                <w:szCs w:val="20"/>
              </w:rPr>
              <w:t>0,0</w:t>
            </w:r>
          </w:p>
        </w:tc>
        <w:tc>
          <w:tcPr>
            <w:tcW w:w="709" w:type="dxa"/>
            <w:shd w:val="clear" w:color="auto" w:fill="auto"/>
            <w:tcMar>
              <w:left w:w="57" w:type="dxa"/>
              <w:right w:w="57" w:type="dxa"/>
            </w:tcMar>
            <w:vAlign w:val="center"/>
          </w:tcPr>
          <w:p w:rsidR="00BF4753" w:rsidRPr="00100166" w:rsidRDefault="00BF4753" w:rsidP="002D7CA8">
            <w:pPr>
              <w:ind w:right="5" w:hanging="62"/>
              <w:jc w:val="center"/>
              <w:rPr>
                <w:rFonts w:cs="Times New Roman"/>
                <w:sz w:val="20"/>
                <w:szCs w:val="20"/>
              </w:rPr>
            </w:pPr>
            <w:r w:rsidRPr="00100166">
              <w:rPr>
                <w:rFonts w:cs="Times New Roman"/>
                <w:sz w:val="20"/>
                <w:szCs w:val="20"/>
              </w:rPr>
              <w:t>-0,1</w:t>
            </w:r>
          </w:p>
        </w:tc>
        <w:tc>
          <w:tcPr>
            <w:tcW w:w="709" w:type="dxa"/>
            <w:tcMar>
              <w:left w:w="57" w:type="dxa"/>
              <w:right w:w="57" w:type="dxa"/>
            </w:tcMar>
            <w:vAlign w:val="center"/>
          </w:tcPr>
          <w:p w:rsidR="00BF4753" w:rsidRPr="00100166" w:rsidRDefault="00BF4753" w:rsidP="002D7CA8">
            <w:pPr>
              <w:ind w:right="5" w:firstLine="0"/>
              <w:jc w:val="center"/>
              <w:rPr>
                <w:rFonts w:cs="Times New Roman"/>
                <w:sz w:val="20"/>
                <w:szCs w:val="20"/>
              </w:rPr>
            </w:pPr>
            <w:r w:rsidRPr="00100166">
              <w:rPr>
                <w:rFonts w:cs="Times New Roman"/>
                <w:sz w:val="20"/>
                <w:szCs w:val="20"/>
              </w:rPr>
              <w:t>-0,9</w:t>
            </w:r>
          </w:p>
        </w:tc>
        <w:tc>
          <w:tcPr>
            <w:tcW w:w="708" w:type="dxa"/>
            <w:shd w:val="clear" w:color="auto" w:fill="auto"/>
            <w:tcMar>
              <w:left w:w="57" w:type="dxa"/>
              <w:right w:w="57" w:type="dxa"/>
            </w:tcMar>
            <w:vAlign w:val="center"/>
          </w:tcPr>
          <w:p w:rsidR="00BF4753" w:rsidRPr="00100166" w:rsidRDefault="00BF4753" w:rsidP="002D7CA8">
            <w:pPr>
              <w:ind w:right="5" w:firstLine="0"/>
              <w:jc w:val="center"/>
              <w:rPr>
                <w:rFonts w:cs="Times New Roman"/>
                <w:sz w:val="20"/>
                <w:szCs w:val="20"/>
              </w:rPr>
            </w:pPr>
            <w:r w:rsidRPr="00100166">
              <w:rPr>
                <w:rFonts w:cs="Times New Roman"/>
                <w:sz w:val="20"/>
                <w:szCs w:val="20"/>
              </w:rPr>
              <w:t>-2,5</w:t>
            </w:r>
          </w:p>
        </w:tc>
      </w:tr>
      <w:tr w:rsidR="00BF4753" w:rsidRPr="0059271D" w:rsidTr="002D7CA8">
        <w:trPr>
          <w:gridAfter w:val="1"/>
          <w:wAfter w:w="6" w:type="dxa"/>
          <w:jc w:val="center"/>
        </w:trPr>
        <w:tc>
          <w:tcPr>
            <w:tcW w:w="2836" w:type="dxa"/>
            <w:shd w:val="clear" w:color="auto" w:fill="DEEAF6"/>
            <w:vAlign w:val="center"/>
          </w:tcPr>
          <w:p w:rsidR="00BF4753" w:rsidRPr="00051F48" w:rsidRDefault="00BF4753" w:rsidP="002D7CA8">
            <w:pPr>
              <w:ind w:hanging="108"/>
              <w:rPr>
                <w:rFonts w:eastAsia="Times New Roman" w:cs="Times New Roman"/>
                <w:b/>
                <w:noProof/>
                <w:sz w:val="20"/>
                <w:szCs w:val="20"/>
                <w:lang w:eastAsia="lv-LV"/>
              </w:rPr>
            </w:pPr>
            <w:r w:rsidRPr="00051F48">
              <w:rPr>
                <w:rFonts w:eastAsia="Times New Roman" w:cs="Times New Roman"/>
                <w:b/>
                <w:noProof/>
                <w:sz w:val="20"/>
                <w:szCs w:val="20"/>
                <w:lang w:eastAsia="lv-LV"/>
              </w:rPr>
              <w:t>Vispārējās valdības parāds</w:t>
            </w:r>
            <w:r>
              <w:rPr>
                <w:rFonts w:eastAsia="Times New Roman" w:cs="Times New Roman"/>
                <w:b/>
                <w:noProof/>
                <w:sz w:val="20"/>
                <w:szCs w:val="20"/>
                <w:lang w:eastAsia="lv-LV"/>
              </w:rPr>
              <w:t>,</w:t>
            </w:r>
            <w:r>
              <w:rPr>
                <w:rFonts w:eastAsia="Times New Roman" w:cs="Times New Roman"/>
                <w:b/>
                <w:noProof/>
                <w:sz w:val="20"/>
                <w:szCs w:val="20"/>
                <w:lang w:eastAsia="lv-LV"/>
              </w:rPr>
              <w:br/>
              <w:t>% no IKP</w:t>
            </w:r>
          </w:p>
        </w:tc>
        <w:tc>
          <w:tcPr>
            <w:tcW w:w="851" w:type="dxa"/>
            <w:shd w:val="clear" w:color="auto" w:fill="DEEAF6"/>
            <w:tcMar>
              <w:left w:w="57" w:type="dxa"/>
              <w:right w:w="57" w:type="dxa"/>
            </w:tcMar>
            <w:vAlign w:val="center"/>
          </w:tcPr>
          <w:p w:rsidR="00BF4753" w:rsidRPr="005958C8" w:rsidRDefault="00BF4753" w:rsidP="002D7CA8">
            <w:pPr>
              <w:ind w:right="5" w:firstLine="0"/>
              <w:jc w:val="center"/>
              <w:rPr>
                <w:rFonts w:cs="Times New Roman"/>
                <w:b/>
                <w:bCs/>
                <w:sz w:val="20"/>
                <w:szCs w:val="20"/>
              </w:rPr>
            </w:pPr>
            <w:r w:rsidRPr="005958C8">
              <w:rPr>
                <w:rFonts w:cs="Times New Roman"/>
                <w:b/>
                <w:bCs/>
                <w:sz w:val="20"/>
                <w:szCs w:val="20"/>
              </w:rPr>
              <w:t>48,1</w:t>
            </w:r>
          </w:p>
        </w:tc>
        <w:tc>
          <w:tcPr>
            <w:tcW w:w="844" w:type="dxa"/>
            <w:shd w:val="clear" w:color="auto" w:fill="DEEAF6"/>
            <w:tcMar>
              <w:left w:w="57" w:type="dxa"/>
              <w:right w:w="57" w:type="dxa"/>
            </w:tcMar>
            <w:vAlign w:val="center"/>
          </w:tcPr>
          <w:p w:rsidR="00BF4753" w:rsidRPr="005958C8" w:rsidRDefault="00BF4753" w:rsidP="002D7CA8">
            <w:pPr>
              <w:ind w:right="5" w:firstLine="0"/>
              <w:jc w:val="center"/>
              <w:rPr>
                <w:rFonts w:cs="Times New Roman"/>
                <w:b/>
                <w:bCs/>
                <w:sz w:val="20"/>
                <w:szCs w:val="20"/>
              </w:rPr>
            </w:pPr>
            <w:r w:rsidRPr="005958C8">
              <w:rPr>
                <w:rFonts w:cs="Times New Roman"/>
                <w:b/>
                <w:bCs/>
                <w:sz w:val="20"/>
                <w:szCs w:val="20"/>
              </w:rPr>
              <w:t>48,7</w:t>
            </w:r>
          </w:p>
        </w:tc>
        <w:tc>
          <w:tcPr>
            <w:tcW w:w="851" w:type="dxa"/>
            <w:shd w:val="clear" w:color="auto" w:fill="DEEAF6"/>
            <w:tcMar>
              <w:left w:w="57" w:type="dxa"/>
              <w:right w:w="57" w:type="dxa"/>
            </w:tcMar>
            <w:vAlign w:val="center"/>
          </w:tcPr>
          <w:p w:rsidR="00BF4753" w:rsidRPr="005958C8" w:rsidRDefault="00BF4753" w:rsidP="002D7CA8">
            <w:pPr>
              <w:ind w:right="5" w:hanging="60"/>
              <w:jc w:val="center"/>
              <w:rPr>
                <w:rFonts w:cs="Times New Roman"/>
                <w:b/>
                <w:bCs/>
                <w:sz w:val="20"/>
                <w:szCs w:val="20"/>
              </w:rPr>
            </w:pPr>
            <w:r w:rsidRPr="005958C8">
              <w:rPr>
                <w:rFonts w:cs="Times New Roman"/>
                <w:b/>
                <w:bCs/>
                <w:sz w:val="20"/>
                <w:szCs w:val="20"/>
              </w:rPr>
              <w:t>46,7</w:t>
            </w:r>
          </w:p>
        </w:tc>
        <w:tc>
          <w:tcPr>
            <w:tcW w:w="850" w:type="dxa"/>
            <w:shd w:val="clear" w:color="auto" w:fill="DEEAF6"/>
            <w:tcMar>
              <w:left w:w="57" w:type="dxa"/>
              <w:right w:w="57" w:type="dxa"/>
            </w:tcMar>
            <w:vAlign w:val="center"/>
          </w:tcPr>
          <w:p w:rsidR="00BF4753" w:rsidRPr="005958C8" w:rsidRDefault="00BF4753" w:rsidP="002D7CA8">
            <w:pPr>
              <w:ind w:right="5" w:hanging="61"/>
              <w:jc w:val="center"/>
              <w:rPr>
                <w:rFonts w:cs="Times New Roman"/>
                <w:b/>
                <w:bCs/>
                <w:sz w:val="20"/>
                <w:szCs w:val="20"/>
              </w:rPr>
            </w:pPr>
            <w:r w:rsidRPr="005958C8">
              <w:rPr>
                <w:rFonts w:cs="Times New Roman"/>
                <w:b/>
                <w:bCs/>
                <w:sz w:val="20"/>
                <w:szCs w:val="20"/>
              </w:rPr>
              <w:t>45,8</w:t>
            </w:r>
          </w:p>
        </w:tc>
        <w:tc>
          <w:tcPr>
            <w:tcW w:w="709" w:type="dxa"/>
            <w:shd w:val="clear" w:color="auto" w:fill="DEEAF6"/>
            <w:tcMar>
              <w:left w:w="57" w:type="dxa"/>
              <w:right w:w="57" w:type="dxa"/>
            </w:tcMar>
            <w:vAlign w:val="center"/>
          </w:tcPr>
          <w:p w:rsidR="00BF4753" w:rsidRPr="005958C8" w:rsidRDefault="00BF4753" w:rsidP="002D7CA8">
            <w:pPr>
              <w:ind w:right="5" w:hanging="63"/>
              <w:jc w:val="center"/>
              <w:rPr>
                <w:rFonts w:cs="Times New Roman"/>
                <w:b/>
                <w:bCs/>
                <w:sz w:val="20"/>
                <w:szCs w:val="20"/>
              </w:rPr>
            </w:pPr>
            <w:r w:rsidRPr="005958C8">
              <w:rPr>
                <w:rFonts w:cs="Times New Roman"/>
                <w:b/>
                <w:bCs/>
                <w:sz w:val="20"/>
                <w:szCs w:val="20"/>
              </w:rPr>
              <w:t>-0,8</w:t>
            </w:r>
          </w:p>
        </w:tc>
        <w:tc>
          <w:tcPr>
            <w:tcW w:w="709" w:type="dxa"/>
            <w:shd w:val="clear" w:color="auto" w:fill="DEEAF6"/>
            <w:tcMar>
              <w:left w:w="57" w:type="dxa"/>
              <w:right w:w="57" w:type="dxa"/>
            </w:tcMar>
            <w:vAlign w:val="center"/>
          </w:tcPr>
          <w:p w:rsidR="00BF4753" w:rsidRPr="005958C8" w:rsidRDefault="00BF4753" w:rsidP="002D7CA8">
            <w:pPr>
              <w:ind w:right="5" w:hanging="62"/>
              <w:jc w:val="center"/>
              <w:rPr>
                <w:rFonts w:cs="Times New Roman"/>
                <w:b/>
                <w:bCs/>
                <w:sz w:val="20"/>
                <w:szCs w:val="20"/>
              </w:rPr>
            </w:pPr>
            <w:r w:rsidRPr="005958C8">
              <w:rPr>
                <w:rFonts w:cs="Times New Roman"/>
                <w:b/>
                <w:bCs/>
                <w:sz w:val="20"/>
                <w:szCs w:val="20"/>
              </w:rPr>
              <w:t>-1,7</w:t>
            </w:r>
          </w:p>
        </w:tc>
        <w:tc>
          <w:tcPr>
            <w:tcW w:w="709" w:type="dxa"/>
            <w:shd w:val="clear" w:color="auto" w:fill="DEEAF6"/>
            <w:tcMar>
              <w:left w:w="57" w:type="dxa"/>
              <w:right w:w="57" w:type="dxa"/>
            </w:tcMar>
            <w:vAlign w:val="center"/>
          </w:tcPr>
          <w:p w:rsidR="00BF4753" w:rsidRPr="005958C8" w:rsidRDefault="00BF4753" w:rsidP="002D7CA8">
            <w:pPr>
              <w:ind w:right="5" w:firstLine="0"/>
              <w:jc w:val="center"/>
              <w:rPr>
                <w:rFonts w:cs="Times New Roman"/>
                <w:b/>
                <w:bCs/>
                <w:sz w:val="20"/>
                <w:szCs w:val="20"/>
              </w:rPr>
            </w:pPr>
            <w:r w:rsidRPr="005958C8">
              <w:rPr>
                <w:rFonts w:cs="Times New Roman"/>
                <w:b/>
                <w:bCs/>
                <w:sz w:val="20"/>
                <w:szCs w:val="20"/>
              </w:rPr>
              <w:t>-2,2</w:t>
            </w:r>
          </w:p>
        </w:tc>
        <w:tc>
          <w:tcPr>
            <w:tcW w:w="708" w:type="dxa"/>
            <w:shd w:val="clear" w:color="auto" w:fill="DEEAF6"/>
            <w:tcMar>
              <w:left w:w="57" w:type="dxa"/>
              <w:right w:w="57" w:type="dxa"/>
            </w:tcMar>
            <w:vAlign w:val="center"/>
          </w:tcPr>
          <w:p w:rsidR="00BF4753" w:rsidRPr="005958C8" w:rsidRDefault="00BF4753" w:rsidP="002D7CA8">
            <w:pPr>
              <w:ind w:right="5" w:firstLine="0"/>
              <w:jc w:val="center"/>
              <w:rPr>
                <w:rFonts w:cs="Times New Roman"/>
                <w:b/>
                <w:bCs/>
                <w:sz w:val="20"/>
                <w:szCs w:val="20"/>
              </w:rPr>
            </w:pPr>
            <w:r w:rsidRPr="005958C8">
              <w:rPr>
                <w:rFonts w:cs="Times New Roman"/>
                <w:b/>
                <w:bCs/>
                <w:sz w:val="20"/>
                <w:szCs w:val="20"/>
              </w:rPr>
              <w:t>-2,6</w:t>
            </w:r>
          </w:p>
        </w:tc>
      </w:tr>
    </w:tbl>
    <w:p w:rsidR="00BF4753" w:rsidRDefault="00BF4753" w:rsidP="00BF4753">
      <w:pPr>
        <w:autoSpaceDE w:val="0"/>
        <w:autoSpaceDN w:val="0"/>
        <w:adjustRightInd w:val="0"/>
        <w:spacing w:before="120" w:after="120"/>
        <w:rPr>
          <w:rFonts w:eastAsia="Times New Roman" w:cs="Times New Roman"/>
          <w:color w:val="000000"/>
          <w:szCs w:val="24"/>
          <w:lang w:eastAsia="lv-LV"/>
        </w:rPr>
      </w:pPr>
      <w:r w:rsidRPr="00F57E72">
        <w:rPr>
          <w:rFonts w:eastAsia="Times New Roman" w:cs="Times New Roman"/>
          <w:color w:val="000000"/>
          <w:szCs w:val="24"/>
          <w:lang w:eastAsia="lv-LV"/>
        </w:rPr>
        <w:t xml:space="preserve">Īstenojoties ekonomiskās attīstības optimistiskajam scenārijam, nodokļu ieņēmumu palielināšanās ietekmē uzlabotos valsts budžeta finansiālā bilance, kā rezultātā samazinātos kopējā finansēšanas nepieciešamība un attiecīgi arī aizņemšanās apjoms attiecīgajā periodā, salīdzinot ar bāzes scenāriju. Mazāki aizņēmumi izraisītu ietaupījumu procentu izdevumos. Optimistiskā scenārija gadījumā procentu izdevumi 2021. gadā nemainītos, bet 2022. gadā būtu par 0,1 milj. </w:t>
      </w:r>
      <w:r w:rsidRPr="00F57E72">
        <w:rPr>
          <w:rFonts w:eastAsia="Times New Roman" w:cs="Times New Roman"/>
          <w:i/>
          <w:color w:val="000000"/>
          <w:szCs w:val="24"/>
          <w:lang w:eastAsia="lv-LV"/>
        </w:rPr>
        <w:t>euro</w:t>
      </w:r>
      <w:r w:rsidRPr="00F57E72">
        <w:rPr>
          <w:rFonts w:eastAsia="Times New Roman" w:cs="Times New Roman"/>
          <w:color w:val="000000"/>
          <w:szCs w:val="24"/>
          <w:lang w:eastAsia="lv-LV"/>
        </w:rPr>
        <w:t xml:space="preserve"> mazāki, 2023. gadā par 0,9 milj. </w:t>
      </w:r>
      <w:r w:rsidRPr="00F57E72">
        <w:rPr>
          <w:rFonts w:eastAsia="Times New Roman" w:cs="Times New Roman"/>
          <w:i/>
          <w:color w:val="000000"/>
          <w:szCs w:val="24"/>
          <w:lang w:eastAsia="lv-LV"/>
        </w:rPr>
        <w:t>euro</w:t>
      </w:r>
      <w:r w:rsidRPr="00F57E72">
        <w:rPr>
          <w:rFonts w:eastAsia="Times New Roman" w:cs="Times New Roman"/>
          <w:color w:val="000000"/>
          <w:szCs w:val="24"/>
          <w:lang w:eastAsia="lv-LV"/>
        </w:rPr>
        <w:t xml:space="preserve"> un 2024. gadā attiecīgi par 2,5 milj. </w:t>
      </w:r>
      <w:r w:rsidRPr="00F57E72">
        <w:rPr>
          <w:rFonts w:eastAsia="Times New Roman" w:cs="Times New Roman"/>
          <w:i/>
          <w:color w:val="000000"/>
          <w:szCs w:val="24"/>
          <w:lang w:eastAsia="lv-LV"/>
        </w:rPr>
        <w:t>euro</w:t>
      </w:r>
      <w:r w:rsidRPr="00F57E72">
        <w:rPr>
          <w:rFonts w:eastAsia="Times New Roman" w:cs="Times New Roman"/>
          <w:color w:val="000000"/>
          <w:szCs w:val="24"/>
          <w:lang w:eastAsia="lv-LV"/>
        </w:rPr>
        <w:t xml:space="preserve"> mazāki nekā bāzes scenārijā.</w:t>
      </w:r>
    </w:p>
    <w:p w:rsidR="00BF4753" w:rsidRPr="008B1959" w:rsidRDefault="00BF4753" w:rsidP="00BF4753">
      <w:pPr>
        <w:pStyle w:val="Heading3"/>
        <w:numPr>
          <w:ilvl w:val="2"/>
          <w:numId w:val="21"/>
        </w:numPr>
        <w:ind w:left="0" w:firstLine="0"/>
        <w:jc w:val="center"/>
      </w:pPr>
      <w:bookmarkStart w:id="33" w:name="_Toc510790670"/>
      <w:bookmarkStart w:id="34" w:name="_Toc5196201"/>
      <w:bookmarkStart w:id="35" w:name="_Toc5627377"/>
      <w:bookmarkStart w:id="36" w:name="_Toc5693316"/>
      <w:bookmarkStart w:id="37" w:name="_Toc68335008"/>
      <w:r w:rsidRPr="008B1959">
        <w:t>Pesimistiskais scenārijs</w:t>
      </w:r>
      <w:bookmarkEnd w:id="33"/>
      <w:bookmarkEnd w:id="34"/>
      <w:bookmarkEnd w:id="35"/>
      <w:bookmarkEnd w:id="36"/>
      <w:bookmarkEnd w:id="37"/>
    </w:p>
    <w:p w:rsidR="00BF4753" w:rsidRDefault="00BF4753" w:rsidP="00BF4753">
      <w:pPr>
        <w:autoSpaceDE w:val="0"/>
        <w:autoSpaceDN w:val="0"/>
        <w:adjustRightInd w:val="0"/>
        <w:spacing w:before="120" w:after="120"/>
        <w:rPr>
          <w:rFonts w:eastAsia="Times New Roman" w:cs="Times New Roman"/>
          <w:b/>
          <w:szCs w:val="28"/>
          <w:lang w:eastAsia="lv-LV"/>
        </w:rPr>
      </w:pPr>
      <w:r>
        <w:rPr>
          <w:rFonts w:eastAsia="Times New Roman" w:cs="Times New Roman"/>
          <w:b/>
          <w:szCs w:val="28"/>
          <w:lang w:eastAsia="lv-LV"/>
        </w:rPr>
        <w:t>Ietekme uz ekonomiku</w:t>
      </w:r>
    </w:p>
    <w:p w:rsidR="00BF4753" w:rsidRDefault="00BF4753" w:rsidP="00BF4753">
      <w:pPr>
        <w:autoSpaceDE w:val="0"/>
        <w:autoSpaceDN w:val="0"/>
        <w:adjustRightInd w:val="0"/>
        <w:rPr>
          <w:rFonts w:eastAsia="Times New Roman" w:cs="Times New Roman"/>
          <w:szCs w:val="24"/>
          <w:lang w:eastAsia="lv-LV"/>
        </w:rPr>
      </w:pPr>
      <w:r w:rsidRPr="008B1959">
        <w:rPr>
          <w:rFonts w:eastAsia="Times New Roman" w:cs="Times New Roman"/>
          <w:szCs w:val="28"/>
          <w:lang w:eastAsia="lv-LV"/>
        </w:rPr>
        <w:t>Atbilstoši pesimistiskajam scenārijam Latvijas ekonomika var piedzīvot straujāku pieauguma tempu kritumu, kas ir saistīts ar Covid</w:t>
      </w:r>
      <w:r w:rsidRPr="008B1959">
        <w:rPr>
          <w:rFonts w:eastAsia="Times New Roman" w:cs="Times New Roman"/>
          <w:szCs w:val="28"/>
          <w:lang w:eastAsia="lv-LV"/>
        </w:rPr>
        <w:noBreakHyphen/>
        <w:t xml:space="preserve">19 </w:t>
      </w:r>
      <w:r w:rsidRPr="008B1959">
        <w:rPr>
          <w:rFonts w:eastAsia="Times New Roman" w:cs="Times New Roman"/>
          <w:szCs w:val="24"/>
          <w:lang w:eastAsia="lv-LV"/>
        </w:rPr>
        <w:t>ierobežojumiem un tādējādi lēnāku ekonomikas izaugsmi tirdzniecības un citu pakalpojumu nozarēs. Tas, līdzīgi kā to varēja novērot 2020.</w:t>
      </w:r>
      <w:r>
        <w:rPr>
          <w:rFonts w:eastAsia="Times New Roman" w:cs="Times New Roman"/>
          <w:szCs w:val="24"/>
          <w:lang w:eastAsia="lv-LV"/>
        </w:rPr>
        <w:t xml:space="preserve"> gada otrajā </w:t>
      </w:r>
      <w:r w:rsidRPr="008B1959">
        <w:rPr>
          <w:rFonts w:eastAsia="Times New Roman" w:cs="Times New Roman"/>
          <w:szCs w:val="24"/>
          <w:lang w:eastAsia="lv-LV"/>
        </w:rPr>
        <w:t>ceturksnī, galvenokārt izpaudīsies lielākā privātā patēriņa samazinājumā nekā bāzes scenārijā,  - par 10% 2021.</w:t>
      </w:r>
      <w:r>
        <w:rPr>
          <w:rFonts w:eastAsia="Times New Roman" w:cs="Times New Roman"/>
          <w:szCs w:val="24"/>
          <w:lang w:eastAsia="lv-LV"/>
        </w:rPr>
        <w:t xml:space="preserve"> </w:t>
      </w:r>
      <w:r w:rsidRPr="008B1959">
        <w:rPr>
          <w:rFonts w:eastAsia="Times New Roman" w:cs="Times New Roman"/>
          <w:szCs w:val="24"/>
          <w:lang w:eastAsia="lv-LV"/>
        </w:rPr>
        <w:t>gadā un 3,1% 2022.</w:t>
      </w:r>
      <w:r>
        <w:rPr>
          <w:rFonts w:eastAsia="Times New Roman" w:cs="Times New Roman"/>
          <w:szCs w:val="24"/>
          <w:lang w:eastAsia="lv-LV"/>
        </w:rPr>
        <w:t xml:space="preserve"> </w:t>
      </w:r>
      <w:r w:rsidRPr="008B1959">
        <w:rPr>
          <w:rFonts w:eastAsia="Times New Roman" w:cs="Times New Roman"/>
          <w:szCs w:val="24"/>
          <w:lang w:eastAsia="lv-LV"/>
        </w:rPr>
        <w:t>gadā jeb attiecīgi par 7,2 un 4 procentpunktiem vairāk nekā paredzēts bāzes scenārijā. Šāda mājsaimniecību rīcība ir saistīta ar ienākumu samazinājumu un attiecīgi vēlmi veidot uzkrājumus. Atbilstoši pesimistiskajam scenārijam, mazinoties iedzīvotāju ienākumiem, nodarbināto darba samaksas pieaugums 2021. un 2022.</w:t>
      </w:r>
      <w:r>
        <w:rPr>
          <w:rFonts w:eastAsia="Times New Roman" w:cs="Times New Roman"/>
          <w:szCs w:val="24"/>
          <w:lang w:eastAsia="lv-LV"/>
        </w:rPr>
        <w:t xml:space="preserve"> gadā būtu vidēji par vienu</w:t>
      </w:r>
      <w:r w:rsidRPr="008B1959">
        <w:rPr>
          <w:rFonts w:eastAsia="Times New Roman" w:cs="Times New Roman"/>
          <w:szCs w:val="24"/>
          <w:lang w:eastAsia="lv-LV"/>
        </w:rPr>
        <w:t> procentpunktu mazāks. Nenoteiktību ap mājsaimniecību ienākumiem vairos arī nodarbinātības samazinājums par 1% 2021.</w:t>
      </w:r>
      <w:r>
        <w:rPr>
          <w:rFonts w:eastAsia="Times New Roman" w:cs="Times New Roman"/>
          <w:szCs w:val="24"/>
          <w:lang w:eastAsia="lv-LV"/>
        </w:rPr>
        <w:t xml:space="preserve"> </w:t>
      </w:r>
      <w:r w:rsidRPr="008B1959">
        <w:rPr>
          <w:rFonts w:eastAsia="Times New Roman" w:cs="Times New Roman"/>
          <w:szCs w:val="24"/>
          <w:lang w:eastAsia="lv-LV"/>
        </w:rPr>
        <w:t>gadā, kas sekotu pieaugušam uzņēmumu bankrota vilnim.</w:t>
      </w:r>
    </w:p>
    <w:p w:rsidR="00BF4753" w:rsidRDefault="00BF4753" w:rsidP="00BF4753">
      <w:pPr>
        <w:autoSpaceDE w:val="0"/>
        <w:autoSpaceDN w:val="0"/>
        <w:adjustRightInd w:val="0"/>
        <w:rPr>
          <w:rFonts w:eastAsia="Times New Roman" w:cs="Times New Roman"/>
          <w:szCs w:val="24"/>
          <w:lang w:eastAsia="lv-LV"/>
        </w:rPr>
      </w:pPr>
    </w:p>
    <w:p w:rsidR="00BB526F" w:rsidRPr="008B1959" w:rsidRDefault="00BB526F" w:rsidP="00BF4753">
      <w:pPr>
        <w:autoSpaceDE w:val="0"/>
        <w:autoSpaceDN w:val="0"/>
        <w:adjustRightInd w:val="0"/>
        <w:rPr>
          <w:rFonts w:eastAsia="Times New Roman" w:cs="Times New Roman"/>
          <w:szCs w:val="24"/>
          <w:lang w:eastAsia="lv-LV"/>
        </w:rPr>
      </w:pPr>
    </w:p>
    <w:p w:rsidR="00BF4753" w:rsidRPr="008B1959" w:rsidRDefault="00BF4753" w:rsidP="00625CA7">
      <w:pPr>
        <w:autoSpaceDE w:val="0"/>
        <w:autoSpaceDN w:val="0"/>
        <w:adjustRightInd w:val="0"/>
        <w:spacing w:after="120"/>
        <w:jc w:val="right"/>
        <w:rPr>
          <w:rFonts w:cs="Times New Roman"/>
          <w:b/>
          <w:i/>
          <w:sz w:val="24"/>
          <w:szCs w:val="24"/>
        </w:rPr>
      </w:pPr>
      <w:r>
        <w:rPr>
          <w:rFonts w:cs="Times New Roman"/>
          <w:b/>
          <w:i/>
          <w:sz w:val="24"/>
          <w:szCs w:val="24"/>
        </w:rPr>
        <w:t>4.4</w:t>
      </w:r>
      <w:r w:rsidRPr="008B1959">
        <w:rPr>
          <w:rFonts w:cs="Times New Roman"/>
          <w:b/>
          <w:i/>
          <w:sz w:val="24"/>
          <w:szCs w:val="24"/>
        </w:rPr>
        <w:t>.tabula. Pesimistiskais makroekonomiskais scenārijs</w:t>
      </w:r>
    </w:p>
    <w:tbl>
      <w:tblPr>
        <w:tblStyle w:val="GridTable6Colorful-Accent12"/>
        <w:tblW w:w="9209" w:type="dxa"/>
        <w:jc w:val="center"/>
        <w:tblLayout w:type="fixed"/>
        <w:tblLook w:val="04A0" w:firstRow="1" w:lastRow="0" w:firstColumn="1" w:lastColumn="0" w:noHBand="0" w:noVBand="1"/>
      </w:tblPr>
      <w:tblGrid>
        <w:gridCol w:w="3681"/>
        <w:gridCol w:w="709"/>
        <w:gridCol w:w="567"/>
        <w:gridCol w:w="567"/>
        <w:gridCol w:w="708"/>
        <w:gridCol w:w="851"/>
        <w:gridCol w:w="709"/>
        <w:gridCol w:w="708"/>
        <w:gridCol w:w="709"/>
      </w:tblGrid>
      <w:tr w:rsidR="00BF4753" w:rsidRPr="00BD2805" w:rsidTr="00625CA7">
        <w:trPr>
          <w:cnfStyle w:val="100000000000" w:firstRow="1" w:lastRow="0" w:firstColumn="0" w:lastColumn="0" w:oddVBand="0" w:evenVBand="0" w:oddHBand="0"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tcPr>
          <w:p w:rsidR="00BF4753" w:rsidRPr="00BD2805" w:rsidRDefault="00BF4753" w:rsidP="002D7CA8">
            <w:pPr>
              <w:spacing w:before="100" w:beforeAutospacing="1" w:after="100" w:afterAutospacing="1"/>
              <w:rPr>
                <w:rFonts w:cs="Times New Roman"/>
                <w:b w:val="0"/>
                <w:color w:val="auto"/>
                <w:sz w:val="20"/>
                <w:szCs w:val="20"/>
              </w:rPr>
            </w:pPr>
          </w:p>
        </w:tc>
        <w:tc>
          <w:tcPr>
            <w:tcW w:w="2551" w:type="dxa"/>
            <w:gridSpan w:val="4"/>
            <w:tcBorders>
              <w:right w:val="double" w:sz="4" w:space="0" w:color="9CC2E5" w:themeColor="accent1" w:themeTint="99"/>
            </w:tcBorders>
            <w:noWrap/>
            <w:vAlign w:val="center"/>
          </w:tcPr>
          <w:p w:rsidR="00BF4753" w:rsidRPr="00BD2805" w:rsidRDefault="00BF4753" w:rsidP="002D7CA8">
            <w:pPr>
              <w:ind w:firstLine="28"/>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0"/>
                <w:szCs w:val="20"/>
              </w:rPr>
            </w:pPr>
            <w:r w:rsidRPr="00BD2805">
              <w:rPr>
                <w:rFonts w:cs="Times New Roman"/>
                <w:b w:val="0"/>
                <w:color w:val="auto"/>
                <w:sz w:val="20"/>
                <w:szCs w:val="20"/>
              </w:rPr>
              <w:t>Pesimistiskais scenārijs</w:t>
            </w:r>
          </w:p>
        </w:tc>
        <w:tc>
          <w:tcPr>
            <w:tcW w:w="2977" w:type="dxa"/>
            <w:gridSpan w:val="4"/>
            <w:tcBorders>
              <w:left w:val="double" w:sz="4" w:space="0" w:color="9CC2E5" w:themeColor="accent1" w:themeTint="99"/>
            </w:tcBorders>
            <w:noWrap/>
            <w:vAlign w:val="center"/>
          </w:tcPr>
          <w:p w:rsidR="00BF4753" w:rsidRPr="00BD2805" w:rsidRDefault="00BF4753" w:rsidP="002D7CA8">
            <w:pPr>
              <w:ind w:hanging="34"/>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0"/>
                <w:szCs w:val="20"/>
              </w:rPr>
            </w:pPr>
            <w:r w:rsidRPr="00BD2805">
              <w:rPr>
                <w:rFonts w:cs="Times New Roman"/>
                <w:b w:val="0"/>
                <w:color w:val="auto"/>
                <w:sz w:val="20"/>
                <w:szCs w:val="20"/>
              </w:rPr>
              <w:t>Novirze no bāzes scenārija</w:t>
            </w:r>
          </w:p>
        </w:tc>
      </w:tr>
      <w:tr w:rsidR="00BF4753" w:rsidRPr="00BD2805" w:rsidTr="002D7CA8">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tcPr>
          <w:p w:rsidR="00BF4753" w:rsidRPr="00BD2805" w:rsidRDefault="00BF4753" w:rsidP="002D7CA8">
            <w:pPr>
              <w:spacing w:before="100" w:beforeAutospacing="1" w:after="100" w:afterAutospacing="1"/>
              <w:rPr>
                <w:rFonts w:cs="Times New Roman"/>
                <w:b w:val="0"/>
                <w:color w:val="auto"/>
                <w:sz w:val="20"/>
                <w:szCs w:val="20"/>
              </w:rPr>
            </w:pPr>
          </w:p>
        </w:tc>
        <w:tc>
          <w:tcPr>
            <w:tcW w:w="709" w:type="dxa"/>
            <w:noWrap/>
            <w:vAlign w:val="center"/>
          </w:tcPr>
          <w:p w:rsidR="00BF4753" w:rsidRPr="00BD2805"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2021</w:t>
            </w:r>
          </w:p>
        </w:tc>
        <w:tc>
          <w:tcPr>
            <w:tcW w:w="567" w:type="dxa"/>
            <w:noWrap/>
            <w:vAlign w:val="center"/>
          </w:tcPr>
          <w:p w:rsidR="00BF4753" w:rsidRPr="00BD2805" w:rsidRDefault="00BF4753" w:rsidP="002D7CA8">
            <w:pPr>
              <w:ind w:hanging="111"/>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2022</w:t>
            </w:r>
          </w:p>
        </w:tc>
        <w:tc>
          <w:tcPr>
            <w:tcW w:w="567" w:type="dxa"/>
            <w:noWrap/>
            <w:vAlign w:val="center"/>
          </w:tcPr>
          <w:p w:rsidR="00BF4753" w:rsidRPr="00BD2805" w:rsidRDefault="00BF4753" w:rsidP="002D7CA8">
            <w:pPr>
              <w:ind w:hanging="168"/>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2023</w:t>
            </w:r>
          </w:p>
        </w:tc>
        <w:tc>
          <w:tcPr>
            <w:tcW w:w="708" w:type="dxa"/>
            <w:tcBorders>
              <w:right w:val="double" w:sz="4" w:space="0" w:color="9CC2E5" w:themeColor="accent1" w:themeTint="99"/>
            </w:tcBorders>
            <w:noWrap/>
            <w:vAlign w:val="center"/>
          </w:tcPr>
          <w:p w:rsidR="00BF4753" w:rsidRPr="00BD2805" w:rsidRDefault="00BF4753" w:rsidP="002D7CA8">
            <w:pPr>
              <w:ind w:left="44" w:hanging="115"/>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2024</w:t>
            </w:r>
          </w:p>
        </w:tc>
        <w:tc>
          <w:tcPr>
            <w:tcW w:w="851" w:type="dxa"/>
            <w:tcBorders>
              <w:left w:val="double" w:sz="4" w:space="0" w:color="9CC2E5" w:themeColor="accent1" w:themeTint="99"/>
            </w:tcBorders>
            <w:noWrap/>
            <w:vAlign w:val="center"/>
          </w:tcPr>
          <w:p w:rsidR="00BF4753" w:rsidRPr="00BD2805" w:rsidRDefault="00BF4753" w:rsidP="002D7CA8">
            <w:pPr>
              <w:ind w:hanging="63"/>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2021</w:t>
            </w:r>
          </w:p>
        </w:tc>
        <w:tc>
          <w:tcPr>
            <w:tcW w:w="709" w:type="dxa"/>
            <w:noWrap/>
            <w:vAlign w:val="center"/>
          </w:tcPr>
          <w:p w:rsidR="00BF4753" w:rsidRPr="00BD2805"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2022</w:t>
            </w:r>
          </w:p>
        </w:tc>
        <w:tc>
          <w:tcPr>
            <w:tcW w:w="708" w:type="dxa"/>
            <w:noWrap/>
            <w:vAlign w:val="center"/>
          </w:tcPr>
          <w:p w:rsidR="00BF4753" w:rsidRPr="00BD2805"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2023</w:t>
            </w:r>
          </w:p>
        </w:tc>
        <w:tc>
          <w:tcPr>
            <w:tcW w:w="709" w:type="dxa"/>
            <w:noWrap/>
            <w:vAlign w:val="center"/>
          </w:tcPr>
          <w:p w:rsidR="00BF4753" w:rsidRPr="00BD2805"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2024</w:t>
            </w:r>
          </w:p>
        </w:tc>
      </w:tr>
      <w:tr w:rsidR="00BF4753" w:rsidRPr="00BD2805" w:rsidTr="002D7CA8">
        <w:trPr>
          <w:trHeight w:val="340"/>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tcPr>
          <w:p w:rsidR="00BF4753" w:rsidRPr="00BD2805" w:rsidRDefault="00BF4753" w:rsidP="002D7CA8">
            <w:pPr>
              <w:ind w:left="26" w:firstLine="8"/>
              <w:rPr>
                <w:rFonts w:cs="Times New Roman"/>
                <w:b w:val="0"/>
                <w:color w:val="auto"/>
                <w:sz w:val="20"/>
                <w:szCs w:val="20"/>
              </w:rPr>
            </w:pPr>
            <w:r w:rsidRPr="00BD2805">
              <w:rPr>
                <w:rFonts w:cs="Times New Roman"/>
                <w:b w:val="0"/>
                <w:color w:val="auto"/>
                <w:sz w:val="20"/>
                <w:szCs w:val="20"/>
              </w:rPr>
              <w:t>IKP pieaugums faktiskajās cenās, %</w:t>
            </w:r>
          </w:p>
        </w:tc>
        <w:tc>
          <w:tcPr>
            <w:tcW w:w="709"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1,1</w:t>
            </w:r>
          </w:p>
        </w:tc>
        <w:tc>
          <w:tcPr>
            <w:tcW w:w="567" w:type="dxa"/>
            <w:noWrap/>
            <w:tcMar>
              <w:left w:w="57" w:type="dxa"/>
              <w:right w:w="57" w:type="dxa"/>
            </w:tcMar>
            <w:vAlign w:val="center"/>
          </w:tcPr>
          <w:p w:rsidR="00BF4753" w:rsidRPr="00BD2805" w:rsidRDefault="00BF4753" w:rsidP="002D7CA8">
            <w:pPr>
              <w:ind w:hanging="111"/>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6,0</w:t>
            </w:r>
          </w:p>
        </w:tc>
        <w:tc>
          <w:tcPr>
            <w:tcW w:w="567" w:type="dxa"/>
            <w:noWrap/>
            <w:tcMar>
              <w:left w:w="57" w:type="dxa"/>
              <w:right w:w="57" w:type="dxa"/>
            </w:tcMar>
            <w:vAlign w:val="center"/>
          </w:tcPr>
          <w:p w:rsidR="00BF4753" w:rsidRPr="00BD2805" w:rsidRDefault="00BF4753" w:rsidP="002D7CA8">
            <w:pPr>
              <w:ind w:hanging="168"/>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5,2</w:t>
            </w:r>
          </w:p>
        </w:tc>
        <w:tc>
          <w:tcPr>
            <w:tcW w:w="708" w:type="dxa"/>
            <w:tcBorders>
              <w:right w:val="double" w:sz="4" w:space="0" w:color="9CC2E5" w:themeColor="accent1" w:themeTint="99"/>
            </w:tcBorders>
            <w:noWrap/>
            <w:tcMar>
              <w:left w:w="57" w:type="dxa"/>
              <w:right w:w="57" w:type="dxa"/>
            </w:tcMar>
            <w:vAlign w:val="center"/>
          </w:tcPr>
          <w:p w:rsidR="00BF4753" w:rsidRPr="00BD2805" w:rsidRDefault="00BF4753" w:rsidP="002D7CA8">
            <w:pPr>
              <w:ind w:left="44" w:hanging="115"/>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4,9</w:t>
            </w:r>
          </w:p>
        </w:tc>
        <w:tc>
          <w:tcPr>
            <w:tcW w:w="851" w:type="dxa"/>
            <w:tcBorders>
              <w:left w:val="double" w:sz="4" w:space="0" w:color="9CC2E5" w:themeColor="accent1" w:themeTint="99"/>
            </w:tcBorders>
            <w:noWrap/>
            <w:tcMar>
              <w:left w:w="57" w:type="dxa"/>
              <w:right w:w="57" w:type="dxa"/>
            </w:tcMar>
            <w:vAlign w:val="center"/>
          </w:tcPr>
          <w:p w:rsidR="00BF4753" w:rsidRPr="00BD2805" w:rsidRDefault="00BF4753" w:rsidP="002D7CA8">
            <w:pPr>
              <w:ind w:hanging="63"/>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-3,3</w:t>
            </w:r>
          </w:p>
        </w:tc>
        <w:tc>
          <w:tcPr>
            <w:tcW w:w="709"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-0,4</w:t>
            </w:r>
          </w:p>
        </w:tc>
        <w:tc>
          <w:tcPr>
            <w:tcW w:w="708"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709"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r w:rsidR="00BF4753" w:rsidRPr="00BD2805" w:rsidTr="002D7CA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tcPr>
          <w:p w:rsidR="00BF4753" w:rsidRPr="00BD2805" w:rsidRDefault="00BF4753" w:rsidP="002D7CA8">
            <w:pPr>
              <w:ind w:left="26" w:firstLine="8"/>
              <w:rPr>
                <w:rFonts w:cs="Times New Roman"/>
                <w:b w:val="0"/>
                <w:color w:val="auto"/>
                <w:sz w:val="20"/>
                <w:szCs w:val="20"/>
              </w:rPr>
            </w:pPr>
            <w:r w:rsidRPr="00BD2805">
              <w:rPr>
                <w:rFonts w:cs="Times New Roman"/>
                <w:b w:val="0"/>
                <w:color w:val="auto"/>
                <w:sz w:val="20"/>
                <w:szCs w:val="20"/>
              </w:rPr>
              <w:t>IKP pieaugums salīdzināmās cenās, %</w:t>
            </w:r>
          </w:p>
        </w:tc>
        <w:tc>
          <w:tcPr>
            <w:tcW w:w="709"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567" w:type="dxa"/>
            <w:noWrap/>
            <w:tcMar>
              <w:left w:w="57" w:type="dxa"/>
              <w:right w:w="57" w:type="dxa"/>
            </w:tcMar>
            <w:vAlign w:val="center"/>
          </w:tcPr>
          <w:p w:rsidR="00BF4753" w:rsidRPr="00BD2805" w:rsidRDefault="00BF4753" w:rsidP="002D7CA8">
            <w:pPr>
              <w:ind w:hanging="111"/>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4,2</w:t>
            </w:r>
          </w:p>
        </w:tc>
        <w:tc>
          <w:tcPr>
            <w:tcW w:w="567" w:type="dxa"/>
            <w:noWrap/>
            <w:tcMar>
              <w:left w:w="57" w:type="dxa"/>
              <w:right w:w="57" w:type="dxa"/>
            </w:tcMar>
            <w:vAlign w:val="center"/>
          </w:tcPr>
          <w:p w:rsidR="00BF4753" w:rsidRPr="00BD2805" w:rsidRDefault="00BF4753" w:rsidP="002D7CA8">
            <w:pPr>
              <w:ind w:hanging="168"/>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3,2</w:t>
            </w:r>
          </w:p>
        </w:tc>
        <w:tc>
          <w:tcPr>
            <w:tcW w:w="708" w:type="dxa"/>
            <w:tcBorders>
              <w:right w:val="double" w:sz="4" w:space="0" w:color="9CC2E5" w:themeColor="accent1" w:themeTint="99"/>
            </w:tcBorders>
            <w:noWrap/>
            <w:tcMar>
              <w:left w:w="57" w:type="dxa"/>
              <w:right w:w="57" w:type="dxa"/>
            </w:tcMar>
            <w:vAlign w:val="center"/>
          </w:tcPr>
          <w:p w:rsidR="00BF4753" w:rsidRPr="00BD2805" w:rsidRDefault="00BF4753" w:rsidP="002D7CA8">
            <w:pPr>
              <w:ind w:left="44" w:hanging="115"/>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2,8</w:t>
            </w:r>
          </w:p>
        </w:tc>
        <w:tc>
          <w:tcPr>
            <w:tcW w:w="851" w:type="dxa"/>
            <w:tcBorders>
              <w:left w:val="double" w:sz="4" w:space="0" w:color="9CC2E5" w:themeColor="accent1" w:themeTint="99"/>
            </w:tcBorders>
            <w:noWrap/>
            <w:tcMar>
              <w:left w:w="57" w:type="dxa"/>
              <w:right w:w="57" w:type="dxa"/>
            </w:tcMar>
            <w:vAlign w:val="center"/>
          </w:tcPr>
          <w:p w:rsidR="00BF4753" w:rsidRPr="00BD2805" w:rsidRDefault="00BF4753" w:rsidP="002D7CA8">
            <w:pPr>
              <w:ind w:hanging="63"/>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-3,0</w:t>
            </w:r>
          </w:p>
        </w:tc>
        <w:tc>
          <w:tcPr>
            <w:tcW w:w="709"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-0,3</w:t>
            </w:r>
          </w:p>
        </w:tc>
        <w:tc>
          <w:tcPr>
            <w:tcW w:w="708"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709"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r w:rsidR="00BF4753" w:rsidRPr="00BD2805" w:rsidTr="002D7CA8">
        <w:trPr>
          <w:trHeight w:val="340"/>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tcPr>
          <w:p w:rsidR="00BF4753" w:rsidRPr="00BD2805" w:rsidRDefault="00BF4753" w:rsidP="002D7CA8">
            <w:pPr>
              <w:ind w:left="26" w:firstLine="8"/>
              <w:rPr>
                <w:rFonts w:cs="Times New Roman"/>
                <w:b w:val="0"/>
                <w:color w:val="auto"/>
                <w:sz w:val="20"/>
                <w:szCs w:val="20"/>
              </w:rPr>
            </w:pPr>
            <w:r w:rsidRPr="00BD2805">
              <w:rPr>
                <w:rFonts w:cs="Times New Roman"/>
                <w:b w:val="0"/>
                <w:color w:val="auto"/>
                <w:sz w:val="20"/>
                <w:szCs w:val="20"/>
              </w:rPr>
              <w:t>Privātais patēriņš, pieaugums salīdzināmās cenās, %</w:t>
            </w:r>
          </w:p>
        </w:tc>
        <w:tc>
          <w:tcPr>
            <w:tcW w:w="709"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-3,1</w:t>
            </w:r>
          </w:p>
        </w:tc>
        <w:tc>
          <w:tcPr>
            <w:tcW w:w="567" w:type="dxa"/>
            <w:noWrap/>
            <w:tcMar>
              <w:left w:w="57" w:type="dxa"/>
              <w:right w:w="57" w:type="dxa"/>
            </w:tcMar>
            <w:vAlign w:val="center"/>
          </w:tcPr>
          <w:p w:rsidR="00BF4753" w:rsidRPr="00BD2805" w:rsidRDefault="00BF4753" w:rsidP="002D7CA8">
            <w:pPr>
              <w:ind w:hanging="111"/>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6,1</w:t>
            </w:r>
          </w:p>
        </w:tc>
        <w:tc>
          <w:tcPr>
            <w:tcW w:w="567" w:type="dxa"/>
            <w:noWrap/>
            <w:tcMar>
              <w:left w:w="57" w:type="dxa"/>
              <w:right w:w="57" w:type="dxa"/>
            </w:tcMar>
            <w:vAlign w:val="center"/>
          </w:tcPr>
          <w:p w:rsidR="00BF4753" w:rsidRPr="00BD2805" w:rsidRDefault="00BF4753" w:rsidP="002D7CA8">
            <w:pPr>
              <w:ind w:hanging="168"/>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4,0</w:t>
            </w:r>
          </w:p>
        </w:tc>
        <w:tc>
          <w:tcPr>
            <w:tcW w:w="708" w:type="dxa"/>
            <w:tcBorders>
              <w:right w:val="double" w:sz="4" w:space="0" w:color="9CC2E5" w:themeColor="accent1" w:themeTint="99"/>
            </w:tcBorders>
            <w:noWrap/>
            <w:tcMar>
              <w:left w:w="57" w:type="dxa"/>
              <w:right w:w="57" w:type="dxa"/>
            </w:tcMar>
            <w:vAlign w:val="center"/>
          </w:tcPr>
          <w:p w:rsidR="00BF4753" w:rsidRPr="00BD2805" w:rsidRDefault="00BF4753" w:rsidP="002D7CA8">
            <w:pPr>
              <w:ind w:left="44" w:hanging="115"/>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2,6</w:t>
            </w:r>
          </w:p>
        </w:tc>
        <w:tc>
          <w:tcPr>
            <w:tcW w:w="851" w:type="dxa"/>
            <w:tcBorders>
              <w:left w:val="double" w:sz="4" w:space="0" w:color="9CC2E5" w:themeColor="accent1" w:themeTint="99"/>
            </w:tcBorders>
            <w:noWrap/>
            <w:tcMar>
              <w:left w:w="57" w:type="dxa"/>
              <w:right w:w="57" w:type="dxa"/>
            </w:tcMar>
            <w:vAlign w:val="center"/>
          </w:tcPr>
          <w:p w:rsidR="00BF4753" w:rsidRPr="00BD2805" w:rsidRDefault="00BF4753" w:rsidP="002D7CA8">
            <w:pPr>
              <w:ind w:hanging="63"/>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-7,2</w:t>
            </w:r>
          </w:p>
        </w:tc>
        <w:tc>
          <w:tcPr>
            <w:tcW w:w="709"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-4,0</w:t>
            </w:r>
          </w:p>
        </w:tc>
        <w:tc>
          <w:tcPr>
            <w:tcW w:w="708"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709"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r w:rsidR="00BF4753" w:rsidRPr="00BD2805" w:rsidTr="002D7CA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tcPr>
          <w:p w:rsidR="00BF4753" w:rsidRPr="00BD2805" w:rsidRDefault="00BF4753" w:rsidP="002D7CA8">
            <w:pPr>
              <w:ind w:left="26" w:firstLine="8"/>
              <w:rPr>
                <w:rFonts w:cs="Times New Roman"/>
                <w:b w:val="0"/>
                <w:color w:val="auto"/>
                <w:sz w:val="20"/>
                <w:szCs w:val="20"/>
              </w:rPr>
            </w:pPr>
            <w:r w:rsidRPr="00BD2805">
              <w:rPr>
                <w:rFonts w:cs="Times New Roman"/>
                <w:b w:val="0"/>
                <w:color w:val="auto"/>
                <w:sz w:val="20"/>
                <w:szCs w:val="20"/>
              </w:rPr>
              <w:t xml:space="preserve">Sabiedriskais patēriņš, pieaugums salīdzināmās cenās, % </w:t>
            </w:r>
          </w:p>
        </w:tc>
        <w:tc>
          <w:tcPr>
            <w:tcW w:w="709"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2,9</w:t>
            </w:r>
          </w:p>
        </w:tc>
        <w:tc>
          <w:tcPr>
            <w:tcW w:w="567" w:type="dxa"/>
            <w:noWrap/>
            <w:tcMar>
              <w:left w:w="57" w:type="dxa"/>
              <w:right w:w="57" w:type="dxa"/>
            </w:tcMar>
            <w:vAlign w:val="center"/>
          </w:tcPr>
          <w:p w:rsidR="00BF4753" w:rsidRPr="00BD2805" w:rsidRDefault="00BF4753" w:rsidP="002D7CA8">
            <w:pPr>
              <w:ind w:hanging="111"/>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2,4</w:t>
            </w:r>
          </w:p>
        </w:tc>
        <w:tc>
          <w:tcPr>
            <w:tcW w:w="567" w:type="dxa"/>
            <w:noWrap/>
            <w:tcMar>
              <w:left w:w="57" w:type="dxa"/>
              <w:right w:w="57" w:type="dxa"/>
            </w:tcMar>
            <w:vAlign w:val="center"/>
          </w:tcPr>
          <w:p w:rsidR="00BF4753" w:rsidRPr="00BD2805" w:rsidRDefault="00BF4753" w:rsidP="002D7CA8">
            <w:pPr>
              <w:ind w:hanging="168"/>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2,4</w:t>
            </w:r>
          </w:p>
        </w:tc>
        <w:tc>
          <w:tcPr>
            <w:tcW w:w="708" w:type="dxa"/>
            <w:tcBorders>
              <w:right w:val="double" w:sz="4" w:space="0" w:color="9CC2E5" w:themeColor="accent1" w:themeTint="99"/>
            </w:tcBorders>
            <w:noWrap/>
            <w:tcMar>
              <w:left w:w="57" w:type="dxa"/>
              <w:right w:w="57" w:type="dxa"/>
            </w:tcMar>
            <w:vAlign w:val="center"/>
          </w:tcPr>
          <w:p w:rsidR="00BF4753" w:rsidRPr="00BD2805" w:rsidRDefault="00BF4753" w:rsidP="002D7CA8">
            <w:pPr>
              <w:ind w:left="44" w:hanging="115"/>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2,4</w:t>
            </w:r>
          </w:p>
        </w:tc>
        <w:tc>
          <w:tcPr>
            <w:tcW w:w="851" w:type="dxa"/>
            <w:tcBorders>
              <w:left w:val="double" w:sz="4" w:space="0" w:color="9CC2E5" w:themeColor="accent1" w:themeTint="99"/>
            </w:tcBorders>
            <w:noWrap/>
            <w:tcMar>
              <w:left w:w="57" w:type="dxa"/>
              <w:right w:w="57" w:type="dxa"/>
            </w:tcMar>
            <w:vAlign w:val="center"/>
          </w:tcPr>
          <w:p w:rsidR="00BF4753" w:rsidRPr="00BD2805" w:rsidRDefault="00BF4753" w:rsidP="002D7CA8">
            <w:pPr>
              <w:ind w:hanging="63"/>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0,5</w:t>
            </w:r>
          </w:p>
        </w:tc>
        <w:tc>
          <w:tcPr>
            <w:tcW w:w="709"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708"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709"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r w:rsidR="00BF4753" w:rsidRPr="00BD2805" w:rsidTr="002D7CA8">
        <w:trPr>
          <w:trHeight w:val="340"/>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tcPr>
          <w:p w:rsidR="00BF4753" w:rsidRPr="00BD2805" w:rsidRDefault="00BF4753" w:rsidP="002D7CA8">
            <w:pPr>
              <w:ind w:left="26" w:firstLine="8"/>
              <w:rPr>
                <w:rFonts w:cs="Times New Roman"/>
                <w:b w:val="0"/>
                <w:color w:val="auto"/>
                <w:sz w:val="20"/>
                <w:szCs w:val="20"/>
              </w:rPr>
            </w:pPr>
            <w:r w:rsidRPr="00BD2805">
              <w:rPr>
                <w:rFonts w:cs="Times New Roman"/>
                <w:b w:val="0"/>
                <w:color w:val="auto"/>
                <w:sz w:val="20"/>
                <w:szCs w:val="20"/>
              </w:rPr>
              <w:t>Kopējā pamatkapitāla veidošana, pieaugums salīdzināmās cenās, %</w:t>
            </w:r>
          </w:p>
        </w:tc>
        <w:tc>
          <w:tcPr>
            <w:tcW w:w="709"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4,1</w:t>
            </w:r>
          </w:p>
        </w:tc>
        <w:tc>
          <w:tcPr>
            <w:tcW w:w="567" w:type="dxa"/>
            <w:noWrap/>
            <w:tcMar>
              <w:left w:w="57" w:type="dxa"/>
              <w:right w:w="57" w:type="dxa"/>
            </w:tcMar>
            <w:vAlign w:val="center"/>
          </w:tcPr>
          <w:p w:rsidR="00BF4753" w:rsidRPr="00BD2805" w:rsidRDefault="00BF4753" w:rsidP="002D7CA8">
            <w:pPr>
              <w:ind w:hanging="111"/>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5,2</w:t>
            </w:r>
          </w:p>
        </w:tc>
        <w:tc>
          <w:tcPr>
            <w:tcW w:w="567" w:type="dxa"/>
            <w:noWrap/>
            <w:tcMar>
              <w:left w:w="57" w:type="dxa"/>
              <w:right w:w="57" w:type="dxa"/>
            </w:tcMar>
            <w:vAlign w:val="center"/>
          </w:tcPr>
          <w:p w:rsidR="00BF4753" w:rsidRPr="00BD2805" w:rsidRDefault="00BF4753" w:rsidP="002D7CA8">
            <w:pPr>
              <w:ind w:hanging="168"/>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2,5</w:t>
            </w:r>
          </w:p>
        </w:tc>
        <w:tc>
          <w:tcPr>
            <w:tcW w:w="708" w:type="dxa"/>
            <w:tcBorders>
              <w:right w:val="double" w:sz="4" w:space="0" w:color="9CC2E5" w:themeColor="accent1" w:themeTint="99"/>
            </w:tcBorders>
            <w:noWrap/>
            <w:tcMar>
              <w:left w:w="57" w:type="dxa"/>
              <w:right w:w="57" w:type="dxa"/>
            </w:tcMar>
            <w:vAlign w:val="center"/>
          </w:tcPr>
          <w:p w:rsidR="00BF4753" w:rsidRPr="00BD2805" w:rsidRDefault="00BF4753" w:rsidP="002D7CA8">
            <w:pPr>
              <w:ind w:left="44" w:hanging="115"/>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2,5</w:t>
            </w:r>
          </w:p>
        </w:tc>
        <w:tc>
          <w:tcPr>
            <w:tcW w:w="851" w:type="dxa"/>
            <w:tcBorders>
              <w:left w:val="double" w:sz="4" w:space="0" w:color="9CC2E5" w:themeColor="accent1" w:themeTint="99"/>
            </w:tcBorders>
            <w:noWrap/>
            <w:tcMar>
              <w:left w:w="57" w:type="dxa"/>
              <w:right w:w="57" w:type="dxa"/>
            </w:tcMar>
            <w:vAlign w:val="center"/>
          </w:tcPr>
          <w:p w:rsidR="00BF4753" w:rsidRPr="00BD2805" w:rsidRDefault="00BF4753" w:rsidP="002D7CA8">
            <w:pPr>
              <w:ind w:hanging="63"/>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709"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-2,4</w:t>
            </w:r>
          </w:p>
        </w:tc>
        <w:tc>
          <w:tcPr>
            <w:tcW w:w="708"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709"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r w:rsidR="00BF4753" w:rsidRPr="00BD2805" w:rsidTr="002D7CA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tcPr>
          <w:p w:rsidR="00BF4753" w:rsidRPr="00BD2805" w:rsidRDefault="00BF4753" w:rsidP="002D7CA8">
            <w:pPr>
              <w:ind w:left="26" w:firstLine="8"/>
              <w:rPr>
                <w:rFonts w:cs="Times New Roman"/>
                <w:b w:val="0"/>
                <w:color w:val="auto"/>
                <w:sz w:val="20"/>
                <w:szCs w:val="20"/>
              </w:rPr>
            </w:pPr>
            <w:r w:rsidRPr="00BD2805">
              <w:rPr>
                <w:rFonts w:cs="Times New Roman"/>
                <w:b w:val="0"/>
                <w:color w:val="auto"/>
                <w:sz w:val="20"/>
                <w:szCs w:val="20"/>
              </w:rPr>
              <w:t>Preču un pakalpojumu eksports, pieaugums salīdzināmās cenās, %</w:t>
            </w:r>
          </w:p>
        </w:tc>
        <w:tc>
          <w:tcPr>
            <w:tcW w:w="709"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4,0</w:t>
            </w:r>
          </w:p>
        </w:tc>
        <w:tc>
          <w:tcPr>
            <w:tcW w:w="567" w:type="dxa"/>
            <w:noWrap/>
            <w:tcMar>
              <w:left w:w="57" w:type="dxa"/>
              <w:right w:w="57" w:type="dxa"/>
            </w:tcMar>
            <w:vAlign w:val="center"/>
          </w:tcPr>
          <w:p w:rsidR="00BF4753" w:rsidRPr="00BD2805" w:rsidRDefault="00BF4753" w:rsidP="002D7CA8">
            <w:pPr>
              <w:ind w:hanging="111"/>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3,3</w:t>
            </w:r>
          </w:p>
        </w:tc>
        <w:tc>
          <w:tcPr>
            <w:tcW w:w="567" w:type="dxa"/>
            <w:noWrap/>
            <w:tcMar>
              <w:left w:w="57" w:type="dxa"/>
              <w:right w:w="57" w:type="dxa"/>
            </w:tcMar>
            <w:vAlign w:val="center"/>
          </w:tcPr>
          <w:p w:rsidR="00BF4753" w:rsidRPr="00BD2805" w:rsidRDefault="00BF4753" w:rsidP="002D7CA8">
            <w:pPr>
              <w:ind w:hanging="168"/>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4,0</w:t>
            </w:r>
          </w:p>
        </w:tc>
        <w:tc>
          <w:tcPr>
            <w:tcW w:w="708" w:type="dxa"/>
            <w:tcBorders>
              <w:right w:val="double" w:sz="4" w:space="0" w:color="9CC2E5" w:themeColor="accent1" w:themeTint="99"/>
            </w:tcBorders>
            <w:noWrap/>
            <w:tcMar>
              <w:left w:w="57" w:type="dxa"/>
              <w:right w:w="57" w:type="dxa"/>
            </w:tcMar>
            <w:vAlign w:val="center"/>
          </w:tcPr>
          <w:p w:rsidR="00BF4753" w:rsidRPr="00BD2805" w:rsidRDefault="00BF4753" w:rsidP="002D7CA8">
            <w:pPr>
              <w:ind w:left="44" w:hanging="115"/>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4,0</w:t>
            </w:r>
          </w:p>
        </w:tc>
        <w:tc>
          <w:tcPr>
            <w:tcW w:w="851" w:type="dxa"/>
            <w:tcBorders>
              <w:left w:val="double" w:sz="4" w:space="0" w:color="9CC2E5" w:themeColor="accent1" w:themeTint="99"/>
            </w:tcBorders>
            <w:noWrap/>
            <w:tcMar>
              <w:left w:w="57" w:type="dxa"/>
              <w:right w:w="57" w:type="dxa"/>
            </w:tcMar>
            <w:vAlign w:val="center"/>
          </w:tcPr>
          <w:p w:rsidR="00BF4753" w:rsidRPr="00BD2805" w:rsidRDefault="00BF4753" w:rsidP="002D7CA8">
            <w:pPr>
              <w:ind w:hanging="63"/>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-0,3</w:t>
            </w:r>
          </w:p>
        </w:tc>
        <w:tc>
          <w:tcPr>
            <w:tcW w:w="709"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-1,4</w:t>
            </w:r>
          </w:p>
        </w:tc>
        <w:tc>
          <w:tcPr>
            <w:tcW w:w="708"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709"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r w:rsidR="00BF4753" w:rsidRPr="00BD2805" w:rsidTr="002D7CA8">
        <w:trPr>
          <w:trHeight w:val="340"/>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tcPr>
          <w:p w:rsidR="00BF4753" w:rsidRPr="00BD2805" w:rsidRDefault="00BF4753" w:rsidP="002D7CA8">
            <w:pPr>
              <w:ind w:left="26" w:firstLine="8"/>
              <w:rPr>
                <w:rFonts w:cs="Times New Roman"/>
                <w:b w:val="0"/>
                <w:color w:val="auto"/>
                <w:sz w:val="20"/>
                <w:szCs w:val="20"/>
              </w:rPr>
            </w:pPr>
            <w:r w:rsidRPr="00BD2805">
              <w:rPr>
                <w:rFonts w:cs="Times New Roman"/>
                <w:b w:val="0"/>
                <w:color w:val="auto"/>
                <w:sz w:val="20"/>
                <w:szCs w:val="20"/>
              </w:rPr>
              <w:t>Preču un pakalpojumu imports, pieaugums salīdzināmās cenās, %</w:t>
            </w:r>
          </w:p>
        </w:tc>
        <w:tc>
          <w:tcPr>
            <w:tcW w:w="709"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3,5</w:t>
            </w:r>
          </w:p>
        </w:tc>
        <w:tc>
          <w:tcPr>
            <w:tcW w:w="567" w:type="dxa"/>
            <w:noWrap/>
            <w:tcMar>
              <w:left w:w="57" w:type="dxa"/>
              <w:right w:w="57" w:type="dxa"/>
            </w:tcMar>
            <w:vAlign w:val="center"/>
          </w:tcPr>
          <w:p w:rsidR="00BF4753" w:rsidRPr="00BD2805" w:rsidRDefault="00BF4753" w:rsidP="002D7CA8">
            <w:pPr>
              <w:ind w:hanging="111"/>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4,4</w:t>
            </w:r>
          </w:p>
        </w:tc>
        <w:tc>
          <w:tcPr>
            <w:tcW w:w="567" w:type="dxa"/>
            <w:noWrap/>
            <w:tcMar>
              <w:left w:w="57" w:type="dxa"/>
              <w:right w:w="57" w:type="dxa"/>
            </w:tcMar>
            <w:vAlign w:val="center"/>
          </w:tcPr>
          <w:p w:rsidR="00BF4753" w:rsidRPr="00BD2805" w:rsidRDefault="00BF4753" w:rsidP="002D7CA8">
            <w:pPr>
              <w:ind w:hanging="168"/>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4,0</w:t>
            </w:r>
          </w:p>
        </w:tc>
        <w:tc>
          <w:tcPr>
            <w:tcW w:w="708" w:type="dxa"/>
            <w:tcBorders>
              <w:right w:val="double" w:sz="4" w:space="0" w:color="9CC2E5" w:themeColor="accent1" w:themeTint="99"/>
            </w:tcBorders>
            <w:noWrap/>
            <w:tcMar>
              <w:left w:w="57" w:type="dxa"/>
              <w:right w:w="57" w:type="dxa"/>
            </w:tcMar>
            <w:vAlign w:val="center"/>
          </w:tcPr>
          <w:p w:rsidR="00BF4753" w:rsidRPr="00BD2805" w:rsidRDefault="00BF4753" w:rsidP="002D7CA8">
            <w:pPr>
              <w:ind w:left="44" w:hanging="115"/>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4,0</w:t>
            </w:r>
          </w:p>
        </w:tc>
        <w:tc>
          <w:tcPr>
            <w:tcW w:w="851" w:type="dxa"/>
            <w:tcBorders>
              <w:left w:val="double" w:sz="4" w:space="0" w:color="9CC2E5" w:themeColor="accent1" w:themeTint="99"/>
            </w:tcBorders>
            <w:noWrap/>
            <w:tcMar>
              <w:left w:w="57" w:type="dxa"/>
              <w:right w:w="57" w:type="dxa"/>
            </w:tcMar>
            <w:vAlign w:val="center"/>
          </w:tcPr>
          <w:p w:rsidR="00BF4753" w:rsidRPr="00BD2805" w:rsidRDefault="00BF4753" w:rsidP="002D7CA8">
            <w:pPr>
              <w:ind w:hanging="63"/>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-1,4</w:t>
            </w:r>
          </w:p>
        </w:tc>
        <w:tc>
          <w:tcPr>
            <w:tcW w:w="709"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-1,0</w:t>
            </w:r>
          </w:p>
        </w:tc>
        <w:tc>
          <w:tcPr>
            <w:tcW w:w="708"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709"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r w:rsidR="00BF4753" w:rsidRPr="00BD2805" w:rsidTr="002D7CA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hideMark/>
          </w:tcPr>
          <w:p w:rsidR="00BF4753" w:rsidRPr="00BD2805" w:rsidRDefault="00BF4753" w:rsidP="002D7CA8">
            <w:pPr>
              <w:ind w:firstLine="8"/>
              <w:rPr>
                <w:rFonts w:cs="Times New Roman"/>
                <w:b w:val="0"/>
                <w:color w:val="auto"/>
                <w:sz w:val="20"/>
                <w:szCs w:val="20"/>
              </w:rPr>
            </w:pPr>
            <w:r w:rsidRPr="00BD2805">
              <w:rPr>
                <w:rFonts w:cs="Times New Roman"/>
                <w:b w:val="0"/>
                <w:color w:val="auto"/>
                <w:sz w:val="20"/>
                <w:szCs w:val="20"/>
              </w:rPr>
              <w:t>Vidējās darba samaksas tautsaimniecībā pieaugums faktiskajās cenās, %</w:t>
            </w:r>
          </w:p>
        </w:tc>
        <w:tc>
          <w:tcPr>
            <w:tcW w:w="709"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3,0</w:t>
            </w:r>
          </w:p>
        </w:tc>
        <w:tc>
          <w:tcPr>
            <w:tcW w:w="567" w:type="dxa"/>
            <w:noWrap/>
            <w:tcMar>
              <w:left w:w="57" w:type="dxa"/>
              <w:right w:w="57" w:type="dxa"/>
            </w:tcMar>
            <w:vAlign w:val="center"/>
          </w:tcPr>
          <w:p w:rsidR="00BF4753" w:rsidRPr="00BD2805" w:rsidRDefault="00BF4753" w:rsidP="002D7CA8">
            <w:pPr>
              <w:ind w:hanging="111"/>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4,0</w:t>
            </w:r>
          </w:p>
        </w:tc>
        <w:tc>
          <w:tcPr>
            <w:tcW w:w="567" w:type="dxa"/>
            <w:noWrap/>
            <w:tcMar>
              <w:left w:w="57" w:type="dxa"/>
              <w:right w:w="57" w:type="dxa"/>
            </w:tcMar>
            <w:vAlign w:val="center"/>
          </w:tcPr>
          <w:p w:rsidR="00BF4753" w:rsidRPr="00BD2805" w:rsidRDefault="00BF4753" w:rsidP="002D7CA8">
            <w:pPr>
              <w:ind w:hanging="168"/>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5,0</w:t>
            </w:r>
          </w:p>
        </w:tc>
        <w:tc>
          <w:tcPr>
            <w:tcW w:w="708" w:type="dxa"/>
            <w:tcBorders>
              <w:right w:val="double" w:sz="4" w:space="0" w:color="9CC2E5" w:themeColor="accent1" w:themeTint="99"/>
            </w:tcBorders>
            <w:noWrap/>
            <w:tcMar>
              <w:left w:w="57" w:type="dxa"/>
              <w:right w:w="57" w:type="dxa"/>
            </w:tcMar>
            <w:vAlign w:val="center"/>
          </w:tcPr>
          <w:p w:rsidR="00BF4753" w:rsidRPr="00BD2805" w:rsidRDefault="00BF4753" w:rsidP="002D7CA8">
            <w:pPr>
              <w:ind w:left="44" w:hanging="115"/>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5,0</w:t>
            </w:r>
          </w:p>
        </w:tc>
        <w:tc>
          <w:tcPr>
            <w:tcW w:w="851" w:type="dxa"/>
            <w:tcBorders>
              <w:left w:val="double" w:sz="4" w:space="0" w:color="9CC2E5" w:themeColor="accent1" w:themeTint="99"/>
            </w:tcBorders>
            <w:noWrap/>
            <w:tcMar>
              <w:left w:w="57" w:type="dxa"/>
              <w:right w:w="57" w:type="dxa"/>
            </w:tcMar>
            <w:vAlign w:val="center"/>
          </w:tcPr>
          <w:p w:rsidR="00BF4753" w:rsidRPr="00BD2805" w:rsidRDefault="00BF4753" w:rsidP="002D7CA8">
            <w:pPr>
              <w:ind w:hanging="63"/>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-1,0</w:t>
            </w:r>
          </w:p>
        </w:tc>
        <w:tc>
          <w:tcPr>
            <w:tcW w:w="709"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-1,0</w:t>
            </w:r>
          </w:p>
        </w:tc>
        <w:tc>
          <w:tcPr>
            <w:tcW w:w="708"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709"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r w:rsidR="00BF4753" w:rsidRPr="00BD2805" w:rsidTr="002D7CA8">
        <w:trPr>
          <w:trHeight w:val="340"/>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hideMark/>
          </w:tcPr>
          <w:p w:rsidR="00BF4753" w:rsidRPr="00BD2805" w:rsidRDefault="00BF4753" w:rsidP="002D7CA8">
            <w:pPr>
              <w:ind w:firstLine="8"/>
              <w:rPr>
                <w:rFonts w:cs="Times New Roman"/>
                <w:b w:val="0"/>
                <w:color w:val="auto"/>
                <w:sz w:val="20"/>
                <w:szCs w:val="20"/>
              </w:rPr>
            </w:pPr>
            <w:r w:rsidRPr="00BD2805">
              <w:rPr>
                <w:rFonts w:cs="Times New Roman"/>
                <w:b w:val="0"/>
                <w:color w:val="auto"/>
                <w:sz w:val="20"/>
                <w:szCs w:val="20"/>
              </w:rPr>
              <w:t>Nodarbinātības pieaugums, %</w:t>
            </w:r>
          </w:p>
        </w:tc>
        <w:tc>
          <w:tcPr>
            <w:tcW w:w="709"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-1,0</w:t>
            </w:r>
          </w:p>
        </w:tc>
        <w:tc>
          <w:tcPr>
            <w:tcW w:w="567" w:type="dxa"/>
            <w:noWrap/>
            <w:tcMar>
              <w:left w:w="57" w:type="dxa"/>
              <w:right w:w="57" w:type="dxa"/>
            </w:tcMar>
            <w:vAlign w:val="center"/>
          </w:tcPr>
          <w:p w:rsidR="00BF4753" w:rsidRPr="00BD2805" w:rsidRDefault="00BF4753" w:rsidP="002D7CA8">
            <w:pPr>
              <w:ind w:hanging="111"/>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1,0</w:t>
            </w:r>
          </w:p>
        </w:tc>
        <w:tc>
          <w:tcPr>
            <w:tcW w:w="567" w:type="dxa"/>
            <w:noWrap/>
            <w:tcMar>
              <w:left w:w="57" w:type="dxa"/>
              <w:right w:w="57" w:type="dxa"/>
            </w:tcMar>
            <w:vAlign w:val="center"/>
          </w:tcPr>
          <w:p w:rsidR="00BF4753" w:rsidRPr="00BD2805" w:rsidRDefault="00BF4753" w:rsidP="002D7CA8">
            <w:pPr>
              <w:ind w:hanging="168"/>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1,0</w:t>
            </w:r>
          </w:p>
        </w:tc>
        <w:tc>
          <w:tcPr>
            <w:tcW w:w="708" w:type="dxa"/>
            <w:tcBorders>
              <w:right w:val="double" w:sz="4" w:space="0" w:color="9CC2E5" w:themeColor="accent1" w:themeTint="99"/>
            </w:tcBorders>
            <w:noWrap/>
            <w:tcMar>
              <w:left w:w="57" w:type="dxa"/>
              <w:right w:w="57" w:type="dxa"/>
            </w:tcMar>
            <w:vAlign w:val="center"/>
          </w:tcPr>
          <w:p w:rsidR="00BF4753" w:rsidRPr="00BD2805" w:rsidRDefault="00BF4753" w:rsidP="002D7CA8">
            <w:pPr>
              <w:ind w:left="44" w:hanging="115"/>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851" w:type="dxa"/>
            <w:tcBorders>
              <w:left w:val="double" w:sz="4" w:space="0" w:color="9CC2E5" w:themeColor="accent1" w:themeTint="99"/>
            </w:tcBorders>
            <w:noWrap/>
            <w:tcMar>
              <w:left w:w="57" w:type="dxa"/>
              <w:right w:w="57" w:type="dxa"/>
            </w:tcMar>
            <w:vAlign w:val="center"/>
          </w:tcPr>
          <w:p w:rsidR="00BF4753" w:rsidRPr="00BD2805" w:rsidRDefault="00BF4753" w:rsidP="002D7CA8">
            <w:pPr>
              <w:ind w:hanging="63"/>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-0,6</w:t>
            </w:r>
          </w:p>
        </w:tc>
        <w:tc>
          <w:tcPr>
            <w:tcW w:w="709"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708"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0,7</w:t>
            </w:r>
          </w:p>
        </w:tc>
        <w:tc>
          <w:tcPr>
            <w:tcW w:w="709" w:type="dxa"/>
            <w:noWrap/>
            <w:tcMar>
              <w:left w:w="57" w:type="dxa"/>
              <w:right w:w="57" w:type="dxa"/>
            </w:tcMar>
            <w:vAlign w:val="center"/>
          </w:tcPr>
          <w:p w:rsidR="00BF4753" w:rsidRPr="00BD2805" w:rsidRDefault="00BF4753" w:rsidP="002D7CA8">
            <w:pPr>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r w:rsidR="00BF4753" w:rsidRPr="00BD2805" w:rsidTr="002D7CA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tcPr>
          <w:p w:rsidR="00BF4753" w:rsidRPr="00BD2805" w:rsidRDefault="00BF4753" w:rsidP="002D7CA8">
            <w:pPr>
              <w:ind w:firstLine="8"/>
              <w:rPr>
                <w:rFonts w:cs="Times New Roman"/>
                <w:b w:val="0"/>
                <w:color w:val="auto"/>
                <w:sz w:val="20"/>
                <w:szCs w:val="20"/>
              </w:rPr>
            </w:pPr>
            <w:r w:rsidRPr="00BD2805">
              <w:rPr>
                <w:rFonts w:cs="Times New Roman"/>
                <w:b w:val="0"/>
                <w:color w:val="auto"/>
                <w:sz w:val="20"/>
                <w:szCs w:val="20"/>
              </w:rPr>
              <w:t>Bezdarba līmenis, %</w:t>
            </w:r>
          </w:p>
        </w:tc>
        <w:tc>
          <w:tcPr>
            <w:tcW w:w="709"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8,9</w:t>
            </w:r>
          </w:p>
        </w:tc>
        <w:tc>
          <w:tcPr>
            <w:tcW w:w="567" w:type="dxa"/>
            <w:noWrap/>
            <w:tcMar>
              <w:left w:w="57" w:type="dxa"/>
              <w:right w:w="57" w:type="dxa"/>
            </w:tcMar>
            <w:vAlign w:val="center"/>
          </w:tcPr>
          <w:p w:rsidR="00BF4753" w:rsidRPr="00BD2805" w:rsidRDefault="00BF4753" w:rsidP="002D7CA8">
            <w:pPr>
              <w:ind w:hanging="111"/>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7,7</w:t>
            </w:r>
          </w:p>
        </w:tc>
        <w:tc>
          <w:tcPr>
            <w:tcW w:w="567" w:type="dxa"/>
            <w:noWrap/>
            <w:tcMar>
              <w:left w:w="57" w:type="dxa"/>
              <w:right w:w="57" w:type="dxa"/>
            </w:tcMar>
            <w:vAlign w:val="center"/>
          </w:tcPr>
          <w:p w:rsidR="00BF4753" w:rsidRPr="00BD2805" w:rsidRDefault="00BF4753" w:rsidP="002D7CA8">
            <w:pPr>
              <w:ind w:hanging="168"/>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6,3</w:t>
            </w:r>
          </w:p>
        </w:tc>
        <w:tc>
          <w:tcPr>
            <w:tcW w:w="708" w:type="dxa"/>
            <w:tcBorders>
              <w:right w:val="double" w:sz="4" w:space="0" w:color="9CC2E5" w:themeColor="accent1" w:themeTint="99"/>
            </w:tcBorders>
            <w:noWrap/>
            <w:tcMar>
              <w:left w:w="57" w:type="dxa"/>
              <w:right w:w="57" w:type="dxa"/>
            </w:tcMar>
            <w:vAlign w:val="center"/>
          </w:tcPr>
          <w:p w:rsidR="00BF4753" w:rsidRPr="00BD2805" w:rsidRDefault="00BF4753" w:rsidP="002D7CA8">
            <w:pPr>
              <w:ind w:left="44" w:hanging="115"/>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5,9</w:t>
            </w:r>
          </w:p>
        </w:tc>
        <w:tc>
          <w:tcPr>
            <w:tcW w:w="851" w:type="dxa"/>
            <w:tcBorders>
              <w:left w:val="double" w:sz="4" w:space="0" w:color="9CC2E5" w:themeColor="accent1" w:themeTint="99"/>
            </w:tcBorders>
            <w:noWrap/>
            <w:tcMar>
              <w:left w:w="57" w:type="dxa"/>
              <w:right w:w="57" w:type="dxa"/>
            </w:tcMar>
            <w:vAlign w:val="center"/>
          </w:tcPr>
          <w:p w:rsidR="00BF4753" w:rsidRPr="00BD2805" w:rsidRDefault="00BF4753" w:rsidP="002D7CA8">
            <w:pPr>
              <w:ind w:hanging="63"/>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0,6</w:t>
            </w:r>
          </w:p>
        </w:tc>
        <w:tc>
          <w:tcPr>
            <w:tcW w:w="709"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0,6</w:t>
            </w:r>
          </w:p>
        </w:tc>
        <w:tc>
          <w:tcPr>
            <w:tcW w:w="708"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c>
          <w:tcPr>
            <w:tcW w:w="709" w:type="dxa"/>
            <w:noWrap/>
            <w:tcMar>
              <w:left w:w="57" w:type="dxa"/>
              <w:right w:w="57" w:type="dxa"/>
            </w:tcMar>
            <w:vAlign w:val="center"/>
          </w:tcPr>
          <w:p w:rsidR="00BF4753" w:rsidRPr="00BD2805" w:rsidRDefault="00BF4753" w:rsidP="002D7CA8">
            <w:pPr>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BD2805">
              <w:rPr>
                <w:rFonts w:cs="Times New Roman"/>
                <w:color w:val="auto"/>
                <w:sz w:val="20"/>
                <w:szCs w:val="20"/>
              </w:rPr>
              <w:t>0,0</w:t>
            </w:r>
          </w:p>
        </w:tc>
      </w:tr>
    </w:tbl>
    <w:p w:rsidR="00BF4753" w:rsidRPr="00BD2805" w:rsidRDefault="00BF4753" w:rsidP="00BF4753">
      <w:pPr>
        <w:autoSpaceDE w:val="0"/>
        <w:autoSpaceDN w:val="0"/>
        <w:adjustRightInd w:val="0"/>
        <w:rPr>
          <w:rFonts w:eastAsia="Times New Roman" w:cs="Times New Roman"/>
          <w:lang w:eastAsia="lv-LV"/>
        </w:rPr>
      </w:pPr>
    </w:p>
    <w:p w:rsidR="00BF4753" w:rsidRPr="008B1959" w:rsidRDefault="00BF4753" w:rsidP="00BF4753">
      <w:pPr>
        <w:autoSpaceDE w:val="0"/>
        <w:autoSpaceDN w:val="0"/>
        <w:adjustRightInd w:val="0"/>
        <w:rPr>
          <w:rFonts w:eastAsia="Times New Roman" w:cs="Times New Roman"/>
          <w:szCs w:val="24"/>
          <w:lang w:eastAsia="lv-LV"/>
        </w:rPr>
      </w:pPr>
      <w:r w:rsidRPr="008B1959">
        <w:rPr>
          <w:rFonts w:eastAsia="Times New Roman" w:cs="Times New Roman"/>
          <w:szCs w:val="24"/>
          <w:lang w:eastAsia="lv-LV"/>
        </w:rPr>
        <w:t>Ja būvniecības nozare nespētu atrisināt kapacitātes problēmu, tas bremzētu investīciju apjomus, īpaši 2022.</w:t>
      </w:r>
      <w:r>
        <w:rPr>
          <w:rFonts w:eastAsia="Times New Roman" w:cs="Times New Roman"/>
          <w:szCs w:val="24"/>
          <w:lang w:eastAsia="lv-LV"/>
        </w:rPr>
        <w:t xml:space="preserve"> </w:t>
      </w:r>
      <w:r w:rsidRPr="008B1959">
        <w:rPr>
          <w:rFonts w:eastAsia="Times New Roman" w:cs="Times New Roman"/>
          <w:szCs w:val="24"/>
          <w:lang w:eastAsia="lv-LV"/>
        </w:rPr>
        <w:t>gad</w:t>
      </w:r>
      <w:r>
        <w:rPr>
          <w:rFonts w:eastAsia="Times New Roman" w:cs="Times New Roman"/>
          <w:szCs w:val="24"/>
          <w:lang w:eastAsia="lv-LV"/>
        </w:rPr>
        <w:t>ā, kad bija plānots lielākais Eiropas Savienības</w:t>
      </w:r>
      <w:r w:rsidRPr="008B1959">
        <w:rPr>
          <w:rFonts w:eastAsia="Times New Roman" w:cs="Times New Roman"/>
          <w:szCs w:val="24"/>
          <w:lang w:eastAsia="lv-LV"/>
        </w:rPr>
        <w:t xml:space="preserve"> līdzekļu ieplūdes pieaugums. Rezultātā kopējā pamatkapitāla veidošanas pieaugums 2022.</w:t>
      </w:r>
      <w:r>
        <w:rPr>
          <w:rFonts w:eastAsia="Times New Roman" w:cs="Times New Roman"/>
          <w:szCs w:val="24"/>
          <w:lang w:eastAsia="lv-LV"/>
        </w:rPr>
        <w:t xml:space="preserve"> </w:t>
      </w:r>
      <w:r w:rsidRPr="008B1959">
        <w:rPr>
          <w:rFonts w:eastAsia="Times New Roman" w:cs="Times New Roman"/>
          <w:szCs w:val="24"/>
          <w:lang w:eastAsia="lv-LV"/>
        </w:rPr>
        <w:t>gadā varētu būt par 2,4 procentpunktiem lēnāks nekā bāzes scenārijā. Savukārt eksports vairāk ciestu no kopējā pieprasījuma mazināšanās un preču plūsmu ierobežojumiem, kas vairāk izpaustos 2022.</w:t>
      </w:r>
      <w:r>
        <w:rPr>
          <w:rFonts w:eastAsia="Times New Roman" w:cs="Times New Roman"/>
          <w:szCs w:val="24"/>
          <w:lang w:eastAsia="lv-LV"/>
        </w:rPr>
        <w:t xml:space="preserve"> </w:t>
      </w:r>
      <w:r w:rsidRPr="008B1959">
        <w:rPr>
          <w:rFonts w:eastAsia="Times New Roman" w:cs="Times New Roman"/>
          <w:szCs w:val="24"/>
          <w:lang w:eastAsia="lv-LV"/>
        </w:rPr>
        <w:t>gadā līdz ar pandēmijas jauno aktualizēšanos, kamēr 2021.</w:t>
      </w:r>
      <w:r>
        <w:rPr>
          <w:rFonts w:eastAsia="Times New Roman" w:cs="Times New Roman"/>
          <w:szCs w:val="24"/>
          <w:lang w:eastAsia="lv-LV"/>
        </w:rPr>
        <w:t xml:space="preserve"> </w:t>
      </w:r>
      <w:r w:rsidRPr="008B1959">
        <w:rPr>
          <w:rFonts w:eastAsia="Times New Roman" w:cs="Times New Roman"/>
          <w:szCs w:val="24"/>
          <w:lang w:eastAsia="lv-LV"/>
        </w:rPr>
        <w:t>gadā šie riski ir ļoti zemi.</w:t>
      </w:r>
    </w:p>
    <w:p w:rsidR="00BF4753" w:rsidRPr="008B1959" w:rsidRDefault="00BF4753" w:rsidP="00BF4753">
      <w:pPr>
        <w:autoSpaceDE w:val="0"/>
        <w:autoSpaceDN w:val="0"/>
        <w:adjustRightInd w:val="0"/>
        <w:rPr>
          <w:rFonts w:eastAsia="Times New Roman" w:cs="Times New Roman"/>
          <w:szCs w:val="24"/>
          <w:lang w:eastAsia="lv-LV"/>
        </w:rPr>
      </w:pPr>
      <w:r w:rsidRPr="008B1959">
        <w:rPr>
          <w:rFonts w:eastAsia="Times New Roman" w:cs="Times New Roman"/>
          <w:szCs w:val="24"/>
          <w:lang w:eastAsia="lv-LV"/>
        </w:rPr>
        <w:t>Pesimisti</w:t>
      </w:r>
      <w:r>
        <w:rPr>
          <w:rFonts w:eastAsia="Times New Roman" w:cs="Times New Roman"/>
          <w:szCs w:val="24"/>
          <w:lang w:eastAsia="lv-LV"/>
        </w:rPr>
        <w:t>skā scenārija gadījumā reālā iekšzemes kopprodukta</w:t>
      </w:r>
      <w:r w:rsidRPr="008B1959">
        <w:rPr>
          <w:rFonts w:eastAsia="Times New Roman" w:cs="Times New Roman"/>
          <w:szCs w:val="24"/>
          <w:lang w:eastAsia="lv-LV"/>
        </w:rPr>
        <w:t xml:space="preserve"> izaugsme 2021.</w:t>
      </w:r>
      <w:r>
        <w:rPr>
          <w:rFonts w:eastAsia="Times New Roman" w:cs="Times New Roman"/>
          <w:szCs w:val="24"/>
          <w:lang w:eastAsia="lv-LV"/>
        </w:rPr>
        <w:t xml:space="preserve"> </w:t>
      </w:r>
      <w:r w:rsidRPr="008B1959">
        <w:rPr>
          <w:rFonts w:eastAsia="Times New Roman" w:cs="Times New Roman"/>
          <w:szCs w:val="24"/>
          <w:lang w:eastAsia="lv-LV"/>
        </w:rPr>
        <w:t>gadā būtu par 3 procentpunktiem lēnāka nekā pamata scenārijā un 2022.</w:t>
      </w:r>
      <w:r>
        <w:rPr>
          <w:rFonts w:eastAsia="Times New Roman" w:cs="Times New Roman"/>
          <w:szCs w:val="24"/>
          <w:lang w:eastAsia="lv-LV"/>
        </w:rPr>
        <w:t xml:space="preserve"> </w:t>
      </w:r>
      <w:r w:rsidRPr="008B1959">
        <w:rPr>
          <w:rFonts w:eastAsia="Times New Roman" w:cs="Times New Roman"/>
          <w:szCs w:val="24"/>
          <w:lang w:eastAsia="lv-LV"/>
        </w:rPr>
        <w:t>gadā par 0,3 procentpunktiem lēnāka.</w:t>
      </w:r>
    </w:p>
    <w:p w:rsidR="002C3840" w:rsidRDefault="002C3840" w:rsidP="002C3840">
      <w:pPr>
        <w:autoSpaceDE w:val="0"/>
        <w:autoSpaceDN w:val="0"/>
        <w:adjustRightInd w:val="0"/>
        <w:spacing w:before="120" w:after="120"/>
        <w:rPr>
          <w:rFonts w:eastAsia="Times New Roman" w:cs="Times New Roman"/>
          <w:b/>
          <w:szCs w:val="28"/>
          <w:lang w:eastAsia="lv-LV"/>
        </w:rPr>
      </w:pPr>
      <w:r w:rsidRPr="002C3840">
        <w:rPr>
          <w:rFonts w:eastAsia="Times New Roman" w:cs="Times New Roman"/>
          <w:b/>
          <w:szCs w:val="28"/>
          <w:lang w:eastAsia="lv-LV"/>
        </w:rPr>
        <w:t>Ietekme uz vispārējās valdības budžetu</w:t>
      </w:r>
    </w:p>
    <w:p w:rsidR="00BF4753" w:rsidRDefault="00BF4753" w:rsidP="00BF4753">
      <w:pPr>
        <w:autoSpaceDE w:val="0"/>
        <w:autoSpaceDN w:val="0"/>
        <w:adjustRightInd w:val="0"/>
        <w:rPr>
          <w:rFonts w:eastAsia="Times New Roman" w:cs="Times New Roman"/>
          <w:color w:val="000000"/>
          <w:szCs w:val="28"/>
          <w:lang w:eastAsia="lv-LV"/>
        </w:rPr>
      </w:pPr>
      <w:r w:rsidRPr="008B1959">
        <w:rPr>
          <w:rFonts w:eastAsia="Times New Roman" w:cs="Times New Roman"/>
          <w:color w:val="000000"/>
          <w:szCs w:val="28"/>
          <w:lang w:eastAsia="lv-LV"/>
        </w:rPr>
        <w:t xml:space="preserve">Īstenojoties pesimistiskajam scenārijam, būtiski samazinātos nodokļu ieņēmumi un pasliktinātos vispārējās valdības budžeta bilance. Salīdzinājumā ar bāzes scenāriju pesimistiskā scenārija gadījumā vispārējās valdības deficīts 2021. gadā pieaugtu par 292,4 milj. </w:t>
      </w:r>
      <w:r w:rsidRPr="008B1959">
        <w:rPr>
          <w:rFonts w:eastAsia="Times New Roman" w:cs="Times New Roman"/>
          <w:i/>
          <w:color w:val="000000"/>
          <w:szCs w:val="28"/>
          <w:lang w:eastAsia="lv-LV"/>
        </w:rPr>
        <w:t>euro</w:t>
      </w:r>
      <w:r w:rsidRPr="008B1959">
        <w:rPr>
          <w:rFonts w:eastAsia="Times New Roman" w:cs="Times New Roman"/>
          <w:color w:val="000000"/>
          <w:szCs w:val="28"/>
          <w:lang w:eastAsia="lv-LV"/>
        </w:rPr>
        <w:t xml:space="preserve"> jeb 1,3 procentpunktiem no </w:t>
      </w:r>
      <w:r>
        <w:rPr>
          <w:rFonts w:eastAsia="Times New Roman" w:cs="Times New Roman"/>
          <w:szCs w:val="24"/>
          <w:lang w:eastAsia="lv-LV"/>
        </w:rPr>
        <w:t>iekšzemes kopprodukta</w:t>
      </w:r>
      <w:r w:rsidRPr="008B1959">
        <w:rPr>
          <w:rFonts w:eastAsia="Times New Roman" w:cs="Times New Roman"/>
          <w:color w:val="000000"/>
          <w:szCs w:val="28"/>
          <w:lang w:eastAsia="lv-LV"/>
        </w:rPr>
        <w:t>. Savukārt 2022., 2023. un 2024.</w:t>
      </w:r>
      <w:r>
        <w:rPr>
          <w:rFonts w:eastAsia="Times New Roman" w:cs="Times New Roman"/>
          <w:color w:val="000000"/>
          <w:szCs w:val="28"/>
          <w:lang w:eastAsia="lv-LV"/>
        </w:rPr>
        <w:t xml:space="preserve"> </w:t>
      </w:r>
      <w:r w:rsidRPr="008B1959">
        <w:rPr>
          <w:rFonts w:eastAsia="Times New Roman" w:cs="Times New Roman"/>
          <w:color w:val="000000"/>
          <w:szCs w:val="28"/>
          <w:lang w:eastAsia="lv-LV"/>
        </w:rPr>
        <w:t xml:space="preserve">gadā vispārējās valdības bilance ik gadu pasliktinātos par 1,2 procentpunktiem no </w:t>
      </w:r>
      <w:r>
        <w:rPr>
          <w:rFonts w:eastAsia="Times New Roman" w:cs="Times New Roman"/>
          <w:szCs w:val="24"/>
          <w:lang w:eastAsia="lv-LV"/>
        </w:rPr>
        <w:t>iekšzemes kopprodukta</w:t>
      </w:r>
      <w:r w:rsidRPr="008B1959">
        <w:rPr>
          <w:rFonts w:eastAsia="Times New Roman" w:cs="Times New Roman"/>
          <w:color w:val="000000"/>
          <w:szCs w:val="28"/>
          <w:lang w:eastAsia="lv-LV"/>
        </w:rPr>
        <w:t xml:space="preserve"> salīdzinājumā ar bāzes scenāriju jeb nomināli par 349,1 milj. </w:t>
      </w:r>
      <w:r w:rsidRPr="008B1959">
        <w:rPr>
          <w:rFonts w:eastAsia="Times New Roman" w:cs="Times New Roman"/>
          <w:i/>
          <w:color w:val="000000"/>
          <w:szCs w:val="28"/>
          <w:lang w:eastAsia="lv-LV"/>
        </w:rPr>
        <w:t>euro</w:t>
      </w:r>
      <w:r w:rsidRPr="008B1959">
        <w:rPr>
          <w:rFonts w:eastAsia="Times New Roman" w:cs="Times New Roman"/>
          <w:color w:val="000000"/>
          <w:szCs w:val="28"/>
          <w:lang w:eastAsia="lv-LV"/>
        </w:rPr>
        <w:t xml:space="preserve">, 369,6 milj. </w:t>
      </w:r>
      <w:r w:rsidRPr="008B1959">
        <w:rPr>
          <w:rFonts w:eastAsia="Times New Roman" w:cs="Times New Roman"/>
          <w:i/>
          <w:color w:val="000000"/>
          <w:szCs w:val="28"/>
          <w:lang w:eastAsia="lv-LV"/>
        </w:rPr>
        <w:t>euro</w:t>
      </w:r>
      <w:r w:rsidRPr="008B1959">
        <w:rPr>
          <w:rFonts w:eastAsia="Times New Roman" w:cs="Times New Roman"/>
          <w:color w:val="000000"/>
          <w:szCs w:val="28"/>
          <w:lang w:eastAsia="lv-LV"/>
        </w:rPr>
        <w:t xml:space="preserve"> un 395,9 milj. </w:t>
      </w:r>
      <w:r w:rsidRPr="008B1959">
        <w:rPr>
          <w:rFonts w:eastAsia="Times New Roman" w:cs="Times New Roman"/>
          <w:i/>
          <w:color w:val="000000"/>
          <w:szCs w:val="28"/>
          <w:lang w:eastAsia="lv-LV"/>
        </w:rPr>
        <w:t xml:space="preserve">euro </w:t>
      </w:r>
      <w:r w:rsidRPr="008B1959">
        <w:rPr>
          <w:rFonts w:eastAsia="Times New Roman" w:cs="Times New Roman"/>
          <w:iCs/>
          <w:color w:val="000000"/>
          <w:szCs w:val="28"/>
          <w:lang w:eastAsia="lv-LV"/>
        </w:rPr>
        <w:t>attiecīgi</w:t>
      </w:r>
      <w:r w:rsidRPr="008B1959">
        <w:rPr>
          <w:rFonts w:eastAsia="Times New Roman" w:cs="Times New Roman"/>
          <w:color w:val="000000"/>
          <w:szCs w:val="28"/>
          <w:lang w:eastAsia="lv-LV"/>
        </w:rPr>
        <w:t>. Vispārējās valdības deficīts pesimistiskajā scenārijā 2021. </w:t>
      </w:r>
      <w:r w:rsidRPr="008B1959">
        <w:rPr>
          <w:rFonts w:cs="Times New Roman"/>
          <w:szCs w:val="28"/>
        </w:rPr>
        <w:t xml:space="preserve">gadā pieaugtu līdz 10,6% no </w:t>
      </w:r>
      <w:r>
        <w:rPr>
          <w:rFonts w:eastAsia="Times New Roman" w:cs="Times New Roman"/>
          <w:szCs w:val="24"/>
          <w:lang w:eastAsia="lv-LV"/>
        </w:rPr>
        <w:t>iekšzemes kopprodukta</w:t>
      </w:r>
      <w:r w:rsidRPr="008B1959">
        <w:rPr>
          <w:rFonts w:eastAsia="Times New Roman" w:cs="Times New Roman"/>
          <w:color w:val="000000"/>
          <w:szCs w:val="28"/>
          <w:lang w:eastAsia="lv-LV"/>
        </w:rPr>
        <w:t xml:space="preserve">, 2022. gadā līdz 3,9% no </w:t>
      </w:r>
      <w:r>
        <w:rPr>
          <w:rFonts w:eastAsia="Times New Roman" w:cs="Times New Roman"/>
          <w:szCs w:val="24"/>
          <w:lang w:eastAsia="lv-LV"/>
        </w:rPr>
        <w:t>iekšzemes kopprodukta</w:t>
      </w:r>
      <w:r w:rsidRPr="008B1959">
        <w:rPr>
          <w:rFonts w:eastAsia="Times New Roman" w:cs="Times New Roman"/>
          <w:color w:val="000000"/>
          <w:szCs w:val="28"/>
          <w:lang w:eastAsia="lv-LV"/>
        </w:rPr>
        <w:t xml:space="preserve">, 2023. gadā līdz 2,5% no </w:t>
      </w:r>
      <w:r>
        <w:rPr>
          <w:rFonts w:eastAsia="Times New Roman" w:cs="Times New Roman"/>
          <w:szCs w:val="24"/>
          <w:lang w:eastAsia="lv-LV"/>
        </w:rPr>
        <w:t>iekšzemes kopprodukta</w:t>
      </w:r>
      <w:r w:rsidRPr="008B1959">
        <w:rPr>
          <w:rFonts w:eastAsia="Times New Roman" w:cs="Times New Roman"/>
          <w:color w:val="000000"/>
          <w:szCs w:val="28"/>
          <w:lang w:eastAsia="lv-LV"/>
        </w:rPr>
        <w:t xml:space="preserve">, bet 2024. gadā līdz 1,5% no </w:t>
      </w:r>
      <w:r>
        <w:rPr>
          <w:rFonts w:eastAsia="Times New Roman" w:cs="Times New Roman"/>
          <w:szCs w:val="24"/>
          <w:lang w:eastAsia="lv-LV"/>
        </w:rPr>
        <w:t>iekšzemes kopprodukta</w:t>
      </w:r>
      <w:r w:rsidRPr="008B1959">
        <w:rPr>
          <w:rFonts w:eastAsia="Times New Roman" w:cs="Times New Roman"/>
          <w:color w:val="000000"/>
          <w:szCs w:val="28"/>
          <w:lang w:eastAsia="lv-LV"/>
        </w:rPr>
        <w:t>.</w:t>
      </w:r>
    </w:p>
    <w:p w:rsidR="00BF4753" w:rsidRDefault="00BF4753" w:rsidP="00BF4753">
      <w:pPr>
        <w:autoSpaceDE w:val="0"/>
        <w:autoSpaceDN w:val="0"/>
        <w:adjustRightInd w:val="0"/>
        <w:rPr>
          <w:rFonts w:eastAsia="Times New Roman" w:cs="Times New Roman"/>
          <w:color w:val="000000"/>
          <w:szCs w:val="28"/>
          <w:lang w:eastAsia="lv-LV"/>
        </w:rPr>
      </w:pPr>
    </w:p>
    <w:p w:rsidR="00BF4753" w:rsidRDefault="00BF4753" w:rsidP="00BF4753">
      <w:pPr>
        <w:autoSpaceDE w:val="0"/>
        <w:autoSpaceDN w:val="0"/>
        <w:adjustRightInd w:val="0"/>
        <w:rPr>
          <w:rFonts w:eastAsia="Times New Roman" w:cs="Times New Roman"/>
          <w:color w:val="000000"/>
          <w:szCs w:val="28"/>
          <w:lang w:eastAsia="lv-LV"/>
        </w:rPr>
      </w:pPr>
    </w:p>
    <w:p w:rsidR="00BF4753" w:rsidRDefault="00BF4753" w:rsidP="00BF4753">
      <w:pPr>
        <w:autoSpaceDE w:val="0"/>
        <w:autoSpaceDN w:val="0"/>
        <w:adjustRightInd w:val="0"/>
        <w:rPr>
          <w:rFonts w:eastAsia="Times New Roman" w:cs="Times New Roman"/>
          <w:color w:val="000000"/>
          <w:szCs w:val="28"/>
          <w:lang w:eastAsia="lv-LV"/>
        </w:rPr>
      </w:pPr>
    </w:p>
    <w:p w:rsidR="00BF4753" w:rsidRDefault="00BF4753" w:rsidP="00BF4753">
      <w:pPr>
        <w:autoSpaceDE w:val="0"/>
        <w:autoSpaceDN w:val="0"/>
        <w:adjustRightInd w:val="0"/>
        <w:rPr>
          <w:rFonts w:eastAsia="Times New Roman" w:cs="Times New Roman"/>
          <w:color w:val="000000"/>
          <w:szCs w:val="28"/>
          <w:lang w:eastAsia="lv-LV"/>
        </w:rPr>
      </w:pPr>
    </w:p>
    <w:p w:rsidR="00BF4753" w:rsidRPr="008B1959" w:rsidRDefault="00BF4753" w:rsidP="00BF4753">
      <w:pPr>
        <w:autoSpaceDE w:val="0"/>
        <w:autoSpaceDN w:val="0"/>
        <w:adjustRightInd w:val="0"/>
        <w:rPr>
          <w:rFonts w:eastAsia="Times New Roman" w:cs="Times New Roman"/>
          <w:color w:val="000000"/>
          <w:szCs w:val="28"/>
          <w:lang w:eastAsia="lv-LV"/>
        </w:rPr>
      </w:pPr>
    </w:p>
    <w:p w:rsidR="00BF4753" w:rsidRPr="008B1959" w:rsidRDefault="00BF4753" w:rsidP="00BF4753">
      <w:pPr>
        <w:spacing w:before="120" w:after="120"/>
        <w:jc w:val="right"/>
        <w:rPr>
          <w:rFonts w:cs="Times New Roman"/>
          <w:b/>
          <w:i/>
          <w:sz w:val="24"/>
          <w:szCs w:val="24"/>
        </w:rPr>
      </w:pPr>
      <w:r w:rsidRPr="008B1959">
        <w:rPr>
          <w:rFonts w:cs="Times New Roman"/>
          <w:b/>
          <w:i/>
          <w:sz w:val="24"/>
          <w:szCs w:val="24"/>
        </w:rPr>
        <w:t>4.5. tabula. Pesimistiskā scenārija ietekme uz vispārējās valdības budžetu, milj. euro</w:t>
      </w:r>
    </w:p>
    <w:tbl>
      <w:tblPr>
        <w:tblW w:w="9073" w:type="dxa"/>
        <w:jc w:val="center"/>
        <w:tblBorders>
          <w:top w:val="single" w:sz="2" w:space="0" w:color="9CC2E5" w:themeColor="accent1" w:themeTint="99"/>
          <w:left w:val="single" w:sz="2" w:space="0" w:color="9CC2E5" w:themeColor="accent1" w:themeTint="99"/>
          <w:bottom w:val="single" w:sz="2" w:space="0" w:color="9CC2E5" w:themeColor="accent1" w:themeTint="99"/>
          <w:right w:val="single" w:sz="2" w:space="0" w:color="9CC2E5" w:themeColor="accent1" w:themeTint="99"/>
          <w:insideH w:val="single" w:sz="2" w:space="0" w:color="9CC2E5" w:themeColor="accent1" w:themeTint="99"/>
          <w:insideV w:val="single" w:sz="2" w:space="0" w:color="9CC2E5" w:themeColor="accent1" w:themeTint="99"/>
        </w:tblBorders>
        <w:tblLayout w:type="fixed"/>
        <w:tblLook w:val="04A0" w:firstRow="1" w:lastRow="0" w:firstColumn="1" w:lastColumn="0" w:noHBand="0" w:noVBand="1"/>
      </w:tblPr>
      <w:tblGrid>
        <w:gridCol w:w="2553"/>
        <w:gridCol w:w="850"/>
        <w:gridCol w:w="847"/>
        <w:gridCol w:w="992"/>
        <w:gridCol w:w="851"/>
        <w:gridCol w:w="848"/>
        <w:gridCol w:w="711"/>
        <w:gridCol w:w="709"/>
        <w:gridCol w:w="712"/>
      </w:tblGrid>
      <w:tr w:rsidR="00BF4753" w:rsidRPr="00C10744" w:rsidTr="002D7CA8">
        <w:trPr>
          <w:trHeight w:val="20"/>
          <w:tblHeader/>
          <w:jc w:val="center"/>
        </w:trPr>
        <w:tc>
          <w:tcPr>
            <w:tcW w:w="2553" w:type="dxa"/>
            <w:shd w:val="clear" w:color="auto" w:fill="auto"/>
            <w:vAlign w:val="center"/>
            <w:hideMark/>
          </w:tcPr>
          <w:p w:rsidR="00BF4753" w:rsidRPr="00C10744" w:rsidRDefault="00BF4753" w:rsidP="002D7CA8">
            <w:pPr>
              <w:rPr>
                <w:rFonts w:eastAsia="Times New Roman" w:cs="Times New Roman"/>
                <w:sz w:val="20"/>
                <w:szCs w:val="20"/>
                <w:lang w:eastAsia="lv-LV"/>
              </w:rPr>
            </w:pPr>
          </w:p>
        </w:tc>
        <w:tc>
          <w:tcPr>
            <w:tcW w:w="3540" w:type="dxa"/>
            <w:gridSpan w:val="4"/>
            <w:vAlign w:val="center"/>
          </w:tcPr>
          <w:p w:rsidR="00BF4753" w:rsidRPr="00C10744" w:rsidRDefault="00BF4753" w:rsidP="002D7CA8">
            <w:pPr>
              <w:ind w:firstLine="30"/>
              <w:jc w:val="center"/>
              <w:rPr>
                <w:rFonts w:eastAsia="Times New Roman" w:cs="Times New Roman"/>
                <w:b/>
                <w:sz w:val="20"/>
                <w:szCs w:val="20"/>
                <w:lang w:eastAsia="lv-LV"/>
              </w:rPr>
            </w:pPr>
            <w:r w:rsidRPr="00C10744">
              <w:rPr>
                <w:rFonts w:eastAsia="Times New Roman" w:cs="Times New Roman"/>
                <w:b/>
                <w:sz w:val="20"/>
                <w:szCs w:val="20"/>
                <w:lang w:eastAsia="lv-LV"/>
              </w:rPr>
              <w:t>Pesimistiskais scenārijs</w:t>
            </w:r>
          </w:p>
        </w:tc>
        <w:tc>
          <w:tcPr>
            <w:tcW w:w="2980" w:type="dxa"/>
            <w:gridSpan w:val="4"/>
            <w:vAlign w:val="center"/>
          </w:tcPr>
          <w:p w:rsidR="00BF4753" w:rsidRPr="00C10744" w:rsidRDefault="00BF4753" w:rsidP="002D7CA8">
            <w:pPr>
              <w:ind w:firstLine="0"/>
              <w:jc w:val="center"/>
              <w:rPr>
                <w:rFonts w:eastAsia="Times New Roman" w:cs="Times New Roman"/>
                <w:b/>
                <w:sz w:val="20"/>
                <w:szCs w:val="20"/>
                <w:lang w:eastAsia="lv-LV"/>
              </w:rPr>
            </w:pPr>
            <w:r w:rsidRPr="00C10744">
              <w:rPr>
                <w:rFonts w:eastAsia="Times New Roman" w:cs="Times New Roman"/>
                <w:b/>
                <w:sz w:val="20"/>
                <w:szCs w:val="20"/>
                <w:lang w:eastAsia="lv-LV"/>
              </w:rPr>
              <w:t>Novirze no bāzes scenārija</w:t>
            </w:r>
          </w:p>
        </w:tc>
      </w:tr>
      <w:tr w:rsidR="00BF4753" w:rsidRPr="00C10744" w:rsidTr="002D7CA8">
        <w:trPr>
          <w:trHeight w:val="20"/>
          <w:jc w:val="center"/>
        </w:trPr>
        <w:tc>
          <w:tcPr>
            <w:tcW w:w="2553" w:type="dxa"/>
            <w:shd w:val="clear" w:color="auto" w:fill="auto"/>
            <w:vAlign w:val="center"/>
            <w:hideMark/>
          </w:tcPr>
          <w:p w:rsidR="00BF4753" w:rsidRPr="00C10744" w:rsidRDefault="00BF4753" w:rsidP="002D7CA8">
            <w:pPr>
              <w:rPr>
                <w:rFonts w:eastAsia="Times New Roman" w:cs="Times New Roman"/>
                <w:sz w:val="20"/>
                <w:szCs w:val="20"/>
                <w:lang w:eastAsia="lv-LV"/>
              </w:rPr>
            </w:pPr>
          </w:p>
        </w:tc>
        <w:tc>
          <w:tcPr>
            <w:tcW w:w="850" w:type="dxa"/>
            <w:shd w:val="clear" w:color="auto" w:fill="auto"/>
            <w:tcMar>
              <w:left w:w="57" w:type="dxa"/>
              <w:right w:w="57" w:type="dxa"/>
            </w:tcMar>
            <w:vAlign w:val="center"/>
          </w:tcPr>
          <w:p w:rsidR="00BF4753" w:rsidRPr="00C10744" w:rsidRDefault="00BF4753" w:rsidP="002D7CA8">
            <w:pPr>
              <w:ind w:hanging="64"/>
              <w:jc w:val="center"/>
              <w:rPr>
                <w:rFonts w:eastAsia="Times New Roman" w:cs="Times New Roman"/>
                <w:b/>
                <w:sz w:val="20"/>
                <w:szCs w:val="20"/>
                <w:lang w:eastAsia="lv-LV"/>
              </w:rPr>
            </w:pPr>
            <w:r w:rsidRPr="0059271D">
              <w:rPr>
                <w:rFonts w:eastAsia="Times New Roman" w:cs="Times New Roman"/>
                <w:b/>
                <w:sz w:val="20"/>
                <w:szCs w:val="20"/>
                <w:lang w:eastAsia="lv-LV"/>
              </w:rPr>
              <w:t>20</w:t>
            </w:r>
            <w:r>
              <w:rPr>
                <w:rFonts w:eastAsia="Times New Roman" w:cs="Times New Roman"/>
                <w:b/>
                <w:sz w:val="20"/>
                <w:szCs w:val="20"/>
                <w:lang w:eastAsia="lv-LV"/>
              </w:rPr>
              <w:t>21</w:t>
            </w:r>
          </w:p>
        </w:tc>
        <w:tc>
          <w:tcPr>
            <w:tcW w:w="847" w:type="dxa"/>
            <w:shd w:val="clear" w:color="auto" w:fill="auto"/>
            <w:tcMar>
              <w:left w:w="57" w:type="dxa"/>
              <w:right w:w="57" w:type="dxa"/>
            </w:tcMar>
            <w:vAlign w:val="center"/>
          </w:tcPr>
          <w:p w:rsidR="00BF4753" w:rsidRPr="00C10744" w:rsidRDefault="00BF4753" w:rsidP="002D7CA8">
            <w:pPr>
              <w:ind w:firstLine="76"/>
              <w:jc w:val="center"/>
              <w:rPr>
                <w:rFonts w:eastAsia="Times New Roman" w:cs="Times New Roman"/>
                <w:b/>
                <w:sz w:val="20"/>
                <w:szCs w:val="20"/>
                <w:lang w:eastAsia="lv-LV"/>
              </w:rPr>
            </w:pPr>
            <w:r w:rsidRPr="0059271D">
              <w:rPr>
                <w:rFonts w:eastAsia="Times New Roman" w:cs="Times New Roman"/>
                <w:b/>
                <w:sz w:val="20"/>
                <w:szCs w:val="20"/>
                <w:lang w:eastAsia="lv-LV"/>
              </w:rPr>
              <w:t>202</w:t>
            </w:r>
            <w:r>
              <w:rPr>
                <w:rFonts w:eastAsia="Times New Roman" w:cs="Times New Roman"/>
                <w:b/>
                <w:sz w:val="20"/>
                <w:szCs w:val="20"/>
                <w:lang w:eastAsia="lv-LV"/>
              </w:rPr>
              <w:t>2</w:t>
            </w:r>
          </w:p>
        </w:tc>
        <w:tc>
          <w:tcPr>
            <w:tcW w:w="992" w:type="dxa"/>
            <w:tcMar>
              <w:left w:w="57" w:type="dxa"/>
              <w:right w:w="57" w:type="dxa"/>
            </w:tcMar>
            <w:vAlign w:val="center"/>
          </w:tcPr>
          <w:p w:rsidR="00BF4753" w:rsidRPr="00C10744" w:rsidRDefault="00BF4753" w:rsidP="002D7CA8">
            <w:pPr>
              <w:ind w:hanging="55"/>
              <w:jc w:val="center"/>
              <w:rPr>
                <w:rFonts w:eastAsia="Times New Roman" w:cs="Times New Roman"/>
                <w:b/>
                <w:sz w:val="20"/>
                <w:szCs w:val="20"/>
                <w:lang w:eastAsia="lv-LV"/>
              </w:rPr>
            </w:pPr>
            <w:r w:rsidRPr="0059271D">
              <w:rPr>
                <w:rFonts w:eastAsia="Times New Roman" w:cs="Times New Roman"/>
                <w:b/>
                <w:sz w:val="20"/>
                <w:szCs w:val="20"/>
                <w:lang w:eastAsia="lv-LV"/>
              </w:rPr>
              <w:t>202</w:t>
            </w:r>
            <w:r>
              <w:rPr>
                <w:rFonts w:eastAsia="Times New Roman" w:cs="Times New Roman"/>
                <w:b/>
                <w:sz w:val="20"/>
                <w:szCs w:val="20"/>
                <w:lang w:eastAsia="lv-LV"/>
              </w:rPr>
              <w:t>3</w:t>
            </w:r>
          </w:p>
        </w:tc>
        <w:tc>
          <w:tcPr>
            <w:tcW w:w="851" w:type="dxa"/>
            <w:shd w:val="clear" w:color="auto" w:fill="auto"/>
            <w:tcMar>
              <w:left w:w="57" w:type="dxa"/>
              <w:right w:w="57" w:type="dxa"/>
            </w:tcMar>
            <w:vAlign w:val="center"/>
          </w:tcPr>
          <w:p w:rsidR="00BF4753" w:rsidRPr="00C10744" w:rsidRDefault="00BF4753" w:rsidP="002D7CA8">
            <w:pPr>
              <w:ind w:hanging="59"/>
              <w:jc w:val="center"/>
              <w:rPr>
                <w:rFonts w:eastAsia="Times New Roman" w:cs="Times New Roman"/>
                <w:b/>
                <w:sz w:val="20"/>
                <w:szCs w:val="20"/>
                <w:lang w:eastAsia="lv-LV"/>
              </w:rPr>
            </w:pPr>
            <w:r w:rsidRPr="0059271D">
              <w:rPr>
                <w:rFonts w:eastAsia="Times New Roman" w:cs="Times New Roman"/>
                <w:b/>
                <w:sz w:val="20"/>
                <w:szCs w:val="20"/>
                <w:lang w:eastAsia="lv-LV"/>
              </w:rPr>
              <w:t>202</w:t>
            </w:r>
            <w:r>
              <w:rPr>
                <w:rFonts w:eastAsia="Times New Roman" w:cs="Times New Roman"/>
                <w:b/>
                <w:sz w:val="20"/>
                <w:szCs w:val="20"/>
                <w:lang w:eastAsia="lv-LV"/>
              </w:rPr>
              <w:t>4</w:t>
            </w:r>
          </w:p>
        </w:tc>
        <w:tc>
          <w:tcPr>
            <w:tcW w:w="848" w:type="dxa"/>
            <w:shd w:val="clear" w:color="auto" w:fill="auto"/>
            <w:tcMar>
              <w:left w:w="57" w:type="dxa"/>
              <w:right w:w="57" w:type="dxa"/>
            </w:tcMar>
            <w:vAlign w:val="center"/>
            <w:hideMark/>
          </w:tcPr>
          <w:p w:rsidR="00BF4753" w:rsidRPr="00C10744" w:rsidRDefault="00BF4753" w:rsidP="002D7CA8">
            <w:pPr>
              <w:ind w:hanging="60"/>
              <w:jc w:val="center"/>
              <w:rPr>
                <w:rFonts w:eastAsia="Times New Roman" w:cs="Times New Roman"/>
                <w:b/>
                <w:sz w:val="20"/>
                <w:szCs w:val="20"/>
                <w:lang w:eastAsia="lv-LV"/>
              </w:rPr>
            </w:pPr>
            <w:r w:rsidRPr="0059271D">
              <w:rPr>
                <w:rFonts w:eastAsia="Times New Roman" w:cs="Times New Roman"/>
                <w:b/>
                <w:sz w:val="20"/>
                <w:szCs w:val="20"/>
                <w:lang w:eastAsia="lv-LV"/>
              </w:rPr>
              <w:t>20</w:t>
            </w:r>
            <w:r>
              <w:rPr>
                <w:rFonts w:eastAsia="Times New Roman" w:cs="Times New Roman"/>
                <w:b/>
                <w:sz w:val="20"/>
                <w:szCs w:val="20"/>
                <w:lang w:eastAsia="lv-LV"/>
              </w:rPr>
              <w:t>21</w:t>
            </w:r>
          </w:p>
        </w:tc>
        <w:tc>
          <w:tcPr>
            <w:tcW w:w="711" w:type="dxa"/>
            <w:shd w:val="clear" w:color="auto" w:fill="auto"/>
            <w:tcMar>
              <w:left w:w="57" w:type="dxa"/>
              <w:right w:w="57" w:type="dxa"/>
            </w:tcMar>
            <w:vAlign w:val="center"/>
            <w:hideMark/>
          </w:tcPr>
          <w:p w:rsidR="00BF4753" w:rsidRPr="00C10744" w:rsidRDefault="00BF4753" w:rsidP="002D7CA8">
            <w:pPr>
              <w:ind w:firstLine="0"/>
              <w:jc w:val="center"/>
              <w:rPr>
                <w:rFonts w:eastAsia="Times New Roman" w:cs="Times New Roman"/>
                <w:b/>
                <w:sz w:val="20"/>
                <w:szCs w:val="20"/>
                <w:lang w:eastAsia="lv-LV"/>
              </w:rPr>
            </w:pPr>
            <w:r w:rsidRPr="0059271D">
              <w:rPr>
                <w:rFonts w:eastAsia="Times New Roman" w:cs="Times New Roman"/>
                <w:b/>
                <w:sz w:val="20"/>
                <w:szCs w:val="20"/>
                <w:lang w:eastAsia="lv-LV"/>
              </w:rPr>
              <w:t>202</w:t>
            </w:r>
            <w:r>
              <w:rPr>
                <w:rFonts w:eastAsia="Times New Roman" w:cs="Times New Roman"/>
                <w:b/>
                <w:sz w:val="20"/>
                <w:szCs w:val="20"/>
                <w:lang w:eastAsia="lv-LV"/>
              </w:rPr>
              <w:t>2</w:t>
            </w:r>
          </w:p>
        </w:tc>
        <w:tc>
          <w:tcPr>
            <w:tcW w:w="709" w:type="dxa"/>
            <w:tcMar>
              <w:left w:w="57" w:type="dxa"/>
              <w:right w:w="57" w:type="dxa"/>
            </w:tcMar>
            <w:vAlign w:val="center"/>
          </w:tcPr>
          <w:p w:rsidR="00BF4753" w:rsidRPr="00C10744" w:rsidRDefault="00BF4753" w:rsidP="002D7CA8">
            <w:pPr>
              <w:ind w:firstLine="0"/>
              <w:jc w:val="center"/>
              <w:rPr>
                <w:rFonts w:eastAsia="Times New Roman" w:cs="Times New Roman"/>
                <w:b/>
                <w:sz w:val="20"/>
                <w:szCs w:val="20"/>
                <w:lang w:eastAsia="lv-LV"/>
              </w:rPr>
            </w:pPr>
            <w:r w:rsidRPr="0059271D">
              <w:rPr>
                <w:rFonts w:eastAsia="Times New Roman" w:cs="Times New Roman"/>
                <w:b/>
                <w:sz w:val="20"/>
                <w:szCs w:val="20"/>
                <w:lang w:eastAsia="lv-LV"/>
              </w:rPr>
              <w:t>202</w:t>
            </w:r>
            <w:r>
              <w:rPr>
                <w:rFonts w:eastAsia="Times New Roman" w:cs="Times New Roman"/>
                <w:b/>
                <w:sz w:val="20"/>
                <w:szCs w:val="20"/>
                <w:lang w:eastAsia="lv-LV"/>
              </w:rPr>
              <w:t>3</w:t>
            </w:r>
          </w:p>
        </w:tc>
        <w:tc>
          <w:tcPr>
            <w:tcW w:w="708" w:type="dxa"/>
            <w:shd w:val="clear" w:color="auto" w:fill="auto"/>
            <w:tcMar>
              <w:left w:w="57" w:type="dxa"/>
              <w:right w:w="57" w:type="dxa"/>
            </w:tcMar>
            <w:vAlign w:val="center"/>
            <w:hideMark/>
          </w:tcPr>
          <w:p w:rsidR="00BF4753" w:rsidRPr="00C10744" w:rsidRDefault="00BF4753" w:rsidP="002D7CA8">
            <w:pPr>
              <w:ind w:hanging="60"/>
              <w:jc w:val="center"/>
              <w:rPr>
                <w:rFonts w:eastAsia="Times New Roman" w:cs="Times New Roman"/>
                <w:b/>
                <w:sz w:val="20"/>
                <w:szCs w:val="20"/>
                <w:lang w:eastAsia="lv-LV"/>
              </w:rPr>
            </w:pPr>
            <w:r w:rsidRPr="0059271D">
              <w:rPr>
                <w:rFonts w:eastAsia="Times New Roman" w:cs="Times New Roman"/>
                <w:b/>
                <w:sz w:val="20"/>
                <w:szCs w:val="20"/>
                <w:lang w:eastAsia="lv-LV"/>
              </w:rPr>
              <w:t>202</w:t>
            </w:r>
            <w:r>
              <w:rPr>
                <w:rFonts w:eastAsia="Times New Roman" w:cs="Times New Roman"/>
                <w:b/>
                <w:sz w:val="20"/>
                <w:szCs w:val="20"/>
                <w:lang w:eastAsia="lv-LV"/>
              </w:rPr>
              <w:t>4</w:t>
            </w:r>
          </w:p>
        </w:tc>
      </w:tr>
      <w:tr w:rsidR="00BF4753" w:rsidRPr="00C10744" w:rsidTr="002D7CA8">
        <w:trPr>
          <w:trHeight w:val="20"/>
          <w:jc w:val="center"/>
        </w:trPr>
        <w:tc>
          <w:tcPr>
            <w:tcW w:w="2553" w:type="dxa"/>
            <w:shd w:val="clear" w:color="auto" w:fill="DEEAF6" w:themeFill="accent1" w:themeFillTint="33"/>
            <w:vAlign w:val="center"/>
          </w:tcPr>
          <w:p w:rsidR="00BF4753" w:rsidRPr="00C10744" w:rsidRDefault="00BF4753" w:rsidP="002D7CA8">
            <w:pPr>
              <w:ind w:firstLine="0"/>
              <w:rPr>
                <w:rFonts w:eastAsia="Times New Roman" w:cs="Times New Roman"/>
                <w:b/>
                <w:sz w:val="20"/>
                <w:szCs w:val="20"/>
                <w:lang w:eastAsia="lv-LV"/>
              </w:rPr>
            </w:pPr>
            <w:r w:rsidRPr="00C10744">
              <w:rPr>
                <w:rFonts w:eastAsia="Times New Roman" w:cs="Times New Roman"/>
                <w:b/>
                <w:sz w:val="20"/>
                <w:szCs w:val="20"/>
                <w:lang w:eastAsia="lv-LV"/>
              </w:rPr>
              <w:t>Vispārējās valdības budžeta bilance, % no IKP</w:t>
            </w:r>
          </w:p>
        </w:tc>
        <w:tc>
          <w:tcPr>
            <w:tcW w:w="850" w:type="dxa"/>
            <w:shd w:val="clear" w:color="auto" w:fill="DEEAF6" w:themeFill="accent1" w:themeFillTint="33"/>
            <w:tcMar>
              <w:left w:w="57" w:type="dxa"/>
              <w:right w:w="57" w:type="dxa"/>
            </w:tcMar>
            <w:vAlign w:val="center"/>
          </w:tcPr>
          <w:p w:rsidR="00BF4753" w:rsidRPr="00413763" w:rsidRDefault="00BF4753" w:rsidP="002D7CA8">
            <w:pPr>
              <w:ind w:right="5" w:hanging="64"/>
              <w:jc w:val="center"/>
              <w:rPr>
                <w:rFonts w:cs="Times New Roman"/>
                <w:b/>
                <w:sz w:val="20"/>
                <w:szCs w:val="20"/>
              </w:rPr>
            </w:pPr>
            <w:r w:rsidRPr="00413763">
              <w:rPr>
                <w:rFonts w:cs="Times New Roman"/>
                <w:b/>
                <w:sz w:val="20"/>
                <w:szCs w:val="20"/>
              </w:rPr>
              <w:t>-10,6</w:t>
            </w:r>
          </w:p>
        </w:tc>
        <w:tc>
          <w:tcPr>
            <w:tcW w:w="847" w:type="dxa"/>
            <w:shd w:val="clear" w:color="auto" w:fill="DEEAF6" w:themeFill="accent1" w:themeFillTint="33"/>
            <w:tcMar>
              <w:left w:w="57" w:type="dxa"/>
              <w:right w:w="57" w:type="dxa"/>
            </w:tcMar>
            <w:vAlign w:val="center"/>
          </w:tcPr>
          <w:p w:rsidR="00BF4753" w:rsidRPr="00413763" w:rsidRDefault="00BF4753" w:rsidP="002D7CA8">
            <w:pPr>
              <w:ind w:right="5" w:firstLine="76"/>
              <w:jc w:val="center"/>
              <w:rPr>
                <w:rFonts w:cs="Times New Roman"/>
                <w:b/>
                <w:sz w:val="20"/>
                <w:szCs w:val="20"/>
              </w:rPr>
            </w:pPr>
            <w:r w:rsidRPr="00413763">
              <w:rPr>
                <w:rFonts w:cs="Times New Roman"/>
                <w:b/>
                <w:sz w:val="20"/>
                <w:szCs w:val="20"/>
              </w:rPr>
              <w:t>-3,9</w:t>
            </w:r>
          </w:p>
        </w:tc>
        <w:tc>
          <w:tcPr>
            <w:tcW w:w="992" w:type="dxa"/>
            <w:shd w:val="clear" w:color="auto" w:fill="DEEAF6" w:themeFill="accent1" w:themeFillTint="33"/>
            <w:tcMar>
              <w:left w:w="57" w:type="dxa"/>
              <w:right w:w="57" w:type="dxa"/>
            </w:tcMar>
            <w:vAlign w:val="center"/>
          </w:tcPr>
          <w:p w:rsidR="00BF4753" w:rsidRPr="00413763" w:rsidRDefault="00BF4753" w:rsidP="002D7CA8">
            <w:pPr>
              <w:ind w:right="5" w:hanging="55"/>
              <w:jc w:val="center"/>
              <w:rPr>
                <w:rFonts w:cs="Times New Roman"/>
                <w:b/>
                <w:sz w:val="20"/>
                <w:szCs w:val="20"/>
              </w:rPr>
            </w:pPr>
            <w:r w:rsidRPr="00413763">
              <w:rPr>
                <w:rFonts w:cs="Times New Roman"/>
                <w:b/>
                <w:sz w:val="20"/>
                <w:szCs w:val="20"/>
              </w:rPr>
              <w:t>-2,5</w:t>
            </w:r>
          </w:p>
        </w:tc>
        <w:tc>
          <w:tcPr>
            <w:tcW w:w="851" w:type="dxa"/>
            <w:shd w:val="clear" w:color="auto" w:fill="DEEAF6" w:themeFill="accent1" w:themeFillTint="33"/>
            <w:tcMar>
              <w:left w:w="57" w:type="dxa"/>
              <w:right w:w="57" w:type="dxa"/>
            </w:tcMar>
            <w:vAlign w:val="center"/>
          </w:tcPr>
          <w:p w:rsidR="00BF4753" w:rsidRPr="00413763" w:rsidRDefault="00BF4753" w:rsidP="002D7CA8">
            <w:pPr>
              <w:ind w:right="5" w:hanging="59"/>
              <w:jc w:val="center"/>
              <w:rPr>
                <w:rFonts w:cs="Times New Roman"/>
                <w:b/>
                <w:sz w:val="20"/>
                <w:szCs w:val="20"/>
              </w:rPr>
            </w:pPr>
            <w:r w:rsidRPr="00413763">
              <w:rPr>
                <w:rFonts w:cs="Times New Roman"/>
                <w:b/>
                <w:sz w:val="20"/>
                <w:szCs w:val="20"/>
              </w:rPr>
              <w:t>-1,5</w:t>
            </w:r>
          </w:p>
        </w:tc>
        <w:tc>
          <w:tcPr>
            <w:tcW w:w="848" w:type="dxa"/>
            <w:shd w:val="clear" w:color="auto" w:fill="DEEAF6" w:themeFill="accent1" w:themeFillTint="33"/>
            <w:tcMar>
              <w:left w:w="57" w:type="dxa"/>
              <w:right w:w="57" w:type="dxa"/>
            </w:tcMar>
            <w:vAlign w:val="center"/>
          </w:tcPr>
          <w:p w:rsidR="00BF4753" w:rsidRPr="00413763" w:rsidRDefault="00BF4753" w:rsidP="002D7CA8">
            <w:pPr>
              <w:ind w:right="5" w:hanging="60"/>
              <w:jc w:val="center"/>
              <w:rPr>
                <w:rFonts w:cs="Times New Roman"/>
                <w:b/>
                <w:sz w:val="20"/>
                <w:szCs w:val="20"/>
              </w:rPr>
            </w:pPr>
            <w:r w:rsidRPr="00413763">
              <w:rPr>
                <w:rFonts w:cs="Times New Roman"/>
                <w:b/>
                <w:sz w:val="20"/>
                <w:szCs w:val="20"/>
              </w:rPr>
              <w:t>-1,3</w:t>
            </w:r>
          </w:p>
        </w:tc>
        <w:tc>
          <w:tcPr>
            <w:tcW w:w="711" w:type="dxa"/>
            <w:shd w:val="clear" w:color="auto" w:fill="DEEAF6" w:themeFill="accent1" w:themeFillTint="33"/>
            <w:tcMar>
              <w:left w:w="57" w:type="dxa"/>
              <w:right w:w="57" w:type="dxa"/>
            </w:tcMar>
            <w:vAlign w:val="center"/>
          </w:tcPr>
          <w:p w:rsidR="00BF4753" w:rsidRPr="00413763" w:rsidRDefault="00BF4753" w:rsidP="002D7CA8">
            <w:pPr>
              <w:ind w:right="5" w:firstLine="0"/>
              <w:jc w:val="center"/>
              <w:rPr>
                <w:rFonts w:cs="Times New Roman"/>
                <w:b/>
                <w:sz w:val="20"/>
                <w:szCs w:val="20"/>
              </w:rPr>
            </w:pPr>
            <w:r w:rsidRPr="00413763">
              <w:rPr>
                <w:rFonts w:cs="Times New Roman"/>
                <w:b/>
                <w:sz w:val="20"/>
                <w:szCs w:val="20"/>
              </w:rPr>
              <w:t>-1,2</w:t>
            </w:r>
          </w:p>
        </w:tc>
        <w:tc>
          <w:tcPr>
            <w:tcW w:w="709" w:type="dxa"/>
            <w:shd w:val="clear" w:color="auto" w:fill="DEEAF6" w:themeFill="accent1" w:themeFillTint="33"/>
            <w:tcMar>
              <w:left w:w="57" w:type="dxa"/>
              <w:right w:w="57" w:type="dxa"/>
            </w:tcMar>
            <w:vAlign w:val="center"/>
          </w:tcPr>
          <w:p w:rsidR="00BF4753" w:rsidRPr="00413763" w:rsidRDefault="00BF4753" w:rsidP="002D7CA8">
            <w:pPr>
              <w:ind w:right="5" w:firstLine="0"/>
              <w:jc w:val="center"/>
              <w:rPr>
                <w:rFonts w:cs="Times New Roman"/>
                <w:b/>
                <w:sz w:val="20"/>
                <w:szCs w:val="20"/>
              </w:rPr>
            </w:pPr>
            <w:r w:rsidRPr="00413763">
              <w:rPr>
                <w:rFonts w:cs="Times New Roman"/>
                <w:b/>
                <w:sz w:val="20"/>
                <w:szCs w:val="20"/>
              </w:rPr>
              <w:t>-1,2</w:t>
            </w:r>
          </w:p>
        </w:tc>
        <w:tc>
          <w:tcPr>
            <w:tcW w:w="708" w:type="dxa"/>
            <w:shd w:val="clear" w:color="auto" w:fill="DEEAF6" w:themeFill="accent1" w:themeFillTint="33"/>
            <w:tcMar>
              <w:left w:w="57" w:type="dxa"/>
              <w:right w:w="57" w:type="dxa"/>
            </w:tcMar>
            <w:vAlign w:val="center"/>
          </w:tcPr>
          <w:p w:rsidR="00BF4753" w:rsidRPr="00413763" w:rsidRDefault="00BF4753" w:rsidP="002D7CA8">
            <w:pPr>
              <w:ind w:right="5" w:hanging="60"/>
              <w:jc w:val="center"/>
              <w:rPr>
                <w:rFonts w:cs="Times New Roman"/>
                <w:b/>
                <w:sz w:val="20"/>
                <w:szCs w:val="20"/>
              </w:rPr>
            </w:pPr>
            <w:r w:rsidRPr="00413763">
              <w:rPr>
                <w:rFonts w:cs="Times New Roman"/>
                <w:b/>
                <w:sz w:val="20"/>
                <w:szCs w:val="20"/>
              </w:rPr>
              <w:t>-1,2</w:t>
            </w:r>
          </w:p>
        </w:tc>
      </w:tr>
      <w:tr w:rsidR="00BF4753" w:rsidRPr="00C10744" w:rsidTr="002D7CA8">
        <w:trPr>
          <w:trHeight w:val="20"/>
          <w:jc w:val="center"/>
        </w:trPr>
        <w:tc>
          <w:tcPr>
            <w:tcW w:w="2553" w:type="dxa"/>
            <w:shd w:val="clear" w:color="auto" w:fill="auto"/>
            <w:vAlign w:val="center"/>
          </w:tcPr>
          <w:p w:rsidR="00BF4753" w:rsidRPr="005958C8" w:rsidRDefault="00BF4753" w:rsidP="002D7CA8">
            <w:pPr>
              <w:ind w:firstLine="0"/>
              <w:rPr>
                <w:rFonts w:eastAsia="Times New Roman" w:cs="Times New Roman"/>
                <w:bCs/>
                <w:sz w:val="20"/>
                <w:szCs w:val="20"/>
                <w:lang w:eastAsia="lv-LV"/>
              </w:rPr>
            </w:pPr>
            <w:r w:rsidRPr="005958C8">
              <w:rPr>
                <w:rFonts w:eastAsia="Times New Roman" w:cs="Times New Roman"/>
                <w:bCs/>
                <w:sz w:val="20"/>
                <w:szCs w:val="20"/>
                <w:lang w:eastAsia="lv-LV"/>
              </w:rPr>
              <w:t>Vispārējās valdības budžeta bilance</w:t>
            </w:r>
          </w:p>
        </w:tc>
        <w:tc>
          <w:tcPr>
            <w:tcW w:w="850" w:type="dxa"/>
            <w:shd w:val="clear" w:color="auto" w:fill="auto"/>
            <w:tcMar>
              <w:left w:w="57" w:type="dxa"/>
              <w:right w:w="57" w:type="dxa"/>
            </w:tcMar>
            <w:vAlign w:val="center"/>
          </w:tcPr>
          <w:p w:rsidR="00BF4753" w:rsidRPr="00413763" w:rsidRDefault="00BF4753" w:rsidP="002D7CA8">
            <w:pPr>
              <w:ind w:hanging="64"/>
              <w:jc w:val="center"/>
              <w:rPr>
                <w:rFonts w:eastAsia="Times New Roman" w:cs="Times New Roman"/>
                <w:sz w:val="20"/>
                <w:szCs w:val="20"/>
                <w:lang w:eastAsia="lv-LV"/>
              </w:rPr>
            </w:pPr>
            <w:r w:rsidRPr="00413763">
              <w:rPr>
                <w:rFonts w:eastAsia="Times New Roman" w:cs="Times New Roman"/>
                <w:sz w:val="20"/>
                <w:szCs w:val="20"/>
                <w:lang w:eastAsia="lv-LV"/>
              </w:rPr>
              <w:t>-3 145,3</w:t>
            </w:r>
          </w:p>
        </w:tc>
        <w:tc>
          <w:tcPr>
            <w:tcW w:w="847" w:type="dxa"/>
            <w:shd w:val="clear" w:color="auto" w:fill="auto"/>
            <w:tcMar>
              <w:left w:w="57" w:type="dxa"/>
              <w:right w:w="57" w:type="dxa"/>
            </w:tcMar>
            <w:vAlign w:val="center"/>
          </w:tcPr>
          <w:p w:rsidR="00BF4753" w:rsidRPr="00413763" w:rsidRDefault="00BF4753" w:rsidP="002D7CA8">
            <w:pPr>
              <w:ind w:firstLine="76"/>
              <w:jc w:val="center"/>
              <w:rPr>
                <w:rFonts w:eastAsia="Times New Roman" w:cs="Times New Roman"/>
                <w:sz w:val="20"/>
                <w:szCs w:val="20"/>
                <w:lang w:eastAsia="lv-LV"/>
              </w:rPr>
            </w:pPr>
            <w:r w:rsidRPr="00413763">
              <w:rPr>
                <w:rFonts w:eastAsia="Times New Roman" w:cs="Times New Roman"/>
                <w:sz w:val="20"/>
                <w:szCs w:val="20"/>
                <w:lang w:eastAsia="lv-LV"/>
              </w:rPr>
              <w:t>-1 224,3</w:t>
            </w:r>
          </w:p>
        </w:tc>
        <w:tc>
          <w:tcPr>
            <w:tcW w:w="992" w:type="dxa"/>
            <w:tcMar>
              <w:left w:w="57" w:type="dxa"/>
              <w:right w:w="57" w:type="dxa"/>
            </w:tcMar>
            <w:vAlign w:val="center"/>
          </w:tcPr>
          <w:p w:rsidR="00BF4753" w:rsidRPr="00413763" w:rsidRDefault="00BF4753" w:rsidP="002D7CA8">
            <w:pPr>
              <w:ind w:hanging="55"/>
              <w:jc w:val="center"/>
              <w:rPr>
                <w:rFonts w:eastAsia="Times New Roman" w:cs="Times New Roman"/>
                <w:sz w:val="20"/>
                <w:szCs w:val="20"/>
                <w:lang w:eastAsia="lv-LV"/>
              </w:rPr>
            </w:pPr>
            <w:r w:rsidRPr="00413763">
              <w:rPr>
                <w:rFonts w:eastAsia="Times New Roman" w:cs="Times New Roman"/>
                <w:sz w:val="20"/>
                <w:szCs w:val="20"/>
                <w:lang w:eastAsia="lv-LV"/>
              </w:rPr>
              <w:t>-821,8</w:t>
            </w:r>
          </w:p>
        </w:tc>
        <w:tc>
          <w:tcPr>
            <w:tcW w:w="851" w:type="dxa"/>
            <w:shd w:val="clear" w:color="auto" w:fill="auto"/>
            <w:tcMar>
              <w:left w:w="57" w:type="dxa"/>
              <w:right w:w="57" w:type="dxa"/>
            </w:tcMar>
            <w:vAlign w:val="center"/>
          </w:tcPr>
          <w:p w:rsidR="00BF4753" w:rsidRPr="00413763" w:rsidRDefault="00BF4753" w:rsidP="002D7CA8">
            <w:pPr>
              <w:ind w:hanging="59"/>
              <w:jc w:val="center"/>
              <w:rPr>
                <w:rFonts w:eastAsia="Times New Roman" w:cs="Times New Roman"/>
                <w:sz w:val="20"/>
                <w:szCs w:val="20"/>
                <w:lang w:eastAsia="lv-LV"/>
              </w:rPr>
            </w:pPr>
            <w:r w:rsidRPr="00413763">
              <w:rPr>
                <w:rFonts w:eastAsia="Times New Roman" w:cs="Times New Roman"/>
                <w:sz w:val="20"/>
                <w:szCs w:val="20"/>
                <w:lang w:eastAsia="lv-LV"/>
              </w:rPr>
              <w:t>-521,1</w:t>
            </w:r>
          </w:p>
        </w:tc>
        <w:tc>
          <w:tcPr>
            <w:tcW w:w="848" w:type="dxa"/>
            <w:shd w:val="clear" w:color="auto" w:fill="auto"/>
            <w:tcMar>
              <w:left w:w="57" w:type="dxa"/>
              <w:right w:w="57" w:type="dxa"/>
            </w:tcMar>
            <w:vAlign w:val="center"/>
          </w:tcPr>
          <w:p w:rsidR="00BF4753" w:rsidRPr="00413763" w:rsidRDefault="00BF4753" w:rsidP="002D7CA8">
            <w:pPr>
              <w:ind w:hanging="60"/>
              <w:jc w:val="center"/>
              <w:rPr>
                <w:rFonts w:eastAsia="Times New Roman" w:cs="Times New Roman"/>
                <w:sz w:val="20"/>
                <w:szCs w:val="20"/>
                <w:lang w:eastAsia="lv-LV"/>
              </w:rPr>
            </w:pPr>
            <w:r w:rsidRPr="00413763">
              <w:rPr>
                <w:rFonts w:eastAsia="Times New Roman" w:cs="Times New Roman"/>
                <w:sz w:val="20"/>
                <w:szCs w:val="20"/>
                <w:lang w:eastAsia="lv-LV"/>
              </w:rPr>
              <w:t>-292,4</w:t>
            </w:r>
          </w:p>
        </w:tc>
        <w:tc>
          <w:tcPr>
            <w:tcW w:w="711" w:type="dxa"/>
            <w:shd w:val="clear" w:color="auto" w:fill="auto"/>
            <w:tcMar>
              <w:left w:w="57" w:type="dxa"/>
              <w:right w:w="57" w:type="dxa"/>
            </w:tcMar>
            <w:vAlign w:val="center"/>
          </w:tcPr>
          <w:p w:rsidR="00BF4753" w:rsidRPr="00413763" w:rsidRDefault="00BF4753" w:rsidP="002D7CA8">
            <w:pPr>
              <w:ind w:firstLine="0"/>
              <w:jc w:val="center"/>
              <w:rPr>
                <w:rFonts w:eastAsia="Times New Roman" w:cs="Times New Roman"/>
                <w:sz w:val="20"/>
                <w:szCs w:val="20"/>
                <w:lang w:eastAsia="lv-LV"/>
              </w:rPr>
            </w:pPr>
            <w:r w:rsidRPr="00413763">
              <w:rPr>
                <w:rFonts w:eastAsia="Times New Roman" w:cs="Times New Roman"/>
                <w:sz w:val="20"/>
                <w:szCs w:val="20"/>
                <w:lang w:eastAsia="lv-LV"/>
              </w:rPr>
              <w:t>-349,1</w:t>
            </w:r>
          </w:p>
        </w:tc>
        <w:tc>
          <w:tcPr>
            <w:tcW w:w="709" w:type="dxa"/>
            <w:tcMar>
              <w:left w:w="57" w:type="dxa"/>
              <w:right w:w="57" w:type="dxa"/>
            </w:tcMar>
            <w:vAlign w:val="center"/>
          </w:tcPr>
          <w:p w:rsidR="00BF4753" w:rsidRPr="00413763" w:rsidRDefault="00BF4753" w:rsidP="002D7CA8">
            <w:pPr>
              <w:ind w:firstLine="0"/>
              <w:jc w:val="center"/>
              <w:rPr>
                <w:rFonts w:eastAsia="Times New Roman" w:cs="Times New Roman"/>
                <w:sz w:val="20"/>
                <w:szCs w:val="20"/>
                <w:lang w:eastAsia="lv-LV"/>
              </w:rPr>
            </w:pPr>
            <w:r w:rsidRPr="00413763">
              <w:rPr>
                <w:rFonts w:eastAsia="Times New Roman" w:cs="Times New Roman"/>
                <w:sz w:val="20"/>
                <w:szCs w:val="20"/>
                <w:lang w:eastAsia="lv-LV"/>
              </w:rPr>
              <w:t>-369,6</w:t>
            </w:r>
          </w:p>
        </w:tc>
        <w:tc>
          <w:tcPr>
            <w:tcW w:w="708" w:type="dxa"/>
            <w:shd w:val="clear" w:color="auto" w:fill="auto"/>
            <w:tcMar>
              <w:left w:w="57" w:type="dxa"/>
              <w:right w:w="57" w:type="dxa"/>
            </w:tcMar>
            <w:vAlign w:val="center"/>
          </w:tcPr>
          <w:p w:rsidR="00BF4753" w:rsidRPr="00413763" w:rsidRDefault="00BF4753" w:rsidP="002D7CA8">
            <w:pPr>
              <w:ind w:hanging="60"/>
              <w:jc w:val="center"/>
              <w:rPr>
                <w:rFonts w:eastAsia="Times New Roman" w:cs="Times New Roman"/>
                <w:sz w:val="20"/>
                <w:szCs w:val="20"/>
                <w:lang w:eastAsia="lv-LV"/>
              </w:rPr>
            </w:pPr>
            <w:r w:rsidRPr="00413763">
              <w:rPr>
                <w:rFonts w:eastAsia="Times New Roman" w:cs="Times New Roman"/>
                <w:sz w:val="20"/>
                <w:szCs w:val="20"/>
                <w:lang w:eastAsia="lv-LV"/>
              </w:rPr>
              <w:t>-395,9</w:t>
            </w:r>
          </w:p>
        </w:tc>
      </w:tr>
      <w:tr w:rsidR="00BF4753" w:rsidRPr="00C10744" w:rsidTr="002D7CA8">
        <w:trPr>
          <w:trHeight w:val="20"/>
          <w:jc w:val="center"/>
        </w:trPr>
        <w:tc>
          <w:tcPr>
            <w:tcW w:w="2553" w:type="dxa"/>
            <w:shd w:val="clear" w:color="auto" w:fill="DEEAF6"/>
            <w:vAlign w:val="center"/>
          </w:tcPr>
          <w:p w:rsidR="00BF4753" w:rsidRPr="005958C8" w:rsidRDefault="00BF4753" w:rsidP="002D7CA8">
            <w:pPr>
              <w:ind w:left="166" w:firstLine="10"/>
              <w:rPr>
                <w:rFonts w:eastAsia="Times New Roman" w:cs="Times New Roman"/>
                <w:bCs/>
                <w:sz w:val="20"/>
                <w:szCs w:val="20"/>
                <w:lang w:eastAsia="lv-LV"/>
              </w:rPr>
            </w:pPr>
            <w:r w:rsidRPr="005958C8">
              <w:rPr>
                <w:rFonts w:eastAsia="Times New Roman" w:cs="Times New Roman"/>
                <w:bCs/>
                <w:sz w:val="20"/>
                <w:szCs w:val="20"/>
                <w:lang w:eastAsia="lv-LV"/>
              </w:rPr>
              <w:t>Nodokļu ieņēmumi</w:t>
            </w:r>
          </w:p>
        </w:tc>
        <w:tc>
          <w:tcPr>
            <w:tcW w:w="850" w:type="dxa"/>
            <w:shd w:val="clear" w:color="auto" w:fill="DEEAF6"/>
            <w:tcMar>
              <w:left w:w="57" w:type="dxa"/>
              <w:right w:w="57" w:type="dxa"/>
            </w:tcMar>
            <w:vAlign w:val="center"/>
          </w:tcPr>
          <w:p w:rsidR="00BF4753" w:rsidRPr="00825B1C" w:rsidRDefault="00BF4753" w:rsidP="002D7CA8">
            <w:pPr>
              <w:ind w:right="5" w:hanging="64"/>
              <w:jc w:val="center"/>
              <w:rPr>
                <w:rFonts w:cs="Times New Roman"/>
                <w:sz w:val="20"/>
                <w:szCs w:val="20"/>
              </w:rPr>
            </w:pPr>
            <w:r w:rsidRPr="00825B1C">
              <w:rPr>
                <w:rFonts w:cs="Times New Roman"/>
                <w:sz w:val="20"/>
                <w:szCs w:val="20"/>
              </w:rPr>
              <w:t>8 973,7</w:t>
            </w:r>
          </w:p>
        </w:tc>
        <w:tc>
          <w:tcPr>
            <w:tcW w:w="847" w:type="dxa"/>
            <w:shd w:val="clear" w:color="auto" w:fill="DEEAF6"/>
            <w:tcMar>
              <w:left w:w="57" w:type="dxa"/>
              <w:right w:w="57" w:type="dxa"/>
            </w:tcMar>
            <w:vAlign w:val="center"/>
          </w:tcPr>
          <w:p w:rsidR="00BF4753" w:rsidRPr="00825B1C" w:rsidRDefault="00BF4753" w:rsidP="002D7CA8">
            <w:pPr>
              <w:ind w:right="5" w:firstLine="76"/>
              <w:jc w:val="center"/>
              <w:rPr>
                <w:rFonts w:cs="Times New Roman"/>
                <w:sz w:val="20"/>
                <w:szCs w:val="20"/>
              </w:rPr>
            </w:pPr>
            <w:r w:rsidRPr="00825B1C">
              <w:rPr>
                <w:rFonts w:cs="Times New Roman"/>
                <w:sz w:val="20"/>
                <w:szCs w:val="20"/>
              </w:rPr>
              <w:t>9 715,9</w:t>
            </w:r>
          </w:p>
        </w:tc>
        <w:tc>
          <w:tcPr>
            <w:tcW w:w="992" w:type="dxa"/>
            <w:shd w:val="clear" w:color="auto" w:fill="DEEAF6"/>
            <w:tcMar>
              <w:left w:w="57" w:type="dxa"/>
              <w:right w:w="57" w:type="dxa"/>
            </w:tcMar>
            <w:vAlign w:val="center"/>
          </w:tcPr>
          <w:p w:rsidR="00BF4753" w:rsidRPr="00825B1C" w:rsidRDefault="00BF4753" w:rsidP="002D7CA8">
            <w:pPr>
              <w:ind w:right="5" w:hanging="55"/>
              <w:jc w:val="center"/>
              <w:rPr>
                <w:rFonts w:cs="Times New Roman"/>
                <w:sz w:val="20"/>
                <w:szCs w:val="20"/>
              </w:rPr>
            </w:pPr>
            <w:r w:rsidRPr="00825B1C">
              <w:rPr>
                <w:rFonts w:cs="Times New Roman"/>
                <w:sz w:val="20"/>
                <w:szCs w:val="20"/>
              </w:rPr>
              <w:t>10 251,9</w:t>
            </w:r>
          </w:p>
        </w:tc>
        <w:tc>
          <w:tcPr>
            <w:tcW w:w="851" w:type="dxa"/>
            <w:shd w:val="clear" w:color="auto" w:fill="DEEAF6"/>
            <w:tcMar>
              <w:left w:w="57" w:type="dxa"/>
              <w:right w:w="57" w:type="dxa"/>
            </w:tcMar>
            <w:vAlign w:val="center"/>
          </w:tcPr>
          <w:p w:rsidR="00BF4753" w:rsidRPr="00825B1C" w:rsidRDefault="00BF4753" w:rsidP="002D7CA8">
            <w:pPr>
              <w:ind w:right="5" w:hanging="59"/>
              <w:jc w:val="center"/>
              <w:rPr>
                <w:rFonts w:cs="Times New Roman"/>
                <w:sz w:val="20"/>
                <w:szCs w:val="20"/>
              </w:rPr>
            </w:pPr>
            <w:r w:rsidRPr="00825B1C">
              <w:rPr>
                <w:rFonts w:cs="Times New Roman"/>
                <w:sz w:val="20"/>
                <w:szCs w:val="20"/>
              </w:rPr>
              <w:t>10 729,2</w:t>
            </w:r>
          </w:p>
        </w:tc>
        <w:tc>
          <w:tcPr>
            <w:tcW w:w="848" w:type="dxa"/>
            <w:shd w:val="clear" w:color="auto" w:fill="DEEAF6"/>
            <w:tcMar>
              <w:left w:w="57" w:type="dxa"/>
              <w:right w:w="57" w:type="dxa"/>
            </w:tcMar>
            <w:vAlign w:val="center"/>
          </w:tcPr>
          <w:p w:rsidR="00BF4753" w:rsidRPr="00825B1C" w:rsidRDefault="00BF4753" w:rsidP="002D7CA8">
            <w:pPr>
              <w:ind w:right="5" w:hanging="60"/>
              <w:jc w:val="center"/>
              <w:rPr>
                <w:rFonts w:cs="Times New Roman"/>
                <w:sz w:val="20"/>
                <w:szCs w:val="20"/>
              </w:rPr>
            </w:pPr>
            <w:r w:rsidRPr="00825B1C">
              <w:rPr>
                <w:rFonts w:cs="Times New Roman"/>
                <w:sz w:val="20"/>
                <w:szCs w:val="20"/>
              </w:rPr>
              <w:t>-275,8</w:t>
            </w:r>
          </w:p>
        </w:tc>
        <w:tc>
          <w:tcPr>
            <w:tcW w:w="711" w:type="dxa"/>
            <w:shd w:val="clear" w:color="auto" w:fill="DEEAF6"/>
            <w:tcMar>
              <w:left w:w="57" w:type="dxa"/>
              <w:right w:w="57" w:type="dxa"/>
            </w:tcMar>
            <w:vAlign w:val="center"/>
          </w:tcPr>
          <w:p w:rsidR="00BF4753" w:rsidRPr="00825B1C" w:rsidRDefault="00BF4753" w:rsidP="002D7CA8">
            <w:pPr>
              <w:ind w:right="5" w:firstLine="0"/>
              <w:jc w:val="center"/>
              <w:rPr>
                <w:rFonts w:cs="Times New Roman"/>
                <w:sz w:val="20"/>
                <w:szCs w:val="20"/>
              </w:rPr>
            </w:pPr>
            <w:r w:rsidRPr="00825B1C">
              <w:rPr>
                <w:rFonts w:cs="Times New Roman"/>
                <w:sz w:val="20"/>
                <w:szCs w:val="20"/>
              </w:rPr>
              <w:t>-333,8</w:t>
            </w:r>
          </w:p>
        </w:tc>
        <w:tc>
          <w:tcPr>
            <w:tcW w:w="709" w:type="dxa"/>
            <w:shd w:val="clear" w:color="auto" w:fill="DEEAF6"/>
            <w:tcMar>
              <w:left w:w="57" w:type="dxa"/>
              <w:right w:w="57" w:type="dxa"/>
            </w:tcMar>
            <w:vAlign w:val="center"/>
          </w:tcPr>
          <w:p w:rsidR="00BF4753" w:rsidRPr="00825B1C" w:rsidRDefault="00BF4753" w:rsidP="002D7CA8">
            <w:pPr>
              <w:ind w:right="5" w:firstLine="0"/>
              <w:jc w:val="center"/>
              <w:rPr>
                <w:rFonts w:cs="Times New Roman"/>
                <w:sz w:val="20"/>
                <w:szCs w:val="20"/>
              </w:rPr>
            </w:pPr>
            <w:r w:rsidRPr="00825B1C">
              <w:rPr>
                <w:rFonts w:cs="Times New Roman"/>
                <w:sz w:val="20"/>
                <w:szCs w:val="20"/>
              </w:rPr>
              <w:t>-353,2</w:t>
            </w:r>
          </w:p>
        </w:tc>
        <w:tc>
          <w:tcPr>
            <w:tcW w:w="708" w:type="dxa"/>
            <w:shd w:val="clear" w:color="auto" w:fill="DEEAF6"/>
            <w:tcMar>
              <w:left w:w="57" w:type="dxa"/>
              <w:right w:w="57" w:type="dxa"/>
            </w:tcMar>
            <w:vAlign w:val="center"/>
          </w:tcPr>
          <w:p w:rsidR="00BF4753" w:rsidRPr="00825B1C" w:rsidRDefault="00BF4753" w:rsidP="002D7CA8">
            <w:pPr>
              <w:ind w:right="5" w:hanging="60"/>
              <w:jc w:val="center"/>
              <w:rPr>
                <w:rFonts w:cs="Times New Roman"/>
                <w:sz w:val="20"/>
                <w:szCs w:val="20"/>
              </w:rPr>
            </w:pPr>
            <w:r w:rsidRPr="00825B1C">
              <w:rPr>
                <w:rFonts w:cs="Times New Roman"/>
                <w:sz w:val="20"/>
                <w:szCs w:val="20"/>
              </w:rPr>
              <w:t>-377,4</w:t>
            </w:r>
          </w:p>
        </w:tc>
      </w:tr>
      <w:tr w:rsidR="00BF4753" w:rsidRPr="00C10744" w:rsidTr="002D7CA8">
        <w:trPr>
          <w:trHeight w:val="20"/>
          <w:jc w:val="center"/>
        </w:trPr>
        <w:tc>
          <w:tcPr>
            <w:tcW w:w="2553" w:type="dxa"/>
            <w:shd w:val="clear" w:color="auto" w:fill="auto"/>
          </w:tcPr>
          <w:p w:rsidR="00BF4753" w:rsidRPr="005958C8" w:rsidRDefault="00BF4753" w:rsidP="002D7CA8">
            <w:pPr>
              <w:ind w:left="743" w:firstLine="0"/>
              <w:rPr>
                <w:rFonts w:cs="Times New Roman"/>
                <w:bCs/>
                <w:i/>
                <w:sz w:val="20"/>
                <w:szCs w:val="20"/>
              </w:rPr>
            </w:pPr>
            <w:r w:rsidRPr="005958C8">
              <w:rPr>
                <w:rFonts w:cs="Times New Roman"/>
                <w:bCs/>
                <w:i/>
                <w:sz w:val="20"/>
                <w:szCs w:val="20"/>
              </w:rPr>
              <w:t>Iedzīvotāju ienākuma nodoklis</w:t>
            </w:r>
          </w:p>
        </w:tc>
        <w:tc>
          <w:tcPr>
            <w:tcW w:w="850" w:type="dxa"/>
            <w:shd w:val="clear" w:color="auto" w:fill="auto"/>
            <w:tcMar>
              <w:left w:w="57" w:type="dxa"/>
              <w:right w:w="57" w:type="dxa"/>
            </w:tcMar>
            <w:vAlign w:val="bottom"/>
          </w:tcPr>
          <w:p w:rsidR="00BF4753" w:rsidRPr="00D7401B" w:rsidRDefault="00BF4753" w:rsidP="002D7CA8">
            <w:pPr>
              <w:ind w:right="5" w:hanging="64"/>
              <w:jc w:val="center"/>
              <w:rPr>
                <w:rFonts w:cs="Times New Roman"/>
                <w:sz w:val="20"/>
                <w:szCs w:val="20"/>
                <w:highlight w:val="yellow"/>
              </w:rPr>
            </w:pPr>
            <w:r w:rsidRPr="00D7401B">
              <w:rPr>
                <w:rFonts w:cs="Times New Roman"/>
                <w:sz w:val="20"/>
                <w:szCs w:val="20"/>
              </w:rPr>
              <w:t>1 730,7</w:t>
            </w:r>
          </w:p>
        </w:tc>
        <w:tc>
          <w:tcPr>
            <w:tcW w:w="847" w:type="dxa"/>
            <w:shd w:val="clear" w:color="auto" w:fill="auto"/>
            <w:tcMar>
              <w:left w:w="57" w:type="dxa"/>
              <w:right w:w="57" w:type="dxa"/>
            </w:tcMar>
            <w:vAlign w:val="bottom"/>
          </w:tcPr>
          <w:p w:rsidR="00BF4753" w:rsidRPr="00D7401B" w:rsidRDefault="00BF4753" w:rsidP="002D7CA8">
            <w:pPr>
              <w:ind w:right="5" w:firstLine="76"/>
              <w:jc w:val="center"/>
              <w:rPr>
                <w:rFonts w:cs="Times New Roman"/>
                <w:sz w:val="20"/>
                <w:szCs w:val="20"/>
                <w:highlight w:val="yellow"/>
              </w:rPr>
            </w:pPr>
            <w:r w:rsidRPr="00D7401B">
              <w:rPr>
                <w:rFonts w:cs="Times New Roman"/>
                <w:sz w:val="20"/>
                <w:szCs w:val="20"/>
              </w:rPr>
              <w:t>1 875,9</w:t>
            </w:r>
          </w:p>
        </w:tc>
        <w:tc>
          <w:tcPr>
            <w:tcW w:w="992" w:type="dxa"/>
            <w:tcMar>
              <w:left w:w="57" w:type="dxa"/>
              <w:right w:w="57" w:type="dxa"/>
            </w:tcMar>
            <w:vAlign w:val="bottom"/>
          </w:tcPr>
          <w:p w:rsidR="00BF4753" w:rsidRPr="00D7401B" w:rsidRDefault="00BF4753" w:rsidP="002D7CA8">
            <w:pPr>
              <w:ind w:right="5" w:hanging="55"/>
              <w:jc w:val="center"/>
              <w:rPr>
                <w:rFonts w:cs="Times New Roman"/>
                <w:sz w:val="20"/>
                <w:szCs w:val="20"/>
                <w:highlight w:val="yellow"/>
              </w:rPr>
            </w:pPr>
            <w:r w:rsidRPr="00D7401B">
              <w:rPr>
                <w:rFonts w:cs="Times New Roman"/>
                <w:sz w:val="20"/>
                <w:szCs w:val="20"/>
              </w:rPr>
              <w:t>1 954,0</w:t>
            </w:r>
          </w:p>
        </w:tc>
        <w:tc>
          <w:tcPr>
            <w:tcW w:w="851" w:type="dxa"/>
            <w:shd w:val="clear" w:color="auto" w:fill="auto"/>
            <w:tcMar>
              <w:left w:w="57" w:type="dxa"/>
              <w:right w:w="57" w:type="dxa"/>
            </w:tcMar>
            <w:vAlign w:val="bottom"/>
          </w:tcPr>
          <w:p w:rsidR="00BF4753" w:rsidRPr="00D7401B" w:rsidRDefault="00BF4753" w:rsidP="002D7CA8">
            <w:pPr>
              <w:ind w:right="5" w:hanging="59"/>
              <w:jc w:val="center"/>
              <w:rPr>
                <w:rFonts w:cs="Times New Roman"/>
                <w:sz w:val="20"/>
                <w:szCs w:val="20"/>
                <w:highlight w:val="yellow"/>
              </w:rPr>
            </w:pPr>
            <w:r w:rsidRPr="00D7401B">
              <w:rPr>
                <w:rFonts w:cs="Times New Roman"/>
                <w:sz w:val="20"/>
                <w:szCs w:val="20"/>
              </w:rPr>
              <w:t>2 047,2</w:t>
            </w:r>
          </w:p>
        </w:tc>
        <w:tc>
          <w:tcPr>
            <w:tcW w:w="848" w:type="dxa"/>
            <w:shd w:val="clear" w:color="auto" w:fill="auto"/>
            <w:tcMar>
              <w:left w:w="57" w:type="dxa"/>
              <w:right w:w="57" w:type="dxa"/>
            </w:tcMar>
            <w:vAlign w:val="bottom"/>
          </w:tcPr>
          <w:p w:rsidR="00BF4753" w:rsidRPr="00D7401B" w:rsidRDefault="00BF4753" w:rsidP="002D7CA8">
            <w:pPr>
              <w:ind w:right="5" w:hanging="60"/>
              <w:jc w:val="center"/>
              <w:rPr>
                <w:rFonts w:cs="Times New Roman"/>
                <w:sz w:val="20"/>
                <w:szCs w:val="20"/>
                <w:highlight w:val="yellow"/>
              </w:rPr>
            </w:pPr>
            <w:r w:rsidRPr="00D7401B">
              <w:rPr>
                <w:rFonts w:cs="Times New Roman"/>
                <w:sz w:val="20"/>
                <w:szCs w:val="20"/>
              </w:rPr>
              <w:t>-56,3</w:t>
            </w:r>
          </w:p>
        </w:tc>
        <w:tc>
          <w:tcPr>
            <w:tcW w:w="711" w:type="dxa"/>
            <w:shd w:val="clear" w:color="auto" w:fill="auto"/>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-68,1</w:t>
            </w:r>
          </w:p>
        </w:tc>
        <w:tc>
          <w:tcPr>
            <w:tcW w:w="709" w:type="dxa"/>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-71,0</w:t>
            </w:r>
          </w:p>
        </w:tc>
        <w:tc>
          <w:tcPr>
            <w:tcW w:w="708" w:type="dxa"/>
            <w:shd w:val="clear" w:color="auto" w:fill="auto"/>
            <w:tcMar>
              <w:left w:w="57" w:type="dxa"/>
              <w:right w:w="57" w:type="dxa"/>
            </w:tcMar>
            <w:vAlign w:val="bottom"/>
          </w:tcPr>
          <w:p w:rsidR="00BF4753" w:rsidRPr="00D7401B" w:rsidRDefault="00BF4753" w:rsidP="002D7CA8">
            <w:pPr>
              <w:ind w:right="5" w:hanging="60"/>
              <w:jc w:val="center"/>
              <w:rPr>
                <w:rFonts w:cs="Times New Roman"/>
                <w:sz w:val="20"/>
                <w:szCs w:val="20"/>
                <w:highlight w:val="yellow"/>
              </w:rPr>
            </w:pPr>
            <w:r w:rsidRPr="00D7401B">
              <w:rPr>
                <w:rFonts w:cs="Times New Roman"/>
                <w:sz w:val="20"/>
                <w:szCs w:val="20"/>
              </w:rPr>
              <w:t>-75,8</w:t>
            </w:r>
          </w:p>
        </w:tc>
      </w:tr>
      <w:tr w:rsidR="00BF4753" w:rsidRPr="00C10744" w:rsidTr="002D7CA8">
        <w:trPr>
          <w:trHeight w:val="20"/>
          <w:jc w:val="center"/>
        </w:trPr>
        <w:tc>
          <w:tcPr>
            <w:tcW w:w="2553" w:type="dxa"/>
            <w:shd w:val="clear" w:color="auto" w:fill="DEEAF6"/>
          </w:tcPr>
          <w:p w:rsidR="00BF4753" w:rsidRPr="005958C8" w:rsidRDefault="00BF4753" w:rsidP="002D7CA8">
            <w:pPr>
              <w:ind w:left="743" w:firstLine="0"/>
              <w:rPr>
                <w:rFonts w:cs="Times New Roman"/>
                <w:bCs/>
                <w:i/>
                <w:sz w:val="20"/>
                <w:szCs w:val="20"/>
              </w:rPr>
            </w:pPr>
            <w:r w:rsidRPr="005958C8">
              <w:rPr>
                <w:rFonts w:cs="Times New Roman"/>
                <w:bCs/>
                <w:i/>
                <w:sz w:val="20"/>
                <w:szCs w:val="20"/>
              </w:rPr>
              <w:t>Uzņēmuma ienākuma nodoklis</w:t>
            </w:r>
          </w:p>
        </w:tc>
        <w:tc>
          <w:tcPr>
            <w:tcW w:w="850" w:type="dxa"/>
            <w:shd w:val="clear" w:color="auto" w:fill="DEEAF6"/>
            <w:tcMar>
              <w:left w:w="57" w:type="dxa"/>
              <w:right w:w="57" w:type="dxa"/>
            </w:tcMar>
            <w:vAlign w:val="bottom"/>
          </w:tcPr>
          <w:p w:rsidR="00BF4753" w:rsidRPr="00D7401B" w:rsidRDefault="00BF4753" w:rsidP="002D7CA8">
            <w:pPr>
              <w:ind w:right="5" w:hanging="64"/>
              <w:jc w:val="center"/>
              <w:rPr>
                <w:rFonts w:cs="Times New Roman"/>
                <w:sz w:val="20"/>
                <w:szCs w:val="20"/>
                <w:highlight w:val="yellow"/>
              </w:rPr>
            </w:pPr>
            <w:r w:rsidRPr="00D7401B">
              <w:rPr>
                <w:rFonts w:cs="Times New Roman"/>
                <w:sz w:val="20"/>
                <w:szCs w:val="20"/>
              </w:rPr>
              <w:t>251,8</w:t>
            </w:r>
          </w:p>
        </w:tc>
        <w:tc>
          <w:tcPr>
            <w:tcW w:w="847" w:type="dxa"/>
            <w:shd w:val="clear" w:color="auto" w:fill="DEEAF6"/>
            <w:tcMar>
              <w:left w:w="57" w:type="dxa"/>
              <w:right w:w="57" w:type="dxa"/>
            </w:tcMar>
            <w:vAlign w:val="bottom"/>
          </w:tcPr>
          <w:p w:rsidR="00BF4753" w:rsidRPr="00D7401B" w:rsidRDefault="00BF4753" w:rsidP="002D7CA8">
            <w:pPr>
              <w:ind w:right="5" w:firstLine="76"/>
              <w:jc w:val="center"/>
              <w:rPr>
                <w:rFonts w:cs="Times New Roman"/>
                <w:sz w:val="20"/>
                <w:szCs w:val="20"/>
                <w:highlight w:val="yellow"/>
              </w:rPr>
            </w:pPr>
            <w:r w:rsidRPr="00D7401B">
              <w:rPr>
                <w:rFonts w:cs="Times New Roman"/>
                <w:sz w:val="20"/>
                <w:szCs w:val="20"/>
              </w:rPr>
              <w:t>294,3</w:t>
            </w:r>
          </w:p>
        </w:tc>
        <w:tc>
          <w:tcPr>
            <w:tcW w:w="992" w:type="dxa"/>
            <w:shd w:val="clear" w:color="auto" w:fill="DEEAF6"/>
            <w:tcMar>
              <w:left w:w="57" w:type="dxa"/>
              <w:right w:w="57" w:type="dxa"/>
            </w:tcMar>
            <w:vAlign w:val="bottom"/>
          </w:tcPr>
          <w:p w:rsidR="00BF4753" w:rsidRPr="00D7401B" w:rsidRDefault="00BF4753" w:rsidP="002D7CA8">
            <w:pPr>
              <w:ind w:right="5" w:hanging="55"/>
              <w:jc w:val="center"/>
              <w:rPr>
                <w:rFonts w:cs="Times New Roman"/>
                <w:sz w:val="20"/>
                <w:szCs w:val="20"/>
                <w:highlight w:val="yellow"/>
              </w:rPr>
            </w:pPr>
            <w:r w:rsidRPr="00D7401B">
              <w:rPr>
                <w:rFonts w:cs="Times New Roman"/>
                <w:sz w:val="20"/>
                <w:szCs w:val="20"/>
              </w:rPr>
              <w:t>309,7</w:t>
            </w:r>
          </w:p>
        </w:tc>
        <w:tc>
          <w:tcPr>
            <w:tcW w:w="851" w:type="dxa"/>
            <w:shd w:val="clear" w:color="auto" w:fill="DEEAF6"/>
            <w:tcMar>
              <w:left w:w="57" w:type="dxa"/>
              <w:right w:w="57" w:type="dxa"/>
            </w:tcMar>
            <w:vAlign w:val="bottom"/>
          </w:tcPr>
          <w:p w:rsidR="00BF4753" w:rsidRPr="00D7401B" w:rsidRDefault="00BF4753" w:rsidP="002D7CA8">
            <w:pPr>
              <w:ind w:right="5" w:hanging="59"/>
              <w:jc w:val="center"/>
              <w:rPr>
                <w:rFonts w:cs="Times New Roman"/>
                <w:sz w:val="20"/>
                <w:szCs w:val="20"/>
                <w:highlight w:val="yellow"/>
              </w:rPr>
            </w:pPr>
            <w:r w:rsidRPr="00D7401B">
              <w:rPr>
                <w:rFonts w:cs="Times New Roman"/>
                <w:sz w:val="20"/>
                <w:szCs w:val="20"/>
              </w:rPr>
              <w:t>325,0</w:t>
            </w:r>
          </w:p>
        </w:tc>
        <w:tc>
          <w:tcPr>
            <w:tcW w:w="848" w:type="dxa"/>
            <w:shd w:val="clear" w:color="auto" w:fill="DEEAF6"/>
            <w:tcMar>
              <w:left w:w="57" w:type="dxa"/>
              <w:right w:w="57" w:type="dxa"/>
            </w:tcMar>
            <w:vAlign w:val="bottom"/>
          </w:tcPr>
          <w:p w:rsidR="00BF4753" w:rsidRPr="00D7401B" w:rsidRDefault="00BF4753" w:rsidP="002D7CA8">
            <w:pPr>
              <w:ind w:right="5" w:hanging="60"/>
              <w:jc w:val="center"/>
              <w:rPr>
                <w:rFonts w:cs="Times New Roman"/>
                <w:sz w:val="20"/>
                <w:szCs w:val="20"/>
                <w:highlight w:val="yellow"/>
              </w:rPr>
            </w:pPr>
            <w:r w:rsidRPr="00D7401B">
              <w:rPr>
                <w:rFonts w:cs="Times New Roman"/>
                <w:sz w:val="20"/>
                <w:szCs w:val="20"/>
              </w:rPr>
              <w:t>-8,2</w:t>
            </w:r>
          </w:p>
        </w:tc>
        <w:tc>
          <w:tcPr>
            <w:tcW w:w="711" w:type="dxa"/>
            <w:shd w:val="clear" w:color="auto" w:fill="DEEAF6"/>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-10,7</w:t>
            </w:r>
          </w:p>
        </w:tc>
        <w:tc>
          <w:tcPr>
            <w:tcW w:w="709" w:type="dxa"/>
            <w:shd w:val="clear" w:color="auto" w:fill="DEEAF6"/>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-11,3</w:t>
            </w:r>
          </w:p>
        </w:tc>
        <w:tc>
          <w:tcPr>
            <w:tcW w:w="708" w:type="dxa"/>
            <w:shd w:val="clear" w:color="auto" w:fill="DEEAF6"/>
            <w:tcMar>
              <w:left w:w="57" w:type="dxa"/>
              <w:right w:w="57" w:type="dxa"/>
            </w:tcMar>
            <w:vAlign w:val="bottom"/>
          </w:tcPr>
          <w:p w:rsidR="00BF4753" w:rsidRPr="00D7401B" w:rsidRDefault="00BF4753" w:rsidP="002D7CA8">
            <w:pPr>
              <w:ind w:right="5" w:hanging="60"/>
              <w:jc w:val="center"/>
              <w:rPr>
                <w:rFonts w:cs="Times New Roman"/>
                <w:sz w:val="20"/>
                <w:szCs w:val="20"/>
                <w:highlight w:val="yellow"/>
              </w:rPr>
            </w:pPr>
            <w:r w:rsidRPr="00D7401B">
              <w:rPr>
                <w:rFonts w:cs="Times New Roman"/>
                <w:sz w:val="20"/>
                <w:szCs w:val="20"/>
              </w:rPr>
              <w:t>-12,0</w:t>
            </w:r>
          </w:p>
        </w:tc>
      </w:tr>
      <w:tr w:rsidR="00BF4753" w:rsidRPr="00C10744" w:rsidTr="002D7CA8">
        <w:trPr>
          <w:trHeight w:val="20"/>
          <w:jc w:val="center"/>
        </w:trPr>
        <w:tc>
          <w:tcPr>
            <w:tcW w:w="2553" w:type="dxa"/>
            <w:shd w:val="clear" w:color="auto" w:fill="auto"/>
          </w:tcPr>
          <w:p w:rsidR="00BF4753" w:rsidRPr="005958C8" w:rsidRDefault="00BF4753" w:rsidP="002D7CA8">
            <w:pPr>
              <w:ind w:left="743" w:firstLine="0"/>
              <w:rPr>
                <w:rFonts w:cs="Times New Roman"/>
                <w:bCs/>
                <w:i/>
                <w:sz w:val="20"/>
                <w:szCs w:val="20"/>
              </w:rPr>
            </w:pPr>
            <w:r>
              <w:rPr>
                <w:rFonts w:cs="Times New Roman"/>
                <w:bCs/>
                <w:i/>
                <w:sz w:val="20"/>
                <w:szCs w:val="20"/>
              </w:rPr>
              <w:t>Pievienotās vērtības nodoklis</w:t>
            </w:r>
          </w:p>
        </w:tc>
        <w:tc>
          <w:tcPr>
            <w:tcW w:w="850" w:type="dxa"/>
            <w:shd w:val="clear" w:color="auto" w:fill="auto"/>
            <w:tcMar>
              <w:left w:w="57" w:type="dxa"/>
              <w:right w:w="57" w:type="dxa"/>
            </w:tcMar>
            <w:vAlign w:val="bottom"/>
          </w:tcPr>
          <w:p w:rsidR="00BF4753" w:rsidRPr="00D7401B" w:rsidRDefault="00BF4753" w:rsidP="002D7CA8">
            <w:pPr>
              <w:ind w:right="5" w:hanging="64"/>
              <w:jc w:val="center"/>
              <w:rPr>
                <w:rFonts w:cs="Times New Roman"/>
                <w:sz w:val="20"/>
                <w:szCs w:val="20"/>
                <w:highlight w:val="yellow"/>
              </w:rPr>
            </w:pPr>
            <w:r w:rsidRPr="00D7401B">
              <w:rPr>
                <w:rFonts w:cs="Times New Roman"/>
                <w:sz w:val="20"/>
                <w:szCs w:val="20"/>
              </w:rPr>
              <w:t>2 649,5</w:t>
            </w:r>
          </w:p>
        </w:tc>
        <w:tc>
          <w:tcPr>
            <w:tcW w:w="847" w:type="dxa"/>
            <w:shd w:val="clear" w:color="auto" w:fill="auto"/>
            <w:tcMar>
              <w:left w:w="57" w:type="dxa"/>
              <w:right w:w="57" w:type="dxa"/>
            </w:tcMar>
            <w:vAlign w:val="bottom"/>
          </w:tcPr>
          <w:p w:rsidR="00BF4753" w:rsidRPr="00D7401B" w:rsidRDefault="00BF4753" w:rsidP="002D7CA8">
            <w:pPr>
              <w:ind w:right="5" w:firstLine="76"/>
              <w:jc w:val="center"/>
              <w:rPr>
                <w:rFonts w:cs="Times New Roman"/>
                <w:sz w:val="20"/>
                <w:szCs w:val="20"/>
                <w:highlight w:val="yellow"/>
              </w:rPr>
            </w:pPr>
            <w:r w:rsidRPr="00D7401B">
              <w:rPr>
                <w:rFonts w:cs="Times New Roman"/>
                <w:sz w:val="20"/>
                <w:szCs w:val="20"/>
              </w:rPr>
              <w:t>2 869,7</w:t>
            </w:r>
          </w:p>
        </w:tc>
        <w:tc>
          <w:tcPr>
            <w:tcW w:w="992" w:type="dxa"/>
            <w:tcMar>
              <w:left w:w="57" w:type="dxa"/>
              <w:right w:w="57" w:type="dxa"/>
            </w:tcMar>
            <w:vAlign w:val="bottom"/>
          </w:tcPr>
          <w:p w:rsidR="00BF4753" w:rsidRPr="00D7401B" w:rsidRDefault="00BF4753" w:rsidP="002D7CA8">
            <w:pPr>
              <w:ind w:right="5" w:hanging="55"/>
              <w:jc w:val="center"/>
              <w:rPr>
                <w:rFonts w:cs="Times New Roman"/>
                <w:sz w:val="20"/>
                <w:szCs w:val="20"/>
                <w:highlight w:val="yellow"/>
              </w:rPr>
            </w:pPr>
            <w:r w:rsidRPr="00D7401B">
              <w:rPr>
                <w:rFonts w:cs="Times New Roman"/>
                <w:sz w:val="20"/>
                <w:szCs w:val="20"/>
              </w:rPr>
              <w:t>3 071,9</w:t>
            </w:r>
          </w:p>
        </w:tc>
        <w:tc>
          <w:tcPr>
            <w:tcW w:w="851" w:type="dxa"/>
            <w:shd w:val="clear" w:color="auto" w:fill="auto"/>
            <w:tcMar>
              <w:left w:w="57" w:type="dxa"/>
              <w:right w:w="57" w:type="dxa"/>
            </w:tcMar>
            <w:vAlign w:val="bottom"/>
          </w:tcPr>
          <w:p w:rsidR="00BF4753" w:rsidRPr="00D7401B" w:rsidRDefault="00BF4753" w:rsidP="002D7CA8">
            <w:pPr>
              <w:ind w:right="5" w:hanging="59"/>
              <w:jc w:val="center"/>
              <w:rPr>
                <w:rFonts w:cs="Times New Roman"/>
                <w:sz w:val="20"/>
                <w:szCs w:val="20"/>
                <w:highlight w:val="yellow"/>
              </w:rPr>
            </w:pPr>
            <w:r w:rsidRPr="00D7401B">
              <w:rPr>
                <w:rFonts w:cs="Times New Roman"/>
                <w:sz w:val="20"/>
                <w:szCs w:val="20"/>
              </w:rPr>
              <w:t>3 259,2</w:t>
            </w:r>
          </w:p>
        </w:tc>
        <w:tc>
          <w:tcPr>
            <w:tcW w:w="848" w:type="dxa"/>
            <w:shd w:val="clear" w:color="auto" w:fill="auto"/>
            <w:tcMar>
              <w:left w:w="57" w:type="dxa"/>
              <w:right w:w="57" w:type="dxa"/>
            </w:tcMar>
            <w:vAlign w:val="bottom"/>
          </w:tcPr>
          <w:p w:rsidR="00BF4753" w:rsidRPr="00D7401B" w:rsidRDefault="00BF4753" w:rsidP="002D7CA8">
            <w:pPr>
              <w:ind w:right="5" w:hanging="60"/>
              <w:jc w:val="center"/>
              <w:rPr>
                <w:rFonts w:cs="Times New Roman"/>
                <w:sz w:val="20"/>
                <w:szCs w:val="20"/>
                <w:highlight w:val="yellow"/>
              </w:rPr>
            </w:pPr>
            <w:r w:rsidRPr="00D7401B">
              <w:rPr>
                <w:rFonts w:cs="Times New Roman"/>
                <w:sz w:val="20"/>
                <w:szCs w:val="20"/>
              </w:rPr>
              <w:t>-86,1</w:t>
            </w:r>
          </w:p>
        </w:tc>
        <w:tc>
          <w:tcPr>
            <w:tcW w:w="711" w:type="dxa"/>
            <w:shd w:val="clear" w:color="auto" w:fill="auto"/>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-104,2</w:t>
            </w:r>
          </w:p>
        </w:tc>
        <w:tc>
          <w:tcPr>
            <w:tcW w:w="709" w:type="dxa"/>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-111,6</w:t>
            </w:r>
          </w:p>
        </w:tc>
        <w:tc>
          <w:tcPr>
            <w:tcW w:w="708" w:type="dxa"/>
            <w:shd w:val="clear" w:color="auto" w:fill="auto"/>
            <w:tcMar>
              <w:left w:w="57" w:type="dxa"/>
              <w:right w:w="57" w:type="dxa"/>
            </w:tcMar>
            <w:vAlign w:val="bottom"/>
          </w:tcPr>
          <w:p w:rsidR="00BF4753" w:rsidRPr="00D7401B" w:rsidRDefault="00BF4753" w:rsidP="002D7CA8">
            <w:pPr>
              <w:ind w:right="5" w:hanging="60"/>
              <w:jc w:val="center"/>
              <w:rPr>
                <w:rFonts w:cs="Times New Roman"/>
                <w:sz w:val="20"/>
                <w:szCs w:val="20"/>
                <w:highlight w:val="yellow"/>
              </w:rPr>
            </w:pPr>
            <w:r w:rsidRPr="00D7401B">
              <w:rPr>
                <w:rFonts w:cs="Times New Roman"/>
                <w:sz w:val="20"/>
                <w:szCs w:val="20"/>
              </w:rPr>
              <w:t>-120,7</w:t>
            </w:r>
          </w:p>
        </w:tc>
      </w:tr>
      <w:tr w:rsidR="00BF4753" w:rsidRPr="00C10744" w:rsidTr="002D7CA8">
        <w:trPr>
          <w:trHeight w:val="20"/>
          <w:jc w:val="center"/>
        </w:trPr>
        <w:tc>
          <w:tcPr>
            <w:tcW w:w="2553" w:type="dxa"/>
            <w:shd w:val="clear" w:color="auto" w:fill="DEEAF6"/>
          </w:tcPr>
          <w:p w:rsidR="00BF4753" w:rsidRPr="005958C8" w:rsidRDefault="00BF4753" w:rsidP="002D7CA8">
            <w:pPr>
              <w:ind w:left="743" w:firstLine="0"/>
              <w:rPr>
                <w:rFonts w:cs="Times New Roman"/>
                <w:bCs/>
                <w:i/>
                <w:sz w:val="20"/>
                <w:szCs w:val="20"/>
              </w:rPr>
            </w:pPr>
            <w:r w:rsidRPr="005958C8">
              <w:rPr>
                <w:rFonts w:cs="Times New Roman"/>
                <w:bCs/>
                <w:i/>
                <w:sz w:val="20"/>
                <w:szCs w:val="20"/>
              </w:rPr>
              <w:t>Valsts sociālās apdrošināšanas obligātās  iemaksas</w:t>
            </w:r>
            <w:r w:rsidRPr="005958C8">
              <w:rPr>
                <w:rFonts w:cs="Times New Roman"/>
                <w:bCs/>
                <w:i/>
                <w:sz w:val="20"/>
                <w:szCs w:val="20"/>
                <w:vertAlign w:val="superscript"/>
              </w:rPr>
              <w:footnoteReference w:id="12"/>
            </w:r>
          </w:p>
        </w:tc>
        <w:tc>
          <w:tcPr>
            <w:tcW w:w="850" w:type="dxa"/>
            <w:shd w:val="clear" w:color="auto" w:fill="DEEAF6"/>
            <w:tcMar>
              <w:left w:w="57" w:type="dxa"/>
              <w:right w:w="57" w:type="dxa"/>
            </w:tcMar>
            <w:vAlign w:val="bottom"/>
          </w:tcPr>
          <w:p w:rsidR="00BF4753" w:rsidRPr="00D7401B" w:rsidRDefault="00BF4753" w:rsidP="002D7CA8">
            <w:pPr>
              <w:ind w:right="5" w:hanging="64"/>
              <w:jc w:val="center"/>
              <w:rPr>
                <w:rFonts w:cs="Times New Roman"/>
                <w:color w:val="FF0000"/>
                <w:sz w:val="20"/>
                <w:szCs w:val="20"/>
                <w:highlight w:val="yellow"/>
              </w:rPr>
            </w:pPr>
            <w:r w:rsidRPr="00D7401B">
              <w:rPr>
                <w:rFonts w:cs="Times New Roman"/>
                <w:sz w:val="20"/>
                <w:szCs w:val="20"/>
              </w:rPr>
              <w:t>2 771,0</w:t>
            </w:r>
          </w:p>
        </w:tc>
        <w:tc>
          <w:tcPr>
            <w:tcW w:w="847" w:type="dxa"/>
            <w:shd w:val="clear" w:color="auto" w:fill="DEEAF6"/>
            <w:tcMar>
              <w:left w:w="57" w:type="dxa"/>
              <w:right w:w="57" w:type="dxa"/>
            </w:tcMar>
            <w:vAlign w:val="bottom"/>
          </w:tcPr>
          <w:p w:rsidR="00BF4753" w:rsidRPr="00D7401B" w:rsidRDefault="00BF4753" w:rsidP="002D7CA8">
            <w:pPr>
              <w:ind w:right="5" w:firstLine="76"/>
              <w:jc w:val="center"/>
              <w:rPr>
                <w:rFonts w:cs="Times New Roman"/>
                <w:sz w:val="20"/>
                <w:szCs w:val="20"/>
                <w:highlight w:val="yellow"/>
              </w:rPr>
            </w:pPr>
            <w:r w:rsidRPr="00D7401B">
              <w:rPr>
                <w:rFonts w:cs="Times New Roman"/>
                <w:sz w:val="20"/>
                <w:szCs w:val="20"/>
              </w:rPr>
              <w:t>3 030,5</w:t>
            </w:r>
          </w:p>
        </w:tc>
        <w:tc>
          <w:tcPr>
            <w:tcW w:w="992" w:type="dxa"/>
            <w:shd w:val="clear" w:color="auto" w:fill="DEEAF6"/>
            <w:tcMar>
              <w:left w:w="57" w:type="dxa"/>
              <w:right w:w="57" w:type="dxa"/>
            </w:tcMar>
            <w:vAlign w:val="bottom"/>
          </w:tcPr>
          <w:p w:rsidR="00BF4753" w:rsidRPr="00D7401B" w:rsidRDefault="00BF4753" w:rsidP="002D7CA8">
            <w:pPr>
              <w:ind w:right="5" w:hanging="55"/>
              <w:jc w:val="center"/>
              <w:rPr>
                <w:rFonts w:cs="Times New Roman"/>
                <w:sz w:val="20"/>
                <w:szCs w:val="20"/>
                <w:highlight w:val="yellow"/>
              </w:rPr>
            </w:pPr>
            <w:r w:rsidRPr="00D7401B">
              <w:rPr>
                <w:rFonts w:cs="Times New Roman"/>
                <w:sz w:val="20"/>
                <w:szCs w:val="20"/>
              </w:rPr>
              <w:t>3 221,2</w:t>
            </w:r>
          </w:p>
        </w:tc>
        <w:tc>
          <w:tcPr>
            <w:tcW w:w="851" w:type="dxa"/>
            <w:shd w:val="clear" w:color="auto" w:fill="DEEAF6"/>
            <w:tcMar>
              <w:left w:w="57" w:type="dxa"/>
              <w:right w:w="57" w:type="dxa"/>
            </w:tcMar>
            <w:vAlign w:val="bottom"/>
          </w:tcPr>
          <w:p w:rsidR="00BF4753" w:rsidRPr="00D7401B" w:rsidRDefault="00BF4753" w:rsidP="002D7CA8">
            <w:pPr>
              <w:ind w:right="5" w:hanging="59"/>
              <w:jc w:val="center"/>
              <w:rPr>
                <w:rFonts w:cs="Times New Roman"/>
                <w:sz w:val="20"/>
                <w:szCs w:val="20"/>
                <w:highlight w:val="yellow"/>
              </w:rPr>
            </w:pPr>
            <w:r w:rsidRPr="00D7401B">
              <w:rPr>
                <w:rFonts w:cs="Times New Roman"/>
                <w:sz w:val="20"/>
                <w:szCs w:val="20"/>
              </w:rPr>
              <w:t>3 364,2</w:t>
            </w:r>
          </w:p>
        </w:tc>
        <w:tc>
          <w:tcPr>
            <w:tcW w:w="848" w:type="dxa"/>
            <w:shd w:val="clear" w:color="auto" w:fill="DEEAF6"/>
            <w:tcMar>
              <w:left w:w="57" w:type="dxa"/>
              <w:right w:w="57" w:type="dxa"/>
            </w:tcMar>
            <w:vAlign w:val="bottom"/>
          </w:tcPr>
          <w:p w:rsidR="00BF4753" w:rsidRPr="00D7401B" w:rsidRDefault="00BF4753" w:rsidP="002D7CA8">
            <w:pPr>
              <w:ind w:right="5" w:hanging="60"/>
              <w:jc w:val="center"/>
              <w:rPr>
                <w:rFonts w:cs="Times New Roman"/>
                <w:sz w:val="20"/>
                <w:szCs w:val="20"/>
                <w:highlight w:val="yellow"/>
              </w:rPr>
            </w:pPr>
            <w:r w:rsidRPr="00D7401B">
              <w:rPr>
                <w:rFonts w:cs="Times New Roman"/>
                <w:sz w:val="20"/>
                <w:szCs w:val="20"/>
              </w:rPr>
              <w:t>-90,1</w:t>
            </w:r>
          </w:p>
        </w:tc>
        <w:tc>
          <w:tcPr>
            <w:tcW w:w="711" w:type="dxa"/>
            <w:shd w:val="clear" w:color="auto" w:fill="DEEAF6"/>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-110,0</w:t>
            </w:r>
          </w:p>
        </w:tc>
        <w:tc>
          <w:tcPr>
            <w:tcW w:w="709" w:type="dxa"/>
            <w:shd w:val="clear" w:color="auto" w:fill="DEEAF6"/>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-117,0</w:t>
            </w:r>
          </w:p>
        </w:tc>
        <w:tc>
          <w:tcPr>
            <w:tcW w:w="708" w:type="dxa"/>
            <w:shd w:val="clear" w:color="auto" w:fill="DEEAF6"/>
            <w:tcMar>
              <w:left w:w="57" w:type="dxa"/>
              <w:right w:w="57" w:type="dxa"/>
            </w:tcMar>
            <w:vAlign w:val="bottom"/>
          </w:tcPr>
          <w:p w:rsidR="00BF4753" w:rsidRPr="00D7401B" w:rsidRDefault="00BF4753" w:rsidP="002D7CA8">
            <w:pPr>
              <w:ind w:right="5" w:hanging="60"/>
              <w:jc w:val="center"/>
              <w:rPr>
                <w:rFonts w:cs="Times New Roman"/>
                <w:sz w:val="20"/>
                <w:szCs w:val="20"/>
                <w:highlight w:val="yellow"/>
              </w:rPr>
            </w:pPr>
            <w:r w:rsidRPr="00D7401B">
              <w:rPr>
                <w:rFonts w:cs="Times New Roman"/>
                <w:sz w:val="20"/>
                <w:szCs w:val="20"/>
              </w:rPr>
              <w:t>-124,6</w:t>
            </w:r>
          </w:p>
        </w:tc>
      </w:tr>
      <w:tr w:rsidR="00BF4753" w:rsidRPr="00C10744" w:rsidTr="002D7CA8">
        <w:trPr>
          <w:trHeight w:val="20"/>
          <w:jc w:val="center"/>
        </w:trPr>
        <w:tc>
          <w:tcPr>
            <w:tcW w:w="2553" w:type="dxa"/>
            <w:shd w:val="clear" w:color="auto" w:fill="auto"/>
          </w:tcPr>
          <w:p w:rsidR="00BF4753" w:rsidRPr="005958C8" w:rsidRDefault="00BF4753" w:rsidP="002D7CA8">
            <w:pPr>
              <w:ind w:left="743" w:firstLine="0"/>
              <w:rPr>
                <w:rFonts w:cs="Times New Roman"/>
                <w:bCs/>
                <w:i/>
                <w:sz w:val="20"/>
                <w:szCs w:val="20"/>
              </w:rPr>
            </w:pPr>
            <w:r w:rsidRPr="005958C8">
              <w:rPr>
                <w:rFonts w:cs="Times New Roman"/>
                <w:bCs/>
                <w:i/>
                <w:sz w:val="20"/>
                <w:szCs w:val="20"/>
              </w:rPr>
              <w:t>Akcīzes nodoklis</w:t>
            </w:r>
          </w:p>
        </w:tc>
        <w:tc>
          <w:tcPr>
            <w:tcW w:w="850" w:type="dxa"/>
            <w:shd w:val="clear" w:color="auto" w:fill="auto"/>
            <w:tcMar>
              <w:left w:w="57" w:type="dxa"/>
              <w:right w:w="57" w:type="dxa"/>
            </w:tcMar>
            <w:vAlign w:val="bottom"/>
          </w:tcPr>
          <w:p w:rsidR="00BF4753" w:rsidRPr="00D7401B" w:rsidRDefault="00BF4753" w:rsidP="002D7CA8">
            <w:pPr>
              <w:ind w:right="5" w:hanging="64"/>
              <w:jc w:val="center"/>
              <w:rPr>
                <w:rFonts w:cs="Times New Roman"/>
                <w:sz w:val="20"/>
                <w:szCs w:val="20"/>
                <w:highlight w:val="yellow"/>
              </w:rPr>
            </w:pPr>
            <w:r w:rsidRPr="00D7401B">
              <w:rPr>
                <w:rFonts w:cs="Times New Roman"/>
                <w:sz w:val="20"/>
                <w:szCs w:val="20"/>
              </w:rPr>
              <w:t>1 082,2</w:t>
            </w:r>
          </w:p>
        </w:tc>
        <w:tc>
          <w:tcPr>
            <w:tcW w:w="847" w:type="dxa"/>
            <w:shd w:val="clear" w:color="auto" w:fill="auto"/>
            <w:tcMar>
              <w:left w:w="57" w:type="dxa"/>
              <w:right w:w="57" w:type="dxa"/>
            </w:tcMar>
            <w:vAlign w:val="bottom"/>
          </w:tcPr>
          <w:p w:rsidR="00BF4753" w:rsidRPr="00D7401B" w:rsidRDefault="00BF4753" w:rsidP="002D7CA8">
            <w:pPr>
              <w:ind w:right="5" w:firstLine="76"/>
              <w:jc w:val="center"/>
              <w:rPr>
                <w:rFonts w:cs="Times New Roman"/>
                <w:sz w:val="20"/>
                <w:szCs w:val="20"/>
                <w:highlight w:val="yellow"/>
              </w:rPr>
            </w:pPr>
            <w:r w:rsidRPr="00D7401B">
              <w:rPr>
                <w:rFonts w:cs="Times New Roman"/>
                <w:sz w:val="20"/>
                <w:szCs w:val="20"/>
              </w:rPr>
              <w:t>1 126,3</w:t>
            </w:r>
          </w:p>
        </w:tc>
        <w:tc>
          <w:tcPr>
            <w:tcW w:w="992" w:type="dxa"/>
            <w:tcMar>
              <w:left w:w="57" w:type="dxa"/>
              <w:right w:w="57" w:type="dxa"/>
            </w:tcMar>
            <w:vAlign w:val="bottom"/>
          </w:tcPr>
          <w:p w:rsidR="00BF4753" w:rsidRPr="00D7401B" w:rsidRDefault="00BF4753" w:rsidP="002D7CA8">
            <w:pPr>
              <w:ind w:right="5" w:hanging="55"/>
              <w:jc w:val="center"/>
              <w:rPr>
                <w:rFonts w:cs="Times New Roman"/>
                <w:sz w:val="20"/>
                <w:szCs w:val="20"/>
                <w:highlight w:val="yellow"/>
              </w:rPr>
            </w:pPr>
            <w:r w:rsidRPr="00D7401B">
              <w:rPr>
                <w:rFonts w:cs="Times New Roman"/>
                <w:sz w:val="20"/>
                <w:szCs w:val="20"/>
              </w:rPr>
              <w:t>1 162,8</w:t>
            </w:r>
          </w:p>
        </w:tc>
        <w:tc>
          <w:tcPr>
            <w:tcW w:w="851" w:type="dxa"/>
            <w:shd w:val="clear" w:color="auto" w:fill="auto"/>
            <w:tcMar>
              <w:left w:w="57" w:type="dxa"/>
              <w:right w:w="57" w:type="dxa"/>
            </w:tcMar>
            <w:vAlign w:val="bottom"/>
          </w:tcPr>
          <w:p w:rsidR="00BF4753" w:rsidRPr="00D7401B" w:rsidRDefault="00BF4753" w:rsidP="002D7CA8">
            <w:pPr>
              <w:ind w:right="5" w:hanging="59"/>
              <w:jc w:val="center"/>
              <w:rPr>
                <w:rFonts w:cs="Times New Roman"/>
                <w:sz w:val="20"/>
                <w:szCs w:val="20"/>
                <w:highlight w:val="yellow"/>
              </w:rPr>
            </w:pPr>
            <w:r w:rsidRPr="00D7401B">
              <w:rPr>
                <w:rFonts w:cs="Times New Roman"/>
                <w:sz w:val="20"/>
                <w:szCs w:val="20"/>
              </w:rPr>
              <w:t>1 190,4</w:t>
            </w:r>
          </w:p>
        </w:tc>
        <w:tc>
          <w:tcPr>
            <w:tcW w:w="848" w:type="dxa"/>
            <w:shd w:val="clear" w:color="auto" w:fill="auto"/>
            <w:tcMar>
              <w:left w:w="57" w:type="dxa"/>
              <w:right w:w="57" w:type="dxa"/>
            </w:tcMar>
            <w:vAlign w:val="bottom"/>
          </w:tcPr>
          <w:p w:rsidR="00BF4753" w:rsidRPr="00D7401B" w:rsidRDefault="00BF4753" w:rsidP="002D7CA8">
            <w:pPr>
              <w:ind w:right="5" w:hanging="60"/>
              <w:jc w:val="center"/>
              <w:rPr>
                <w:rFonts w:cs="Times New Roman"/>
                <w:sz w:val="20"/>
                <w:szCs w:val="20"/>
                <w:highlight w:val="yellow"/>
              </w:rPr>
            </w:pPr>
            <w:r w:rsidRPr="00D7401B">
              <w:rPr>
                <w:rFonts w:cs="Times New Roman"/>
                <w:sz w:val="20"/>
                <w:szCs w:val="20"/>
              </w:rPr>
              <w:t>-35,2</w:t>
            </w:r>
          </w:p>
        </w:tc>
        <w:tc>
          <w:tcPr>
            <w:tcW w:w="711" w:type="dxa"/>
            <w:shd w:val="clear" w:color="auto" w:fill="auto"/>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-40,9</w:t>
            </w:r>
          </w:p>
        </w:tc>
        <w:tc>
          <w:tcPr>
            <w:tcW w:w="709" w:type="dxa"/>
            <w:tcMar>
              <w:left w:w="57" w:type="dxa"/>
              <w:right w:w="57" w:type="dxa"/>
            </w:tcMar>
            <w:vAlign w:val="bottom"/>
          </w:tcPr>
          <w:p w:rsidR="00BF4753" w:rsidRPr="00D7401B" w:rsidRDefault="00BF4753" w:rsidP="002D7CA8">
            <w:pPr>
              <w:ind w:right="5" w:firstLine="0"/>
              <w:jc w:val="center"/>
              <w:rPr>
                <w:rFonts w:cs="Times New Roman"/>
                <w:sz w:val="20"/>
                <w:szCs w:val="20"/>
                <w:highlight w:val="yellow"/>
              </w:rPr>
            </w:pPr>
            <w:r w:rsidRPr="00D7401B">
              <w:rPr>
                <w:rFonts w:cs="Times New Roman"/>
                <w:sz w:val="20"/>
                <w:szCs w:val="20"/>
              </w:rPr>
              <w:t>-42,3</w:t>
            </w:r>
          </w:p>
        </w:tc>
        <w:tc>
          <w:tcPr>
            <w:tcW w:w="708" w:type="dxa"/>
            <w:shd w:val="clear" w:color="auto" w:fill="auto"/>
            <w:tcMar>
              <w:left w:w="57" w:type="dxa"/>
              <w:right w:w="57" w:type="dxa"/>
            </w:tcMar>
            <w:vAlign w:val="bottom"/>
          </w:tcPr>
          <w:p w:rsidR="00BF4753" w:rsidRPr="00D7401B" w:rsidRDefault="00BF4753" w:rsidP="002D7CA8">
            <w:pPr>
              <w:ind w:right="5" w:hanging="60"/>
              <w:jc w:val="center"/>
              <w:rPr>
                <w:rFonts w:cs="Times New Roman"/>
                <w:sz w:val="20"/>
                <w:szCs w:val="20"/>
                <w:highlight w:val="yellow"/>
              </w:rPr>
            </w:pPr>
            <w:r w:rsidRPr="00D7401B">
              <w:rPr>
                <w:rFonts w:cs="Times New Roman"/>
                <w:sz w:val="20"/>
                <w:szCs w:val="20"/>
              </w:rPr>
              <w:t>-44,1</w:t>
            </w:r>
          </w:p>
        </w:tc>
      </w:tr>
      <w:tr w:rsidR="00BF4753" w:rsidRPr="00C10744" w:rsidTr="002D7CA8">
        <w:trPr>
          <w:trHeight w:val="20"/>
          <w:jc w:val="center"/>
        </w:trPr>
        <w:tc>
          <w:tcPr>
            <w:tcW w:w="2553" w:type="dxa"/>
            <w:shd w:val="clear" w:color="auto" w:fill="DEEAF6"/>
            <w:vAlign w:val="center"/>
          </w:tcPr>
          <w:p w:rsidR="00BF4753" w:rsidRPr="005958C8" w:rsidRDefault="00BF4753" w:rsidP="002D7CA8">
            <w:pPr>
              <w:ind w:left="166" w:firstLine="10"/>
              <w:rPr>
                <w:rFonts w:eastAsia="Times New Roman" w:cs="Times New Roman"/>
                <w:bCs/>
                <w:noProof/>
                <w:sz w:val="20"/>
                <w:szCs w:val="20"/>
                <w:lang w:eastAsia="lv-LV"/>
              </w:rPr>
            </w:pPr>
            <w:r w:rsidRPr="005958C8">
              <w:rPr>
                <w:rFonts w:eastAsia="Times New Roman" w:cs="Times New Roman"/>
                <w:bCs/>
                <w:noProof/>
                <w:sz w:val="20"/>
                <w:szCs w:val="20"/>
                <w:lang w:eastAsia="lv-LV"/>
              </w:rPr>
              <w:t>Nenodokļu ieņēmumi</w:t>
            </w:r>
          </w:p>
        </w:tc>
        <w:tc>
          <w:tcPr>
            <w:tcW w:w="850" w:type="dxa"/>
            <w:shd w:val="clear" w:color="auto" w:fill="DEEAF6"/>
            <w:tcMar>
              <w:left w:w="57" w:type="dxa"/>
              <w:right w:w="57" w:type="dxa"/>
            </w:tcMar>
            <w:vAlign w:val="center"/>
          </w:tcPr>
          <w:p w:rsidR="00BF4753" w:rsidRPr="005D4115" w:rsidRDefault="00BF4753" w:rsidP="002D7CA8">
            <w:pPr>
              <w:ind w:right="5" w:hanging="64"/>
              <w:jc w:val="center"/>
              <w:rPr>
                <w:rFonts w:cs="Times New Roman"/>
                <w:sz w:val="20"/>
                <w:szCs w:val="20"/>
              </w:rPr>
            </w:pPr>
            <w:r w:rsidRPr="005D4115">
              <w:rPr>
                <w:rFonts w:cs="Times New Roman"/>
                <w:sz w:val="20"/>
                <w:szCs w:val="20"/>
              </w:rPr>
              <w:t>626,3</w:t>
            </w:r>
          </w:p>
        </w:tc>
        <w:tc>
          <w:tcPr>
            <w:tcW w:w="847" w:type="dxa"/>
            <w:shd w:val="clear" w:color="auto" w:fill="DEEAF6"/>
            <w:tcMar>
              <w:left w:w="57" w:type="dxa"/>
              <w:right w:w="57" w:type="dxa"/>
            </w:tcMar>
            <w:vAlign w:val="center"/>
          </w:tcPr>
          <w:p w:rsidR="00BF4753" w:rsidRPr="005D4115" w:rsidRDefault="00BF4753" w:rsidP="002D7CA8">
            <w:pPr>
              <w:ind w:right="5" w:firstLine="76"/>
              <w:jc w:val="center"/>
              <w:rPr>
                <w:rFonts w:cs="Times New Roman"/>
                <w:sz w:val="20"/>
                <w:szCs w:val="20"/>
              </w:rPr>
            </w:pPr>
            <w:r w:rsidRPr="005D4115">
              <w:rPr>
                <w:rFonts w:cs="Times New Roman"/>
                <w:sz w:val="20"/>
                <w:szCs w:val="20"/>
              </w:rPr>
              <w:t>534,6</w:t>
            </w:r>
          </w:p>
        </w:tc>
        <w:tc>
          <w:tcPr>
            <w:tcW w:w="992" w:type="dxa"/>
            <w:shd w:val="clear" w:color="auto" w:fill="DEEAF6"/>
            <w:tcMar>
              <w:left w:w="57" w:type="dxa"/>
              <w:right w:w="57" w:type="dxa"/>
            </w:tcMar>
            <w:vAlign w:val="center"/>
          </w:tcPr>
          <w:p w:rsidR="00BF4753" w:rsidRPr="005D4115" w:rsidRDefault="00BF4753" w:rsidP="002D7CA8">
            <w:pPr>
              <w:ind w:right="5" w:hanging="55"/>
              <w:jc w:val="center"/>
              <w:rPr>
                <w:rFonts w:cs="Times New Roman"/>
                <w:sz w:val="20"/>
                <w:szCs w:val="20"/>
              </w:rPr>
            </w:pPr>
            <w:r w:rsidRPr="005D4115">
              <w:rPr>
                <w:rFonts w:cs="Times New Roman"/>
                <w:sz w:val="20"/>
                <w:szCs w:val="20"/>
              </w:rPr>
              <w:t>526,7</w:t>
            </w:r>
          </w:p>
        </w:tc>
        <w:tc>
          <w:tcPr>
            <w:tcW w:w="851" w:type="dxa"/>
            <w:shd w:val="clear" w:color="auto" w:fill="DEEAF6"/>
            <w:tcMar>
              <w:left w:w="57" w:type="dxa"/>
              <w:right w:w="57" w:type="dxa"/>
            </w:tcMar>
            <w:vAlign w:val="center"/>
          </w:tcPr>
          <w:p w:rsidR="00BF4753" w:rsidRPr="005D4115" w:rsidRDefault="00BF4753" w:rsidP="002D7CA8">
            <w:pPr>
              <w:ind w:right="5" w:hanging="59"/>
              <w:jc w:val="center"/>
              <w:rPr>
                <w:rFonts w:cs="Times New Roman"/>
                <w:sz w:val="20"/>
                <w:szCs w:val="20"/>
              </w:rPr>
            </w:pPr>
            <w:r w:rsidRPr="005D4115">
              <w:rPr>
                <w:rFonts w:cs="Times New Roman"/>
                <w:sz w:val="20"/>
                <w:szCs w:val="20"/>
              </w:rPr>
              <w:t>494,3</w:t>
            </w:r>
          </w:p>
        </w:tc>
        <w:tc>
          <w:tcPr>
            <w:tcW w:w="848" w:type="dxa"/>
            <w:shd w:val="clear" w:color="auto" w:fill="DEEAF6"/>
            <w:tcMar>
              <w:left w:w="57" w:type="dxa"/>
              <w:right w:w="57" w:type="dxa"/>
            </w:tcMar>
            <w:vAlign w:val="center"/>
          </w:tcPr>
          <w:p w:rsidR="00BF4753" w:rsidRPr="005D4115" w:rsidRDefault="00BF4753" w:rsidP="002D7CA8">
            <w:pPr>
              <w:ind w:right="5" w:hanging="60"/>
              <w:jc w:val="center"/>
              <w:rPr>
                <w:rFonts w:cs="Times New Roman"/>
                <w:sz w:val="20"/>
                <w:szCs w:val="20"/>
              </w:rPr>
            </w:pPr>
            <w:r w:rsidRPr="005D4115">
              <w:rPr>
                <w:rFonts w:cs="Times New Roman"/>
                <w:sz w:val="20"/>
                <w:szCs w:val="20"/>
              </w:rPr>
              <w:t>-16,6</w:t>
            </w:r>
          </w:p>
        </w:tc>
        <w:tc>
          <w:tcPr>
            <w:tcW w:w="711" w:type="dxa"/>
            <w:shd w:val="clear" w:color="auto" w:fill="DEEAF6"/>
            <w:tcMar>
              <w:left w:w="57" w:type="dxa"/>
              <w:right w:w="57" w:type="dxa"/>
            </w:tcMar>
            <w:vAlign w:val="center"/>
          </w:tcPr>
          <w:p w:rsidR="00BF4753" w:rsidRPr="005D4115" w:rsidRDefault="00BF4753" w:rsidP="002D7CA8">
            <w:pPr>
              <w:ind w:right="5" w:firstLine="0"/>
              <w:jc w:val="center"/>
              <w:rPr>
                <w:rFonts w:cs="Times New Roman"/>
                <w:sz w:val="20"/>
                <w:szCs w:val="20"/>
              </w:rPr>
            </w:pPr>
            <w:r w:rsidRPr="005D4115">
              <w:rPr>
                <w:rFonts w:cs="Times New Roman"/>
                <w:sz w:val="20"/>
                <w:szCs w:val="20"/>
              </w:rPr>
              <w:t>-15,0</w:t>
            </w:r>
          </w:p>
        </w:tc>
        <w:tc>
          <w:tcPr>
            <w:tcW w:w="709" w:type="dxa"/>
            <w:shd w:val="clear" w:color="auto" w:fill="DEEAF6"/>
            <w:tcMar>
              <w:left w:w="57" w:type="dxa"/>
              <w:right w:w="57" w:type="dxa"/>
            </w:tcMar>
            <w:vAlign w:val="center"/>
          </w:tcPr>
          <w:p w:rsidR="00BF4753" w:rsidRPr="005D4115" w:rsidRDefault="00BF4753" w:rsidP="002D7CA8">
            <w:pPr>
              <w:ind w:right="5" w:firstLine="0"/>
              <w:jc w:val="center"/>
              <w:rPr>
                <w:rFonts w:cs="Times New Roman"/>
                <w:sz w:val="20"/>
                <w:szCs w:val="20"/>
              </w:rPr>
            </w:pPr>
            <w:r w:rsidRPr="005D4115">
              <w:rPr>
                <w:rFonts w:cs="Times New Roman"/>
                <w:sz w:val="20"/>
                <w:szCs w:val="20"/>
              </w:rPr>
              <w:t>-14,6</w:t>
            </w:r>
          </w:p>
        </w:tc>
        <w:tc>
          <w:tcPr>
            <w:tcW w:w="708" w:type="dxa"/>
            <w:shd w:val="clear" w:color="auto" w:fill="DEEAF6"/>
            <w:tcMar>
              <w:left w:w="57" w:type="dxa"/>
              <w:right w:w="57" w:type="dxa"/>
            </w:tcMar>
            <w:vAlign w:val="center"/>
          </w:tcPr>
          <w:p w:rsidR="00BF4753" w:rsidRPr="005D4115" w:rsidRDefault="00BF4753" w:rsidP="002D7CA8">
            <w:pPr>
              <w:ind w:right="5" w:hanging="60"/>
              <w:jc w:val="center"/>
              <w:rPr>
                <w:rFonts w:cs="Times New Roman"/>
                <w:sz w:val="20"/>
                <w:szCs w:val="20"/>
              </w:rPr>
            </w:pPr>
            <w:r w:rsidRPr="005D4115">
              <w:rPr>
                <w:rFonts w:cs="Times New Roman"/>
                <w:sz w:val="20"/>
                <w:szCs w:val="20"/>
              </w:rPr>
              <w:t>-13,5</w:t>
            </w:r>
          </w:p>
        </w:tc>
      </w:tr>
      <w:tr w:rsidR="00BF4753" w:rsidRPr="00C10744" w:rsidTr="002D7CA8">
        <w:trPr>
          <w:trHeight w:val="20"/>
          <w:jc w:val="center"/>
        </w:trPr>
        <w:tc>
          <w:tcPr>
            <w:tcW w:w="2553" w:type="dxa"/>
            <w:shd w:val="clear" w:color="auto" w:fill="auto"/>
            <w:vAlign w:val="center"/>
          </w:tcPr>
          <w:p w:rsidR="00BF4753" w:rsidRPr="005958C8" w:rsidRDefault="00BF4753" w:rsidP="002D7CA8">
            <w:pPr>
              <w:ind w:left="166" w:firstLine="10"/>
              <w:rPr>
                <w:rFonts w:eastAsia="Times New Roman" w:cs="Times New Roman"/>
                <w:bCs/>
                <w:noProof/>
                <w:sz w:val="20"/>
                <w:szCs w:val="20"/>
                <w:lang w:eastAsia="lv-LV"/>
              </w:rPr>
            </w:pPr>
            <w:r w:rsidRPr="005958C8">
              <w:rPr>
                <w:rFonts w:eastAsia="Times New Roman" w:cs="Times New Roman"/>
                <w:bCs/>
                <w:noProof/>
                <w:sz w:val="20"/>
                <w:szCs w:val="20"/>
                <w:lang w:eastAsia="lv-LV"/>
              </w:rPr>
              <w:t>Procentu izdevumi</w:t>
            </w:r>
          </w:p>
        </w:tc>
        <w:tc>
          <w:tcPr>
            <w:tcW w:w="850" w:type="dxa"/>
            <w:shd w:val="clear" w:color="auto" w:fill="auto"/>
            <w:tcMar>
              <w:left w:w="57" w:type="dxa"/>
              <w:right w:w="57" w:type="dxa"/>
            </w:tcMar>
            <w:vAlign w:val="center"/>
          </w:tcPr>
          <w:p w:rsidR="00BF4753" w:rsidRPr="005D4115" w:rsidRDefault="00BF4753" w:rsidP="002D7CA8">
            <w:pPr>
              <w:ind w:right="5" w:hanging="64"/>
              <w:jc w:val="center"/>
              <w:rPr>
                <w:rFonts w:cs="Times New Roman"/>
                <w:sz w:val="20"/>
                <w:szCs w:val="20"/>
              </w:rPr>
            </w:pPr>
            <w:r w:rsidRPr="005D4115">
              <w:rPr>
                <w:rFonts w:cs="Times New Roman"/>
                <w:sz w:val="20"/>
                <w:szCs w:val="20"/>
              </w:rPr>
              <w:t>262,2</w:t>
            </w:r>
          </w:p>
        </w:tc>
        <w:tc>
          <w:tcPr>
            <w:tcW w:w="847" w:type="dxa"/>
            <w:shd w:val="clear" w:color="auto" w:fill="auto"/>
            <w:tcMar>
              <w:left w:w="57" w:type="dxa"/>
              <w:right w:w="57" w:type="dxa"/>
            </w:tcMar>
            <w:vAlign w:val="center"/>
          </w:tcPr>
          <w:p w:rsidR="00BF4753" w:rsidRPr="005D4115" w:rsidRDefault="00BF4753" w:rsidP="002D7CA8">
            <w:pPr>
              <w:ind w:right="5" w:firstLine="76"/>
              <w:jc w:val="center"/>
              <w:rPr>
                <w:rFonts w:cs="Times New Roman"/>
                <w:sz w:val="20"/>
                <w:szCs w:val="20"/>
              </w:rPr>
            </w:pPr>
            <w:r w:rsidRPr="005D4115">
              <w:rPr>
                <w:rFonts w:cs="Times New Roman"/>
                <w:sz w:val="20"/>
                <w:szCs w:val="20"/>
              </w:rPr>
              <w:t>242,5</w:t>
            </w:r>
          </w:p>
        </w:tc>
        <w:tc>
          <w:tcPr>
            <w:tcW w:w="992" w:type="dxa"/>
            <w:tcMar>
              <w:left w:w="57" w:type="dxa"/>
              <w:right w:w="57" w:type="dxa"/>
            </w:tcMar>
            <w:vAlign w:val="center"/>
          </w:tcPr>
          <w:p w:rsidR="00BF4753" w:rsidRPr="005D4115" w:rsidRDefault="00BF4753" w:rsidP="002D7CA8">
            <w:pPr>
              <w:ind w:right="5" w:hanging="55"/>
              <w:jc w:val="center"/>
              <w:rPr>
                <w:rFonts w:cs="Times New Roman"/>
                <w:sz w:val="20"/>
                <w:szCs w:val="20"/>
              </w:rPr>
            </w:pPr>
            <w:r w:rsidRPr="005D4115">
              <w:rPr>
                <w:rFonts w:cs="Times New Roman"/>
                <w:sz w:val="20"/>
                <w:szCs w:val="20"/>
              </w:rPr>
              <w:t>241,7</w:t>
            </w:r>
          </w:p>
        </w:tc>
        <w:tc>
          <w:tcPr>
            <w:tcW w:w="851" w:type="dxa"/>
            <w:shd w:val="clear" w:color="auto" w:fill="auto"/>
            <w:tcMar>
              <w:left w:w="57" w:type="dxa"/>
              <w:right w:w="57" w:type="dxa"/>
            </w:tcMar>
            <w:vAlign w:val="center"/>
          </w:tcPr>
          <w:p w:rsidR="00BF4753" w:rsidRPr="005D4115" w:rsidRDefault="00BF4753" w:rsidP="002D7CA8">
            <w:pPr>
              <w:ind w:right="5" w:hanging="59"/>
              <w:jc w:val="center"/>
              <w:rPr>
                <w:rFonts w:cs="Times New Roman"/>
                <w:sz w:val="20"/>
                <w:szCs w:val="20"/>
              </w:rPr>
            </w:pPr>
            <w:r w:rsidRPr="005D4115">
              <w:rPr>
                <w:rFonts w:cs="Times New Roman"/>
                <w:sz w:val="20"/>
                <w:szCs w:val="20"/>
              </w:rPr>
              <w:t>244,2</w:t>
            </w:r>
          </w:p>
        </w:tc>
        <w:tc>
          <w:tcPr>
            <w:tcW w:w="848" w:type="dxa"/>
            <w:shd w:val="clear" w:color="auto" w:fill="auto"/>
            <w:tcMar>
              <w:left w:w="57" w:type="dxa"/>
              <w:right w:w="57" w:type="dxa"/>
            </w:tcMar>
            <w:vAlign w:val="center"/>
          </w:tcPr>
          <w:p w:rsidR="00BF4753" w:rsidRPr="005D4115" w:rsidRDefault="00BF4753" w:rsidP="002D7CA8">
            <w:pPr>
              <w:ind w:right="5" w:hanging="60"/>
              <w:jc w:val="center"/>
              <w:rPr>
                <w:rFonts w:cs="Times New Roman"/>
                <w:sz w:val="20"/>
                <w:szCs w:val="20"/>
              </w:rPr>
            </w:pPr>
            <w:r w:rsidRPr="005D4115">
              <w:rPr>
                <w:rFonts w:cs="Times New Roman"/>
                <w:sz w:val="20"/>
                <w:szCs w:val="20"/>
              </w:rPr>
              <w:t>0,0</w:t>
            </w:r>
          </w:p>
        </w:tc>
        <w:tc>
          <w:tcPr>
            <w:tcW w:w="711" w:type="dxa"/>
            <w:shd w:val="clear" w:color="auto" w:fill="auto"/>
            <w:tcMar>
              <w:left w:w="57" w:type="dxa"/>
              <w:right w:w="57" w:type="dxa"/>
            </w:tcMar>
            <w:vAlign w:val="center"/>
          </w:tcPr>
          <w:p w:rsidR="00BF4753" w:rsidRPr="005D4115" w:rsidRDefault="00BF4753" w:rsidP="002D7CA8">
            <w:pPr>
              <w:ind w:right="5" w:firstLine="0"/>
              <w:jc w:val="center"/>
              <w:rPr>
                <w:rFonts w:cs="Times New Roman"/>
                <w:sz w:val="20"/>
                <w:szCs w:val="20"/>
              </w:rPr>
            </w:pPr>
            <w:r w:rsidRPr="005D4115">
              <w:rPr>
                <w:rFonts w:cs="Times New Roman"/>
                <w:sz w:val="20"/>
                <w:szCs w:val="20"/>
              </w:rPr>
              <w:t>0,3</w:t>
            </w:r>
          </w:p>
        </w:tc>
        <w:tc>
          <w:tcPr>
            <w:tcW w:w="709" w:type="dxa"/>
            <w:tcMar>
              <w:left w:w="57" w:type="dxa"/>
              <w:right w:w="57" w:type="dxa"/>
            </w:tcMar>
            <w:vAlign w:val="center"/>
          </w:tcPr>
          <w:p w:rsidR="00BF4753" w:rsidRPr="005D4115" w:rsidRDefault="00BF4753" w:rsidP="002D7CA8">
            <w:pPr>
              <w:ind w:right="5" w:firstLine="0"/>
              <w:jc w:val="center"/>
              <w:rPr>
                <w:rFonts w:cs="Times New Roman"/>
                <w:sz w:val="20"/>
                <w:szCs w:val="20"/>
              </w:rPr>
            </w:pPr>
            <w:r w:rsidRPr="005D4115">
              <w:rPr>
                <w:rFonts w:cs="Times New Roman"/>
                <w:sz w:val="20"/>
                <w:szCs w:val="20"/>
              </w:rPr>
              <w:t>1,8</w:t>
            </w:r>
          </w:p>
        </w:tc>
        <w:tc>
          <w:tcPr>
            <w:tcW w:w="708" w:type="dxa"/>
            <w:shd w:val="clear" w:color="auto" w:fill="auto"/>
            <w:tcMar>
              <w:left w:w="57" w:type="dxa"/>
              <w:right w:w="57" w:type="dxa"/>
            </w:tcMar>
            <w:vAlign w:val="center"/>
          </w:tcPr>
          <w:p w:rsidR="00BF4753" w:rsidRPr="005D4115" w:rsidRDefault="00BF4753" w:rsidP="002D7CA8">
            <w:pPr>
              <w:ind w:right="5" w:hanging="60"/>
              <w:jc w:val="center"/>
              <w:rPr>
                <w:rFonts w:cs="Times New Roman"/>
                <w:sz w:val="20"/>
                <w:szCs w:val="20"/>
              </w:rPr>
            </w:pPr>
            <w:r w:rsidRPr="005D4115">
              <w:rPr>
                <w:rFonts w:cs="Times New Roman"/>
                <w:sz w:val="20"/>
                <w:szCs w:val="20"/>
              </w:rPr>
              <w:t>5,0</w:t>
            </w:r>
          </w:p>
        </w:tc>
      </w:tr>
      <w:tr w:rsidR="00BF4753" w:rsidRPr="00C10744" w:rsidTr="002D7CA8">
        <w:trPr>
          <w:trHeight w:val="20"/>
          <w:jc w:val="center"/>
        </w:trPr>
        <w:tc>
          <w:tcPr>
            <w:tcW w:w="2553" w:type="dxa"/>
            <w:shd w:val="clear" w:color="auto" w:fill="DEEAF6"/>
            <w:vAlign w:val="center"/>
          </w:tcPr>
          <w:p w:rsidR="00BF4753" w:rsidRPr="005958C8" w:rsidRDefault="00BF4753" w:rsidP="002D7CA8">
            <w:pPr>
              <w:ind w:firstLine="10"/>
              <w:rPr>
                <w:rFonts w:eastAsia="Times New Roman" w:cs="Times New Roman"/>
                <w:b/>
                <w:noProof/>
                <w:sz w:val="20"/>
                <w:szCs w:val="20"/>
                <w:lang w:eastAsia="lv-LV"/>
              </w:rPr>
            </w:pPr>
            <w:r w:rsidRPr="005958C8">
              <w:rPr>
                <w:rFonts w:eastAsia="Times New Roman" w:cs="Times New Roman"/>
                <w:b/>
                <w:noProof/>
                <w:sz w:val="20"/>
                <w:szCs w:val="20"/>
                <w:lang w:eastAsia="lv-LV"/>
              </w:rPr>
              <w:t>Vispārējās valdības parāds, % no IKP</w:t>
            </w:r>
          </w:p>
        </w:tc>
        <w:tc>
          <w:tcPr>
            <w:tcW w:w="850" w:type="dxa"/>
            <w:shd w:val="clear" w:color="auto" w:fill="DEEAF6"/>
            <w:tcMar>
              <w:left w:w="57" w:type="dxa"/>
              <w:right w:w="57" w:type="dxa"/>
            </w:tcMar>
            <w:vAlign w:val="center"/>
          </w:tcPr>
          <w:p w:rsidR="00BF4753" w:rsidRPr="005958C8" w:rsidRDefault="00BF4753" w:rsidP="002D7CA8">
            <w:pPr>
              <w:ind w:right="5" w:hanging="64"/>
              <w:jc w:val="center"/>
              <w:rPr>
                <w:rFonts w:cs="Times New Roman"/>
                <w:b/>
                <w:sz w:val="20"/>
                <w:szCs w:val="20"/>
              </w:rPr>
            </w:pPr>
            <w:r w:rsidRPr="005958C8">
              <w:rPr>
                <w:rFonts w:cs="Times New Roman"/>
                <w:b/>
                <w:sz w:val="20"/>
                <w:szCs w:val="20"/>
              </w:rPr>
              <w:t>51,5</w:t>
            </w:r>
          </w:p>
        </w:tc>
        <w:tc>
          <w:tcPr>
            <w:tcW w:w="847" w:type="dxa"/>
            <w:shd w:val="clear" w:color="auto" w:fill="DEEAF6"/>
            <w:tcMar>
              <w:left w:w="57" w:type="dxa"/>
              <w:right w:w="57" w:type="dxa"/>
            </w:tcMar>
            <w:vAlign w:val="center"/>
          </w:tcPr>
          <w:p w:rsidR="00BF4753" w:rsidRPr="005958C8" w:rsidRDefault="00BF4753" w:rsidP="002D7CA8">
            <w:pPr>
              <w:ind w:right="5" w:firstLine="76"/>
              <w:jc w:val="center"/>
              <w:rPr>
                <w:rFonts w:cs="Times New Roman"/>
                <w:b/>
                <w:sz w:val="20"/>
                <w:szCs w:val="20"/>
              </w:rPr>
            </w:pPr>
            <w:r w:rsidRPr="005958C8">
              <w:rPr>
                <w:rFonts w:cs="Times New Roman"/>
                <w:b/>
                <w:sz w:val="20"/>
                <w:szCs w:val="20"/>
              </w:rPr>
              <w:t>54,2</w:t>
            </w:r>
          </w:p>
        </w:tc>
        <w:tc>
          <w:tcPr>
            <w:tcW w:w="992" w:type="dxa"/>
            <w:shd w:val="clear" w:color="auto" w:fill="DEEAF6"/>
            <w:tcMar>
              <w:left w:w="57" w:type="dxa"/>
              <w:right w:w="57" w:type="dxa"/>
            </w:tcMar>
            <w:vAlign w:val="center"/>
          </w:tcPr>
          <w:p w:rsidR="00BF4753" w:rsidRPr="005958C8" w:rsidRDefault="00BF4753" w:rsidP="002D7CA8">
            <w:pPr>
              <w:ind w:right="5" w:hanging="55"/>
              <w:jc w:val="center"/>
              <w:rPr>
                <w:rFonts w:cs="Times New Roman"/>
                <w:b/>
                <w:sz w:val="20"/>
                <w:szCs w:val="20"/>
              </w:rPr>
            </w:pPr>
            <w:r w:rsidRPr="005958C8">
              <w:rPr>
                <w:rFonts w:cs="Times New Roman"/>
                <w:b/>
                <w:sz w:val="20"/>
                <w:szCs w:val="20"/>
              </w:rPr>
              <w:t>53,6</w:t>
            </w:r>
          </w:p>
        </w:tc>
        <w:tc>
          <w:tcPr>
            <w:tcW w:w="851" w:type="dxa"/>
            <w:shd w:val="clear" w:color="auto" w:fill="DEEAF6"/>
            <w:tcMar>
              <w:left w:w="57" w:type="dxa"/>
              <w:right w:w="57" w:type="dxa"/>
            </w:tcMar>
            <w:vAlign w:val="center"/>
          </w:tcPr>
          <w:p w:rsidR="00BF4753" w:rsidRPr="005958C8" w:rsidRDefault="00BF4753" w:rsidP="002D7CA8">
            <w:pPr>
              <w:ind w:right="5" w:hanging="59"/>
              <w:jc w:val="center"/>
              <w:rPr>
                <w:rFonts w:cs="Times New Roman"/>
                <w:b/>
                <w:sz w:val="20"/>
                <w:szCs w:val="20"/>
              </w:rPr>
            </w:pPr>
            <w:r w:rsidRPr="005958C8">
              <w:rPr>
                <w:rFonts w:cs="Times New Roman"/>
                <w:b/>
                <w:sz w:val="20"/>
                <w:szCs w:val="20"/>
              </w:rPr>
              <w:t>54,3</w:t>
            </w:r>
          </w:p>
        </w:tc>
        <w:tc>
          <w:tcPr>
            <w:tcW w:w="848" w:type="dxa"/>
            <w:shd w:val="clear" w:color="auto" w:fill="DEEAF6"/>
            <w:tcMar>
              <w:left w:w="57" w:type="dxa"/>
              <w:right w:w="57" w:type="dxa"/>
            </w:tcMar>
            <w:vAlign w:val="center"/>
          </w:tcPr>
          <w:p w:rsidR="00BF4753" w:rsidRPr="005958C8" w:rsidRDefault="00BF4753" w:rsidP="002D7CA8">
            <w:pPr>
              <w:ind w:right="5" w:hanging="60"/>
              <w:jc w:val="center"/>
              <w:rPr>
                <w:rFonts w:cs="Times New Roman"/>
                <w:b/>
                <w:sz w:val="20"/>
                <w:szCs w:val="20"/>
              </w:rPr>
            </w:pPr>
            <w:r w:rsidRPr="005958C8">
              <w:rPr>
                <w:rFonts w:cs="Times New Roman"/>
                <w:b/>
                <w:sz w:val="20"/>
                <w:szCs w:val="20"/>
              </w:rPr>
              <w:t>2,6</w:t>
            </w:r>
          </w:p>
        </w:tc>
        <w:tc>
          <w:tcPr>
            <w:tcW w:w="711" w:type="dxa"/>
            <w:shd w:val="clear" w:color="auto" w:fill="DEEAF6"/>
            <w:tcMar>
              <w:left w:w="57" w:type="dxa"/>
              <w:right w:w="57" w:type="dxa"/>
            </w:tcMar>
            <w:vAlign w:val="center"/>
          </w:tcPr>
          <w:p w:rsidR="00BF4753" w:rsidRPr="005958C8" w:rsidRDefault="00BF4753" w:rsidP="002D7CA8">
            <w:pPr>
              <w:ind w:right="5" w:firstLine="0"/>
              <w:jc w:val="center"/>
              <w:rPr>
                <w:rFonts w:cs="Times New Roman"/>
                <w:b/>
                <w:sz w:val="20"/>
                <w:szCs w:val="20"/>
              </w:rPr>
            </w:pPr>
            <w:r w:rsidRPr="005958C8">
              <w:rPr>
                <w:rFonts w:cs="Times New Roman"/>
                <w:b/>
                <w:sz w:val="20"/>
                <w:szCs w:val="20"/>
              </w:rPr>
              <w:t>3,9</w:t>
            </w:r>
          </w:p>
        </w:tc>
        <w:tc>
          <w:tcPr>
            <w:tcW w:w="709" w:type="dxa"/>
            <w:shd w:val="clear" w:color="auto" w:fill="DEEAF6"/>
            <w:tcMar>
              <w:left w:w="57" w:type="dxa"/>
              <w:right w:w="57" w:type="dxa"/>
            </w:tcMar>
            <w:vAlign w:val="center"/>
          </w:tcPr>
          <w:p w:rsidR="00BF4753" w:rsidRPr="005958C8" w:rsidRDefault="00BF4753" w:rsidP="002D7CA8">
            <w:pPr>
              <w:ind w:right="5" w:firstLine="0"/>
              <w:jc w:val="center"/>
              <w:rPr>
                <w:rFonts w:cs="Times New Roman"/>
                <w:b/>
                <w:sz w:val="20"/>
                <w:szCs w:val="20"/>
              </w:rPr>
            </w:pPr>
            <w:r w:rsidRPr="005958C8">
              <w:rPr>
                <w:rFonts w:cs="Times New Roman"/>
                <w:b/>
                <w:sz w:val="20"/>
                <w:szCs w:val="20"/>
              </w:rPr>
              <w:t>4,8</w:t>
            </w:r>
          </w:p>
        </w:tc>
        <w:tc>
          <w:tcPr>
            <w:tcW w:w="708" w:type="dxa"/>
            <w:shd w:val="clear" w:color="auto" w:fill="DEEAF6"/>
            <w:tcMar>
              <w:left w:w="57" w:type="dxa"/>
              <w:right w:w="57" w:type="dxa"/>
            </w:tcMar>
            <w:vAlign w:val="center"/>
          </w:tcPr>
          <w:p w:rsidR="00BF4753" w:rsidRPr="005958C8" w:rsidRDefault="00BF4753" w:rsidP="002D7CA8">
            <w:pPr>
              <w:ind w:right="5" w:hanging="60"/>
              <w:jc w:val="center"/>
              <w:rPr>
                <w:rFonts w:cs="Times New Roman"/>
                <w:b/>
                <w:sz w:val="20"/>
                <w:szCs w:val="20"/>
              </w:rPr>
            </w:pPr>
            <w:r w:rsidRPr="005958C8">
              <w:rPr>
                <w:rFonts w:cs="Times New Roman"/>
                <w:b/>
                <w:sz w:val="20"/>
                <w:szCs w:val="20"/>
              </w:rPr>
              <w:t>5,8</w:t>
            </w:r>
          </w:p>
        </w:tc>
      </w:tr>
    </w:tbl>
    <w:p w:rsidR="00BF4753" w:rsidRDefault="00BF4753" w:rsidP="00BF4753">
      <w:pPr>
        <w:rPr>
          <w:rFonts w:cs="Times New Roman"/>
          <w:sz w:val="24"/>
          <w:szCs w:val="24"/>
        </w:rPr>
      </w:pPr>
    </w:p>
    <w:p w:rsidR="00BF4753" w:rsidRPr="008B1959" w:rsidRDefault="00BF4753" w:rsidP="00BF4753">
      <w:pPr>
        <w:rPr>
          <w:rFonts w:cs="Times New Roman"/>
          <w:szCs w:val="24"/>
        </w:rPr>
      </w:pPr>
      <w:r w:rsidRPr="008B1959">
        <w:rPr>
          <w:rFonts w:cs="Times New Roman"/>
          <w:szCs w:val="24"/>
        </w:rPr>
        <w:t xml:space="preserve">Īstenojoties ekonomiskās attīstības pesimistiskākajam scenārijam, nodokļu ieņēmumu samazināšanās ietekmē pieaugtu valsts budžeta deficīts, kā rezultātā palielinātos kopējā finansēšanas nepieciešamība un attiecīgi arī aizņemšanās apjoms attiecīgajā periodā, salīdzinot ar bāzes scenāriju. Papildus aizņemšanās izraisītu procentu izdevumu pieaugumu. Pesimistiskā scenārija gadījumā procentu izdevumi 2021. gadā nemainītos, bet 2022. gadā būtu par 0,3 milj. </w:t>
      </w:r>
      <w:r w:rsidRPr="008B1959">
        <w:rPr>
          <w:rFonts w:cs="Times New Roman"/>
          <w:i/>
          <w:szCs w:val="24"/>
        </w:rPr>
        <w:t>euro</w:t>
      </w:r>
      <w:r w:rsidRPr="008B1959">
        <w:rPr>
          <w:rFonts w:cs="Times New Roman"/>
          <w:szCs w:val="24"/>
        </w:rPr>
        <w:t xml:space="preserve"> lielāki, 2023. gadā par 1,8 milj. </w:t>
      </w:r>
      <w:r w:rsidRPr="008B1959">
        <w:rPr>
          <w:rFonts w:cs="Times New Roman"/>
          <w:i/>
          <w:szCs w:val="24"/>
        </w:rPr>
        <w:t>euro</w:t>
      </w:r>
      <w:r w:rsidRPr="008B1959">
        <w:rPr>
          <w:rFonts w:cs="Times New Roman"/>
          <w:szCs w:val="24"/>
        </w:rPr>
        <w:t xml:space="preserve"> un 2024. gadā attiecīgi par 5 milj. </w:t>
      </w:r>
      <w:r w:rsidRPr="008B1959">
        <w:rPr>
          <w:rFonts w:cs="Times New Roman"/>
          <w:i/>
          <w:szCs w:val="24"/>
        </w:rPr>
        <w:t>euro</w:t>
      </w:r>
      <w:r w:rsidRPr="008B1959">
        <w:rPr>
          <w:rFonts w:cs="Times New Roman"/>
          <w:szCs w:val="24"/>
        </w:rPr>
        <w:t xml:space="preserve"> lielāki nekā bāzes scenārijā.</w:t>
      </w:r>
    </w:p>
    <w:p w:rsidR="00BF4753" w:rsidRPr="00896977" w:rsidRDefault="00BF4753" w:rsidP="00BF4753">
      <w:pPr>
        <w:pStyle w:val="Heading2"/>
        <w:numPr>
          <w:ilvl w:val="0"/>
          <w:numId w:val="0"/>
        </w:numPr>
        <w:spacing w:before="240" w:after="240"/>
        <w:rPr>
          <w:rFonts w:eastAsia="Times New Roman"/>
          <w:lang w:eastAsia="lv-LV"/>
        </w:rPr>
      </w:pPr>
      <w:bookmarkStart w:id="38" w:name="_Toc68335009"/>
      <w:r w:rsidRPr="00896977">
        <w:rPr>
          <w:rFonts w:eastAsia="Times New Roman"/>
          <w:lang w:eastAsia="lv-LV"/>
        </w:rPr>
        <w:t>4.3. Vispārējās valdības budžeta bilances un parāda prognožu salīdzinājums ar Latvijas Stabilitātes programmu 20</w:t>
      </w:r>
      <w:r>
        <w:rPr>
          <w:rFonts w:eastAsia="Times New Roman"/>
          <w:lang w:eastAsia="lv-LV"/>
        </w:rPr>
        <w:t>20</w:t>
      </w:r>
      <w:r w:rsidR="00CF68FC">
        <w:rPr>
          <w:rFonts w:eastAsia="Times New Roman"/>
          <w:lang w:eastAsia="lv-LV"/>
        </w:rPr>
        <w:t>.-</w:t>
      </w:r>
      <w:r w:rsidRPr="00896977">
        <w:rPr>
          <w:rFonts w:eastAsia="Times New Roman"/>
          <w:lang w:eastAsia="lv-LV"/>
        </w:rPr>
        <w:t>202</w:t>
      </w:r>
      <w:r>
        <w:rPr>
          <w:rFonts w:eastAsia="Times New Roman"/>
          <w:lang w:eastAsia="lv-LV"/>
        </w:rPr>
        <w:t>3</w:t>
      </w:r>
      <w:r w:rsidR="00CF68FC">
        <w:rPr>
          <w:rFonts w:eastAsia="Times New Roman"/>
          <w:lang w:eastAsia="lv-LV"/>
        </w:rPr>
        <w:t>. </w:t>
      </w:r>
      <w:r w:rsidRPr="00896977">
        <w:rPr>
          <w:rFonts w:eastAsia="Times New Roman"/>
          <w:lang w:eastAsia="lv-LV"/>
        </w:rPr>
        <w:t>gadam</w:t>
      </w:r>
      <w:bookmarkEnd w:id="38"/>
    </w:p>
    <w:p w:rsidR="00BF4753" w:rsidRPr="003D5F60" w:rsidRDefault="00BF4753" w:rsidP="00BF4753">
      <w:pPr>
        <w:pStyle w:val="teksts"/>
        <w:spacing w:after="0"/>
        <w:ind w:firstLine="720"/>
        <w:rPr>
          <w:rFonts w:ascii="Times New Roman" w:eastAsia="Calibri" w:hAnsi="Times New Roman"/>
          <w:sz w:val="28"/>
          <w:szCs w:val="28"/>
        </w:rPr>
      </w:pPr>
      <w:r w:rsidRPr="003D5F60">
        <w:rPr>
          <w:rFonts w:ascii="Times New Roman" w:eastAsia="Calibri" w:hAnsi="Times New Roman"/>
          <w:sz w:val="28"/>
          <w:szCs w:val="28"/>
        </w:rPr>
        <w:t xml:space="preserve">2020. gadā </w:t>
      </w:r>
      <w:r>
        <w:rPr>
          <w:rFonts w:ascii="Times New Roman" w:eastAsia="Calibri" w:hAnsi="Times New Roman"/>
          <w:sz w:val="28"/>
          <w:szCs w:val="28"/>
        </w:rPr>
        <w:t>iekšzemes kopprodukta</w:t>
      </w:r>
      <w:r w:rsidRPr="003D5F60">
        <w:rPr>
          <w:rFonts w:ascii="Times New Roman" w:eastAsia="Calibri" w:hAnsi="Times New Roman"/>
          <w:sz w:val="28"/>
          <w:szCs w:val="28"/>
        </w:rPr>
        <w:t xml:space="preserve"> attīstība bija labāka, nekā to paredzēja Latvija</w:t>
      </w:r>
      <w:r>
        <w:rPr>
          <w:rFonts w:ascii="Times New Roman" w:eastAsia="Calibri" w:hAnsi="Times New Roman"/>
          <w:sz w:val="28"/>
          <w:szCs w:val="28"/>
        </w:rPr>
        <w:t>s Stabilitātes programmas 2020.-</w:t>
      </w:r>
      <w:r w:rsidRPr="003D5F60">
        <w:rPr>
          <w:rFonts w:ascii="Times New Roman" w:eastAsia="Calibri" w:hAnsi="Times New Roman"/>
          <w:sz w:val="28"/>
          <w:szCs w:val="28"/>
        </w:rPr>
        <w:t>2023.</w:t>
      </w:r>
      <w:r>
        <w:rPr>
          <w:rFonts w:ascii="Times New Roman" w:eastAsia="Calibri" w:hAnsi="Times New Roman"/>
          <w:sz w:val="28"/>
          <w:szCs w:val="28"/>
        </w:rPr>
        <w:t xml:space="preserve"> </w:t>
      </w:r>
      <w:r w:rsidRPr="003D5F60">
        <w:rPr>
          <w:rFonts w:ascii="Times New Roman" w:eastAsia="Calibri" w:hAnsi="Times New Roman"/>
          <w:sz w:val="28"/>
          <w:szCs w:val="28"/>
        </w:rPr>
        <w:t>gadam Covid-19 scenārijs. Kā iepriekš tika prognozēts, daudzie ierobežojumi Covid-19 pandēmijas ierobežošanai atstāja negatīvu ietekmi uz ekonomiku, īpaši pakalpojumu sektoros. Samazinājās mājsaimniecību tēriņi. Tomēr minēto ierobežojumu ietekmes apjomu nevarēja pilnībā novērtēt, jo šādu situāciju Latvijas ekonomika piedzīvo pirmo reizi. Tika novērotas lielas svārstības vairākos makroekonomiskajos rādītājos 2020. gada 2. un 3. ceturksnī. Piemēram, 2. ceturksnī privātais patēriņš samazinājās par 18%, turpretī 3. ceturksnī bija vērojams privātā patēriņa kāpums par 17% salīdzinājumā ar iepriekšējo ceturksni.</w:t>
      </w:r>
    </w:p>
    <w:p w:rsidR="00BF4753" w:rsidRPr="003D5F60" w:rsidRDefault="00BF4753" w:rsidP="00BF4753">
      <w:pPr>
        <w:pStyle w:val="teksts"/>
        <w:spacing w:after="0"/>
        <w:ind w:firstLine="720"/>
        <w:rPr>
          <w:rFonts w:ascii="Times New Roman" w:eastAsia="Calibri" w:hAnsi="Times New Roman"/>
          <w:sz w:val="28"/>
          <w:szCs w:val="28"/>
        </w:rPr>
      </w:pPr>
      <w:r w:rsidRPr="003D5F60">
        <w:rPr>
          <w:rFonts w:ascii="Times New Roman" w:eastAsia="Calibri" w:hAnsi="Times New Roman"/>
          <w:sz w:val="28"/>
          <w:szCs w:val="28"/>
        </w:rPr>
        <w:lastRenderedPageBreak/>
        <w:t xml:space="preserve">Arī 2021. gada prognozes veiktas lielas nenoteiktības apstākļos un </w:t>
      </w:r>
      <w:r>
        <w:rPr>
          <w:rFonts w:ascii="Times New Roman" w:eastAsia="Calibri" w:hAnsi="Times New Roman"/>
          <w:sz w:val="28"/>
          <w:szCs w:val="28"/>
        </w:rPr>
        <w:t>iekšzemes kopprodukta</w:t>
      </w:r>
      <w:r w:rsidRPr="003D5F60">
        <w:rPr>
          <w:rFonts w:ascii="Times New Roman" w:eastAsia="Calibri" w:hAnsi="Times New Roman"/>
          <w:sz w:val="28"/>
          <w:szCs w:val="28"/>
        </w:rPr>
        <w:t xml:space="preserve"> izaugsmes korekcija saistīta ar bāzes efektiem jeb sasniegto </w:t>
      </w:r>
      <w:r>
        <w:rPr>
          <w:rFonts w:ascii="Times New Roman" w:eastAsia="Calibri" w:hAnsi="Times New Roman"/>
          <w:sz w:val="28"/>
          <w:szCs w:val="28"/>
        </w:rPr>
        <w:t>iekšzemes kopprodukta</w:t>
      </w:r>
      <w:r w:rsidRPr="003D5F60">
        <w:rPr>
          <w:rFonts w:ascii="Times New Roman" w:eastAsia="Calibri" w:hAnsi="Times New Roman"/>
          <w:sz w:val="28"/>
          <w:szCs w:val="28"/>
        </w:rPr>
        <w:t xml:space="preserve"> līmeni, kam ir statistiski pozitīva ietekme uz turpmākajiem periodiem. Savukārt, tālākajos periodos </w:t>
      </w:r>
      <w:r>
        <w:rPr>
          <w:rFonts w:ascii="Times New Roman" w:eastAsia="Calibri" w:hAnsi="Times New Roman"/>
          <w:sz w:val="28"/>
          <w:szCs w:val="28"/>
        </w:rPr>
        <w:t>iekšzemes kopprodukta</w:t>
      </w:r>
      <w:r w:rsidRPr="003D5F60">
        <w:rPr>
          <w:rFonts w:ascii="Times New Roman" w:eastAsia="Calibri" w:hAnsi="Times New Roman"/>
          <w:sz w:val="28"/>
          <w:szCs w:val="28"/>
        </w:rPr>
        <w:t xml:space="preserve"> konverģē uz ilgtermiņa izaugsmes līmeni, kas ir tuvs iepriekšējo prognožu novērtējumam.</w:t>
      </w:r>
    </w:p>
    <w:p w:rsidR="00BF4753" w:rsidRPr="003D5F60" w:rsidRDefault="00BF4753" w:rsidP="00BF4753">
      <w:pPr>
        <w:pStyle w:val="T"/>
        <w:spacing w:before="120"/>
        <w:ind w:left="0"/>
        <w:jc w:val="right"/>
        <w:rPr>
          <w:rFonts w:ascii="Times New Roman" w:hAnsi="Times New Roman"/>
          <w:i/>
        </w:rPr>
      </w:pPr>
      <w:r>
        <w:rPr>
          <w:rFonts w:ascii="Times New Roman" w:hAnsi="Times New Roman"/>
          <w:i/>
        </w:rPr>
        <w:t>4.7</w:t>
      </w:r>
      <w:r w:rsidRPr="003D5F60">
        <w:rPr>
          <w:rFonts w:ascii="Times New Roman" w:hAnsi="Times New Roman"/>
          <w:i/>
        </w:rPr>
        <w:t>.</w:t>
      </w:r>
      <w:r>
        <w:rPr>
          <w:rFonts w:ascii="Times New Roman" w:hAnsi="Times New Roman"/>
          <w:i/>
        </w:rPr>
        <w:t xml:space="preserve"> </w:t>
      </w:r>
      <w:r w:rsidRPr="003D5F60">
        <w:rPr>
          <w:rFonts w:ascii="Times New Roman" w:hAnsi="Times New Roman"/>
          <w:i/>
        </w:rPr>
        <w:t>tabula. Salīdzinājums ar 2020</w:t>
      </w:r>
      <w:r>
        <w:rPr>
          <w:rFonts w:ascii="Times New Roman" w:hAnsi="Times New Roman"/>
          <w:i/>
        </w:rPr>
        <w:t>.-</w:t>
      </w:r>
      <w:r w:rsidRPr="003D5F60">
        <w:rPr>
          <w:rFonts w:ascii="Times New Roman" w:hAnsi="Times New Roman"/>
          <w:i/>
        </w:rPr>
        <w:t>2023.</w:t>
      </w:r>
      <w:r>
        <w:rPr>
          <w:rFonts w:ascii="Times New Roman" w:hAnsi="Times New Roman"/>
          <w:i/>
        </w:rPr>
        <w:t xml:space="preserve"> </w:t>
      </w:r>
      <w:r w:rsidRPr="003D5F60">
        <w:rPr>
          <w:rFonts w:ascii="Times New Roman" w:hAnsi="Times New Roman"/>
          <w:i/>
        </w:rPr>
        <w:t>gada Stabilitātes programmas prognozēm</w:t>
      </w:r>
    </w:p>
    <w:tbl>
      <w:tblPr>
        <w:tblW w:w="8065"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3119"/>
        <w:gridCol w:w="694"/>
        <w:gridCol w:w="850"/>
        <w:gridCol w:w="851"/>
        <w:gridCol w:w="850"/>
        <w:gridCol w:w="851"/>
        <w:gridCol w:w="850"/>
      </w:tblGrid>
      <w:tr w:rsidR="00BF4753" w:rsidRPr="00AD171E" w:rsidTr="002D7CA8">
        <w:trPr>
          <w:jc w:val="center"/>
        </w:trPr>
        <w:tc>
          <w:tcPr>
            <w:tcW w:w="3119" w:type="dxa"/>
            <w:shd w:val="clear" w:color="auto" w:fill="BDD6EE" w:themeFill="accent1" w:themeFillTint="66"/>
          </w:tcPr>
          <w:p w:rsidR="00BF4753" w:rsidRPr="00AD171E" w:rsidRDefault="00BF4753" w:rsidP="002D7CA8">
            <w:pPr>
              <w:ind w:firstLine="0"/>
              <w:jc w:val="left"/>
              <w:rPr>
                <w:b/>
                <w:bCs/>
                <w:sz w:val="20"/>
                <w:szCs w:val="20"/>
              </w:rPr>
            </w:pPr>
          </w:p>
        </w:tc>
        <w:tc>
          <w:tcPr>
            <w:tcW w:w="694" w:type="dxa"/>
            <w:shd w:val="clear" w:color="auto" w:fill="BDD6EE" w:themeFill="accent1" w:themeFillTint="66"/>
            <w:vAlign w:val="center"/>
          </w:tcPr>
          <w:p w:rsidR="00BF4753" w:rsidRPr="00AD171E" w:rsidRDefault="00BF4753" w:rsidP="002D7CA8">
            <w:pPr>
              <w:ind w:firstLine="0"/>
              <w:jc w:val="center"/>
              <w:rPr>
                <w:b/>
                <w:bCs/>
                <w:sz w:val="20"/>
                <w:szCs w:val="20"/>
              </w:rPr>
            </w:pPr>
            <w:r w:rsidRPr="00AD171E">
              <w:rPr>
                <w:b/>
                <w:bCs/>
                <w:sz w:val="20"/>
                <w:szCs w:val="20"/>
              </w:rPr>
              <w:t>EKS kods</w:t>
            </w:r>
          </w:p>
        </w:tc>
        <w:tc>
          <w:tcPr>
            <w:tcW w:w="850" w:type="dxa"/>
            <w:shd w:val="clear" w:color="auto" w:fill="BDD6EE" w:themeFill="accent1" w:themeFillTint="66"/>
            <w:vAlign w:val="center"/>
          </w:tcPr>
          <w:p w:rsidR="00BF4753" w:rsidRPr="00AD171E" w:rsidRDefault="00BF4753" w:rsidP="002D7CA8">
            <w:pPr>
              <w:ind w:firstLine="0"/>
              <w:jc w:val="center"/>
              <w:rPr>
                <w:b/>
                <w:bCs/>
                <w:sz w:val="20"/>
                <w:szCs w:val="20"/>
              </w:rPr>
            </w:pPr>
            <w:r w:rsidRPr="00AD171E">
              <w:rPr>
                <w:b/>
                <w:bCs/>
                <w:sz w:val="20"/>
                <w:szCs w:val="20"/>
              </w:rPr>
              <w:t>2020</w:t>
            </w:r>
          </w:p>
        </w:tc>
        <w:tc>
          <w:tcPr>
            <w:tcW w:w="851" w:type="dxa"/>
            <w:shd w:val="clear" w:color="auto" w:fill="BDD6EE" w:themeFill="accent1" w:themeFillTint="66"/>
            <w:vAlign w:val="center"/>
          </w:tcPr>
          <w:p w:rsidR="00BF4753" w:rsidRPr="00AD171E" w:rsidRDefault="00BF4753" w:rsidP="002D7CA8">
            <w:pPr>
              <w:ind w:firstLine="0"/>
              <w:jc w:val="center"/>
              <w:rPr>
                <w:b/>
                <w:bCs/>
                <w:sz w:val="20"/>
                <w:szCs w:val="20"/>
              </w:rPr>
            </w:pPr>
            <w:r w:rsidRPr="00AD171E">
              <w:rPr>
                <w:b/>
                <w:bCs/>
                <w:sz w:val="20"/>
                <w:szCs w:val="20"/>
              </w:rPr>
              <w:t>2021</w:t>
            </w:r>
          </w:p>
        </w:tc>
        <w:tc>
          <w:tcPr>
            <w:tcW w:w="850" w:type="dxa"/>
            <w:shd w:val="clear" w:color="auto" w:fill="BDD6EE" w:themeFill="accent1" w:themeFillTint="66"/>
            <w:vAlign w:val="center"/>
          </w:tcPr>
          <w:p w:rsidR="00BF4753" w:rsidRPr="00AD171E" w:rsidRDefault="00BF4753" w:rsidP="002D7CA8">
            <w:pPr>
              <w:ind w:firstLine="0"/>
              <w:jc w:val="center"/>
              <w:rPr>
                <w:b/>
                <w:bCs/>
                <w:sz w:val="20"/>
                <w:szCs w:val="20"/>
              </w:rPr>
            </w:pPr>
            <w:r w:rsidRPr="00AD171E">
              <w:rPr>
                <w:b/>
                <w:bCs/>
                <w:sz w:val="20"/>
                <w:szCs w:val="20"/>
              </w:rPr>
              <w:t>2022</w:t>
            </w:r>
          </w:p>
        </w:tc>
        <w:tc>
          <w:tcPr>
            <w:tcW w:w="851" w:type="dxa"/>
            <w:shd w:val="clear" w:color="auto" w:fill="BDD6EE" w:themeFill="accent1" w:themeFillTint="66"/>
            <w:vAlign w:val="center"/>
          </w:tcPr>
          <w:p w:rsidR="00BF4753" w:rsidRPr="00AD171E" w:rsidRDefault="00BF4753" w:rsidP="002D7CA8">
            <w:pPr>
              <w:ind w:firstLine="0"/>
              <w:jc w:val="center"/>
              <w:rPr>
                <w:b/>
                <w:bCs/>
                <w:sz w:val="20"/>
                <w:szCs w:val="20"/>
              </w:rPr>
            </w:pPr>
            <w:r w:rsidRPr="00AD171E">
              <w:rPr>
                <w:b/>
                <w:bCs/>
                <w:sz w:val="20"/>
                <w:szCs w:val="20"/>
              </w:rPr>
              <w:t>2023</w:t>
            </w:r>
          </w:p>
        </w:tc>
        <w:tc>
          <w:tcPr>
            <w:tcW w:w="850" w:type="dxa"/>
            <w:shd w:val="clear" w:color="auto" w:fill="BDD6EE" w:themeFill="accent1" w:themeFillTint="66"/>
            <w:vAlign w:val="center"/>
          </w:tcPr>
          <w:p w:rsidR="00BF4753" w:rsidRPr="00AD171E" w:rsidRDefault="00BF4753" w:rsidP="002D7CA8">
            <w:pPr>
              <w:ind w:firstLine="0"/>
              <w:jc w:val="center"/>
              <w:rPr>
                <w:b/>
                <w:bCs/>
                <w:sz w:val="20"/>
                <w:szCs w:val="20"/>
              </w:rPr>
            </w:pPr>
            <w:r w:rsidRPr="00AD171E">
              <w:rPr>
                <w:b/>
                <w:bCs/>
                <w:sz w:val="20"/>
                <w:szCs w:val="20"/>
              </w:rPr>
              <w:t>2024</w:t>
            </w:r>
          </w:p>
        </w:tc>
      </w:tr>
      <w:tr w:rsidR="00BF4753" w:rsidRPr="00AD171E" w:rsidTr="002D7CA8">
        <w:trPr>
          <w:jc w:val="center"/>
        </w:trPr>
        <w:tc>
          <w:tcPr>
            <w:tcW w:w="3119" w:type="dxa"/>
            <w:shd w:val="clear" w:color="auto" w:fill="auto"/>
          </w:tcPr>
          <w:p w:rsidR="00BF4753" w:rsidRPr="00AD171E" w:rsidRDefault="00BF4753" w:rsidP="002D7CA8">
            <w:pPr>
              <w:ind w:firstLine="0"/>
              <w:jc w:val="left"/>
              <w:rPr>
                <w:b/>
                <w:bCs/>
                <w:snapToGrid w:val="0"/>
                <w:sz w:val="20"/>
                <w:szCs w:val="20"/>
              </w:rPr>
            </w:pPr>
            <w:r w:rsidRPr="00AD171E">
              <w:rPr>
                <w:bCs/>
                <w:sz w:val="20"/>
                <w:szCs w:val="20"/>
              </w:rPr>
              <w:t>IKP pieaugums (%)</w:t>
            </w:r>
          </w:p>
        </w:tc>
        <w:tc>
          <w:tcPr>
            <w:tcW w:w="694" w:type="dxa"/>
            <w:shd w:val="clear" w:color="auto" w:fill="auto"/>
            <w:vAlign w:val="center"/>
          </w:tcPr>
          <w:p w:rsidR="00BF4753" w:rsidRPr="00AD171E" w:rsidRDefault="00BF4753" w:rsidP="002D7CA8">
            <w:pPr>
              <w:ind w:firstLine="0"/>
              <w:jc w:val="center"/>
              <w:rPr>
                <w:sz w:val="20"/>
                <w:szCs w:val="20"/>
              </w:rPr>
            </w:pPr>
            <w:r w:rsidRPr="00AD171E">
              <w:rPr>
                <w:sz w:val="20"/>
                <w:szCs w:val="20"/>
              </w:rPr>
              <w:t>B1g</w:t>
            </w:r>
          </w:p>
        </w:tc>
        <w:tc>
          <w:tcPr>
            <w:tcW w:w="850" w:type="dxa"/>
            <w:shd w:val="clear" w:color="auto" w:fill="auto"/>
            <w:vAlign w:val="center"/>
          </w:tcPr>
          <w:p w:rsidR="00BF4753" w:rsidRPr="00AD171E" w:rsidRDefault="00BF4753" w:rsidP="002D7CA8">
            <w:pPr>
              <w:ind w:firstLine="0"/>
              <w:jc w:val="left"/>
              <w:rPr>
                <w:sz w:val="20"/>
                <w:szCs w:val="20"/>
              </w:rPr>
            </w:pPr>
          </w:p>
        </w:tc>
        <w:tc>
          <w:tcPr>
            <w:tcW w:w="851" w:type="dxa"/>
            <w:shd w:val="clear" w:color="auto" w:fill="auto"/>
            <w:vAlign w:val="center"/>
          </w:tcPr>
          <w:p w:rsidR="00BF4753" w:rsidRPr="00AD171E" w:rsidRDefault="00BF4753" w:rsidP="002D7CA8">
            <w:pPr>
              <w:ind w:firstLine="0"/>
              <w:jc w:val="left"/>
              <w:rPr>
                <w:sz w:val="20"/>
                <w:szCs w:val="20"/>
              </w:rPr>
            </w:pPr>
          </w:p>
        </w:tc>
        <w:tc>
          <w:tcPr>
            <w:tcW w:w="850" w:type="dxa"/>
            <w:shd w:val="clear" w:color="auto" w:fill="auto"/>
            <w:vAlign w:val="center"/>
          </w:tcPr>
          <w:p w:rsidR="00BF4753" w:rsidRPr="00AD171E" w:rsidRDefault="00BF4753" w:rsidP="002D7CA8">
            <w:pPr>
              <w:ind w:firstLine="0"/>
              <w:jc w:val="left"/>
              <w:rPr>
                <w:rFonts w:eastAsia="Arial Unicode MS"/>
                <w:sz w:val="20"/>
                <w:szCs w:val="20"/>
              </w:rPr>
            </w:pPr>
          </w:p>
        </w:tc>
        <w:tc>
          <w:tcPr>
            <w:tcW w:w="851" w:type="dxa"/>
            <w:shd w:val="clear" w:color="auto" w:fill="auto"/>
            <w:vAlign w:val="center"/>
          </w:tcPr>
          <w:p w:rsidR="00BF4753" w:rsidRPr="00AD171E" w:rsidRDefault="00BF4753" w:rsidP="002D7CA8">
            <w:pPr>
              <w:ind w:firstLine="0"/>
              <w:jc w:val="left"/>
              <w:rPr>
                <w:sz w:val="20"/>
                <w:szCs w:val="20"/>
              </w:rPr>
            </w:pPr>
          </w:p>
        </w:tc>
        <w:tc>
          <w:tcPr>
            <w:tcW w:w="850" w:type="dxa"/>
            <w:shd w:val="clear" w:color="auto" w:fill="auto"/>
            <w:vAlign w:val="center"/>
          </w:tcPr>
          <w:p w:rsidR="00BF4753" w:rsidRPr="00AD171E" w:rsidRDefault="00BF4753" w:rsidP="002D7CA8">
            <w:pPr>
              <w:ind w:firstLine="0"/>
              <w:jc w:val="left"/>
              <w:rPr>
                <w:sz w:val="20"/>
                <w:szCs w:val="20"/>
              </w:rPr>
            </w:pPr>
          </w:p>
        </w:tc>
      </w:tr>
      <w:tr w:rsidR="00BF4753" w:rsidRPr="00AD171E" w:rsidTr="002D7CA8">
        <w:trPr>
          <w:jc w:val="center"/>
        </w:trPr>
        <w:tc>
          <w:tcPr>
            <w:tcW w:w="3119" w:type="dxa"/>
            <w:shd w:val="clear" w:color="auto" w:fill="DEEAF6" w:themeFill="accent1" w:themeFillTint="33"/>
          </w:tcPr>
          <w:p w:rsidR="00BF4753" w:rsidRPr="00AD171E" w:rsidRDefault="00BF4753" w:rsidP="002D7CA8">
            <w:pPr>
              <w:ind w:firstLine="0"/>
              <w:jc w:val="right"/>
              <w:rPr>
                <w:bCs/>
                <w:sz w:val="20"/>
                <w:szCs w:val="20"/>
              </w:rPr>
            </w:pPr>
            <w:r w:rsidRPr="00AD171E">
              <w:rPr>
                <w:bCs/>
                <w:sz w:val="20"/>
                <w:szCs w:val="20"/>
              </w:rPr>
              <w:t>2020.gads</w:t>
            </w:r>
            <w:r w:rsidRPr="00AD171E">
              <w:rPr>
                <w:bCs/>
                <w:sz w:val="20"/>
                <w:szCs w:val="20"/>
              </w:rPr>
              <w:br/>
              <w:t>(Covid-19 ietekmes scenārijs)</w:t>
            </w:r>
          </w:p>
        </w:tc>
        <w:tc>
          <w:tcPr>
            <w:tcW w:w="694" w:type="dxa"/>
            <w:shd w:val="clear" w:color="auto" w:fill="DEEAF6" w:themeFill="accent1" w:themeFillTint="33"/>
            <w:vAlign w:val="center"/>
          </w:tcPr>
          <w:p w:rsidR="00BF4753" w:rsidRPr="00AD171E" w:rsidRDefault="00BF4753" w:rsidP="002D7CA8">
            <w:pPr>
              <w:ind w:firstLine="0"/>
              <w:jc w:val="center"/>
              <w:rPr>
                <w:sz w:val="20"/>
                <w:szCs w:val="20"/>
              </w:rPr>
            </w:pPr>
          </w:p>
        </w:tc>
        <w:tc>
          <w:tcPr>
            <w:tcW w:w="850" w:type="dxa"/>
            <w:shd w:val="clear" w:color="auto" w:fill="DEEAF6" w:themeFill="accent1" w:themeFillTint="33"/>
            <w:vAlign w:val="center"/>
          </w:tcPr>
          <w:p w:rsidR="00BF4753" w:rsidRPr="00AD171E" w:rsidRDefault="00BF4753" w:rsidP="002D7CA8">
            <w:pPr>
              <w:ind w:firstLine="0"/>
              <w:jc w:val="right"/>
              <w:rPr>
                <w:sz w:val="20"/>
                <w:szCs w:val="20"/>
              </w:rPr>
            </w:pPr>
            <w:r w:rsidRPr="00AD171E">
              <w:rPr>
                <w:rFonts w:eastAsia="Calibri"/>
                <w:sz w:val="20"/>
                <w:szCs w:val="20"/>
              </w:rPr>
              <w:t>-7,0</w:t>
            </w:r>
          </w:p>
        </w:tc>
        <w:tc>
          <w:tcPr>
            <w:tcW w:w="851" w:type="dxa"/>
            <w:shd w:val="clear" w:color="auto" w:fill="DEEAF6" w:themeFill="accent1" w:themeFillTint="33"/>
            <w:vAlign w:val="center"/>
          </w:tcPr>
          <w:p w:rsidR="00BF4753" w:rsidRPr="00AD171E" w:rsidRDefault="00BF4753" w:rsidP="002D7CA8">
            <w:pPr>
              <w:ind w:firstLine="0"/>
              <w:jc w:val="right"/>
              <w:rPr>
                <w:sz w:val="20"/>
                <w:szCs w:val="20"/>
              </w:rPr>
            </w:pPr>
            <w:r w:rsidRPr="00AD171E">
              <w:rPr>
                <w:rFonts w:eastAsia="Calibri"/>
                <w:sz w:val="20"/>
                <w:szCs w:val="20"/>
              </w:rPr>
              <w:t>1,0</w:t>
            </w:r>
          </w:p>
        </w:tc>
        <w:tc>
          <w:tcPr>
            <w:tcW w:w="850" w:type="dxa"/>
            <w:shd w:val="clear" w:color="auto" w:fill="DEEAF6" w:themeFill="accent1" w:themeFillTint="33"/>
            <w:vAlign w:val="center"/>
          </w:tcPr>
          <w:p w:rsidR="00BF4753" w:rsidRPr="00AD171E" w:rsidRDefault="00BF4753" w:rsidP="002D7CA8">
            <w:pPr>
              <w:ind w:firstLine="0"/>
              <w:jc w:val="right"/>
              <w:rPr>
                <w:rFonts w:eastAsia="Arial Unicode MS"/>
                <w:sz w:val="20"/>
                <w:szCs w:val="20"/>
              </w:rPr>
            </w:pPr>
            <w:r w:rsidRPr="00AD171E">
              <w:rPr>
                <w:rFonts w:eastAsia="Calibri"/>
                <w:sz w:val="20"/>
                <w:szCs w:val="20"/>
              </w:rPr>
              <w:t>3,5</w:t>
            </w:r>
          </w:p>
        </w:tc>
        <w:tc>
          <w:tcPr>
            <w:tcW w:w="851" w:type="dxa"/>
            <w:shd w:val="clear" w:color="auto" w:fill="DEEAF6" w:themeFill="accent1" w:themeFillTint="33"/>
            <w:vAlign w:val="center"/>
          </w:tcPr>
          <w:p w:rsidR="00BF4753" w:rsidRPr="00AD171E" w:rsidRDefault="00BF4753" w:rsidP="002D7CA8">
            <w:pPr>
              <w:ind w:firstLine="0"/>
              <w:jc w:val="right"/>
              <w:rPr>
                <w:sz w:val="20"/>
                <w:szCs w:val="20"/>
              </w:rPr>
            </w:pPr>
            <w:r w:rsidRPr="00AD171E">
              <w:rPr>
                <w:rFonts w:eastAsia="Calibri"/>
                <w:sz w:val="20"/>
                <w:szCs w:val="20"/>
              </w:rPr>
              <w:t>2,4</w:t>
            </w:r>
          </w:p>
        </w:tc>
        <w:tc>
          <w:tcPr>
            <w:tcW w:w="850" w:type="dxa"/>
            <w:shd w:val="clear" w:color="auto" w:fill="DEEAF6" w:themeFill="accent1" w:themeFillTint="33"/>
            <w:vAlign w:val="center"/>
          </w:tcPr>
          <w:p w:rsidR="00BF4753" w:rsidRPr="00AD171E" w:rsidRDefault="00BF4753" w:rsidP="002D7CA8">
            <w:pPr>
              <w:ind w:firstLine="0"/>
              <w:jc w:val="right"/>
              <w:rPr>
                <w:sz w:val="20"/>
                <w:szCs w:val="20"/>
              </w:rPr>
            </w:pPr>
            <w:r w:rsidRPr="00AD171E">
              <w:rPr>
                <w:rFonts w:eastAsia="Calibri"/>
                <w:sz w:val="20"/>
                <w:szCs w:val="20"/>
              </w:rPr>
              <w:t>-</w:t>
            </w:r>
          </w:p>
        </w:tc>
      </w:tr>
      <w:tr w:rsidR="00BF4753" w:rsidRPr="00AD171E" w:rsidTr="002D7CA8">
        <w:trPr>
          <w:jc w:val="center"/>
        </w:trPr>
        <w:tc>
          <w:tcPr>
            <w:tcW w:w="3119" w:type="dxa"/>
            <w:shd w:val="clear" w:color="auto" w:fill="auto"/>
          </w:tcPr>
          <w:p w:rsidR="00BF4753" w:rsidRPr="00AD171E" w:rsidRDefault="00BF4753" w:rsidP="002D7CA8">
            <w:pPr>
              <w:ind w:firstLine="0"/>
              <w:jc w:val="right"/>
              <w:rPr>
                <w:bCs/>
                <w:sz w:val="20"/>
                <w:szCs w:val="20"/>
              </w:rPr>
            </w:pPr>
            <w:r w:rsidRPr="00AD171E">
              <w:rPr>
                <w:bCs/>
                <w:sz w:val="20"/>
                <w:szCs w:val="20"/>
              </w:rPr>
              <w:t xml:space="preserve">2021.gads </w:t>
            </w:r>
          </w:p>
        </w:tc>
        <w:tc>
          <w:tcPr>
            <w:tcW w:w="694" w:type="dxa"/>
            <w:shd w:val="clear" w:color="auto" w:fill="auto"/>
            <w:vAlign w:val="center"/>
          </w:tcPr>
          <w:p w:rsidR="00BF4753" w:rsidRPr="00AD171E" w:rsidRDefault="00BF4753" w:rsidP="002D7CA8">
            <w:pPr>
              <w:ind w:firstLine="0"/>
              <w:jc w:val="center"/>
              <w:rPr>
                <w:sz w:val="20"/>
                <w:szCs w:val="20"/>
              </w:rPr>
            </w:pPr>
          </w:p>
        </w:tc>
        <w:tc>
          <w:tcPr>
            <w:tcW w:w="850" w:type="dxa"/>
            <w:shd w:val="clear" w:color="auto" w:fill="auto"/>
            <w:vAlign w:val="center"/>
          </w:tcPr>
          <w:p w:rsidR="00BF4753" w:rsidRPr="00AD171E" w:rsidRDefault="00BF4753" w:rsidP="002D7CA8">
            <w:pPr>
              <w:ind w:firstLine="0"/>
              <w:jc w:val="right"/>
              <w:rPr>
                <w:rFonts w:eastAsia="Calibri"/>
                <w:sz w:val="20"/>
                <w:szCs w:val="20"/>
              </w:rPr>
            </w:pPr>
            <w:r w:rsidRPr="00AD171E">
              <w:rPr>
                <w:rFonts w:eastAsia="Calibri"/>
                <w:sz w:val="20"/>
                <w:szCs w:val="20"/>
              </w:rPr>
              <w:t>-3,6</w:t>
            </w:r>
          </w:p>
        </w:tc>
        <w:tc>
          <w:tcPr>
            <w:tcW w:w="851" w:type="dxa"/>
            <w:shd w:val="clear" w:color="auto" w:fill="auto"/>
            <w:vAlign w:val="center"/>
          </w:tcPr>
          <w:p w:rsidR="00BF4753" w:rsidRPr="00AD171E" w:rsidRDefault="00BF4753" w:rsidP="002D7CA8">
            <w:pPr>
              <w:ind w:firstLine="0"/>
              <w:jc w:val="right"/>
              <w:rPr>
                <w:rFonts w:eastAsia="Calibri"/>
                <w:sz w:val="20"/>
                <w:szCs w:val="20"/>
              </w:rPr>
            </w:pPr>
            <w:r w:rsidRPr="00AD171E">
              <w:rPr>
                <w:rFonts w:eastAsia="Calibri"/>
                <w:sz w:val="20"/>
                <w:szCs w:val="20"/>
              </w:rPr>
              <w:t>3,0</w:t>
            </w:r>
          </w:p>
        </w:tc>
        <w:tc>
          <w:tcPr>
            <w:tcW w:w="850" w:type="dxa"/>
            <w:shd w:val="clear" w:color="auto" w:fill="auto"/>
            <w:vAlign w:val="center"/>
          </w:tcPr>
          <w:p w:rsidR="00BF4753" w:rsidRPr="00AD171E" w:rsidRDefault="00BF4753" w:rsidP="002D7CA8">
            <w:pPr>
              <w:ind w:firstLine="0"/>
              <w:jc w:val="right"/>
              <w:rPr>
                <w:rFonts w:eastAsia="Calibri"/>
                <w:sz w:val="20"/>
                <w:szCs w:val="20"/>
              </w:rPr>
            </w:pPr>
            <w:r w:rsidRPr="00AD171E">
              <w:rPr>
                <w:rFonts w:eastAsia="Calibri"/>
                <w:sz w:val="20"/>
                <w:szCs w:val="20"/>
              </w:rPr>
              <w:t>4,5</w:t>
            </w:r>
          </w:p>
        </w:tc>
        <w:tc>
          <w:tcPr>
            <w:tcW w:w="851" w:type="dxa"/>
            <w:shd w:val="clear" w:color="auto" w:fill="auto"/>
            <w:vAlign w:val="center"/>
          </w:tcPr>
          <w:p w:rsidR="00BF4753" w:rsidRPr="00AD171E" w:rsidRDefault="00BF4753" w:rsidP="002D7CA8">
            <w:pPr>
              <w:ind w:firstLine="0"/>
              <w:jc w:val="right"/>
              <w:rPr>
                <w:rFonts w:eastAsia="Calibri"/>
                <w:sz w:val="20"/>
                <w:szCs w:val="20"/>
              </w:rPr>
            </w:pPr>
            <w:r w:rsidRPr="00AD171E">
              <w:rPr>
                <w:rFonts w:eastAsia="Calibri"/>
                <w:sz w:val="20"/>
                <w:szCs w:val="20"/>
              </w:rPr>
              <w:t>3,2</w:t>
            </w:r>
          </w:p>
        </w:tc>
        <w:tc>
          <w:tcPr>
            <w:tcW w:w="850" w:type="dxa"/>
            <w:shd w:val="clear" w:color="auto" w:fill="auto"/>
            <w:vAlign w:val="center"/>
          </w:tcPr>
          <w:p w:rsidR="00BF4753" w:rsidRPr="00AD171E" w:rsidRDefault="00BF4753" w:rsidP="002D7CA8">
            <w:pPr>
              <w:ind w:firstLine="0"/>
              <w:jc w:val="right"/>
              <w:rPr>
                <w:rFonts w:eastAsia="Calibri"/>
                <w:sz w:val="20"/>
                <w:szCs w:val="20"/>
              </w:rPr>
            </w:pPr>
            <w:r w:rsidRPr="00AD171E">
              <w:rPr>
                <w:rFonts w:eastAsia="Calibri"/>
                <w:sz w:val="20"/>
                <w:szCs w:val="20"/>
              </w:rPr>
              <w:t>2,8</w:t>
            </w:r>
          </w:p>
        </w:tc>
      </w:tr>
      <w:tr w:rsidR="00BF4753" w:rsidRPr="00AD171E" w:rsidTr="002D7CA8">
        <w:trPr>
          <w:jc w:val="center"/>
        </w:trPr>
        <w:tc>
          <w:tcPr>
            <w:tcW w:w="3119" w:type="dxa"/>
            <w:shd w:val="clear" w:color="auto" w:fill="DEEAF6" w:themeFill="accent1" w:themeFillTint="33"/>
          </w:tcPr>
          <w:p w:rsidR="00BF4753" w:rsidRPr="00AD171E" w:rsidRDefault="00BF4753" w:rsidP="002D7CA8">
            <w:pPr>
              <w:ind w:firstLine="0"/>
              <w:jc w:val="right"/>
              <w:rPr>
                <w:bCs/>
                <w:sz w:val="20"/>
                <w:szCs w:val="20"/>
              </w:rPr>
            </w:pPr>
            <w:r w:rsidRPr="00AD171E">
              <w:rPr>
                <w:bCs/>
                <w:snapToGrid w:val="0"/>
                <w:sz w:val="20"/>
                <w:szCs w:val="20"/>
              </w:rPr>
              <w:t>Izmaiņas</w:t>
            </w:r>
          </w:p>
        </w:tc>
        <w:tc>
          <w:tcPr>
            <w:tcW w:w="694" w:type="dxa"/>
            <w:shd w:val="clear" w:color="auto" w:fill="DEEAF6" w:themeFill="accent1" w:themeFillTint="33"/>
            <w:vAlign w:val="center"/>
          </w:tcPr>
          <w:p w:rsidR="00BF4753" w:rsidRPr="00AD171E" w:rsidRDefault="00BF4753" w:rsidP="002D7CA8">
            <w:pPr>
              <w:ind w:firstLine="0"/>
              <w:jc w:val="center"/>
              <w:rPr>
                <w:sz w:val="20"/>
                <w:szCs w:val="20"/>
              </w:rPr>
            </w:pPr>
          </w:p>
        </w:tc>
        <w:tc>
          <w:tcPr>
            <w:tcW w:w="850" w:type="dxa"/>
            <w:shd w:val="clear" w:color="auto" w:fill="DEEAF6" w:themeFill="accent1" w:themeFillTint="33"/>
            <w:vAlign w:val="bottom"/>
          </w:tcPr>
          <w:p w:rsidR="00BF4753" w:rsidRPr="00AD171E" w:rsidRDefault="00BF4753" w:rsidP="002D7CA8">
            <w:pPr>
              <w:ind w:firstLine="0"/>
              <w:jc w:val="right"/>
              <w:rPr>
                <w:rFonts w:eastAsia="Calibri"/>
                <w:sz w:val="20"/>
                <w:szCs w:val="20"/>
              </w:rPr>
            </w:pPr>
            <w:r w:rsidRPr="00AD171E">
              <w:rPr>
                <w:rFonts w:eastAsia="Calibri"/>
                <w:sz w:val="20"/>
                <w:szCs w:val="20"/>
              </w:rPr>
              <w:t>3,4</w:t>
            </w:r>
          </w:p>
        </w:tc>
        <w:tc>
          <w:tcPr>
            <w:tcW w:w="851" w:type="dxa"/>
            <w:shd w:val="clear" w:color="auto" w:fill="DEEAF6" w:themeFill="accent1" w:themeFillTint="33"/>
            <w:vAlign w:val="bottom"/>
          </w:tcPr>
          <w:p w:rsidR="00BF4753" w:rsidRPr="00AD171E" w:rsidRDefault="00BF4753" w:rsidP="002D7CA8">
            <w:pPr>
              <w:ind w:firstLine="0"/>
              <w:jc w:val="right"/>
              <w:rPr>
                <w:rFonts w:eastAsia="Calibri"/>
                <w:sz w:val="20"/>
                <w:szCs w:val="20"/>
              </w:rPr>
            </w:pPr>
            <w:r w:rsidRPr="00AD171E">
              <w:rPr>
                <w:rFonts w:eastAsia="Calibri"/>
                <w:sz w:val="20"/>
                <w:szCs w:val="20"/>
              </w:rPr>
              <w:t>2,0</w:t>
            </w:r>
          </w:p>
        </w:tc>
        <w:tc>
          <w:tcPr>
            <w:tcW w:w="850" w:type="dxa"/>
            <w:shd w:val="clear" w:color="auto" w:fill="DEEAF6" w:themeFill="accent1" w:themeFillTint="33"/>
            <w:vAlign w:val="bottom"/>
          </w:tcPr>
          <w:p w:rsidR="00BF4753" w:rsidRPr="00AD171E" w:rsidRDefault="00BF4753" w:rsidP="002D7CA8">
            <w:pPr>
              <w:ind w:firstLine="0"/>
              <w:jc w:val="right"/>
              <w:rPr>
                <w:rFonts w:eastAsia="Calibri"/>
                <w:sz w:val="20"/>
                <w:szCs w:val="20"/>
              </w:rPr>
            </w:pPr>
            <w:r w:rsidRPr="00AD171E">
              <w:rPr>
                <w:rFonts w:eastAsia="Calibri"/>
                <w:sz w:val="20"/>
                <w:szCs w:val="20"/>
              </w:rPr>
              <w:t>1,0</w:t>
            </w:r>
          </w:p>
        </w:tc>
        <w:tc>
          <w:tcPr>
            <w:tcW w:w="851" w:type="dxa"/>
            <w:shd w:val="clear" w:color="auto" w:fill="DEEAF6" w:themeFill="accent1" w:themeFillTint="33"/>
            <w:vAlign w:val="bottom"/>
          </w:tcPr>
          <w:p w:rsidR="00BF4753" w:rsidRPr="00AD171E" w:rsidRDefault="00BF4753" w:rsidP="002D7CA8">
            <w:pPr>
              <w:ind w:firstLine="0"/>
              <w:jc w:val="right"/>
              <w:rPr>
                <w:rFonts w:eastAsia="Calibri"/>
                <w:sz w:val="20"/>
                <w:szCs w:val="20"/>
              </w:rPr>
            </w:pPr>
            <w:r w:rsidRPr="00AD171E">
              <w:rPr>
                <w:rFonts w:eastAsia="Calibri"/>
                <w:sz w:val="20"/>
                <w:szCs w:val="20"/>
              </w:rPr>
              <w:t>0,8</w:t>
            </w:r>
          </w:p>
        </w:tc>
        <w:tc>
          <w:tcPr>
            <w:tcW w:w="850" w:type="dxa"/>
            <w:shd w:val="clear" w:color="auto" w:fill="DEEAF6" w:themeFill="accent1" w:themeFillTint="33"/>
            <w:vAlign w:val="bottom"/>
          </w:tcPr>
          <w:p w:rsidR="00BF4753" w:rsidRPr="00AD171E" w:rsidRDefault="00BF4753" w:rsidP="002D7CA8">
            <w:pPr>
              <w:ind w:firstLine="0"/>
              <w:jc w:val="right"/>
              <w:rPr>
                <w:rFonts w:eastAsia="Calibri"/>
                <w:sz w:val="20"/>
                <w:szCs w:val="20"/>
              </w:rPr>
            </w:pPr>
            <w:r w:rsidRPr="00AD171E">
              <w:rPr>
                <w:rFonts w:eastAsia="Calibri"/>
                <w:sz w:val="20"/>
                <w:szCs w:val="20"/>
              </w:rPr>
              <w:t>-</w:t>
            </w:r>
          </w:p>
        </w:tc>
      </w:tr>
      <w:tr w:rsidR="00BF4753" w:rsidRPr="00AD171E" w:rsidTr="002D7CA8">
        <w:trPr>
          <w:jc w:val="center"/>
        </w:trPr>
        <w:tc>
          <w:tcPr>
            <w:tcW w:w="3119" w:type="dxa"/>
            <w:shd w:val="clear" w:color="auto" w:fill="auto"/>
          </w:tcPr>
          <w:p w:rsidR="00BF4753" w:rsidRPr="00AD171E" w:rsidRDefault="00BF4753" w:rsidP="002D7CA8">
            <w:pPr>
              <w:ind w:firstLine="0"/>
              <w:rPr>
                <w:bCs/>
                <w:sz w:val="20"/>
                <w:szCs w:val="20"/>
              </w:rPr>
            </w:pPr>
            <w:r w:rsidRPr="00AD171E">
              <w:rPr>
                <w:bCs/>
                <w:sz w:val="20"/>
                <w:szCs w:val="20"/>
              </w:rPr>
              <w:t>Faktiskā budžeta bilance</w:t>
            </w:r>
          </w:p>
          <w:p w:rsidR="00BF4753" w:rsidRPr="00AD171E" w:rsidRDefault="00BF4753" w:rsidP="002D7CA8">
            <w:pPr>
              <w:ind w:firstLine="0"/>
              <w:jc w:val="left"/>
              <w:rPr>
                <w:bCs/>
                <w:snapToGrid w:val="0"/>
                <w:sz w:val="20"/>
                <w:szCs w:val="20"/>
              </w:rPr>
            </w:pPr>
            <w:r w:rsidRPr="00AD171E">
              <w:rPr>
                <w:bCs/>
                <w:sz w:val="20"/>
                <w:szCs w:val="20"/>
              </w:rPr>
              <w:t>(% no IKP)</w:t>
            </w:r>
          </w:p>
        </w:tc>
        <w:tc>
          <w:tcPr>
            <w:tcW w:w="694" w:type="dxa"/>
            <w:shd w:val="clear" w:color="auto" w:fill="auto"/>
            <w:vAlign w:val="center"/>
          </w:tcPr>
          <w:p w:rsidR="00BF4753" w:rsidRPr="00AD171E" w:rsidRDefault="00BF4753" w:rsidP="002D7CA8">
            <w:pPr>
              <w:ind w:firstLine="0"/>
              <w:jc w:val="center"/>
              <w:rPr>
                <w:sz w:val="20"/>
                <w:szCs w:val="20"/>
              </w:rPr>
            </w:pPr>
            <w:r w:rsidRPr="00AD171E">
              <w:rPr>
                <w:sz w:val="20"/>
                <w:szCs w:val="20"/>
              </w:rPr>
              <w:t>B.9</w:t>
            </w:r>
          </w:p>
        </w:tc>
        <w:tc>
          <w:tcPr>
            <w:tcW w:w="850" w:type="dxa"/>
            <w:shd w:val="clear" w:color="auto" w:fill="auto"/>
            <w:vAlign w:val="center"/>
          </w:tcPr>
          <w:p w:rsidR="00BF4753" w:rsidRPr="00AD171E" w:rsidRDefault="00BF4753" w:rsidP="002D7CA8">
            <w:pPr>
              <w:ind w:firstLine="0"/>
              <w:jc w:val="right"/>
              <w:rPr>
                <w:rFonts w:eastAsia="Calibri"/>
                <w:sz w:val="20"/>
                <w:szCs w:val="20"/>
              </w:rPr>
            </w:pPr>
          </w:p>
        </w:tc>
        <w:tc>
          <w:tcPr>
            <w:tcW w:w="851" w:type="dxa"/>
            <w:shd w:val="clear" w:color="auto" w:fill="auto"/>
            <w:vAlign w:val="center"/>
          </w:tcPr>
          <w:p w:rsidR="00BF4753" w:rsidRPr="00AD171E" w:rsidRDefault="00BF4753" w:rsidP="002D7CA8">
            <w:pPr>
              <w:ind w:firstLine="0"/>
              <w:jc w:val="right"/>
              <w:rPr>
                <w:rFonts w:eastAsia="Calibri"/>
                <w:sz w:val="20"/>
                <w:szCs w:val="20"/>
              </w:rPr>
            </w:pPr>
          </w:p>
        </w:tc>
        <w:tc>
          <w:tcPr>
            <w:tcW w:w="850" w:type="dxa"/>
            <w:shd w:val="clear" w:color="auto" w:fill="auto"/>
            <w:vAlign w:val="center"/>
          </w:tcPr>
          <w:p w:rsidR="00BF4753" w:rsidRPr="00AD171E" w:rsidRDefault="00BF4753" w:rsidP="002D7CA8">
            <w:pPr>
              <w:ind w:firstLine="0"/>
              <w:jc w:val="right"/>
              <w:rPr>
                <w:rFonts w:eastAsia="Calibri"/>
                <w:sz w:val="20"/>
                <w:szCs w:val="20"/>
              </w:rPr>
            </w:pPr>
          </w:p>
        </w:tc>
        <w:tc>
          <w:tcPr>
            <w:tcW w:w="851" w:type="dxa"/>
            <w:shd w:val="clear" w:color="auto" w:fill="auto"/>
            <w:vAlign w:val="center"/>
          </w:tcPr>
          <w:p w:rsidR="00BF4753" w:rsidRPr="00AD171E" w:rsidRDefault="00BF4753" w:rsidP="002D7CA8">
            <w:pPr>
              <w:ind w:firstLine="0"/>
              <w:jc w:val="right"/>
              <w:rPr>
                <w:rFonts w:eastAsia="Calibri"/>
                <w:sz w:val="20"/>
                <w:szCs w:val="20"/>
              </w:rPr>
            </w:pPr>
          </w:p>
        </w:tc>
        <w:tc>
          <w:tcPr>
            <w:tcW w:w="850" w:type="dxa"/>
            <w:shd w:val="clear" w:color="auto" w:fill="auto"/>
            <w:vAlign w:val="center"/>
          </w:tcPr>
          <w:p w:rsidR="00BF4753" w:rsidRPr="00AD171E" w:rsidRDefault="00BF4753" w:rsidP="002D7CA8">
            <w:pPr>
              <w:ind w:firstLine="0"/>
              <w:jc w:val="right"/>
              <w:rPr>
                <w:rFonts w:eastAsia="Calibri"/>
                <w:sz w:val="20"/>
                <w:szCs w:val="20"/>
              </w:rPr>
            </w:pPr>
          </w:p>
        </w:tc>
      </w:tr>
      <w:tr w:rsidR="00BF4753" w:rsidRPr="00AD171E" w:rsidTr="002D7CA8">
        <w:trPr>
          <w:jc w:val="center"/>
        </w:trPr>
        <w:tc>
          <w:tcPr>
            <w:tcW w:w="3119" w:type="dxa"/>
            <w:shd w:val="clear" w:color="auto" w:fill="DEEAF6" w:themeFill="accent1" w:themeFillTint="33"/>
          </w:tcPr>
          <w:p w:rsidR="00BF4753" w:rsidRPr="00AD171E" w:rsidRDefault="00BF4753" w:rsidP="002D7CA8">
            <w:pPr>
              <w:ind w:firstLine="0"/>
              <w:jc w:val="right"/>
              <w:rPr>
                <w:b/>
                <w:bCs/>
                <w:snapToGrid w:val="0"/>
                <w:sz w:val="20"/>
                <w:szCs w:val="20"/>
              </w:rPr>
            </w:pPr>
            <w:r w:rsidRPr="00AD171E">
              <w:rPr>
                <w:bCs/>
                <w:sz w:val="20"/>
                <w:szCs w:val="20"/>
              </w:rPr>
              <w:t>2020.gads</w:t>
            </w:r>
            <w:r w:rsidRPr="00AD171E">
              <w:rPr>
                <w:bCs/>
                <w:sz w:val="20"/>
                <w:szCs w:val="20"/>
              </w:rPr>
              <w:br/>
              <w:t>(Covid-19 ietekmes scenārijs)</w:t>
            </w:r>
          </w:p>
        </w:tc>
        <w:tc>
          <w:tcPr>
            <w:tcW w:w="694" w:type="dxa"/>
            <w:shd w:val="clear" w:color="auto" w:fill="DEEAF6" w:themeFill="accent1" w:themeFillTint="33"/>
            <w:vAlign w:val="center"/>
          </w:tcPr>
          <w:p w:rsidR="00BF4753" w:rsidRPr="00AD171E" w:rsidRDefault="00BF4753" w:rsidP="002D7CA8">
            <w:pPr>
              <w:ind w:firstLine="0"/>
              <w:jc w:val="center"/>
              <w:rPr>
                <w:sz w:val="20"/>
                <w:szCs w:val="20"/>
              </w:rPr>
            </w:pPr>
          </w:p>
        </w:tc>
        <w:tc>
          <w:tcPr>
            <w:tcW w:w="850" w:type="dxa"/>
            <w:shd w:val="clear" w:color="auto" w:fill="DEEAF6" w:themeFill="accent1" w:themeFillTint="33"/>
            <w:vAlign w:val="bottom"/>
          </w:tcPr>
          <w:p w:rsidR="00BF4753" w:rsidRPr="00AD171E" w:rsidRDefault="00BF4753" w:rsidP="002D7CA8">
            <w:pPr>
              <w:tabs>
                <w:tab w:val="decimal" w:pos="330"/>
              </w:tabs>
              <w:ind w:firstLine="0"/>
              <w:jc w:val="right"/>
              <w:rPr>
                <w:sz w:val="20"/>
                <w:szCs w:val="20"/>
              </w:rPr>
            </w:pPr>
            <w:r w:rsidRPr="00AD171E">
              <w:rPr>
                <w:rFonts w:eastAsia="Calibri"/>
                <w:sz w:val="20"/>
                <w:szCs w:val="20"/>
              </w:rPr>
              <w:t>-9,4</w:t>
            </w:r>
          </w:p>
        </w:tc>
        <w:tc>
          <w:tcPr>
            <w:tcW w:w="851" w:type="dxa"/>
            <w:shd w:val="clear" w:color="auto" w:fill="DEEAF6" w:themeFill="accent1" w:themeFillTint="33"/>
            <w:vAlign w:val="bottom"/>
          </w:tcPr>
          <w:p w:rsidR="00BF4753" w:rsidRPr="00AD171E" w:rsidRDefault="00BF4753" w:rsidP="002D7CA8">
            <w:pPr>
              <w:tabs>
                <w:tab w:val="decimal" w:pos="330"/>
              </w:tabs>
              <w:ind w:firstLine="0"/>
              <w:jc w:val="right"/>
              <w:rPr>
                <w:sz w:val="20"/>
                <w:szCs w:val="20"/>
              </w:rPr>
            </w:pPr>
            <w:r w:rsidRPr="00AD171E">
              <w:rPr>
                <w:rFonts w:eastAsia="Calibri"/>
                <w:sz w:val="20"/>
                <w:szCs w:val="20"/>
              </w:rPr>
              <w:t>-5,0</w:t>
            </w:r>
          </w:p>
        </w:tc>
        <w:tc>
          <w:tcPr>
            <w:tcW w:w="850" w:type="dxa"/>
            <w:shd w:val="clear" w:color="auto" w:fill="DEEAF6" w:themeFill="accent1" w:themeFillTint="33"/>
            <w:vAlign w:val="bottom"/>
          </w:tcPr>
          <w:p w:rsidR="00BF4753" w:rsidRPr="00AD171E" w:rsidRDefault="00BF4753" w:rsidP="002D7CA8">
            <w:pPr>
              <w:tabs>
                <w:tab w:val="decimal" w:pos="330"/>
              </w:tabs>
              <w:ind w:firstLine="0"/>
              <w:jc w:val="right"/>
              <w:rPr>
                <w:sz w:val="20"/>
                <w:szCs w:val="20"/>
              </w:rPr>
            </w:pPr>
            <w:r w:rsidRPr="00AD171E">
              <w:rPr>
                <w:rFonts w:eastAsia="Calibri"/>
                <w:sz w:val="20"/>
                <w:szCs w:val="20"/>
              </w:rPr>
              <w:t>-3,9</w:t>
            </w:r>
          </w:p>
        </w:tc>
        <w:tc>
          <w:tcPr>
            <w:tcW w:w="851" w:type="dxa"/>
            <w:shd w:val="clear" w:color="auto" w:fill="DEEAF6" w:themeFill="accent1" w:themeFillTint="33"/>
            <w:vAlign w:val="bottom"/>
          </w:tcPr>
          <w:p w:rsidR="00BF4753" w:rsidRPr="00AD171E" w:rsidRDefault="00BF4753" w:rsidP="002D7CA8">
            <w:pPr>
              <w:tabs>
                <w:tab w:val="decimal" w:pos="330"/>
              </w:tabs>
              <w:ind w:firstLine="0"/>
              <w:jc w:val="right"/>
              <w:rPr>
                <w:rFonts w:eastAsia="Arial Unicode MS"/>
                <w:sz w:val="20"/>
                <w:szCs w:val="20"/>
              </w:rPr>
            </w:pPr>
            <w:r w:rsidRPr="00AD171E">
              <w:rPr>
                <w:rFonts w:eastAsia="Calibri"/>
                <w:sz w:val="20"/>
                <w:szCs w:val="20"/>
              </w:rPr>
              <w:t>-2,7</w:t>
            </w:r>
          </w:p>
        </w:tc>
        <w:tc>
          <w:tcPr>
            <w:tcW w:w="850" w:type="dxa"/>
            <w:shd w:val="clear" w:color="auto" w:fill="DEEAF6" w:themeFill="accent1" w:themeFillTint="33"/>
            <w:vAlign w:val="bottom"/>
          </w:tcPr>
          <w:p w:rsidR="00BF4753" w:rsidRPr="00AD171E" w:rsidRDefault="00BF4753" w:rsidP="002D7CA8">
            <w:pPr>
              <w:tabs>
                <w:tab w:val="decimal" w:pos="330"/>
              </w:tabs>
              <w:ind w:firstLine="0"/>
              <w:jc w:val="right"/>
              <w:rPr>
                <w:sz w:val="20"/>
                <w:szCs w:val="20"/>
              </w:rPr>
            </w:pPr>
            <w:r w:rsidRPr="00AD171E">
              <w:rPr>
                <w:rFonts w:eastAsia="Calibri"/>
                <w:sz w:val="20"/>
                <w:szCs w:val="20"/>
              </w:rPr>
              <w:t xml:space="preserve"> -</w:t>
            </w:r>
          </w:p>
        </w:tc>
      </w:tr>
      <w:tr w:rsidR="00BF4753" w:rsidRPr="00AD171E" w:rsidTr="002D7CA8">
        <w:trPr>
          <w:jc w:val="center"/>
        </w:trPr>
        <w:tc>
          <w:tcPr>
            <w:tcW w:w="3119" w:type="dxa"/>
            <w:shd w:val="clear" w:color="auto" w:fill="auto"/>
          </w:tcPr>
          <w:p w:rsidR="00BF4753" w:rsidRPr="00AD171E" w:rsidRDefault="00BF4753" w:rsidP="002D7CA8">
            <w:pPr>
              <w:ind w:firstLine="0"/>
              <w:jc w:val="right"/>
              <w:rPr>
                <w:bCs/>
                <w:sz w:val="20"/>
                <w:szCs w:val="20"/>
              </w:rPr>
            </w:pPr>
            <w:r w:rsidRPr="00AD171E">
              <w:rPr>
                <w:bCs/>
                <w:sz w:val="20"/>
                <w:szCs w:val="20"/>
              </w:rPr>
              <w:t xml:space="preserve">2021.gads </w:t>
            </w:r>
          </w:p>
        </w:tc>
        <w:tc>
          <w:tcPr>
            <w:tcW w:w="694" w:type="dxa"/>
            <w:shd w:val="clear" w:color="auto" w:fill="auto"/>
            <w:vAlign w:val="center"/>
          </w:tcPr>
          <w:p w:rsidR="00BF4753" w:rsidRPr="00AD171E" w:rsidRDefault="00BF4753" w:rsidP="002D7CA8">
            <w:pPr>
              <w:ind w:firstLine="0"/>
              <w:jc w:val="center"/>
              <w:rPr>
                <w:sz w:val="20"/>
                <w:szCs w:val="20"/>
              </w:rPr>
            </w:pPr>
          </w:p>
        </w:tc>
        <w:tc>
          <w:tcPr>
            <w:tcW w:w="850" w:type="dxa"/>
            <w:shd w:val="clear" w:color="auto" w:fill="auto"/>
            <w:vAlign w:val="bottom"/>
          </w:tcPr>
          <w:p w:rsidR="00BF4753" w:rsidRPr="00AD171E" w:rsidRDefault="00BF4753" w:rsidP="002D7CA8">
            <w:pPr>
              <w:tabs>
                <w:tab w:val="decimal" w:pos="330"/>
              </w:tabs>
              <w:ind w:firstLine="0"/>
              <w:jc w:val="right"/>
              <w:rPr>
                <w:sz w:val="20"/>
                <w:szCs w:val="20"/>
              </w:rPr>
            </w:pPr>
            <w:r w:rsidRPr="00AD171E">
              <w:rPr>
                <w:rFonts w:eastAsia="Calibri"/>
                <w:sz w:val="20"/>
                <w:szCs w:val="20"/>
              </w:rPr>
              <w:t>-5,4</w:t>
            </w:r>
          </w:p>
        </w:tc>
        <w:tc>
          <w:tcPr>
            <w:tcW w:w="851" w:type="dxa"/>
            <w:shd w:val="clear" w:color="auto" w:fill="auto"/>
            <w:vAlign w:val="bottom"/>
          </w:tcPr>
          <w:p w:rsidR="00BF4753" w:rsidRPr="00AD171E" w:rsidRDefault="00BF4753" w:rsidP="002D7CA8">
            <w:pPr>
              <w:tabs>
                <w:tab w:val="decimal" w:pos="330"/>
              </w:tabs>
              <w:ind w:firstLine="0"/>
              <w:jc w:val="right"/>
              <w:rPr>
                <w:sz w:val="20"/>
                <w:szCs w:val="20"/>
              </w:rPr>
            </w:pPr>
            <w:r w:rsidRPr="00AD171E">
              <w:rPr>
                <w:rFonts w:eastAsia="Calibri"/>
                <w:sz w:val="20"/>
                <w:szCs w:val="20"/>
              </w:rPr>
              <w:t>-9,3</w:t>
            </w:r>
          </w:p>
        </w:tc>
        <w:tc>
          <w:tcPr>
            <w:tcW w:w="850" w:type="dxa"/>
            <w:shd w:val="clear" w:color="auto" w:fill="auto"/>
            <w:vAlign w:val="bottom"/>
          </w:tcPr>
          <w:p w:rsidR="00BF4753" w:rsidRPr="00AD171E" w:rsidRDefault="00BF4753" w:rsidP="002D7CA8">
            <w:pPr>
              <w:tabs>
                <w:tab w:val="decimal" w:pos="330"/>
              </w:tabs>
              <w:ind w:firstLine="0"/>
              <w:jc w:val="right"/>
              <w:rPr>
                <w:sz w:val="20"/>
                <w:szCs w:val="20"/>
              </w:rPr>
            </w:pPr>
            <w:r w:rsidRPr="00AD171E">
              <w:rPr>
                <w:rFonts w:eastAsia="Calibri"/>
                <w:sz w:val="20"/>
                <w:szCs w:val="20"/>
              </w:rPr>
              <w:t>-2,7</w:t>
            </w:r>
          </w:p>
        </w:tc>
        <w:tc>
          <w:tcPr>
            <w:tcW w:w="851" w:type="dxa"/>
            <w:shd w:val="clear" w:color="auto" w:fill="auto"/>
            <w:vAlign w:val="bottom"/>
          </w:tcPr>
          <w:p w:rsidR="00BF4753" w:rsidRPr="00AD171E" w:rsidRDefault="00BF4753" w:rsidP="002D7CA8">
            <w:pPr>
              <w:tabs>
                <w:tab w:val="decimal" w:pos="330"/>
              </w:tabs>
              <w:ind w:firstLine="0"/>
              <w:jc w:val="right"/>
              <w:rPr>
                <w:rFonts w:eastAsia="Arial Unicode MS"/>
                <w:sz w:val="20"/>
                <w:szCs w:val="20"/>
              </w:rPr>
            </w:pPr>
            <w:r w:rsidRPr="00AD171E">
              <w:rPr>
                <w:rFonts w:eastAsia="Calibri"/>
                <w:sz w:val="20"/>
                <w:szCs w:val="20"/>
              </w:rPr>
              <w:t>-1,3</w:t>
            </w:r>
          </w:p>
        </w:tc>
        <w:tc>
          <w:tcPr>
            <w:tcW w:w="850" w:type="dxa"/>
            <w:shd w:val="clear" w:color="auto" w:fill="auto"/>
            <w:vAlign w:val="bottom"/>
          </w:tcPr>
          <w:p w:rsidR="00BF4753" w:rsidRPr="00AD171E" w:rsidRDefault="00BF4753" w:rsidP="002D7CA8">
            <w:pPr>
              <w:tabs>
                <w:tab w:val="decimal" w:pos="330"/>
              </w:tabs>
              <w:ind w:firstLine="0"/>
              <w:jc w:val="right"/>
              <w:rPr>
                <w:sz w:val="20"/>
                <w:szCs w:val="20"/>
              </w:rPr>
            </w:pPr>
            <w:r w:rsidRPr="00AD171E">
              <w:rPr>
                <w:rFonts w:eastAsia="Calibri"/>
                <w:sz w:val="20"/>
                <w:szCs w:val="20"/>
              </w:rPr>
              <w:t>-0,3</w:t>
            </w:r>
          </w:p>
        </w:tc>
      </w:tr>
      <w:tr w:rsidR="00BF4753" w:rsidRPr="00AD171E" w:rsidTr="002D7CA8">
        <w:trPr>
          <w:jc w:val="center"/>
        </w:trPr>
        <w:tc>
          <w:tcPr>
            <w:tcW w:w="3119" w:type="dxa"/>
            <w:shd w:val="clear" w:color="auto" w:fill="DEEAF6" w:themeFill="accent1" w:themeFillTint="33"/>
          </w:tcPr>
          <w:p w:rsidR="00BF4753" w:rsidRPr="00AD171E" w:rsidRDefault="00BF4753" w:rsidP="002D7CA8">
            <w:pPr>
              <w:ind w:firstLine="0"/>
              <w:jc w:val="right"/>
              <w:rPr>
                <w:bCs/>
                <w:sz w:val="20"/>
                <w:szCs w:val="20"/>
              </w:rPr>
            </w:pPr>
            <w:r w:rsidRPr="00AD171E">
              <w:rPr>
                <w:bCs/>
                <w:snapToGrid w:val="0"/>
                <w:sz w:val="20"/>
                <w:szCs w:val="20"/>
              </w:rPr>
              <w:t>Izmaiņas</w:t>
            </w:r>
          </w:p>
        </w:tc>
        <w:tc>
          <w:tcPr>
            <w:tcW w:w="694" w:type="dxa"/>
            <w:shd w:val="clear" w:color="auto" w:fill="DEEAF6" w:themeFill="accent1" w:themeFillTint="33"/>
            <w:vAlign w:val="center"/>
          </w:tcPr>
          <w:p w:rsidR="00BF4753" w:rsidRPr="00AD171E" w:rsidRDefault="00BF4753" w:rsidP="002D7CA8">
            <w:pPr>
              <w:ind w:firstLine="0"/>
              <w:jc w:val="center"/>
              <w:rPr>
                <w:sz w:val="20"/>
                <w:szCs w:val="20"/>
              </w:rPr>
            </w:pPr>
          </w:p>
        </w:tc>
        <w:tc>
          <w:tcPr>
            <w:tcW w:w="850" w:type="dxa"/>
            <w:shd w:val="clear" w:color="auto" w:fill="DEEAF6" w:themeFill="accent1" w:themeFillTint="33"/>
            <w:vAlign w:val="bottom"/>
          </w:tcPr>
          <w:p w:rsidR="00BF4753" w:rsidRPr="00AD171E" w:rsidRDefault="00BF4753" w:rsidP="002D7CA8">
            <w:pPr>
              <w:ind w:firstLine="0"/>
              <w:jc w:val="right"/>
              <w:rPr>
                <w:rFonts w:eastAsia="Calibri"/>
                <w:sz w:val="20"/>
                <w:szCs w:val="20"/>
              </w:rPr>
            </w:pPr>
            <w:r w:rsidRPr="00AD171E">
              <w:rPr>
                <w:rFonts w:eastAsia="Calibri"/>
                <w:sz w:val="20"/>
                <w:szCs w:val="20"/>
              </w:rPr>
              <w:t>4,1</w:t>
            </w:r>
          </w:p>
        </w:tc>
        <w:tc>
          <w:tcPr>
            <w:tcW w:w="851" w:type="dxa"/>
            <w:shd w:val="clear" w:color="auto" w:fill="DEEAF6" w:themeFill="accent1" w:themeFillTint="33"/>
            <w:vAlign w:val="bottom"/>
          </w:tcPr>
          <w:p w:rsidR="00BF4753" w:rsidRPr="00AD171E" w:rsidRDefault="00BF4753" w:rsidP="002D7CA8">
            <w:pPr>
              <w:ind w:firstLine="0"/>
              <w:jc w:val="right"/>
              <w:rPr>
                <w:rFonts w:eastAsia="Calibri"/>
                <w:sz w:val="20"/>
                <w:szCs w:val="20"/>
              </w:rPr>
            </w:pPr>
            <w:r w:rsidRPr="00AD171E">
              <w:rPr>
                <w:rFonts w:eastAsia="Calibri"/>
                <w:sz w:val="20"/>
                <w:szCs w:val="20"/>
              </w:rPr>
              <w:t>-4,3</w:t>
            </w:r>
          </w:p>
        </w:tc>
        <w:tc>
          <w:tcPr>
            <w:tcW w:w="850" w:type="dxa"/>
            <w:shd w:val="clear" w:color="auto" w:fill="DEEAF6" w:themeFill="accent1" w:themeFillTint="33"/>
            <w:vAlign w:val="bottom"/>
          </w:tcPr>
          <w:p w:rsidR="00BF4753" w:rsidRPr="00AD171E" w:rsidRDefault="00BF4753" w:rsidP="002D7CA8">
            <w:pPr>
              <w:ind w:firstLine="0"/>
              <w:jc w:val="right"/>
              <w:rPr>
                <w:rFonts w:eastAsia="Calibri"/>
                <w:sz w:val="20"/>
                <w:szCs w:val="20"/>
              </w:rPr>
            </w:pPr>
            <w:r w:rsidRPr="00AD171E">
              <w:rPr>
                <w:rFonts w:eastAsia="Calibri"/>
                <w:sz w:val="20"/>
                <w:szCs w:val="20"/>
              </w:rPr>
              <w:t>1,3</w:t>
            </w:r>
          </w:p>
        </w:tc>
        <w:tc>
          <w:tcPr>
            <w:tcW w:w="851" w:type="dxa"/>
            <w:shd w:val="clear" w:color="auto" w:fill="DEEAF6" w:themeFill="accent1" w:themeFillTint="33"/>
            <w:vAlign w:val="bottom"/>
          </w:tcPr>
          <w:p w:rsidR="00BF4753" w:rsidRPr="00AD171E" w:rsidRDefault="00BF4753" w:rsidP="002D7CA8">
            <w:pPr>
              <w:ind w:firstLine="0"/>
              <w:jc w:val="right"/>
              <w:rPr>
                <w:rFonts w:eastAsia="Calibri"/>
                <w:sz w:val="20"/>
                <w:szCs w:val="20"/>
              </w:rPr>
            </w:pPr>
            <w:r w:rsidRPr="00AD171E">
              <w:rPr>
                <w:rFonts w:eastAsia="Calibri"/>
                <w:sz w:val="20"/>
                <w:szCs w:val="20"/>
              </w:rPr>
              <w:t>1,4</w:t>
            </w:r>
          </w:p>
        </w:tc>
        <w:tc>
          <w:tcPr>
            <w:tcW w:w="850" w:type="dxa"/>
            <w:shd w:val="clear" w:color="auto" w:fill="DEEAF6" w:themeFill="accent1" w:themeFillTint="33"/>
            <w:vAlign w:val="bottom"/>
          </w:tcPr>
          <w:p w:rsidR="00BF4753" w:rsidRPr="00AD171E" w:rsidRDefault="00BF4753" w:rsidP="002D7CA8">
            <w:pPr>
              <w:ind w:firstLine="0"/>
              <w:jc w:val="right"/>
              <w:rPr>
                <w:rFonts w:eastAsia="Calibri"/>
                <w:sz w:val="20"/>
                <w:szCs w:val="20"/>
              </w:rPr>
            </w:pPr>
            <w:r w:rsidRPr="00AD171E">
              <w:rPr>
                <w:rFonts w:eastAsia="Calibri"/>
                <w:sz w:val="20"/>
                <w:szCs w:val="20"/>
              </w:rPr>
              <w:t>-</w:t>
            </w:r>
          </w:p>
        </w:tc>
      </w:tr>
      <w:tr w:rsidR="00BF4753" w:rsidRPr="00AD171E" w:rsidTr="002D7CA8">
        <w:trPr>
          <w:jc w:val="center"/>
        </w:trPr>
        <w:tc>
          <w:tcPr>
            <w:tcW w:w="3119" w:type="dxa"/>
            <w:shd w:val="clear" w:color="auto" w:fill="auto"/>
          </w:tcPr>
          <w:p w:rsidR="00BF4753" w:rsidRPr="00AD171E" w:rsidRDefault="00BF4753" w:rsidP="002D7CA8">
            <w:pPr>
              <w:ind w:firstLine="0"/>
              <w:jc w:val="left"/>
              <w:rPr>
                <w:bCs/>
                <w:sz w:val="20"/>
                <w:szCs w:val="20"/>
              </w:rPr>
            </w:pPr>
            <w:r w:rsidRPr="00AD171E">
              <w:rPr>
                <w:bCs/>
                <w:sz w:val="20"/>
                <w:szCs w:val="20"/>
              </w:rPr>
              <w:t>Vispārējās valdības parāds</w:t>
            </w:r>
            <w:r w:rsidRPr="00AD171E">
              <w:rPr>
                <w:bCs/>
                <w:sz w:val="20"/>
                <w:szCs w:val="20"/>
              </w:rPr>
              <w:br/>
              <w:t>(% no IKP)</w:t>
            </w:r>
          </w:p>
        </w:tc>
        <w:tc>
          <w:tcPr>
            <w:tcW w:w="694" w:type="dxa"/>
            <w:shd w:val="clear" w:color="auto" w:fill="auto"/>
            <w:vAlign w:val="center"/>
          </w:tcPr>
          <w:p w:rsidR="00BF4753" w:rsidRPr="00AD171E" w:rsidRDefault="00BF4753" w:rsidP="002D7CA8">
            <w:pPr>
              <w:ind w:firstLine="0"/>
              <w:jc w:val="center"/>
              <w:rPr>
                <w:sz w:val="20"/>
                <w:szCs w:val="20"/>
              </w:rPr>
            </w:pPr>
          </w:p>
        </w:tc>
        <w:tc>
          <w:tcPr>
            <w:tcW w:w="850" w:type="dxa"/>
            <w:shd w:val="clear" w:color="auto" w:fill="auto"/>
            <w:vAlign w:val="center"/>
          </w:tcPr>
          <w:p w:rsidR="00BF4753" w:rsidRPr="00AD171E" w:rsidRDefault="00BF4753" w:rsidP="002D7CA8">
            <w:pPr>
              <w:ind w:firstLine="0"/>
              <w:jc w:val="right"/>
              <w:rPr>
                <w:rFonts w:eastAsia="Calibri"/>
                <w:sz w:val="20"/>
                <w:szCs w:val="20"/>
              </w:rPr>
            </w:pPr>
          </w:p>
        </w:tc>
        <w:tc>
          <w:tcPr>
            <w:tcW w:w="851" w:type="dxa"/>
            <w:shd w:val="clear" w:color="auto" w:fill="auto"/>
            <w:vAlign w:val="center"/>
          </w:tcPr>
          <w:p w:rsidR="00BF4753" w:rsidRPr="00AD171E" w:rsidRDefault="00BF4753" w:rsidP="002D7CA8">
            <w:pPr>
              <w:ind w:firstLine="0"/>
              <w:jc w:val="right"/>
              <w:rPr>
                <w:rFonts w:eastAsia="Calibri"/>
                <w:sz w:val="20"/>
                <w:szCs w:val="20"/>
              </w:rPr>
            </w:pPr>
          </w:p>
        </w:tc>
        <w:tc>
          <w:tcPr>
            <w:tcW w:w="850" w:type="dxa"/>
            <w:shd w:val="clear" w:color="auto" w:fill="auto"/>
            <w:vAlign w:val="center"/>
          </w:tcPr>
          <w:p w:rsidR="00BF4753" w:rsidRPr="00AD171E" w:rsidRDefault="00BF4753" w:rsidP="002D7CA8">
            <w:pPr>
              <w:ind w:firstLine="0"/>
              <w:jc w:val="right"/>
              <w:rPr>
                <w:rFonts w:eastAsia="Calibri"/>
                <w:sz w:val="20"/>
                <w:szCs w:val="20"/>
              </w:rPr>
            </w:pPr>
          </w:p>
        </w:tc>
        <w:tc>
          <w:tcPr>
            <w:tcW w:w="851" w:type="dxa"/>
            <w:shd w:val="clear" w:color="auto" w:fill="auto"/>
            <w:vAlign w:val="center"/>
          </w:tcPr>
          <w:p w:rsidR="00BF4753" w:rsidRPr="00AD171E" w:rsidRDefault="00BF4753" w:rsidP="002D7CA8">
            <w:pPr>
              <w:ind w:firstLine="0"/>
              <w:jc w:val="right"/>
              <w:rPr>
                <w:rFonts w:eastAsia="Calibri"/>
                <w:sz w:val="20"/>
                <w:szCs w:val="20"/>
              </w:rPr>
            </w:pPr>
          </w:p>
        </w:tc>
        <w:tc>
          <w:tcPr>
            <w:tcW w:w="850" w:type="dxa"/>
            <w:shd w:val="clear" w:color="auto" w:fill="auto"/>
            <w:vAlign w:val="center"/>
          </w:tcPr>
          <w:p w:rsidR="00BF4753" w:rsidRPr="00AD171E" w:rsidRDefault="00BF4753" w:rsidP="002D7CA8">
            <w:pPr>
              <w:ind w:firstLine="0"/>
              <w:jc w:val="right"/>
              <w:rPr>
                <w:rFonts w:eastAsia="Calibri"/>
                <w:sz w:val="20"/>
                <w:szCs w:val="20"/>
              </w:rPr>
            </w:pPr>
          </w:p>
        </w:tc>
      </w:tr>
      <w:tr w:rsidR="00C9790F" w:rsidRPr="00AD171E" w:rsidTr="0050594C">
        <w:trPr>
          <w:jc w:val="center"/>
        </w:trPr>
        <w:tc>
          <w:tcPr>
            <w:tcW w:w="3119" w:type="dxa"/>
            <w:shd w:val="clear" w:color="auto" w:fill="DEEAF6" w:themeFill="accent1" w:themeFillTint="33"/>
          </w:tcPr>
          <w:p w:rsidR="00C9790F" w:rsidRPr="00AD171E" w:rsidRDefault="00C9790F" w:rsidP="00C9790F">
            <w:pPr>
              <w:ind w:firstLine="0"/>
              <w:jc w:val="right"/>
              <w:rPr>
                <w:bCs/>
                <w:snapToGrid w:val="0"/>
                <w:sz w:val="20"/>
                <w:szCs w:val="20"/>
              </w:rPr>
            </w:pPr>
            <w:r w:rsidRPr="00AD171E">
              <w:rPr>
                <w:bCs/>
                <w:sz w:val="20"/>
                <w:szCs w:val="20"/>
              </w:rPr>
              <w:t>2020.gads</w:t>
            </w:r>
            <w:r w:rsidRPr="00AD171E">
              <w:rPr>
                <w:bCs/>
                <w:sz w:val="20"/>
                <w:szCs w:val="20"/>
              </w:rPr>
              <w:br/>
              <w:t>(Covid-19 ietekmes scenārijs)</w:t>
            </w:r>
          </w:p>
        </w:tc>
        <w:tc>
          <w:tcPr>
            <w:tcW w:w="694" w:type="dxa"/>
            <w:shd w:val="clear" w:color="auto" w:fill="DEEAF6" w:themeFill="accent1" w:themeFillTint="33"/>
            <w:vAlign w:val="center"/>
          </w:tcPr>
          <w:p w:rsidR="00C9790F" w:rsidRPr="00AD171E" w:rsidRDefault="00C9790F" w:rsidP="00C9790F">
            <w:pPr>
              <w:ind w:firstLine="0"/>
              <w:jc w:val="center"/>
              <w:rPr>
                <w:sz w:val="20"/>
                <w:szCs w:val="20"/>
              </w:rPr>
            </w:pPr>
          </w:p>
        </w:tc>
        <w:tc>
          <w:tcPr>
            <w:tcW w:w="850" w:type="dxa"/>
            <w:shd w:val="clear" w:color="auto" w:fill="DEEAF6" w:themeFill="accent1" w:themeFillTint="33"/>
          </w:tcPr>
          <w:p w:rsidR="00C9790F" w:rsidRPr="00AD171E" w:rsidRDefault="00C9790F" w:rsidP="00C9790F">
            <w:pPr>
              <w:ind w:firstLine="0"/>
              <w:jc w:val="right"/>
              <w:rPr>
                <w:rFonts w:eastAsia="Calibri"/>
                <w:sz w:val="20"/>
                <w:szCs w:val="20"/>
              </w:rPr>
            </w:pPr>
            <w:r w:rsidRPr="00EB0D3A">
              <w:rPr>
                <w:sz w:val="20"/>
              </w:rPr>
              <w:t>51,7</w:t>
            </w:r>
          </w:p>
        </w:tc>
        <w:tc>
          <w:tcPr>
            <w:tcW w:w="851" w:type="dxa"/>
            <w:shd w:val="clear" w:color="auto" w:fill="DEEAF6" w:themeFill="accent1" w:themeFillTint="33"/>
          </w:tcPr>
          <w:p w:rsidR="00C9790F" w:rsidRPr="00AD171E" w:rsidRDefault="00C9790F" w:rsidP="00C9790F">
            <w:pPr>
              <w:ind w:firstLine="0"/>
              <w:jc w:val="right"/>
              <w:rPr>
                <w:rFonts w:eastAsia="Calibri"/>
                <w:sz w:val="20"/>
                <w:szCs w:val="20"/>
              </w:rPr>
            </w:pPr>
            <w:r w:rsidRPr="00EB0D3A">
              <w:rPr>
                <w:sz w:val="20"/>
              </w:rPr>
              <w:t>52,2</w:t>
            </w:r>
          </w:p>
        </w:tc>
        <w:tc>
          <w:tcPr>
            <w:tcW w:w="850" w:type="dxa"/>
            <w:shd w:val="clear" w:color="auto" w:fill="DEEAF6" w:themeFill="accent1" w:themeFillTint="33"/>
          </w:tcPr>
          <w:p w:rsidR="00C9790F" w:rsidRPr="00AD171E" w:rsidRDefault="00C9790F" w:rsidP="00C9790F">
            <w:pPr>
              <w:ind w:firstLine="0"/>
              <w:jc w:val="right"/>
              <w:rPr>
                <w:rFonts w:eastAsia="Calibri"/>
                <w:sz w:val="20"/>
                <w:szCs w:val="20"/>
              </w:rPr>
            </w:pPr>
            <w:r w:rsidRPr="00EB0D3A">
              <w:rPr>
                <w:sz w:val="20"/>
              </w:rPr>
              <w:t>53,3</w:t>
            </w:r>
          </w:p>
        </w:tc>
        <w:tc>
          <w:tcPr>
            <w:tcW w:w="851" w:type="dxa"/>
            <w:shd w:val="clear" w:color="auto" w:fill="DEEAF6" w:themeFill="accent1" w:themeFillTint="33"/>
          </w:tcPr>
          <w:p w:rsidR="00C9790F" w:rsidRPr="00AD171E" w:rsidRDefault="00C9790F" w:rsidP="00C9790F">
            <w:pPr>
              <w:ind w:firstLine="0"/>
              <w:jc w:val="right"/>
              <w:rPr>
                <w:rFonts w:eastAsia="Calibri"/>
                <w:sz w:val="20"/>
                <w:szCs w:val="20"/>
              </w:rPr>
            </w:pPr>
            <w:r w:rsidRPr="00EB0D3A">
              <w:rPr>
                <w:sz w:val="20"/>
              </w:rPr>
              <w:t>53,1</w:t>
            </w:r>
          </w:p>
        </w:tc>
        <w:tc>
          <w:tcPr>
            <w:tcW w:w="850" w:type="dxa"/>
            <w:shd w:val="clear" w:color="auto" w:fill="DEEAF6" w:themeFill="accent1" w:themeFillTint="33"/>
          </w:tcPr>
          <w:p w:rsidR="00C9790F" w:rsidRPr="00AD171E" w:rsidRDefault="00C9790F" w:rsidP="00C9790F">
            <w:pPr>
              <w:ind w:firstLine="0"/>
              <w:jc w:val="right"/>
              <w:rPr>
                <w:rFonts w:eastAsia="Calibri"/>
                <w:sz w:val="20"/>
                <w:szCs w:val="20"/>
              </w:rPr>
            </w:pPr>
            <w:r w:rsidRPr="008B6FF0">
              <w:rPr>
                <w:sz w:val="20"/>
              </w:rPr>
              <w:t>-</w:t>
            </w:r>
          </w:p>
        </w:tc>
      </w:tr>
      <w:tr w:rsidR="00C9790F" w:rsidRPr="00AD171E" w:rsidTr="002D7CA8">
        <w:trPr>
          <w:jc w:val="center"/>
        </w:trPr>
        <w:tc>
          <w:tcPr>
            <w:tcW w:w="3119" w:type="dxa"/>
            <w:shd w:val="clear" w:color="auto" w:fill="auto"/>
          </w:tcPr>
          <w:p w:rsidR="00C9790F" w:rsidRPr="00AD171E" w:rsidRDefault="00C9790F" w:rsidP="00C9790F">
            <w:pPr>
              <w:ind w:firstLine="0"/>
              <w:jc w:val="right"/>
              <w:rPr>
                <w:b/>
                <w:bCs/>
                <w:snapToGrid w:val="0"/>
                <w:sz w:val="20"/>
                <w:szCs w:val="20"/>
              </w:rPr>
            </w:pPr>
            <w:r w:rsidRPr="00AD171E">
              <w:rPr>
                <w:bCs/>
                <w:sz w:val="20"/>
                <w:szCs w:val="20"/>
              </w:rPr>
              <w:t>2021.gads</w:t>
            </w:r>
          </w:p>
        </w:tc>
        <w:tc>
          <w:tcPr>
            <w:tcW w:w="694" w:type="dxa"/>
            <w:shd w:val="clear" w:color="auto" w:fill="auto"/>
            <w:vAlign w:val="center"/>
          </w:tcPr>
          <w:p w:rsidR="00C9790F" w:rsidRPr="00AD171E" w:rsidRDefault="00C9790F" w:rsidP="00C9790F">
            <w:pPr>
              <w:ind w:firstLine="0"/>
              <w:jc w:val="center"/>
              <w:rPr>
                <w:sz w:val="20"/>
                <w:szCs w:val="20"/>
              </w:rPr>
            </w:pPr>
          </w:p>
        </w:tc>
        <w:tc>
          <w:tcPr>
            <w:tcW w:w="850" w:type="dxa"/>
            <w:shd w:val="clear" w:color="auto" w:fill="auto"/>
          </w:tcPr>
          <w:p w:rsidR="00C9790F" w:rsidRPr="00AD171E" w:rsidRDefault="00C9790F" w:rsidP="00C9790F">
            <w:pPr>
              <w:tabs>
                <w:tab w:val="decimal" w:pos="330"/>
              </w:tabs>
              <w:ind w:firstLine="0"/>
              <w:jc w:val="right"/>
              <w:rPr>
                <w:sz w:val="20"/>
                <w:szCs w:val="20"/>
                <w:highlight w:val="yellow"/>
              </w:rPr>
            </w:pPr>
            <w:r w:rsidRPr="00840D52">
              <w:rPr>
                <w:sz w:val="20"/>
              </w:rPr>
              <w:t>43,5</w:t>
            </w:r>
          </w:p>
        </w:tc>
        <w:tc>
          <w:tcPr>
            <w:tcW w:w="851" w:type="dxa"/>
            <w:shd w:val="clear" w:color="auto" w:fill="auto"/>
          </w:tcPr>
          <w:p w:rsidR="00C9790F" w:rsidRPr="00AD171E" w:rsidRDefault="00C9790F" w:rsidP="00C9790F">
            <w:pPr>
              <w:tabs>
                <w:tab w:val="decimal" w:pos="330"/>
              </w:tabs>
              <w:ind w:firstLine="0"/>
              <w:jc w:val="right"/>
              <w:rPr>
                <w:sz w:val="20"/>
                <w:szCs w:val="20"/>
                <w:highlight w:val="yellow"/>
              </w:rPr>
            </w:pPr>
            <w:r>
              <w:rPr>
                <w:sz w:val="20"/>
              </w:rPr>
              <w:t>48,9</w:t>
            </w:r>
          </w:p>
        </w:tc>
        <w:tc>
          <w:tcPr>
            <w:tcW w:w="850" w:type="dxa"/>
            <w:shd w:val="clear" w:color="auto" w:fill="auto"/>
          </w:tcPr>
          <w:p w:rsidR="00C9790F" w:rsidRPr="00AD171E" w:rsidRDefault="00C9790F" w:rsidP="00C9790F">
            <w:pPr>
              <w:tabs>
                <w:tab w:val="decimal" w:pos="330"/>
              </w:tabs>
              <w:ind w:firstLine="0"/>
              <w:jc w:val="right"/>
              <w:rPr>
                <w:sz w:val="20"/>
                <w:szCs w:val="20"/>
                <w:highlight w:val="yellow"/>
              </w:rPr>
            </w:pPr>
            <w:r>
              <w:rPr>
                <w:sz w:val="20"/>
              </w:rPr>
              <w:t>50,3</w:t>
            </w:r>
          </w:p>
        </w:tc>
        <w:tc>
          <w:tcPr>
            <w:tcW w:w="851" w:type="dxa"/>
            <w:shd w:val="clear" w:color="auto" w:fill="auto"/>
          </w:tcPr>
          <w:p w:rsidR="00C9790F" w:rsidRPr="00AD171E" w:rsidRDefault="00C9790F" w:rsidP="00C9790F">
            <w:pPr>
              <w:tabs>
                <w:tab w:val="decimal" w:pos="330"/>
              </w:tabs>
              <w:ind w:firstLine="0"/>
              <w:jc w:val="right"/>
              <w:rPr>
                <w:rFonts w:eastAsia="Arial Unicode MS"/>
                <w:sz w:val="20"/>
                <w:szCs w:val="20"/>
                <w:highlight w:val="yellow"/>
              </w:rPr>
            </w:pPr>
            <w:r>
              <w:rPr>
                <w:sz w:val="20"/>
              </w:rPr>
              <w:t>48,8</w:t>
            </w:r>
          </w:p>
        </w:tc>
        <w:tc>
          <w:tcPr>
            <w:tcW w:w="850" w:type="dxa"/>
            <w:shd w:val="clear" w:color="auto" w:fill="auto"/>
          </w:tcPr>
          <w:p w:rsidR="00C9790F" w:rsidRPr="00AD171E" w:rsidRDefault="00C9790F" w:rsidP="00C9790F">
            <w:pPr>
              <w:ind w:firstLine="0"/>
              <w:jc w:val="right"/>
              <w:rPr>
                <w:sz w:val="20"/>
                <w:szCs w:val="20"/>
                <w:highlight w:val="yellow"/>
              </w:rPr>
            </w:pPr>
            <w:r>
              <w:rPr>
                <w:sz w:val="20"/>
              </w:rPr>
              <w:t>48,5</w:t>
            </w:r>
          </w:p>
        </w:tc>
      </w:tr>
      <w:tr w:rsidR="00C9790F" w:rsidRPr="00AD171E" w:rsidTr="002D7CA8">
        <w:trPr>
          <w:jc w:val="center"/>
        </w:trPr>
        <w:tc>
          <w:tcPr>
            <w:tcW w:w="3119" w:type="dxa"/>
            <w:shd w:val="clear" w:color="auto" w:fill="DEEAF6" w:themeFill="accent1" w:themeFillTint="33"/>
          </w:tcPr>
          <w:p w:rsidR="00C9790F" w:rsidRPr="00AD171E" w:rsidRDefault="00C9790F" w:rsidP="00C9790F">
            <w:pPr>
              <w:ind w:firstLine="0"/>
              <w:jc w:val="right"/>
              <w:rPr>
                <w:bCs/>
                <w:sz w:val="20"/>
                <w:szCs w:val="20"/>
              </w:rPr>
            </w:pPr>
            <w:r w:rsidRPr="00AD171E">
              <w:rPr>
                <w:bCs/>
                <w:snapToGrid w:val="0"/>
                <w:sz w:val="20"/>
                <w:szCs w:val="20"/>
              </w:rPr>
              <w:t>Izmaiņas</w:t>
            </w:r>
          </w:p>
        </w:tc>
        <w:tc>
          <w:tcPr>
            <w:tcW w:w="694" w:type="dxa"/>
            <w:shd w:val="clear" w:color="auto" w:fill="DEEAF6" w:themeFill="accent1" w:themeFillTint="33"/>
            <w:vAlign w:val="center"/>
          </w:tcPr>
          <w:p w:rsidR="00C9790F" w:rsidRPr="00AD171E" w:rsidRDefault="00C9790F" w:rsidP="00C9790F">
            <w:pPr>
              <w:ind w:firstLine="0"/>
              <w:jc w:val="center"/>
              <w:rPr>
                <w:sz w:val="20"/>
                <w:szCs w:val="20"/>
              </w:rPr>
            </w:pPr>
          </w:p>
        </w:tc>
        <w:tc>
          <w:tcPr>
            <w:tcW w:w="850" w:type="dxa"/>
            <w:shd w:val="clear" w:color="auto" w:fill="DEEAF6" w:themeFill="accent1" w:themeFillTint="33"/>
          </w:tcPr>
          <w:p w:rsidR="00C9790F" w:rsidRPr="00AD171E" w:rsidRDefault="00C9790F" w:rsidP="00C9790F">
            <w:pPr>
              <w:ind w:firstLine="0"/>
              <w:jc w:val="right"/>
              <w:rPr>
                <w:sz w:val="20"/>
                <w:szCs w:val="20"/>
              </w:rPr>
            </w:pPr>
            <w:r w:rsidRPr="00EB0D3A">
              <w:rPr>
                <w:sz w:val="20"/>
              </w:rPr>
              <w:t>-</w:t>
            </w:r>
            <w:r>
              <w:rPr>
                <w:sz w:val="20"/>
              </w:rPr>
              <w:t>8,2</w:t>
            </w:r>
          </w:p>
        </w:tc>
        <w:tc>
          <w:tcPr>
            <w:tcW w:w="851" w:type="dxa"/>
            <w:shd w:val="clear" w:color="auto" w:fill="DEEAF6" w:themeFill="accent1" w:themeFillTint="33"/>
          </w:tcPr>
          <w:p w:rsidR="00C9790F" w:rsidRPr="00AD171E" w:rsidRDefault="00C9790F" w:rsidP="00C9790F">
            <w:pPr>
              <w:ind w:firstLine="0"/>
              <w:jc w:val="right"/>
              <w:rPr>
                <w:sz w:val="20"/>
                <w:szCs w:val="20"/>
              </w:rPr>
            </w:pPr>
            <w:r>
              <w:rPr>
                <w:sz w:val="20"/>
              </w:rPr>
              <w:t>-3,3</w:t>
            </w:r>
          </w:p>
        </w:tc>
        <w:tc>
          <w:tcPr>
            <w:tcW w:w="850" w:type="dxa"/>
            <w:shd w:val="clear" w:color="auto" w:fill="DEEAF6" w:themeFill="accent1" w:themeFillTint="33"/>
          </w:tcPr>
          <w:p w:rsidR="00C9790F" w:rsidRPr="00AD171E" w:rsidRDefault="00C9790F" w:rsidP="00C9790F">
            <w:pPr>
              <w:ind w:firstLine="0"/>
              <w:jc w:val="right"/>
              <w:rPr>
                <w:sz w:val="20"/>
                <w:szCs w:val="20"/>
              </w:rPr>
            </w:pPr>
            <w:r>
              <w:rPr>
                <w:sz w:val="20"/>
              </w:rPr>
              <w:t>-3,0</w:t>
            </w:r>
          </w:p>
        </w:tc>
        <w:tc>
          <w:tcPr>
            <w:tcW w:w="851" w:type="dxa"/>
            <w:shd w:val="clear" w:color="auto" w:fill="DEEAF6" w:themeFill="accent1" w:themeFillTint="33"/>
          </w:tcPr>
          <w:p w:rsidR="00C9790F" w:rsidRPr="00AD171E" w:rsidRDefault="00C9790F" w:rsidP="00C9790F">
            <w:pPr>
              <w:ind w:firstLine="0"/>
              <w:jc w:val="right"/>
              <w:rPr>
                <w:sz w:val="20"/>
                <w:szCs w:val="20"/>
              </w:rPr>
            </w:pPr>
            <w:r>
              <w:rPr>
                <w:sz w:val="20"/>
              </w:rPr>
              <w:t>-4, 3</w:t>
            </w:r>
          </w:p>
        </w:tc>
        <w:tc>
          <w:tcPr>
            <w:tcW w:w="850" w:type="dxa"/>
            <w:shd w:val="clear" w:color="auto" w:fill="DEEAF6" w:themeFill="accent1" w:themeFillTint="33"/>
          </w:tcPr>
          <w:p w:rsidR="00C9790F" w:rsidRPr="00AD171E" w:rsidRDefault="00C9790F" w:rsidP="00C9790F">
            <w:pPr>
              <w:tabs>
                <w:tab w:val="decimal" w:pos="330"/>
              </w:tabs>
              <w:ind w:firstLine="0"/>
              <w:jc w:val="right"/>
              <w:rPr>
                <w:sz w:val="20"/>
                <w:szCs w:val="20"/>
              </w:rPr>
            </w:pPr>
            <w:r w:rsidRPr="00EB0D3A">
              <w:rPr>
                <w:sz w:val="20"/>
              </w:rPr>
              <w:t>-</w:t>
            </w:r>
          </w:p>
        </w:tc>
      </w:tr>
    </w:tbl>
    <w:p w:rsidR="00BF4753" w:rsidRDefault="00BF4753" w:rsidP="00BF4753">
      <w:pPr>
        <w:pStyle w:val="teksts"/>
        <w:spacing w:after="0"/>
        <w:ind w:firstLine="720"/>
        <w:rPr>
          <w:rFonts w:ascii="Times New Roman" w:eastAsia="Calibri" w:hAnsi="Times New Roman"/>
          <w:sz w:val="28"/>
          <w:szCs w:val="24"/>
        </w:rPr>
      </w:pPr>
    </w:p>
    <w:p w:rsidR="00BF4753" w:rsidRPr="003D5F60" w:rsidRDefault="00BF4753" w:rsidP="00BF4753">
      <w:pPr>
        <w:pStyle w:val="teksts"/>
        <w:spacing w:after="0"/>
        <w:ind w:firstLine="720"/>
        <w:rPr>
          <w:rFonts w:ascii="Times New Roman" w:eastAsia="Calibri" w:hAnsi="Times New Roman"/>
          <w:sz w:val="28"/>
          <w:szCs w:val="24"/>
        </w:rPr>
      </w:pPr>
      <w:r>
        <w:rPr>
          <w:rFonts w:ascii="Times New Roman" w:eastAsia="Calibri" w:hAnsi="Times New Roman"/>
          <w:sz w:val="28"/>
          <w:szCs w:val="24"/>
        </w:rPr>
        <w:t>Atbilstoši Finanšu ministrijas</w:t>
      </w:r>
      <w:r w:rsidRPr="003D5F60">
        <w:rPr>
          <w:rFonts w:ascii="Times New Roman" w:eastAsia="Calibri" w:hAnsi="Times New Roman"/>
          <w:sz w:val="28"/>
          <w:szCs w:val="24"/>
        </w:rPr>
        <w:t xml:space="preserve"> novērtējumam vispārējās valdības budžeta deficīts 2020. gadā bija 5,4% no </w:t>
      </w:r>
      <w:r>
        <w:rPr>
          <w:rFonts w:ascii="Times New Roman" w:eastAsia="Calibri" w:hAnsi="Times New Roman"/>
          <w:sz w:val="28"/>
          <w:szCs w:val="28"/>
        </w:rPr>
        <w:t>iekšzemes kopprodukta</w:t>
      </w:r>
      <w:r w:rsidRPr="003D5F60">
        <w:rPr>
          <w:rFonts w:ascii="Times New Roman" w:eastAsia="Calibri" w:hAnsi="Times New Roman"/>
          <w:sz w:val="28"/>
          <w:szCs w:val="24"/>
        </w:rPr>
        <w:t xml:space="preserve">, kas ir būtiski zemāks nekā prognozēts Latvijas Stabilitātes programmā 2020.–2023. gadam, kad, ņemot vērā augsto nenoteiktību saistībā ar Covid-19 pandēmijas attīstību, deficīts 2020. gadam tika prognozēts 9,4% no </w:t>
      </w:r>
      <w:r>
        <w:rPr>
          <w:rFonts w:ascii="Times New Roman" w:eastAsia="Calibri" w:hAnsi="Times New Roman"/>
          <w:sz w:val="28"/>
          <w:szCs w:val="28"/>
        </w:rPr>
        <w:t>iekšzemes kopprodukta</w:t>
      </w:r>
      <w:r w:rsidRPr="003D5F60">
        <w:rPr>
          <w:rFonts w:ascii="Times New Roman" w:eastAsia="Calibri" w:hAnsi="Times New Roman"/>
          <w:sz w:val="28"/>
          <w:szCs w:val="24"/>
        </w:rPr>
        <w:t xml:space="preserve">. Turpinoties straujākai Covid-19 izplatībai 2020. gada nogalē un 2021. gada sākumā, lielāku ietekmi nekā prognozēts šogad veido atbalsta pasākumi, kā rezultātā vispārējās valdības budžeta deficīts 2021. gadā tiek prognozēts augstāks, t.i., 9,3% no </w:t>
      </w:r>
      <w:r>
        <w:rPr>
          <w:rFonts w:ascii="Times New Roman" w:eastAsia="Calibri" w:hAnsi="Times New Roman"/>
          <w:sz w:val="28"/>
          <w:szCs w:val="28"/>
        </w:rPr>
        <w:t>iekšzemes kopprodukta</w:t>
      </w:r>
      <w:r w:rsidRPr="003D5F60">
        <w:rPr>
          <w:rFonts w:ascii="Times New Roman" w:eastAsia="Calibri" w:hAnsi="Times New Roman"/>
          <w:sz w:val="28"/>
          <w:szCs w:val="24"/>
        </w:rPr>
        <w:t xml:space="preserve"> iepriekš prognozēto 5,0% no </w:t>
      </w:r>
      <w:r>
        <w:rPr>
          <w:rFonts w:ascii="Times New Roman" w:eastAsia="Calibri" w:hAnsi="Times New Roman"/>
          <w:sz w:val="28"/>
          <w:szCs w:val="28"/>
        </w:rPr>
        <w:t>iekšzemes kopprodukta</w:t>
      </w:r>
      <w:r w:rsidRPr="003D5F60">
        <w:rPr>
          <w:rFonts w:ascii="Times New Roman" w:eastAsia="Calibri" w:hAnsi="Times New Roman"/>
          <w:sz w:val="28"/>
          <w:szCs w:val="24"/>
        </w:rPr>
        <w:t xml:space="preserve"> vietā. Vakcinācijas plāna sekmīgas izpildes gadījumā, paātrinoties ekonomikas attīstībai un pieaugot nodokļu ieņēmumiem, vispārējās valdības budžeta deficīts vidējā termiņā samazināsies.</w:t>
      </w:r>
    </w:p>
    <w:p w:rsidR="00BF4753" w:rsidRPr="00182E2D" w:rsidRDefault="00BF4753" w:rsidP="00BF4753">
      <w:pPr>
        <w:ind w:firstLine="851"/>
        <w:rPr>
          <w:rFonts w:eastAsia="Calibri"/>
          <w:szCs w:val="28"/>
        </w:rPr>
      </w:pPr>
      <w:r w:rsidRPr="003D5F60">
        <w:rPr>
          <w:rFonts w:eastAsia="Calibri"/>
          <w:szCs w:val="28"/>
        </w:rPr>
        <w:t>Vispārējās valdības parāda prognoze ir samazināta 2021.-2023.gadā, salīdzinot ar 2020</w:t>
      </w:r>
      <w:r>
        <w:rPr>
          <w:rFonts w:eastAsia="Calibri"/>
          <w:szCs w:val="28"/>
        </w:rPr>
        <w:t>.-</w:t>
      </w:r>
      <w:r w:rsidRPr="003D5F60">
        <w:rPr>
          <w:rFonts w:eastAsia="Calibri"/>
          <w:szCs w:val="28"/>
        </w:rPr>
        <w:t>2023.</w:t>
      </w:r>
      <w:r>
        <w:rPr>
          <w:rFonts w:eastAsia="Calibri"/>
          <w:szCs w:val="28"/>
        </w:rPr>
        <w:t xml:space="preserve"> </w:t>
      </w:r>
      <w:r w:rsidRPr="003D5F60">
        <w:rPr>
          <w:rFonts w:eastAsia="Calibri"/>
          <w:szCs w:val="28"/>
        </w:rPr>
        <w:t>gada Stabilitātes programmas Covid-19 ietekmes scenārija prognozēm</w:t>
      </w:r>
      <w:r>
        <w:rPr>
          <w:rFonts w:eastAsia="Calibri"/>
          <w:szCs w:val="28"/>
        </w:rPr>
        <w:t xml:space="preserve"> (skat</w:t>
      </w:r>
      <w:r w:rsidRPr="003D5F60">
        <w:rPr>
          <w:rFonts w:eastAsia="Calibri"/>
          <w:szCs w:val="28"/>
        </w:rPr>
        <w:t>.</w:t>
      </w:r>
      <w:r>
        <w:rPr>
          <w:rFonts w:eastAsia="Calibri"/>
          <w:szCs w:val="28"/>
        </w:rPr>
        <w:t xml:space="preserve"> 4.8. tabulu). </w:t>
      </w:r>
      <w:r w:rsidRPr="003D5F60">
        <w:rPr>
          <w:szCs w:val="28"/>
        </w:rPr>
        <w:t>Izmaiņas noteica tas, ka, ņemot vērā Covid-19 vīrusa uzliesmojumu, valsts budžeta bilanču un parāda prognozes 2020.</w:t>
      </w:r>
      <w:r>
        <w:rPr>
          <w:szCs w:val="28"/>
        </w:rPr>
        <w:t xml:space="preserve"> </w:t>
      </w:r>
      <w:r w:rsidRPr="003D5F60">
        <w:rPr>
          <w:szCs w:val="28"/>
        </w:rPr>
        <w:t>gada pavasarī tika sagatavotas izteikti lielas nenoteiktības apstākļos. Savukārt, faktiskā finansēšanas nepieciešamība 2020.</w:t>
      </w:r>
      <w:r>
        <w:rPr>
          <w:szCs w:val="28"/>
        </w:rPr>
        <w:t xml:space="preserve"> </w:t>
      </w:r>
      <w:r w:rsidRPr="003D5F60">
        <w:rPr>
          <w:szCs w:val="28"/>
        </w:rPr>
        <w:t xml:space="preserve">gadā bija mazāka nekā tika prognozēts, jo valsts budžeta izpildes rādītāji bija pozitīvāki nekā Covid-19 pandēmijas sākumā novērtēts, kā arī valdības un Saeimas pieņemto atbalsta pasākumu īstenošanai piešķirtais finansējums tika apgūts pakāpeniski. </w:t>
      </w:r>
    </w:p>
    <w:p w:rsidR="00BF4753" w:rsidRPr="00660ED9" w:rsidRDefault="00BF4753" w:rsidP="00660ED9">
      <w:pPr>
        <w:rPr>
          <w:szCs w:val="28"/>
        </w:rPr>
      </w:pPr>
      <w:r w:rsidRPr="003D5F60">
        <w:rPr>
          <w:szCs w:val="28"/>
        </w:rPr>
        <w:t>Vidējā termiņa vispārējās valdības parāda prognoze sagatavota joprojām lielas nenoteiktības apstākļos, ņemot vērā Covid-19 uzliesmojuma turpmāko ietekmi uz makroekonomiskajiem un valsts budžeta fiskālajiem radītajiem.</w:t>
      </w:r>
    </w:p>
    <w:p w:rsidR="00BF4753" w:rsidRDefault="00BF4753" w:rsidP="00BF4753">
      <w:pPr>
        <w:pStyle w:val="Heading1"/>
      </w:pPr>
      <w:bookmarkStart w:id="39" w:name="_Toc68335010"/>
      <w:r>
        <w:lastRenderedPageBreak/>
        <w:t xml:space="preserve">5. </w:t>
      </w:r>
      <w:r w:rsidRPr="007811D1">
        <w:t xml:space="preserve">Valsts </w:t>
      </w:r>
      <w:r w:rsidRPr="00590E37">
        <w:t>finanšu</w:t>
      </w:r>
      <w:r w:rsidRPr="007811D1">
        <w:t xml:space="preserve"> kvalitāte</w:t>
      </w:r>
      <w:bookmarkEnd w:id="39"/>
    </w:p>
    <w:p w:rsidR="00BF4753" w:rsidRDefault="00BF4753" w:rsidP="00BF4753">
      <w:pPr>
        <w:pStyle w:val="Heading2"/>
        <w:numPr>
          <w:ilvl w:val="0"/>
          <w:numId w:val="0"/>
        </w:numPr>
      </w:pPr>
      <w:bookmarkStart w:id="40" w:name="_Toc510790673"/>
      <w:bookmarkStart w:id="41" w:name="_Toc5627380"/>
      <w:bookmarkStart w:id="42" w:name="_Toc5798635"/>
      <w:bookmarkStart w:id="43" w:name="_Toc68335011"/>
      <w:r>
        <w:t xml:space="preserve">5.1. </w:t>
      </w:r>
      <w:r w:rsidRPr="0047640C">
        <w:t>Valsts budžeta līdzekļu efektivitāte un izlietojuma kontrole</w:t>
      </w:r>
      <w:bookmarkEnd w:id="40"/>
      <w:bookmarkEnd w:id="41"/>
      <w:bookmarkEnd w:id="42"/>
      <w:bookmarkEnd w:id="43"/>
    </w:p>
    <w:p w:rsidR="00BF4753" w:rsidRPr="00590E37" w:rsidRDefault="00BF4753" w:rsidP="00BF4753"/>
    <w:p w:rsidR="00BF4753" w:rsidRPr="00590E37" w:rsidRDefault="00BF4753" w:rsidP="00BF4753">
      <w:pPr>
        <w:pStyle w:val="Default"/>
        <w:ind w:firstLine="720"/>
        <w:jc w:val="both"/>
        <w:rPr>
          <w:color w:val="auto"/>
          <w:sz w:val="28"/>
          <w:szCs w:val="28"/>
        </w:rPr>
      </w:pPr>
      <w:r w:rsidRPr="00590E37">
        <w:rPr>
          <w:sz w:val="28"/>
          <w:szCs w:val="28"/>
        </w:rPr>
        <w:t xml:space="preserve">Valsts budžeta izstrādāšanas, apstiprināšanas un izpildes kārtību un atbildību budžeta procesā nosaka </w:t>
      </w:r>
      <w:r>
        <w:rPr>
          <w:sz w:val="28"/>
          <w:szCs w:val="28"/>
        </w:rPr>
        <w:t>likums “</w:t>
      </w:r>
      <w:r w:rsidRPr="007076E5">
        <w:rPr>
          <w:sz w:val="28"/>
          <w:szCs w:val="28"/>
        </w:rPr>
        <w:t>Likums par budžetu un finanšu vadību</w:t>
      </w:r>
      <w:r>
        <w:rPr>
          <w:sz w:val="28"/>
          <w:szCs w:val="28"/>
        </w:rPr>
        <w:t>”.</w:t>
      </w:r>
    </w:p>
    <w:p w:rsidR="00BF4753" w:rsidRPr="00590E37" w:rsidRDefault="00BF4753" w:rsidP="00BF4753">
      <w:pPr>
        <w:pStyle w:val="Default"/>
        <w:ind w:firstLine="720"/>
        <w:jc w:val="both"/>
        <w:rPr>
          <w:sz w:val="28"/>
          <w:szCs w:val="28"/>
        </w:rPr>
      </w:pPr>
      <w:r w:rsidRPr="00590E37">
        <w:rPr>
          <w:sz w:val="28"/>
          <w:szCs w:val="28"/>
        </w:rPr>
        <w:t xml:space="preserve">Saskaņā ar </w:t>
      </w:r>
      <w:r>
        <w:rPr>
          <w:sz w:val="28"/>
          <w:szCs w:val="28"/>
        </w:rPr>
        <w:t>likuma “</w:t>
      </w:r>
      <w:r w:rsidRPr="007076E5">
        <w:rPr>
          <w:sz w:val="28"/>
          <w:szCs w:val="28"/>
        </w:rPr>
        <w:t>Likums par budžetu un finanšu vadību</w:t>
      </w:r>
      <w:r>
        <w:rPr>
          <w:sz w:val="28"/>
          <w:szCs w:val="28"/>
        </w:rPr>
        <w:t>”</w:t>
      </w:r>
      <w:r w:rsidRPr="00590E37">
        <w:rPr>
          <w:sz w:val="28"/>
          <w:szCs w:val="28"/>
        </w:rPr>
        <w:t xml:space="preserve"> finanšu ministrs nodrošina gadskārtējā valsts budžeta likuma projekta izstrādi, </w:t>
      </w:r>
      <w:r w:rsidRPr="00590E37">
        <w:rPr>
          <w:color w:val="auto"/>
          <w:sz w:val="28"/>
          <w:szCs w:val="28"/>
        </w:rPr>
        <w:t xml:space="preserve">pamatojoties uz </w:t>
      </w:r>
      <w:r>
        <w:rPr>
          <w:color w:val="auto"/>
          <w:sz w:val="28"/>
          <w:szCs w:val="28"/>
        </w:rPr>
        <w:t>vidēja termiņa budžeta ietvara</w:t>
      </w:r>
      <w:r w:rsidRPr="00590E37">
        <w:rPr>
          <w:color w:val="auto"/>
          <w:sz w:val="28"/>
          <w:szCs w:val="28"/>
        </w:rPr>
        <w:t xml:space="preserve"> likumu</w:t>
      </w:r>
      <w:r>
        <w:rPr>
          <w:color w:val="auto"/>
          <w:sz w:val="28"/>
          <w:szCs w:val="28"/>
        </w:rPr>
        <w:t xml:space="preserve"> attiecīgajiem gadiem</w:t>
      </w:r>
      <w:r w:rsidRPr="00590E37">
        <w:rPr>
          <w:color w:val="auto"/>
          <w:sz w:val="28"/>
          <w:szCs w:val="28"/>
        </w:rPr>
        <w:t xml:space="preserve"> un budžeta pieprasījumiem. Finanšu ministrs izvērtē budžeta pieprasījumu atbilstību </w:t>
      </w:r>
      <w:r w:rsidRPr="00590E37">
        <w:rPr>
          <w:color w:val="000000" w:themeColor="text1"/>
          <w:sz w:val="28"/>
          <w:szCs w:val="28"/>
        </w:rPr>
        <w:t>Ietvara</w:t>
      </w:r>
      <w:r w:rsidRPr="00590E37">
        <w:rPr>
          <w:color w:val="auto"/>
          <w:sz w:val="28"/>
          <w:szCs w:val="28"/>
        </w:rPr>
        <w:t xml:space="preserve"> likumā noteiktajiem budžeta mērķiem un prioritārajiem attīstības virzieniem, kā arī ekonomiskuma un efektivitātes principiem un, ja nepieciešams, pieprasa papildu informāciju. Pamatojoties uz izvērtējumu</w:t>
      </w:r>
      <w:r w:rsidRPr="00590E37">
        <w:rPr>
          <w:sz w:val="28"/>
          <w:szCs w:val="28"/>
        </w:rPr>
        <w:t xml:space="preserve"> un sniegto informāciju, finanšu ministrs līdz gadskārtējā valsts budžeta</w:t>
      </w:r>
      <w:r>
        <w:rPr>
          <w:sz w:val="28"/>
          <w:szCs w:val="28"/>
        </w:rPr>
        <w:t xml:space="preserve"> likuma projekta iesniegšanai Ministru kabinets</w:t>
      </w:r>
      <w:r w:rsidRPr="00590E37">
        <w:rPr>
          <w:sz w:val="28"/>
          <w:szCs w:val="28"/>
        </w:rPr>
        <w:t xml:space="preserve"> pieņem lēmumu par budžeta pieprasījumu iekļaušanu gadskārtējā valsts budžeta likuma projektā. Finanšu ministrs jebkurā valsts budžeta likuma projekta izskatīšanas stadijā var izteikt savu viedokli, pievienot nepieciešamos atzinumus, kā arī atsevišķu revīziju rezultātus.</w:t>
      </w:r>
    </w:p>
    <w:p w:rsidR="00BF4753" w:rsidRPr="00590E37" w:rsidRDefault="00BF4753" w:rsidP="00BF4753">
      <w:pPr>
        <w:pStyle w:val="Default"/>
        <w:ind w:firstLine="720"/>
        <w:jc w:val="both"/>
        <w:rPr>
          <w:color w:val="auto"/>
          <w:sz w:val="28"/>
          <w:szCs w:val="28"/>
        </w:rPr>
      </w:pPr>
      <w:r w:rsidRPr="00590E37">
        <w:rPr>
          <w:color w:val="auto"/>
          <w:sz w:val="28"/>
          <w:szCs w:val="28"/>
        </w:rPr>
        <w:t>Finanšu ministrs</w:t>
      </w:r>
      <w:r w:rsidRPr="00590E37">
        <w:rPr>
          <w:sz w:val="28"/>
          <w:szCs w:val="28"/>
        </w:rPr>
        <w:t xml:space="preserve"> arī </w:t>
      </w:r>
      <w:r w:rsidRPr="00590E37">
        <w:rPr>
          <w:color w:val="auto"/>
          <w:sz w:val="28"/>
          <w:szCs w:val="28"/>
        </w:rPr>
        <w:t>ir atbildīgs</w:t>
      </w:r>
      <w:r w:rsidRPr="00590E37">
        <w:rPr>
          <w:sz w:val="28"/>
          <w:szCs w:val="28"/>
        </w:rPr>
        <w:t xml:space="preserve"> par valsts budžeta izpildes procesa organizāciju un vadību, </w:t>
      </w:r>
      <w:r>
        <w:rPr>
          <w:color w:val="auto"/>
          <w:sz w:val="28"/>
          <w:szCs w:val="28"/>
        </w:rPr>
        <w:t>kā arī Valsts kases</w:t>
      </w:r>
      <w:r w:rsidRPr="00590E37">
        <w:rPr>
          <w:color w:val="auto"/>
          <w:sz w:val="28"/>
          <w:szCs w:val="28"/>
        </w:rPr>
        <w:t xml:space="preserve"> darbības uzraudzību atbilstoši </w:t>
      </w:r>
      <w:r>
        <w:rPr>
          <w:sz w:val="28"/>
          <w:szCs w:val="28"/>
        </w:rPr>
        <w:t>likuma “</w:t>
      </w:r>
      <w:r w:rsidRPr="007076E5">
        <w:rPr>
          <w:sz w:val="28"/>
          <w:szCs w:val="28"/>
        </w:rPr>
        <w:t>Likums par budžetu un finanšu vadību</w:t>
      </w:r>
      <w:r>
        <w:rPr>
          <w:sz w:val="28"/>
          <w:szCs w:val="28"/>
        </w:rPr>
        <w:t>”</w:t>
      </w:r>
      <w:r w:rsidRPr="00590E37">
        <w:rPr>
          <w:color w:val="auto"/>
          <w:sz w:val="28"/>
          <w:szCs w:val="28"/>
        </w:rPr>
        <w:t xml:space="preserve"> prasībām.</w:t>
      </w:r>
    </w:p>
    <w:p w:rsidR="00BF4753" w:rsidRPr="00590E37" w:rsidRDefault="00BF4753" w:rsidP="00BF4753">
      <w:pPr>
        <w:pStyle w:val="Default"/>
        <w:ind w:firstLine="720"/>
        <w:jc w:val="both"/>
        <w:rPr>
          <w:sz w:val="28"/>
          <w:szCs w:val="28"/>
        </w:rPr>
      </w:pPr>
      <w:r w:rsidRPr="00590E37">
        <w:rPr>
          <w:sz w:val="28"/>
          <w:szCs w:val="28"/>
        </w:rPr>
        <w:t>Finanšu ministrs gadskārtējā valsts budžeta likumprojekta vai tā grozījumu izstrādes procesa laikā informē Saeimas Budžeta un finanšu (nodokļu) komisiju par valsts budžeta plānošanas gaitu, kā arī ne retāk kā reizi ceturksnī – par valsts budžeta izpildes gaitu.</w:t>
      </w:r>
    </w:p>
    <w:p w:rsidR="00BF4753" w:rsidRPr="00590E37" w:rsidRDefault="00BF4753" w:rsidP="00BF4753">
      <w:pPr>
        <w:pStyle w:val="Default"/>
        <w:ind w:firstLine="720"/>
        <w:jc w:val="both"/>
        <w:rPr>
          <w:sz w:val="28"/>
          <w:szCs w:val="28"/>
        </w:rPr>
      </w:pPr>
      <w:r w:rsidRPr="00590E37">
        <w:rPr>
          <w:color w:val="auto"/>
          <w:sz w:val="28"/>
          <w:szCs w:val="28"/>
        </w:rPr>
        <w:t>Sa</w:t>
      </w:r>
      <w:r w:rsidRPr="00590E37">
        <w:rPr>
          <w:sz w:val="28"/>
          <w:szCs w:val="28"/>
        </w:rPr>
        <w:t xml:space="preserve">skaņā ar </w:t>
      </w:r>
      <w:r>
        <w:rPr>
          <w:sz w:val="28"/>
          <w:szCs w:val="28"/>
        </w:rPr>
        <w:t>likumu “</w:t>
      </w:r>
      <w:r w:rsidRPr="007076E5">
        <w:rPr>
          <w:sz w:val="28"/>
          <w:szCs w:val="28"/>
        </w:rPr>
        <w:t>Likums par budžetu un finanšu vadību</w:t>
      </w:r>
      <w:r>
        <w:rPr>
          <w:sz w:val="28"/>
          <w:szCs w:val="28"/>
        </w:rPr>
        <w:t>”</w:t>
      </w:r>
      <w:r w:rsidRPr="00590E37">
        <w:rPr>
          <w:sz w:val="28"/>
          <w:szCs w:val="28"/>
        </w:rPr>
        <w:t xml:space="preserve"> budžeta finansētu institūciju, budžeta nefinansētu iestāžu un pašvaldību, kā arī kapitālsabiedrību, kurās ieguldīta valsts vai pašvaldību kapitāla daļa, vadītāji ir atbildīgi par minētajā likumā noteiktās kārtības un prasību ievērošanu, izpildi un kontroli, kā arī par budžeta līdzekļu efektīvu un ekonomisku izlietošanu atbilstoši paredzētajiem mērķiem. </w:t>
      </w:r>
    </w:p>
    <w:p w:rsidR="00BF4753" w:rsidRPr="00590E37" w:rsidRDefault="00BF4753" w:rsidP="00BF4753">
      <w:pPr>
        <w:pStyle w:val="Default"/>
        <w:ind w:firstLine="720"/>
        <w:jc w:val="both"/>
        <w:rPr>
          <w:sz w:val="28"/>
          <w:szCs w:val="28"/>
        </w:rPr>
      </w:pPr>
      <w:r w:rsidRPr="00590E37">
        <w:rPr>
          <w:color w:val="auto"/>
          <w:sz w:val="28"/>
          <w:szCs w:val="28"/>
        </w:rPr>
        <w:t>Sākot ar 2016.</w:t>
      </w:r>
      <w:r>
        <w:rPr>
          <w:color w:val="auto"/>
          <w:sz w:val="28"/>
          <w:szCs w:val="28"/>
        </w:rPr>
        <w:t xml:space="preserve"> </w:t>
      </w:r>
      <w:r w:rsidRPr="00590E37">
        <w:rPr>
          <w:color w:val="auto"/>
          <w:sz w:val="28"/>
          <w:szCs w:val="28"/>
        </w:rPr>
        <w:t>gada 1.</w:t>
      </w:r>
      <w:r>
        <w:rPr>
          <w:color w:val="auto"/>
          <w:sz w:val="28"/>
          <w:szCs w:val="28"/>
        </w:rPr>
        <w:t xml:space="preserve"> </w:t>
      </w:r>
      <w:r w:rsidRPr="00590E37">
        <w:rPr>
          <w:color w:val="auto"/>
          <w:sz w:val="28"/>
          <w:szCs w:val="28"/>
        </w:rPr>
        <w:t xml:space="preserve">janvāri </w:t>
      </w:r>
      <w:r>
        <w:rPr>
          <w:sz w:val="28"/>
          <w:szCs w:val="28"/>
        </w:rPr>
        <w:t>likumā “</w:t>
      </w:r>
      <w:r w:rsidRPr="007076E5">
        <w:rPr>
          <w:sz w:val="28"/>
          <w:szCs w:val="28"/>
        </w:rPr>
        <w:t>Likums par budžetu un finanšu vadību</w:t>
      </w:r>
      <w:r>
        <w:rPr>
          <w:sz w:val="28"/>
          <w:szCs w:val="28"/>
        </w:rPr>
        <w:t>”</w:t>
      </w:r>
      <w:r w:rsidRPr="00590E37">
        <w:rPr>
          <w:color w:val="auto"/>
          <w:sz w:val="28"/>
          <w:szCs w:val="28"/>
        </w:rPr>
        <w:t xml:space="preserve"> ir ie</w:t>
      </w:r>
      <w:r>
        <w:rPr>
          <w:color w:val="auto"/>
          <w:sz w:val="28"/>
          <w:szCs w:val="28"/>
        </w:rPr>
        <w:t>kļauta norma, kas paredz Ministru kabinetam</w:t>
      </w:r>
      <w:r w:rsidRPr="00590E37">
        <w:rPr>
          <w:color w:val="auto"/>
          <w:sz w:val="28"/>
          <w:szCs w:val="28"/>
        </w:rPr>
        <w:t xml:space="preserve"> nodrošināt pastāvīgu un sistemātisku valsts budžeta izdevumu pārskatīšanu, ļaujot efektīvāk un ekonomiskāk īstenot valsts politiku, kā arī optimizēt budžeta izdevumus un izvērtēt to atbilstību attīstības plānošanas dokumentos noteiktajām prioritātēm un mērķiem. </w:t>
      </w:r>
      <w:r>
        <w:rPr>
          <w:sz w:val="28"/>
          <w:szCs w:val="28"/>
        </w:rPr>
        <w:t>Ministru kabinets</w:t>
      </w:r>
      <w:r w:rsidRPr="00590E37">
        <w:rPr>
          <w:sz w:val="28"/>
          <w:szCs w:val="28"/>
        </w:rPr>
        <w:t xml:space="preserve"> ik gadu pieņem lēmumu par valsts budžeta izdevumu pārskatīšanas tvērumu vienlaikus ar budžeta sagatavošanas grafika apstiprināšanu. Savukārt finanšu ministrs atbilstoš</w:t>
      </w:r>
      <w:r>
        <w:rPr>
          <w:sz w:val="28"/>
          <w:szCs w:val="28"/>
        </w:rPr>
        <w:t>i minētajam grafikam iesniedz Ministru kabinetā</w:t>
      </w:r>
      <w:r w:rsidRPr="00590E37">
        <w:rPr>
          <w:sz w:val="28"/>
          <w:szCs w:val="28"/>
        </w:rPr>
        <w:t xml:space="preserve"> valsts budžeta izdevumu pārskatīšanas rezultātus un priekšlikumus par šo rezultātu izmantošanu </w:t>
      </w:r>
      <w:r>
        <w:rPr>
          <w:sz w:val="28"/>
          <w:szCs w:val="28"/>
        </w:rPr>
        <w:t xml:space="preserve">vidēja termiņa budžeta </w:t>
      </w:r>
      <w:r>
        <w:rPr>
          <w:color w:val="000000" w:themeColor="text1"/>
          <w:sz w:val="28"/>
          <w:szCs w:val="28"/>
        </w:rPr>
        <w:t>i</w:t>
      </w:r>
      <w:r w:rsidRPr="00590E37">
        <w:rPr>
          <w:color w:val="000000" w:themeColor="text1"/>
          <w:sz w:val="28"/>
          <w:szCs w:val="28"/>
        </w:rPr>
        <w:t>etvara</w:t>
      </w:r>
      <w:r>
        <w:rPr>
          <w:sz w:val="28"/>
          <w:szCs w:val="28"/>
        </w:rPr>
        <w:t xml:space="preserve"> likuma projekta</w:t>
      </w:r>
      <w:r w:rsidRPr="00590E37">
        <w:rPr>
          <w:sz w:val="28"/>
          <w:szCs w:val="28"/>
        </w:rPr>
        <w:t xml:space="preserve"> </w:t>
      </w:r>
      <w:r>
        <w:rPr>
          <w:sz w:val="28"/>
          <w:szCs w:val="28"/>
        </w:rPr>
        <w:t>attiecīgajiem gadiem</w:t>
      </w:r>
      <w:r w:rsidRPr="00590E37">
        <w:rPr>
          <w:sz w:val="28"/>
          <w:szCs w:val="28"/>
        </w:rPr>
        <w:t xml:space="preserve"> un gadskārtējā valsts budžeta likuma projekta izstrādes procesā.</w:t>
      </w:r>
    </w:p>
    <w:p w:rsidR="00BF4753" w:rsidRPr="00590E37" w:rsidRDefault="00BF4753" w:rsidP="00BF4753">
      <w:pPr>
        <w:pStyle w:val="Default"/>
        <w:ind w:firstLine="720"/>
        <w:jc w:val="both"/>
        <w:rPr>
          <w:sz w:val="28"/>
          <w:szCs w:val="28"/>
        </w:rPr>
      </w:pPr>
      <w:r w:rsidRPr="00590E37">
        <w:rPr>
          <w:sz w:val="28"/>
          <w:szCs w:val="28"/>
        </w:rPr>
        <w:t>Tvērumā 2021.</w:t>
      </w:r>
      <w:r>
        <w:rPr>
          <w:sz w:val="28"/>
          <w:szCs w:val="28"/>
        </w:rPr>
        <w:t xml:space="preserve"> </w:t>
      </w:r>
      <w:r w:rsidRPr="00590E37">
        <w:rPr>
          <w:sz w:val="28"/>
          <w:szCs w:val="28"/>
        </w:rPr>
        <w:t xml:space="preserve">gadam ietverti trīs tematiskie bloki, kas paredz nozaru ministriju pārraudzībā esošo finansēšanas politiku analīzi, horizontālos pasākumus </w:t>
      </w:r>
      <w:r w:rsidRPr="00590E37">
        <w:rPr>
          <w:sz w:val="28"/>
          <w:szCs w:val="28"/>
        </w:rPr>
        <w:lastRenderedPageBreak/>
        <w:t>finanšu resursu pārdalei par labu aktuālajām prioritātēm un procesu un sistēmu pilnveidošanu (skat. 5.1.</w:t>
      </w:r>
      <w:r>
        <w:rPr>
          <w:sz w:val="28"/>
          <w:szCs w:val="28"/>
        </w:rPr>
        <w:t xml:space="preserve"> att.</w:t>
      </w:r>
      <w:r w:rsidRPr="00590E37">
        <w:rPr>
          <w:sz w:val="28"/>
          <w:szCs w:val="28"/>
        </w:rPr>
        <w:t>).</w:t>
      </w:r>
    </w:p>
    <w:p w:rsidR="00BF4753" w:rsidRDefault="00BF4753" w:rsidP="00BF4753">
      <w:pPr>
        <w:pStyle w:val="Default"/>
        <w:jc w:val="center"/>
        <w:rPr>
          <w:rStyle w:val="NoSpacingChar"/>
        </w:rPr>
      </w:pPr>
      <w:r w:rsidRPr="00590E37">
        <w:rPr>
          <w:noProof/>
          <w:sz w:val="28"/>
          <w:szCs w:val="28"/>
        </w:rPr>
        <w:drawing>
          <wp:inline distT="0" distB="0" distL="0" distR="0" wp14:anchorId="6BD533BE" wp14:editId="6D2EFA01">
            <wp:extent cx="5274310" cy="36367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3636717"/>
                    </a:xfrm>
                    <a:prstGeom prst="rect">
                      <a:avLst/>
                    </a:prstGeom>
                    <a:noFill/>
                    <a:ln>
                      <a:noFill/>
                    </a:ln>
                  </pic:spPr>
                </pic:pic>
              </a:graphicData>
            </a:graphic>
          </wp:inline>
        </w:drawing>
      </w:r>
    </w:p>
    <w:p w:rsidR="00BF4753" w:rsidRPr="00590E37" w:rsidRDefault="00BF4753" w:rsidP="00BF4753">
      <w:pPr>
        <w:pStyle w:val="Default"/>
        <w:jc w:val="center"/>
        <w:rPr>
          <w:b/>
          <w:i/>
          <w:sz w:val="28"/>
          <w:szCs w:val="28"/>
          <w:highlight w:val="yellow"/>
        </w:rPr>
      </w:pPr>
      <w:r w:rsidRPr="00590E37">
        <w:rPr>
          <w:rStyle w:val="NoSpacingChar"/>
          <w:b/>
          <w:i/>
        </w:rPr>
        <w:t>5.1.</w:t>
      </w:r>
      <w:r>
        <w:rPr>
          <w:rStyle w:val="NoSpacingChar"/>
          <w:b/>
          <w:i/>
        </w:rPr>
        <w:t xml:space="preserve"> </w:t>
      </w:r>
      <w:r w:rsidRPr="00590E37">
        <w:rPr>
          <w:rStyle w:val="NoSpacingChar"/>
          <w:b/>
          <w:i/>
        </w:rPr>
        <w:t>att. Izdevumu pārskatīšanas tvērums 2021. </w:t>
      </w:r>
      <w:r>
        <w:rPr>
          <w:rStyle w:val="NoSpacingChar"/>
          <w:b/>
          <w:i/>
        </w:rPr>
        <w:t>gadam</w:t>
      </w:r>
    </w:p>
    <w:p w:rsidR="00BF4753" w:rsidRPr="00590E37" w:rsidRDefault="00BF4753" w:rsidP="00BF4753">
      <w:pPr>
        <w:pStyle w:val="Default"/>
        <w:ind w:firstLine="720"/>
        <w:jc w:val="both"/>
        <w:rPr>
          <w:sz w:val="28"/>
          <w:szCs w:val="28"/>
        </w:rPr>
      </w:pPr>
    </w:p>
    <w:p w:rsidR="00BF4753" w:rsidRPr="00590E37" w:rsidRDefault="00BF4753" w:rsidP="00BF4753">
      <w:pPr>
        <w:pStyle w:val="Default"/>
        <w:ind w:firstLine="720"/>
        <w:jc w:val="both"/>
        <w:rPr>
          <w:color w:val="auto"/>
          <w:sz w:val="28"/>
          <w:szCs w:val="28"/>
        </w:rPr>
      </w:pPr>
      <w:r w:rsidRPr="00590E37">
        <w:rPr>
          <w:sz w:val="28"/>
          <w:szCs w:val="28"/>
        </w:rPr>
        <w:t>Valsts budžetu veido</w:t>
      </w:r>
      <w:r w:rsidRPr="00590E37">
        <w:rPr>
          <w:color w:val="auto"/>
          <w:sz w:val="28"/>
          <w:szCs w:val="28"/>
        </w:rPr>
        <w:t xml:space="preserve"> budžeta programmas, kuru struktūru nosaka institūcijas darbības stratēģijā definētie darbības (rīcības) virzieni vai ministrijas vai citas centrālās valsts iestādes nolikumā noteiktās funkcijas. Tādējādi tiek veidota sasaiste budžeta izstrādei ar politikas plānošanu, jo viens no institūciju darbības stratēģijas uzdevumiem vidējā termiņā ir panākt, ka budžeta programmas nodrošina attīstības plānošanas dokumentos izvirzīto mērķu un plānoto rezultātu un to rezultatīvo rādītāju sasniegšanu. Ministrijas un citas centrālās valsts iestādes katru gadu iekļauj budžeta pieprasījumos valsts budžeta programmu darbības rezultātus, kurus</w:t>
      </w:r>
      <w:r w:rsidRPr="00590E37">
        <w:rPr>
          <w:sz w:val="28"/>
          <w:szCs w:val="28"/>
        </w:rPr>
        <w:t xml:space="preserve"> </w:t>
      </w:r>
      <w:r w:rsidRPr="00590E37">
        <w:rPr>
          <w:color w:val="auto"/>
          <w:sz w:val="28"/>
          <w:szCs w:val="28"/>
        </w:rPr>
        <w:t>pēc iespējas veido attīstības plānošanas dokumentos plānotie darbības rezultāti un to rezultatīvie rādītāji. Pilnveidojot budžeta paskaidrojumu saturu ar mērķi sniegt informāciju par valsts budžetu kā politikas realizācijas instrumentu un palielināt budžeta paskaidrojumos esošās informācijas uztveramību – tika ieviestas Politikas un resursu vadības kartes, kuras sniedz padziļinātu priekšstatu par nozaru politiku rezultātu sasniegšanā ieguldītajiem resursiem (finanšu un cilvēkresursiem) un par nozares darbības rezultātā sniegto labumu sabiedrībai.</w:t>
      </w:r>
    </w:p>
    <w:p w:rsidR="00BF4753" w:rsidRPr="00590E37" w:rsidRDefault="00BF4753" w:rsidP="00BF4753">
      <w:pPr>
        <w:pStyle w:val="Default"/>
        <w:ind w:firstLine="720"/>
        <w:jc w:val="both"/>
        <w:rPr>
          <w:color w:val="auto"/>
          <w:sz w:val="28"/>
          <w:szCs w:val="28"/>
        </w:rPr>
      </w:pPr>
      <w:r w:rsidRPr="00590E37">
        <w:rPr>
          <w:color w:val="auto"/>
          <w:sz w:val="28"/>
          <w:szCs w:val="28"/>
        </w:rPr>
        <w:t>Papildus pilnveidotais budžeta formāts ir devis iespēju interaktīvā un uzskatāmā veidā informēt Latvijas iedzīvotājus par to, kādās jomās un kādā apmērā tiek ieguldīta nodokļu maksātāju nauda un kādi rezultāti sag</w:t>
      </w:r>
      <w:r>
        <w:rPr>
          <w:color w:val="auto"/>
          <w:sz w:val="28"/>
          <w:szCs w:val="28"/>
        </w:rPr>
        <w:t>aidāmi. Ikvienam interesentam Finanšu ministrijas</w:t>
      </w:r>
      <w:r w:rsidRPr="00590E37">
        <w:rPr>
          <w:color w:val="auto"/>
          <w:sz w:val="28"/>
          <w:szCs w:val="28"/>
        </w:rPr>
        <w:t xml:space="preserve"> tīmekļvietnē ir pieejama: </w:t>
      </w:r>
    </w:p>
    <w:p w:rsidR="00BF4753" w:rsidRPr="00590E37" w:rsidRDefault="00BF4753" w:rsidP="00BF4753">
      <w:pPr>
        <w:pStyle w:val="Default"/>
        <w:numPr>
          <w:ilvl w:val="0"/>
          <w:numId w:val="6"/>
        </w:numPr>
        <w:ind w:left="993"/>
        <w:jc w:val="both"/>
        <w:rPr>
          <w:sz w:val="28"/>
          <w:szCs w:val="28"/>
        </w:rPr>
      </w:pPr>
      <w:r w:rsidRPr="00590E37">
        <w:rPr>
          <w:sz w:val="28"/>
          <w:szCs w:val="28"/>
        </w:rPr>
        <w:t xml:space="preserve">interaktīvā budžeta infografika, kas ļauj lietotājam iepazīties ar deviņām budžeta ieguldījuma jomām (piemēram, veselība, izglītība, sociālā aizsardzība u.c.) un tām novirzīto finansējumu, kā arī uzzināt detalizētu </w:t>
      </w:r>
      <w:r w:rsidRPr="00590E37">
        <w:rPr>
          <w:sz w:val="28"/>
          <w:szCs w:val="28"/>
        </w:rPr>
        <w:lastRenderedPageBreak/>
        <w:t>informāciju par ieguldījuma virzieniem katrā no nozarēm un finansējuma avotiem. Papildus tiek sniegta informācija par rezultātiem, kuri sagaidāmi no valsts budžeta finansējuma ieguldīšanas attiecīgajā jomā;</w:t>
      </w:r>
    </w:p>
    <w:p w:rsidR="00BF4753" w:rsidRPr="00590E37" w:rsidRDefault="00BF4753" w:rsidP="00BF4753">
      <w:pPr>
        <w:pStyle w:val="Default"/>
        <w:numPr>
          <w:ilvl w:val="0"/>
          <w:numId w:val="6"/>
        </w:numPr>
        <w:ind w:left="993"/>
        <w:jc w:val="both"/>
        <w:rPr>
          <w:sz w:val="28"/>
          <w:szCs w:val="28"/>
        </w:rPr>
      </w:pPr>
      <w:r w:rsidRPr="00590E37">
        <w:rPr>
          <w:sz w:val="28"/>
          <w:szCs w:val="28"/>
        </w:rPr>
        <w:t xml:space="preserve">vizualizēti ministriju un citu centrālo valsts iestāžu budžeti gan kopsavilkumā, gan detalizēti. Lietotājs var iepazīties ar ministriju un citu centrālo valsts iestāžu darbības jomām un tām novirzīto finansējumu, kā arī gūt priekšstatu par nozares darbības rezultātā sniegto labumu sabiedrībai. Tas tiek atspoguļots politikas un resursu vadības kartēs, kurās vienkopus ir sniegta iespējami aptveroša un raksturojoša informācija par nozares darbu attiecīgajā jomā – mērķis, tā sasniegšanā ieguldāmie resursi (angļu val. – </w:t>
      </w:r>
      <w:r w:rsidRPr="00590E37">
        <w:rPr>
          <w:i/>
          <w:sz w:val="28"/>
          <w:szCs w:val="28"/>
        </w:rPr>
        <w:t>inputs</w:t>
      </w:r>
      <w:r w:rsidRPr="00590E37">
        <w:rPr>
          <w:sz w:val="28"/>
          <w:szCs w:val="28"/>
        </w:rPr>
        <w:t xml:space="preserve">), sagaidāmie darbības rezultāti (angļu val. – </w:t>
      </w:r>
      <w:r w:rsidRPr="00590E37">
        <w:rPr>
          <w:i/>
          <w:sz w:val="28"/>
          <w:szCs w:val="28"/>
        </w:rPr>
        <w:t>outputs</w:t>
      </w:r>
      <w:r w:rsidRPr="00590E37">
        <w:rPr>
          <w:sz w:val="28"/>
          <w:szCs w:val="28"/>
        </w:rPr>
        <w:t xml:space="preserve">) un augstākā līmeņa sasniedzamie nozaru politikas un kvalitātes rādītāji (angļu val. – </w:t>
      </w:r>
      <w:r w:rsidRPr="00590E37">
        <w:rPr>
          <w:i/>
          <w:sz w:val="28"/>
          <w:szCs w:val="28"/>
        </w:rPr>
        <w:t>outcomes</w:t>
      </w:r>
      <w:r w:rsidRPr="00590E37">
        <w:rPr>
          <w:sz w:val="28"/>
          <w:szCs w:val="28"/>
        </w:rPr>
        <w:t>).</w:t>
      </w:r>
    </w:p>
    <w:p w:rsidR="00BF4753" w:rsidRPr="00590E37" w:rsidRDefault="00BF4753" w:rsidP="00BF4753">
      <w:pPr>
        <w:pStyle w:val="Default"/>
        <w:ind w:firstLine="720"/>
        <w:jc w:val="both"/>
        <w:rPr>
          <w:color w:val="auto"/>
          <w:sz w:val="28"/>
          <w:szCs w:val="28"/>
        </w:rPr>
      </w:pPr>
      <w:r w:rsidRPr="00590E37">
        <w:rPr>
          <w:color w:val="auto"/>
          <w:sz w:val="28"/>
          <w:szCs w:val="28"/>
        </w:rPr>
        <w:t>Sagatavojot pārskatu par valsts budžeta izpildes analīzi, ministrijas un citas centrālās valsts iestādes sniedz skaidrojumus par iepriekš plānotajiem rezultātiem un to rezultatīvajiem rādītājiem, to izpildi gada laikā, kā arī par rezultatīvo rādītāju vērtību izpildes novirzēm no plānotajām rezultatīvo rādītāju vērtībām, kas pārsniedz 15 procentus (gan po</w:t>
      </w:r>
      <w:r>
        <w:rPr>
          <w:color w:val="auto"/>
          <w:sz w:val="28"/>
          <w:szCs w:val="28"/>
        </w:rPr>
        <w:t>zitīvā, gan negatīvā nozīmē). Finanšu ministrija</w:t>
      </w:r>
      <w:r w:rsidRPr="00590E37">
        <w:rPr>
          <w:color w:val="auto"/>
          <w:sz w:val="28"/>
          <w:szCs w:val="28"/>
        </w:rPr>
        <w:t xml:space="preserve"> apkopo, izvērtē un nodrošina gan Politikas un resursu vadības kartēs norādīto rezultātu un to rezultatīvo rādītāju, gan valsts budžeta programmu (apakšprogrammu) darbības rezultātu un to rezultatīvo rādītāju uzkrāšanu.</w:t>
      </w:r>
    </w:p>
    <w:p w:rsidR="00BF4753" w:rsidRPr="00590E37" w:rsidRDefault="00BF4753" w:rsidP="00BF4753">
      <w:pPr>
        <w:pStyle w:val="Default"/>
        <w:ind w:firstLine="720"/>
        <w:jc w:val="both"/>
        <w:rPr>
          <w:sz w:val="28"/>
          <w:szCs w:val="28"/>
        </w:rPr>
      </w:pPr>
      <w:r>
        <w:rPr>
          <w:sz w:val="28"/>
          <w:szCs w:val="28"/>
        </w:rPr>
        <w:t>Likums “</w:t>
      </w:r>
      <w:r w:rsidRPr="007076E5">
        <w:rPr>
          <w:sz w:val="28"/>
          <w:szCs w:val="28"/>
        </w:rPr>
        <w:t>Likums par budžetu un finanšu vadību</w:t>
      </w:r>
      <w:r>
        <w:rPr>
          <w:sz w:val="28"/>
          <w:szCs w:val="28"/>
        </w:rPr>
        <w:t>”</w:t>
      </w:r>
      <w:r w:rsidRPr="00590E37">
        <w:rPr>
          <w:sz w:val="28"/>
          <w:szCs w:val="28"/>
        </w:rPr>
        <w:t xml:space="preserve">  nosaka sekojošus valsts budžeta izpildes organizatoriskos aspektus:</w:t>
      </w:r>
    </w:p>
    <w:p w:rsidR="00BF4753" w:rsidRPr="00590E37" w:rsidRDefault="00BF4753" w:rsidP="00BF4753">
      <w:pPr>
        <w:pStyle w:val="Default"/>
        <w:numPr>
          <w:ilvl w:val="0"/>
          <w:numId w:val="6"/>
        </w:numPr>
        <w:ind w:left="993"/>
        <w:jc w:val="both"/>
        <w:rPr>
          <w:color w:val="auto"/>
          <w:sz w:val="28"/>
          <w:szCs w:val="28"/>
        </w:rPr>
      </w:pPr>
      <w:r w:rsidRPr="00590E37">
        <w:rPr>
          <w:sz w:val="28"/>
          <w:szCs w:val="28"/>
        </w:rPr>
        <w:t>valsts budžeta izpildītāji var veikt valsts budžeta izdevumus vai uzņemties īstermiņa saistības tikai to finansēšanas plānos noteikto asignē</w:t>
      </w:r>
      <w:r>
        <w:rPr>
          <w:sz w:val="28"/>
          <w:szCs w:val="28"/>
        </w:rPr>
        <w:t>jumu ietvaros, kurus izsniedz Valsts kase. Savukārt Valsts kase</w:t>
      </w:r>
      <w:r w:rsidRPr="00590E37">
        <w:rPr>
          <w:sz w:val="28"/>
          <w:szCs w:val="28"/>
        </w:rPr>
        <w:t xml:space="preserve"> piešķir asignējumus izdevumiem saskaņā ar gadskārtējā valsts budžeta likumā noteikto apropri</w:t>
      </w:r>
      <w:r>
        <w:rPr>
          <w:sz w:val="28"/>
          <w:szCs w:val="28"/>
        </w:rPr>
        <w:t>āciju un nodrošina to izpildi Ministru kabineta</w:t>
      </w:r>
      <w:r w:rsidRPr="00590E37">
        <w:rPr>
          <w:sz w:val="28"/>
          <w:szCs w:val="28"/>
        </w:rPr>
        <w:t xml:space="preserve"> noteiktajā kārtībā. </w:t>
      </w:r>
      <w:r w:rsidRPr="00590E37">
        <w:rPr>
          <w:color w:val="auto"/>
          <w:sz w:val="28"/>
          <w:szCs w:val="28"/>
        </w:rPr>
        <w:t>Ministrijas un citas centrālās valsts iestādes ir atbildīgas par gadskārtējā valsts budžeta likumā noteiktās apropriācijas izpildes kont</w:t>
      </w:r>
      <w:r>
        <w:rPr>
          <w:color w:val="auto"/>
          <w:sz w:val="28"/>
          <w:szCs w:val="28"/>
        </w:rPr>
        <w:t>roles sistēmas izveidi un par Valsts kases</w:t>
      </w:r>
      <w:r w:rsidRPr="00590E37">
        <w:rPr>
          <w:color w:val="auto"/>
          <w:sz w:val="28"/>
          <w:szCs w:val="28"/>
        </w:rPr>
        <w:t xml:space="preserve"> norēķinu kontos ieskaitīto valsts budžeta līdzekļu izlietojuma kontroli atbilstoši paredzētajiem mērķiem;</w:t>
      </w:r>
    </w:p>
    <w:p w:rsidR="00BF4753" w:rsidRPr="00590E37" w:rsidRDefault="00BF4753" w:rsidP="00BF4753">
      <w:pPr>
        <w:pStyle w:val="Default"/>
        <w:numPr>
          <w:ilvl w:val="0"/>
          <w:numId w:val="6"/>
        </w:numPr>
        <w:ind w:left="993"/>
        <w:jc w:val="both"/>
        <w:rPr>
          <w:sz w:val="28"/>
          <w:szCs w:val="28"/>
        </w:rPr>
      </w:pPr>
      <w:r w:rsidRPr="00590E37">
        <w:rPr>
          <w:sz w:val="28"/>
          <w:szCs w:val="28"/>
        </w:rPr>
        <w:t>budžeta iestādes var uzņemties valsts budžeta ilgtermiņa saistības, nepārsniedzot saimnieciskā gada valsts budžeta likumā noteiktos valsts budžeta ilgtermiņa saistību maksimāli pieļaujamos apjomus;</w:t>
      </w:r>
    </w:p>
    <w:p w:rsidR="00BF4753" w:rsidRDefault="00BF4753" w:rsidP="00BF4753">
      <w:pPr>
        <w:pStyle w:val="Default"/>
        <w:numPr>
          <w:ilvl w:val="0"/>
          <w:numId w:val="6"/>
        </w:numPr>
        <w:ind w:left="993"/>
        <w:jc w:val="both"/>
        <w:rPr>
          <w:color w:val="auto"/>
          <w:sz w:val="28"/>
          <w:szCs w:val="28"/>
        </w:rPr>
      </w:pPr>
      <w:r w:rsidRPr="00590E37">
        <w:rPr>
          <w:color w:val="auto"/>
          <w:sz w:val="28"/>
          <w:szCs w:val="28"/>
        </w:rPr>
        <w:t xml:space="preserve">valsts budžeta iestādes asignējumu saņemšanai un izdevumu veikšanai no valsts budžeta līdzekļiem atver valsts pamatbudžeta un valsts </w:t>
      </w:r>
      <w:r>
        <w:rPr>
          <w:color w:val="auto"/>
          <w:sz w:val="28"/>
          <w:szCs w:val="28"/>
        </w:rPr>
        <w:t>speciālā budžeta kontus tikai Valsts kasē.</w:t>
      </w:r>
    </w:p>
    <w:p w:rsidR="00BF4753" w:rsidRPr="00590E37" w:rsidRDefault="00BF4753" w:rsidP="00BF4753">
      <w:pPr>
        <w:pStyle w:val="Default"/>
        <w:numPr>
          <w:ilvl w:val="0"/>
          <w:numId w:val="6"/>
        </w:numPr>
        <w:ind w:left="993"/>
        <w:jc w:val="both"/>
        <w:rPr>
          <w:color w:val="auto"/>
          <w:sz w:val="28"/>
          <w:szCs w:val="28"/>
        </w:rPr>
      </w:pPr>
      <w:r w:rsidRPr="00590E37">
        <w:rPr>
          <w:color w:val="auto"/>
          <w:sz w:val="28"/>
          <w:szCs w:val="28"/>
        </w:rPr>
        <w:t>Budžeta nefinansētas iestāde</w:t>
      </w:r>
      <w:r>
        <w:rPr>
          <w:color w:val="auto"/>
          <w:sz w:val="28"/>
          <w:szCs w:val="28"/>
        </w:rPr>
        <w:t>s atver norēķinu kontus tikai Valsts kasē</w:t>
      </w:r>
      <w:r w:rsidRPr="00590E37">
        <w:rPr>
          <w:color w:val="auto"/>
          <w:sz w:val="28"/>
          <w:szCs w:val="28"/>
        </w:rPr>
        <w:t>. Valsts budžeta līdzekļu saņemšanai un no tiem finansēto izdevumu izdarīšanai budžeta finansētas institūcijas (izņemot valsts budžeta iestādes</w:t>
      </w:r>
      <w:r>
        <w:rPr>
          <w:color w:val="auto"/>
          <w:sz w:val="28"/>
          <w:szCs w:val="28"/>
        </w:rPr>
        <w:t>) atver norēķinu kontus tikai Valsts kasē</w:t>
      </w:r>
      <w:r w:rsidRPr="00590E37">
        <w:rPr>
          <w:color w:val="auto"/>
          <w:sz w:val="28"/>
          <w:szCs w:val="28"/>
        </w:rPr>
        <w:t xml:space="preserve">, ja citos normatīvajos aktos nav noteikts citādi. Pašvaldības, no valsts budžeta daļēji finansētas atvasinātas publiskas personas un kapitālsabiedrības, kurās ieguldīta valsts vai </w:t>
      </w:r>
      <w:r w:rsidRPr="00590E37">
        <w:rPr>
          <w:color w:val="auto"/>
          <w:sz w:val="28"/>
          <w:szCs w:val="28"/>
        </w:rPr>
        <w:lastRenderedPageBreak/>
        <w:t>pašvaldību kapitāla daļ</w:t>
      </w:r>
      <w:r>
        <w:rPr>
          <w:color w:val="auto"/>
          <w:sz w:val="28"/>
          <w:szCs w:val="28"/>
        </w:rPr>
        <w:t>a, var atvērt norēķinu kontus Valsts kasē</w:t>
      </w:r>
      <w:r w:rsidRPr="00590E37">
        <w:rPr>
          <w:color w:val="auto"/>
          <w:sz w:val="28"/>
          <w:szCs w:val="28"/>
        </w:rPr>
        <w:t xml:space="preserve"> naudas līdzekļiem, kuri nav saņemti no valsts budžeta;</w:t>
      </w:r>
    </w:p>
    <w:p w:rsidR="00BF4753" w:rsidRPr="007076E5" w:rsidRDefault="00BF4753" w:rsidP="00BF4753">
      <w:pPr>
        <w:pStyle w:val="Default"/>
        <w:numPr>
          <w:ilvl w:val="0"/>
          <w:numId w:val="6"/>
        </w:numPr>
        <w:ind w:left="993"/>
        <w:jc w:val="both"/>
        <w:rPr>
          <w:sz w:val="28"/>
          <w:szCs w:val="28"/>
        </w:rPr>
      </w:pPr>
      <w:r w:rsidRPr="00590E37">
        <w:rPr>
          <w:sz w:val="28"/>
          <w:szCs w:val="28"/>
        </w:rPr>
        <w:t>ministrijas un citas centrālās valsts bu</w:t>
      </w:r>
      <w:r>
        <w:rPr>
          <w:sz w:val="28"/>
          <w:szCs w:val="28"/>
        </w:rPr>
        <w:t>džeta iestādes un pašvaldības Ministru kabineta</w:t>
      </w:r>
      <w:r w:rsidRPr="00590E37">
        <w:rPr>
          <w:sz w:val="28"/>
          <w:szCs w:val="28"/>
        </w:rPr>
        <w:t xml:space="preserve"> noteiktajā</w:t>
      </w:r>
      <w:r>
        <w:rPr>
          <w:sz w:val="28"/>
          <w:szCs w:val="28"/>
        </w:rPr>
        <w:t xml:space="preserve"> kārtībā sagatavo un iesniedz Valsts kasē</w:t>
      </w:r>
      <w:r w:rsidRPr="00590E37">
        <w:rPr>
          <w:sz w:val="28"/>
          <w:szCs w:val="28"/>
        </w:rPr>
        <w:t xml:space="preserve"> ceturk</w:t>
      </w:r>
      <w:r>
        <w:rPr>
          <w:sz w:val="28"/>
          <w:szCs w:val="28"/>
        </w:rPr>
        <w:t>šņa pārskatus, savukārt, Valsts kase</w:t>
      </w:r>
      <w:r w:rsidRPr="00590E37">
        <w:rPr>
          <w:sz w:val="28"/>
          <w:szCs w:val="28"/>
        </w:rPr>
        <w:t xml:space="preserve"> kārto val</w:t>
      </w:r>
      <w:r>
        <w:rPr>
          <w:sz w:val="28"/>
          <w:szCs w:val="28"/>
        </w:rPr>
        <w:t>sts budžeta finanšu uzskaiti. Valsts kase</w:t>
      </w:r>
      <w:r w:rsidRPr="00590E37">
        <w:rPr>
          <w:sz w:val="28"/>
          <w:szCs w:val="28"/>
        </w:rPr>
        <w:t xml:space="preserve"> sagatavo regulārus oficiālos un operatīvos pārskatus un sniedz informāciju par valsts un pašvaldīb</w:t>
      </w:r>
      <w:r>
        <w:rPr>
          <w:sz w:val="28"/>
          <w:szCs w:val="28"/>
        </w:rPr>
        <w:t>u budžetu izpildi, nodrošinot Finanšu ministrijas</w:t>
      </w:r>
      <w:r w:rsidRPr="00590E37">
        <w:rPr>
          <w:sz w:val="28"/>
          <w:szCs w:val="28"/>
        </w:rPr>
        <w:t>, citu iestāžu, kā arī sabiedrības informēšanu par budžeta izpildes gaitu.</w:t>
      </w:r>
    </w:p>
    <w:p w:rsidR="00BF4753" w:rsidRPr="00590E37" w:rsidRDefault="00BF4753" w:rsidP="00BF4753">
      <w:pPr>
        <w:pStyle w:val="Default"/>
        <w:ind w:firstLine="720"/>
        <w:jc w:val="both"/>
        <w:rPr>
          <w:color w:val="auto"/>
          <w:sz w:val="28"/>
          <w:szCs w:val="28"/>
        </w:rPr>
      </w:pPr>
      <w:r w:rsidRPr="00590E37">
        <w:rPr>
          <w:color w:val="auto"/>
          <w:sz w:val="28"/>
          <w:szCs w:val="28"/>
        </w:rPr>
        <w:t xml:space="preserve">Lai stiprinātu līdzekļu izlietojuma kontroles iespējas, </w:t>
      </w:r>
      <w:r>
        <w:rPr>
          <w:sz w:val="28"/>
          <w:szCs w:val="28"/>
        </w:rPr>
        <w:t>likumā “</w:t>
      </w:r>
      <w:r w:rsidRPr="007076E5">
        <w:rPr>
          <w:sz w:val="28"/>
          <w:szCs w:val="28"/>
        </w:rPr>
        <w:t>Likums par budžetu un finanšu vadību</w:t>
      </w:r>
      <w:r>
        <w:rPr>
          <w:sz w:val="28"/>
          <w:szCs w:val="28"/>
        </w:rPr>
        <w:t>”</w:t>
      </w:r>
      <w:r w:rsidRPr="00590E37">
        <w:rPr>
          <w:sz w:val="28"/>
          <w:szCs w:val="28"/>
        </w:rPr>
        <w:t xml:space="preserve"> </w:t>
      </w:r>
      <w:r w:rsidRPr="00590E37">
        <w:rPr>
          <w:color w:val="auto"/>
          <w:sz w:val="28"/>
          <w:szCs w:val="28"/>
        </w:rPr>
        <w:t xml:space="preserve"> ir ietverta norma, kas nosaka, ka finanšu minis</w:t>
      </w:r>
      <w:r>
        <w:rPr>
          <w:color w:val="auto"/>
          <w:sz w:val="28"/>
          <w:szCs w:val="28"/>
        </w:rPr>
        <w:t>tram ir tiesības dot rīkojumu Valsts kasei</w:t>
      </w:r>
      <w:r w:rsidRPr="00590E37">
        <w:rPr>
          <w:color w:val="auto"/>
          <w:sz w:val="28"/>
          <w:szCs w:val="28"/>
        </w:rPr>
        <w:t xml:space="preserve"> aizkavēt vai samazināt asignējumu noteiktam periodam, ja finanšu ministrs ir saņēmis rakstveida ziņojumu par vismaz viena šāda nosacījuma iestāšanos:</w:t>
      </w:r>
    </w:p>
    <w:p w:rsidR="00BF4753" w:rsidRPr="00590E37" w:rsidRDefault="00BF4753" w:rsidP="00BF4753">
      <w:pPr>
        <w:pStyle w:val="Default"/>
        <w:numPr>
          <w:ilvl w:val="0"/>
          <w:numId w:val="7"/>
        </w:numPr>
        <w:ind w:left="993"/>
        <w:jc w:val="both"/>
        <w:rPr>
          <w:color w:val="auto"/>
          <w:sz w:val="28"/>
          <w:szCs w:val="28"/>
        </w:rPr>
      </w:pPr>
      <w:r w:rsidRPr="00590E37">
        <w:rPr>
          <w:color w:val="auto"/>
          <w:sz w:val="28"/>
          <w:szCs w:val="28"/>
        </w:rPr>
        <w:t>triju mēnešu periodā valsts budžeta nodokļu un nenodokļu faktiskie ieņēmumi attiecībā pret attiecīgajā periodā paredzētajiem ieņēmumiem samazinās vairāk nekā par 0,5% no gadskārtējā valsts budžeta liku</w:t>
      </w:r>
      <w:r>
        <w:rPr>
          <w:color w:val="auto"/>
          <w:sz w:val="28"/>
          <w:szCs w:val="28"/>
        </w:rPr>
        <w:t>mā noteiktās iekšzemes kopprodukta</w:t>
      </w:r>
      <w:r w:rsidRPr="00590E37">
        <w:rPr>
          <w:color w:val="auto"/>
          <w:sz w:val="28"/>
          <w:szCs w:val="28"/>
        </w:rPr>
        <w:t xml:space="preserve"> prognozes vai faktiskais uzkrātais valsts budžeta finansiālais deficīts triju mēnešu periodā pārsniedz attiecīgajam periodam paredzēto valsts budžeta finansiālo deficītu vairāk nekā par 0,5% no gadskārtējā valsts budžeta likumā noteiktās </w:t>
      </w:r>
      <w:r>
        <w:rPr>
          <w:color w:val="auto"/>
          <w:sz w:val="28"/>
          <w:szCs w:val="28"/>
        </w:rPr>
        <w:t>iekšzemes kopprodukta prognozes, vai Valsts kases</w:t>
      </w:r>
      <w:r w:rsidRPr="00590E37">
        <w:rPr>
          <w:color w:val="auto"/>
          <w:sz w:val="28"/>
          <w:szCs w:val="28"/>
        </w:rPr>
        <w:t xml:space="preserve"> budžeta kontos nav pietiekama līdzekļu apjoma, lai segtu nākamajam mēnesim plānotās maksājumu saistības;</w:t>
      </w:r>
    </w:p>
    <w:p w:rsidR="00BF4753" w:rsidRPr="007076E5" w:rsidRDefault="00BF4753" w:rsidP="00BF4753">
      <w:pPr>
        <w:pStyle w:val="Default"/>
        <w:numPr>
          <w:ilvl w:val="0"/>
          <w:numId w:val="7"/>
        </w:numPr>
        <w:ind w:left="993"/>
        <w:jc w:val="both"/>
        <w:rPr>
          <w:color w:val="auto"/>
          <w:sz w:val="28"/>
          <w:szCs w:val="28"/>
        </w:rPr>
      </w:pPr>
      <w:r w:rsidRPr="00590E37">
        <w:rPr>
          <w:color w:val="auto"/>
          <w:sz w:val="28"/>
          <w:szCs w:val="28"/>
        </w:rPr>
        <w:t>ja finanšu ministrs ir saņēmis rakstveida ziņojumu par šīs daļas 1.punktā minētā nosacījuma iestāšanos.</w:t>
      </w:r>
    </w:p>
    <w:p w:rsidR="00BF4753" w:rsidRPr="00590E37" w:rsidRDefault="00BF4753" w:rsidP="00BF4753">
      <w:pPr>
        <w:pStyle w:val="Default"/>
        <w:ind w:firstLine="720"/>
        <w:jc w:val="both"/>
        <w:rPr>
          <w:color w:val="auto"/>
          <w:sz w:val="28"/>
          <w:szCs w:val="28"/>
        </w:rPr>
      </w:pPr>
      <w:r w:rsidRPr="00590E37">
        <w:rPr>
          <w:color w:val="auto"/>
          <w:sz w:val="28"/>
          <w:szCs w:val="28"/>
        </w:rPr>
        <w:t xml:space="preserve">Galvenās </w:t>
      </w:r>
      <w:r>
        <w:rPr>
          <w:sz w:val="28"/>
          <w:szCs w:val="28"/>
        </w:rPr>
        <w:t>likumā “</w:t>
      </w:r>
      <w:r w:rsidRPr="007076E5">
        <w:rPr>
          <w:sz w:val="28"/>
          <w:szCs w:val="28"/>
        </w:rPr>
        <w:t>Likums par budžetu un finanšu vadību</w:t>
      </w:r>
      <w:r>
        <w:rPr>
          <w:sz w:val="28"/>
          <w:szCs w:val="28"/>
        </w:rPr>
        <w:t>”</w:t>
      </w:r>
      <w:r w:rsidRPr="00590E37">
        <w:rPr>
          <w:sz w:val="28"/>
          <w:szCs w:val="28"/>
        </w:rPr>
        <w:t xml:space="preserve"> </w:t>
      </w:r>
      <w:r w:rsidRPr="00590E37">
        <w:rPr>
          <w:color w:val="auto"/>
          <w:sz w:val="28"/>
          <w:szCs w:val="28"/>
        </w:rPr>
        <w:t xml:space="preserve"> noteiktās sankcijas par neatbilstošu rīcību ar budžeta līdzekļiem: </w:t>
      </w:r>
    </w:p>
    <w:p w:rsidR="00BF4753" w:rsidRPr="00590E37" w:rsidRDefault="00BF4753" w:rsidP="00BF4753">
      <w:pPr>
        <w:pStyle w:val="Default"/>
        <w:numPr>
          <w:ilvl w:val="0"/>
          <w:numId w:val="3"/>
        </w:numPr>
        <w:ind w:left="993" w:hanging="357"/>
        <w:jc w:val="both"/>
        <w:rPr>
          <w:color w:val="auto"/>
          <w:sz w:val="28"/>
          <w:szCs w:val="28"/>
        </w:rPr>
      </w:pPr>
      <w:r w:rsidRPr="00590E37">
        <w:rPr>
          <w:color w:val="auto"/>
          <w:sz w:val="28"/>
          <w:szCs w:val="28"/>
        </w:rPr>
        <w:t>par valsts budžetam pienākošos summu nesav</w:t>
      </w:r>
      <w:r>
        <w:rPr>
          <w:color w:val="auto"/>
          <w:sz w:val="28"/>
          <w:szCs w:val="28"/>
        </w:rPr>
        <w:t>laicīgu vai nepilnīgu iemaksu Valsts kases budžeta kontos – Valsts kase</w:t>
      </w:r>
      <w:r w:rsidRPr="00590E37">
        <w:rPr>
          <w:color w:val="auto"/>
          <w:sz w:val="28"/>
          <w:szCs w:val="28"/>
        </w:rPr>
        <w:t xml:space="preserve"> (ja tas nav paredzēts citas valsts institūcijas kompetencē) piedzen iemaksāšanai pamatbudžeta ieņēmumos neiemaksāto summu un var piedzīt nokavējuma naudu 0,1% apmērā no laikā nenomaksātās summas par katru nokavēto maksājuma dienu, ja normatīvajos aktos nav noteikta cita kārtība; </w:t>
      </w:r>
    </w:p>
    <w:p w:rsidR="00BF4753" w:rsidRPr="00590E37" w:rsidRDefault="00BF4753" w:rsidP="00BF4753">
      <w:pPr>
        <w:pStyle w:val="Default"/>
        <w:numPr>
          <w:ilvl w:val="0"/>
          <w:numId w:val="3"/>
        </w:numPr>
        <w:ind w:left="993"/>
        <w:jc w:val="both"/>
        <w:rPr>
          <w:color w:val="auto"/>
          <w:sz w:val="28"/>
          <w:szCs w:val="28"/>
        </w:rPr>
      </w:pPr>
      <w:r w:rsidRPr="00590E37">
        <w:rPr>
          <w:color w:val="auto"/>
          <w:sz w:val="28"/>
          <w:szCs w:val="28"/>
        </w:rPr>
        <w:t>lai segtu</w:t>
      </w:r>
      <w:r>
        <w:rPr>
          <w:color w:val="auto"/>
          <w:sz w:val="28"/>
          <w:szCs w:val="28"/>
        </w:rPr>
        <w:t xml:space="preserve"> budžetam radušos zaudējumus, Valsts kase</w:t>
      </w:r>
      <w:r w:rsidRPr="00590E37">
        <w:rPr>
          <w:color w:val="auto"/>
          <w:sz w:val="28"/>
          <w:szCs w:val="28"/>
        </w:rPr>
        <w:t xml:space="preserve"> var ieskaitīt summas pamatbudžeta ieņēmumos, atsaukt vai apturēt asignējumus, ja: nav laikā iesniegti vai ir nepilnīgi ziņojumi par budžetu un finanšu vadību; ja likumā noteiktajā kārtībā nav reģistrēti budžeta līdzekļi un darījumi ar šiem līdzekļiem, kā arī nav ziņots par tiem; ja uzskaite neatbilst noteiktajai kārtībai un tādējādi tiek slēpti budžetam pienākošie līdzekļi; ja budžeta finansētas institūcijas vadītājs ir uz</w:t>
      </w:r>
      <w:r>
        <w:rPr>
          <w:color w:val="auto"/>
          <w:sz w:val="28"/>
          <w:szCs w:val="28"/>
        </w:rPr>
        <w:t>ņēmies saistības, pārsniedzot Valsts kases</w:t>
      </w:r>
      <w:r w:rsidRPr="00590E37">
        <w:rPr>
          <w:color w:val="auto"/>
          <w:sz w:val="28"/>
          <w:szCs w:val="28"/>
        </w:rPr>
        <w:t xml:space="preserve"> sniegto asignējumu; </w:t>
      </w:r>
    </w:p>
    <w:p w:rsidR="00BF4753" w:rsidRPr="00590E37" w:rsidRDefault="00BF4753" w:rsidP="00BF4753">
      <w:pPr>
        <w:pStyle w:val="Default"/>
        <w:numPr>
          <w:ilvl w:val="0"/>
          <w:numId w:val="3"/>
        </w:numPr>
        <w:ind w:left="993"/>
        <w:jc w:val="both"/>
        <w:rPr>
          <w:color w:val="auto"/>
          <w:sz w:val="28"/>
          <w:szCs w:val="28"/>
        </w:rPr>
      </w:pPr>
      <w:r w:rsidRPr="00590E37">
        <w:rPr>
          <w:color w:val="auto"/>
          <w:sz w:val="28"/>
          <w:szCs w:val="28"/>
        </w:rPr>
        <w:t xml:space="preserve">ja budžeta finansētas institūcijas, budžeta nefinansētas iestādes un pašvaldības, kā arī kapitālsabiedrības, kurās ir ieguldīta valsts vai pašvaldību kapitāla daļa, ir pārkāpušas </w:t>
      </w:r>
      <w:r>
        <w:rPr>
          <w:sz w:val="28"/>
          <w:szCs w:val="28"/>
        </w:rPr>
        <w:t>likumā “</w:t>
      </w:r>
      <w:r w:rsidRPr="007076E5">
        <w:rPr>
          <w:sz w:val="28"/>
          <w:szCs w:val="28"/>
        </w:rPr>
        <w:t xml:space="preserve">Likums par budžetu un </w:t>
      </w:r>
      <w:r w:rsidRPr="007076E5">
        <w:rPr>
          <w:sz w:val="28"/>
          <w:szCs w:val="28"/>
        </w:rPr>
        <w:lastRenderedPageBreak/>
        <w:t>finanšu vadību</w:t>
      </w:r>
      <w:r>
        <w:rPr>
          <w:sz w:val="28"/>
          <w:szCs w:val="28"/>
        </w:rPr>
        <w:t>”</w:t>
      </w:r>
      <w:r w:rsidRPr="00590E37">
        <w:rPr>
          <w:color w:val="auto"/>
          <w:sz w:val="28"/>
          <w:szCs w:val="28"/>
        </w:rPr>
        <w:t xml:space="preserve"> paredzētos finanšu vadības </w:t>
      </w:r>
      <w:r>
        <w:rPr>
          <w:color w:val="auto"/>
          <w:sz w:val="28"/>
          <w:szCs w:val="28"/>
        </w:rPr>
        <w:t>noteikumus, finanšu ministrs, Valsts kases</w:t>
      </w:r>
      <w:r w:rsidRPr="00590E37">
        <w:rPr>
          <w:color w:val="auto"/>
          <w:sz w:val="28"/>
          <w:szCs w:val="28"/>
        </w:rPr>
        <w:t xml:space="preserve"> pārvaldnieks, ministriju un citu centrālo valsts iestāžu vadītāji (atbilstoši savai kompetencei) var uz laiku atņemt pilnvarojumu asignēt vai rīkot budžeta ieņēmumus vai izdevumus, noteikt kontu lietošanas ierobežojumus, atsaukt vai apturēt asignējumus, lai tiktu atlīdzināti nelikumīgi izlietotie līdzekļi, vai arī pieprasīt nelikumīgi izlietoto līdzekļu atmaksāšanu, iesniegt tiesā civilprasību vai nodot materiālus kompetentajām amatpersonām jautājuma par kriminālprocesa uzsākšanu izlemšanai, kā arī atsaukt vai apturēt maksājumus; </w:t>
      </w:r>
    </w:p>
    <w:p w:rsidR="00BF4753" w:rsidRPr="007076E5" w:rsidRDefault="00BF4753" w:rsidP="00BF4753">
      <w:pPr>
        <w:pStyle w:val="Default"/>
        <w:numPr>
          <w:ilvl w:val="0"/>
          <w:numId w:val="3"/>
        </w:numPr>
        <w:ind w:left="993"/>
        <w:jc w:val="both"/>
        <w:rPr>
          <w:color w:val="auto"/>
          <w:sz w:val="28"/>
          <w:szCs w:val="28"/>
        </w:rPr>
      </w:pPr>
      <w:r>
        <w:rPr>
          <w:color w:val="auto"/>
          <w:sz w:val="28"/>
          <w:szCs w:val="28"/>
        </w:rPr>
        <w:t>Valsts kase</w:t>
      </w:r>
      <w:r w:rsidRPr="00590E37">
        <w:rPr>
          <w:color w:val="auto"/>
          <w:sz w:val="28"/>
          <w:szCs w:val="28"/>
        </w:rPr>
        <w:t xml:space="preserve"> atbilstoši </w:t>
      </w:r>
      <w:r>
        <w:rPr>
          <w:color w:val="auto"/>
          <w:sz w:val="28"/>
          <w:szCs w:val="28"/>
        </w:rPr>
        <w:t>likumam “</w:t>
      </w:r>
      <w:r w:rsidRPr="00590E37">
        <w:rPr>
          <w:color w:val="auto"/>
          <w:sz w:val="28"/>
          <w:szCs w:val="28"/>
        </w:rPr>
        <w:t>Pašvaldīb</w:t>
      </w:r>
      <w:r>
        <w:rPr>
          <w:color w:val="auto"/>
          <w:sz w:val="28"/>
          <w:szCs w:val="28"/>
        </w:rPr>
        <w:t>u finanšu izlīdzināšanas likums”</w:t>
      </w:r>
      <w:r w:rsidRPr="00590E37">
        <w:rPr>
          <w:color w:val="auto"/>
          <w:sz w:val="28"/>
          <w:szCs w:val="28"/>
        </w:rPr>
        <w:t xml:space="preserve"> ir tiesības bezstrīdus kārtībā piedzīt no pašvaldības budžeta līdzekļiem naudas summas, ko attiecīgā pašvaldība nav savlaicīgi vai pilnā apmērā ieskaitījusi pašvaldību finanšu izlīdzināšanas fondā, norakstot šīs summas no attiecīgās pašvaldības budžeta. </w:t>
      </w:r>
    </w:p>
    <w:p w:rsidR="00BF4753" w:rsidRPr="00590E37" w:rsidRDefault="00BF4753" w:rsidP="00BF4753">
      <w:pPr>
        <w:pStyle w:val="Default"/>
        <w:ind w:firstLine="720"/>
        <w:jc w:val="both"/>
        <w:rPr>
          <w:color w:val="auto"/>
          <w:sz w:val="28"/>
          <w:szCs w:val="28"/>
        </w:rPr>
      </w:pPr>
      <w:r w:rsidRPr="00590E37">
        <w:rPr>
          <w:color w:val="auto"/>
          <w:sz w:val="28"/>
          <w:szCs w:val="28"/>
        </w:rPr>
        <w:t>Lai saglabātu vispārējo ekonomisko līdzsvaru un nodrošinātu vienotu valsts finansiālo politiku, gadskārtējā valsts budžeta likumā atsevišķi tiek noteikti pašvaldību aizņēmumu un galvojumu kopējā palielinājuma apjomi.</w:t>
      </w:r>
    </w:p>
    <w:p w:rsidR="00BF4753" w:rsidRPr="00590E37" w:rsidRDefault="00BF4753" w:rsidP="00BF4753">
      <w:pPr>
        <w:pStyle w:val="Default"/>
        <w:ind w:firstLine="720"/>
        <w:jc w:val="both"/>
        <w:rPr>
          <w:color w:val="auto"/>
          <w:sz w:val="28"/>
          <w:szCs w:val="28"/>
        </w:rPr>
      </w:pPr>
      <w:r w:rsidRPr="00590E37">
        <w:rPr>
          <w:color w:val="auto"/>
          <w:sz w:val="28"/>
          <w:szCs w:val="28"/>
        </w:rPr>
        <w:t>No summas, kas pašvaldībai pienākas no iedzīvotāju ienākuma nodokļa vai no pašvaldību finanšu iz</w:t>
      </w:r>
      <w:r>
        <w:rPr>
          <w:color w:val="auto"/>
          <w:sz w:val="28"/>
          <w:szCs w:val="28"/>
        </w:rPr>
        <w:t>līdzināšanas fonda dotācijas, Valsts kasei</w:t>
      </w:r>
      <w:r w:rsidRPr="00590E37">
        <w:rPr>
          <w:color w:val="auto"/>
          <w:sz w:val="28"/>
          <w:szCs w:val="28"/>
        </w:rPr>
        <w:t xml:space="preserve"> ir tiesības ieturēt summas šādos gadījumos un šādā apmērā: </w:t>
      </w:r>
    </w:p>
    <w:p w:rsidR="00BF4753" w:rsidRPr="00590E37" w:rsidRDefault="00BF4753" w:rsidP="00BF4753">
      <w:pPr>
        <w:pStyle w:val="Default"/>
        <w:numPr>
          <w:ilvl w:val="0"/>
          <w:numId w:val="5"/>
        </w:numPr>
        <w:ind w:left="993" w:hanging="357"/>
        <w:jc w:val="both"/>
        <w:rPr>
          <w:color w:val="auto"/>
          <w:sz w:val="28"/>
          <w:szCs w:val="28"/>
        </w:rPr>
      </w:pPr>
      <w:r w:rsidRPr="00590E37">
        <w:rPr>
          <w:color w:val="auto"/>
          <w:sz w:val="28"/>
          <w:szCs w:val="28"/>
        </w:rPr>
        <w:t xml:space="preserve">ja pašvaldība nenodrošina valsts aizdevumu līgumos noteikto saistību savlaicīgu izpildi – savlaicīgi nesamaksātās summas apmērā; </w:t>
      </w:r>
    </w:p>
    <w:p w:rsidR="00BF4753" w:rsidRPr="00182E2D" w:rsidRDefault="00BF4753" w:rsidP="00BF4753">
      <w:pPr>
        <w:pStyle w:val="Default"/>
        <w:numPr>
          <w:ilvl w:val="0"/>
          <w:numId w:val="4"/>
        </w:numPr>
        <w:ind w:left="993"/>
        <w:jc w:val="both"/>
        <w:rPr>
          <w:color w:val="auto"/>
          <w:sz w:val="28"/>
          <w:szCs w:val="28"/>
        </w:rPr>
      </w:pPr>
      <w:r w:rsidRPr="00590E37">
        <w:rPr>
          <w:color w:val="auto"/>
          <w:sz w:val="28"/>
          <w:szCs w:val="28"/>
        </w:rPr>
        <w:t>ja pašvaldība nenodrošina valsts aizdevuma izmantošanu atbilstoši aizdevumu līgumā noteiktajam mērķim – pēc finanšu ministra rīkojuma neatbilstoši līgumā noteiktajam mērķim izmantotās aizdevuma summas apmērā.</w:t>
      </w:r>
    </w:p>
    <w:p w:rsidR="00BF4753" w:rsidRPr="00590E37" w:rsidRDefault="00BF4753" w:rsidP="00BF4753">
      <w:pPr>
        <w:pStyle w:val="Heading2"/>
        <w:numPr>
          <w:ilvl w:val="0"/>
          <w:numId w:val="0"/>
        </w:numPr>
        <w:spacing w:before="240" w:after="240"/>
        <w:rPr>
          <w:color w:val="auto"/>
          <w:sz w:val="28"/>
        </w:rPr>
      </w:pPr>
      <w:bookmarkStart w:id="44" w:name="_Toc68335012"/>
      <w:r w:rsidRPr="00896977">
        <w:rPr>
          <w:rFonts w:eastAsia="Times New Roman"/>
        </w:rPr>
        <w:t>5.2. Ieņēmumu struktūras un sistēmas efektivitāte</w:t>
      </w:r>
      <w:bookmarkEnd w:id="44"/>
    </w:p>
    <w:p w:rsidR="00BF4753" w:rsidRPr="00182E2D" w:rsidRDefault="00BF4753" w:rsidP="00BF4753">
      <w:pPr>
        <w:rPr>
          <w:rFonts w:eastAsia="Calibri" w:cs="Times New Roman"/>
          <w:szCs w:val="24"/>
        </w:rPr>
      </w:pPr>
      <w:bookmarkStart w:id="45" w:name="_Hlk67326698"/>
      <w:r w:rsidRPr="00182E2D">
        <w:rPr>
          <w:rFonts w:eastAsia="Calibri" w:cs="Times New Roman"/>
          <w:szCs w:val="24"/>
        </w:rPr>
        <w:t>2020.</w:t>
      </w:r>
      <w:r>
        <w:rPr>
          <w:rFonts w:eastAsia="Calibri" w:cs="Times New Roman"/>
          <w:szCs w:val="24"/>
        </w:rPr>
        <w:t xml:space="preserve"> </w:t>
      </w:r>
      <w:r w:rsidRPr="00182E2D">
        <w:rPr>
          <w:rFonts w:eastAsia="Calibri" w:cs="Times New Roman"/>
          <w:szCs w:val="24"/>
        </w:rPr>
        <w:t>gadā bija paredzēts, ka tiks izstrādātas un apstiprinātas Valsts nodokļu politikas pamatnostādnes 2021.-2025.</w:t>
      </w:r>
      <w:r>
        <w:rPr>
          <w:rFonts w:eastAsia="Calibri" w:cs="Times New Roman"/>
          <w:szCs w:val="24"/>
        </w:rPr>
        <w:t xml:space="preserve"> </w:t>
      </w:r>
      <w:r w:rsidRPr="00182E2D">
        <w:rPr>
          <w:rFonts w:eastAsia="Calibri" w:cs="Times New Roman"/>
          <w:szCs w:val="24"/>
        </w:rPr>
        <w:t>gadam. Darbs pie valsts nodokļu politikas pamatnostādņu 2021.-2025.</w:t>
      </w:r>
      <w:r>
        <w:rPr>
          <w:rFonts w:eastAsia="Calibri" w:cs="Times New Roman"/>
          <w:szCs w:val="24"/>
        </w:rPr>
        <w:t xml:space="preserve"> </w:t>
      </w:r>
      <w:r w:rsidRPr="00182E2D">
        <w:rPr>
          <w:rFonts w:eastAsia="Calibri" w:cs="Times New Roman"/>
          <w:szCs w:val="24"/>
        </w:rPr>
        <w:t>gadam</w:t>
      </w:r>
      <w:r w:rsidRPr="00182E2D">
        <w:rPr>
          <w:rFonts w:eastAsia="Calibri" w:cs="Times New Roman"/>
          <w:i/>
          <w:szCs w:val="24"/>
        </w:rPr>
        <w:t xml:space="preserve"> </w:t>
      </w:r>
      <w:r w:rsidRPr="00182E2D">
        <w:rPr>
          <w:rFonts w:eastAsia="Calibri" w:cs="Times New Roman"/>
          <w:szCs w:val="24"/>
        </w:rPr>
        <w:t>izstr</w:t>
      </w:r>
      <w:r>
        <w:rPr>
          <w:rFonts w:eastAsia="Calibri" w:cs="Times New Roman"/>
          <w:szCs w:val="24"/>
        </w:rPr>
        <w:t>ādes tika  pārtraukts, jo</w:t>
      </w:r>
      <w:r w:rsidRPr="00182E2D">
        <w:rPr>
          <w:rFonts w:eastAsia="Calibri" w:cs="Times New Roman"/>
          <w:szCs w:val="24"/>
        </w:rPr>
        <w:t xml:space="preserve"> Covid-19 straujā izplatība pasaulē un Latvijā, kā arī noteikto ierobežojumu ietekme uz iespējamo ekonomisko izaugsmi un tautsaimniecību nebija skaidri nosakāma. </w:t>
      </w:r>
    </w:p>
    <w:p w:rsidR="00BF4753" w:rsidRPr="00182E2D" w:rsidRDefault="00BF4753" w:rsidP="00BF4753">
      <w:pPr>
        <w:rPr>
          <w:rFonts w:eastAsia="Calibri" w:cs="Times New Roman"/>
        </w:rPr>
      </w:pPr>
      <w:r w:rsidRPr="00182E2D">
        <w:rPr>
          <w:rFonts w:eastAsia="Calibri" w:cs="Times New Roman"/>
          <w:szCs w:val="24"/>
        </w:rPr>
        <w:t>Covid</w:t>
      </w:r>
      <w:r w:rsidRPr="00182E2D">
        <w:rPr>
          <w:rFonts w:eastAsia="Calibri" w:cs="Times New Roman"/>
          <w:iCs/>
          <w:szCs w:val="24"/>
        </w:rPr>
        <w:t xml:space="preserve">-19 </w:t>
      </w:r>
      <w:r w:rsidRPr="00182E2D">
        <w:rPr>
          <w:rFonts w:eastAsia="Calibri" w:cs="Times New Roman"/>
          <w:szCs w:val="24"/>
        </w:rPr>
        <w:t>infekcijas</w:t>
      </w:r>
      <w:r w:rsidRPr="00182E2D">
        <w:rPr>
          <w:rFonts w:eastAsia="Calibri" w:cs="Times New Roman"/>
          <w:iCs/>
          <w:szCs w:val="24"/>
        </w:rPr>
        <w:t xml:space="preserve"> krīzes laikā </w:t>
      </w:r>
      <w:r w:rsidRPr="00182E2D">
        <w:rPr>
          <w:rFonts w:eastAsia="Calibri" w:cs="Times New Roman"/>
        </w:rPr>
        <w:t>tika identificētas vairākas esošās nodokļu sistēmas nepilnības valstī, tai skaitā sociālās aizsardzības trūkums alternatīvajos nodokļu režīmos strādājošajiem, kuru risināšanai bija nepieciešami tūlītēji lēmumi, kā rezultātā 2020.</w:t>
      </w:r>
      <w:r>
        <w:rPr>
          <w:rFonts w:eastAsia="Calibri" w:cs="Times New Roman"/>
        </w:rPr>
        <w:t xml:space="preserve"> </w:t>
      </w:r>
      <w:r w:rsidRPr="00182E2D">
        <w:rPr>
          <w:rFonts w:eastAsia="Calibri" w:cs="Times New Roman"/>
        </w:rPr>
        <w:t>gada 2.</w:t>
      </w:r>
      <w:r>
        <w:rPr>
          <w:rFonts w:eastAsia="Calibri" w:cs="Times New Roman"/>
        </w:rPr>
        <w:t xml:space="preserve"> </w:t>
      </w:r>
      <w:r w:rsidRPr="00182E2D">
        <w:rPr>
          <w:rFonts w:eastAsia="Calibri" w:cs="Times New Roman"/>
        </w:rPr>
        <w:t xml:space="preserve">septembrī Ministru kabinetā tika izskatīts informatīvais ziņojums </w:t>
      </w:r>
      <w:r w:rsidRPr="00182E2D">
        <w:rPr>
          <w:rFonts w:eastAsia="Calibri" w:cs="Times New Roman"/>
          <w:iCs/>
        </w:rPr>
        <w:t>„</w:t>
      </w:r>
      <w:r w:rsidRPr="00182E2D">
        <w:rPr>
          <w:rFonts w:eastAsia="Calibri" w:cs="Times New Roman"/>
          <w:iCs/>
          <w:lang w:eastAsia="lv-LV"/>
        </w:rPr>
        <w:t>Par nodokļu politikas attīstības virzieniem, valsts sociālās ilgtspējas un ekonomikas konkurētspējas veicināšanai</w:t>
      </w:r>
      <w:r w:rsidRPr="00182E2D">
        <w:rPr>
          <w:rFonts w:eastAsia="Calibri" w:cs="Times New Roman"/>
        </w:rPr>
        <w:t>”, lai risinātu Covid-19 izraisītajā krīzē aktualizējošos jautājumu par nepietiekamo valsts sociālo nodrošinājumu lielai sabiedrības daļai, kā arī, lai ar nodokļu politiku uzlabotu darbaspēka nodokļu konkurētspēju un mazinātu ienākumu nevienlīdzību strādājošiem iedzīvotājiem.</w:t>
      </w:r>
    </w:p>
    <w:p w:rsidR="00BF4753" w:rsidRPr="00182E2D" w:rsidRDefault="00BF4753" w:rsidP="00BF4753">
      <w:pPr>
        <w:rPr>
          <w:rFonts w:eastAsia="Calibri" w:cs="Times New Roman"/>
          <w:szCs w:val="24"/>
          <w:lang w:eastAsia="lv-LV"/>
        </w:rPr>
      </w:pPr>
      <w:r w:rsidRPr="00182E2D">
        <w:rPr>
          <w:rFonts w:eastAsia="Calibri" w:cs="Times New Roman"/>
        </w:rPr>
        <w:lastRenderedPageBreak/>
        <w:t>Identificēto problēmu risināšanai tika ieviestas šādas nodokļu politikas izmaiņas:</w:t>
      </w:r>
    </w:p>
    <w:p w:rsidR="00BF4753" w:rsidRPr="00182E2D" w:rsidRDefault="00BF4753" w:rsidP="00BF4753">
      <w:pPr>
        <w:numPr>
          <w:ilvl w:val="0"/>
          <w:numId w:val="26"/>
        </w:numPr>
        <w:spacing w:after="120"/>
        <w:ind w:left="1134" w:right="-1" w:hanging="283"/>
        <w:contextualSpacing/>
        <w:rPr>
          <w:rFonts w:eastAsia="Times New Roman" w:cs="Times New Roman"/>
          <w:szCs w:val="24"/>
          <w:lang w:eastAsia="lv-LV"/>
        </w:rPr>
      </w:pPr>
      <w:r w:rsidRPr="00182E2D">
        <w:rPr>
          <w:rFonts w:eastAsia="Times New Roman" w:cs="Times New Roman"/>
          <w:noProof/>
          <w:szCs w:val="24"/>
        </w:rPr>
        <w:t xml:space="preserve">lai mazinātu darbaspēka nodokļu slogu un veicinātu uzņēmumu konkurētspējas uzlabošanos, valsts sociālās apdrošināšanas obligāto iemaksu likme tika samazināta no 35,09% uz 34,09%, kā arī </w:t>
      </w:r>
      <w:r w:rsidRPr="00182E2D">
        <w:rPr>
          <w:rFonts w:eastAsia="Times New Roman" w:cs="Times New Roman"/>
          <w:szCs w:val="24"/>
          <w:lang w:eastAsia="lv-LV"/>
        </w:rPr>
        <w:t xml:space="preserve">tika paaugstināts </w:t>
      </w:r>
      <w:r w:rsidRPr="00182E2D">
        <w:rPr>
          <w:rFonts w:eastAsia="Times New Roman" w:cs="Times New Roman"/>
          <w:noProof/>
          <w:szCs w:val="24"/>
        </w:rPr>
        <w:t>iedzīvotāju ienākuma nodokļa diferencētā neapliekamā minimuma</w:t>
      </w:r>
      <w:r w:rsidRPr="00182E2D">
        <w:rPr>
          <w:rFonts w:eastAsia="Calibri" w:cs="Times New Roman"/>
          <w:noProof/>
          <w:szCs w:val="24"/>
          <w:lang w:eastAsia="lv-LV"/>
        </w:rPr>
        <w:t xml:space="preserve"> piemērošanas slieksnis no 1 200 līdz 1 800 </w:t>
      </w:r>
      <w:r w:rsidRPr="00182E2D">
        <w:rPr>
          <w:rFonts w:eastAsia="Calibri" w:cs="Times New Roman"/>
          <w:i/>
          <w:iCs/>
          <w:noProof/>
          <w:szCs w:val="24"/>
          <w:lang w:eastAsia="lv-LV"/>
        </w:rPr>
        <w:t>euro</w:t>
      </w:r>
      <w:r w:rsidRPr="00182E2D">
        <w:rPr>
          <w:rFonts w:eastAsia="Calibri" w:cs="Times New Roman"/>
          <w:noProof/>
          <w:szCs w:val="24"/>
          <w:lang w:eastAsia="lv-LV"/>
        </w:rPr>
        <w:t xml:space="preserve"> mēnesī;</w:t>
      </w:r>
    </w:p>
    <w:p w:rsidR="00BF4753" w:rsidRPr="00182E2D" w:rsidRDefault="00BF4753" w:rsidP="00BF4753">
      <w:pPr>
        <w:numPr>
          <w:ilvl w:val="0"/>
          <w:numId w:val="26"/>
        </w:numPr>
        <w:spacing w:before="120" w:after="120"/>
        <w:ind w:left="1134" w:right="-1" w:hanging="283"/>
        <w:contextualSpacing/>
        <w:rPr>
          <w:rFonts w:eastAsia="Times New Roman" w:cs="Times New Roman"/>
          <w:szCs w:val="24"/>
          <w:lang w:eastAsia="lv-LV"/>
        </w:rPr>
      </w:pPr>
      <w:r w:rsidRPr="00182E2D">
        <w:rPr>
          <w:rFonts w:eastAsia="Times New Roman" w:cs="Times New Roman"/>
          <w:noProof/>
          <w:szCs w:val="24"/>
        </w:rPr>
        <w:t>lai uzlabotu iedzīvotāju sociālo nodrošinājumu, tika veikta minimālā valsts sociālās apdrošināšanas obligāto iemaksu apmēra ieviešana un alternatīvo nodokļu režīmu reorganizācija</w:t>
      </w:r>
      <w:r w:rsidRPr="00182E2D">
        <w:rPr>
          <w:rFonts w:eastAsia="Times New Roman" w:cs="Times New Roman"/>
          <w:szCs w:val="24"/>
          <w:lang w:eastAsia="lv-LV"/>
        </w:rPr>
        <w:t>.</w:t>
      </w:r>
    </w:p>
    <w:p w:rsidR="00BF4753" w:rsidRPr="00182E2D" w:rsidRDefault="00BF4753" w:rsidP="00BF4753">
      <w:pPr>
        <w:spacing w:before="120"/>
        <w:rPr>
          <w:rFonts w:eastAsia="Calibri" w:cs="Times New Roman"/>
          <w:szCs w:val="24"/>
          <w:lang w:eastAsia="lv-LV"/>
        </w:rPr>
      </w:pPr>
      <w:r w:rsidRPr="00182E2D">
        <w:rPr>
          <w:rFonts w:eastAsia="Calibri" w:cs="Times New Roman"/>
          <w:szCs w:val="24"/>
          <w:lang w:eastAsia="lv-LV"/>
        </w:rPr>
        <w:t>Papildus tika veiktas izmaiņas arī citos nodokļos:</w:t>
      </w:r>
    </w:p>
    <w:p w:rsidR="00BF4753" w:rsidRPr="00182E2D" w:rsidRDefault="00BF4753" w:rsidP="00BF4753">
      <w:pPr>
        <w:numPr>
          <w:ilvl w:val="0"/>
          <w:numId w:val="26"/>
        </w:numPr>
        <w:ind w:left="1135" w:hanging="284"/>
        <w:contextualSpacing/>
        <w:rPr>
          <w:rFonts w:eastAsia="Times New Roman" w:cs="Times New Roman"/>
          <w:szCs w:val="24"/>
          <w:lang w:eastAsia="lv-LV"/>
        </w:rPr>
      </w:pPr>
      <w:r w:rsidRPr="00182E2D">
        <w:rPr>
          <w:rFonts w:eastAsia="Times New Roman" w:cs="Times New Roman"/>
          <w:noProof/>
          <w:szCs w:val="24"/>
        </w:rPr>
        <w:t>paaugstinātas akcīzes nodokļa likmes tabakas izstrādājumiem;</w:t>
      </w:r>
    </w:p>
    <w:p w:rsidR="00BF4753" w:rsidRPr="002F061C" w:rsidRDefault="00BF4753" w:rsidP="00BF4753">
      <w:pPr>
        <w:numPr>
          <w:ilvl w:val="0"/>
          <w:numId w:val="26"/>
        </w:numPr>
        <w:ind w:left="1135" w:hanging="284"/>
        <w:rPr>
          <w:rFonts w:eastAsia="Times New Roman" w:cs="Times New Roman"/>
          <w:noProof/>
          <w:szCs w:val="24"/>
        </w:rPr>
      </w:pPr>
      <w:r w:rsidRPr="00182E2D">
        <w:rPr>
          <w:rFonts w:eastAsia="Times New Roman" w:cs="Times New Roman"/>
          <w:noProof/>
          <w:szCs w:val="24"/>
        </w:rPr>
        <w:t>veiktas izmaiņas uzņēmumu vieglo transportlīdzekļu nodoklī un transportlīdzekļa ekspluatācijas nodoklī.</w:t>
      </w:r>
    </w:p>
    <w:p w:rsidR="00BF4753" w:rsidRPr="00182E2D" w:rsidRDefault="00BF4753" w:rsidP="00BF4753">
      <w:pPr>
        <w:keepNext/>
        <w:spacing w:before="120" w:after="120"/>
        <w:ind w:left="567" w:firstLine="0"/>
        <w:jc w:val="right"/>
        <w:rPr>
          <w:rFonts w:eastAsia="Times New Roman" w:cs="Times New Roman"/>
          <w:b/>
          <w:i/>
          <w:iCs/>
          <w:sz w:val="24"/>
          <w:szCs w:val="20"/>
        </w:rPr>
      </w:pPr>
      <w:r w:rsidRPr="00182E2D">
        <w:rPr>
          <w:rFonts w:eastAsia="Times New Roman" w:cs="Times New Roman"/>
          <w:b/>
          <w:i/>
          <w:iCs/>
          <w:sz w:val="24"/>
          <w:szCs w:val="20"/>
        </w:rPr>
        <w:t>5.1.</w:t>
      </w:r>
      <w:r>
        <w:rPr>
          <w:rFonts w:eastAsia="Times New Roman" w:cs="Times New Roman"/>
          <w:b/>
          <w:i/>
          <w:iCs/>
          <w:sz w:val="24"/>
          <w:szCs w:val="20"/>
        </w:rPr>
        <w:t xml:space="preserve"> </w:t>
      </w:r>
      <w:r w:rsidRPr="00182E2D">
        <w:rPr>
          <w:rFonts w:eastAsia="Times New Roman" w:cs="Times New Roman"/>
          <w:b/>
          <w:i/>
          <w:iCs/>
          <w:sz w:val="24"/>
          <w:szCs w:val="20"/>
        </w:rPr>
        <w:t>tabula. Nodokļu ieņēmumi vispārējās valdības budžetā (S.13), milj. </w:t>
      </w:r>
      <w:r w:rsidRPr="00182E2D">
        <w:rPr>
          <w:rFonts w:eastAsia="Times New Roman" w:cs="Times New Roman"/>
          <w:b/>
          <w:i/>
          <w:iCs/>
          <w:sz w:val="24"/>
          <w:szCs w:val="24"/>
        </w:rPr>
        <w:t>euro</w:t>
      </w:r>
    </w:p>
    <w:tbl>
      <w:tblPr>
        <w:tblStyle w:val="TableGrid11"/>
        <w:tblW w:w="8430" w:type="dxa"/>
        <w:jc w:val="center"/>
        <w:tblLayout w:type="fixed"/>
        <w:tblLook w:val="04A0" w:firstRow="1" w:lastRow="0" w:firstColumn="1" w:lastColumn="0" w:noHBand="0" w:noVBand="1"/>
      </w:tblPr>
      <w:tblGrid>
        <w:gridCol w:w="2405"/>
        <w:gridCol w:w="1287"/>
        <w:gridCol w:w="921"/>
        <w:gridCol w:w="922"/>
        <w:gridCol w:w="1053"/>
        <w:gridCol w:w="921"/>
        <w:gridCol w:w="921"/>
      </w:tblGrid>
      <w:tr w:rsidR="00BF4753" w:rsidRPr="00182E2D" w:rsidTr="002D7CA8">
        <w:trPr>
          <w:trHeight w:val="222"/>
          <w:jc w:val="center"/>
        </w:trPr>
        <w:tc>
          <w:tcPr>
            <w:tcW w:w="2405" w:type="dxa"/>
            <w:shd w:val="clear" w:color="auto" w:fill="9CC2E5"/>
          </w:tcPr>
          <w:p w:rsidR="00BF4753" w:rsidRPr="00182E2D" w:rsidRDefault="00BF4753" w:rsidP="002D7CA8">
            <w:pPr>
              <w:ind w:firstLine="0"/>
              <w:jc w:val="left"/>
              <w:rPr>
                <w:rFonts w:eastAsia="Times New Roman"/>
                <w:sz w:val="20"/>
              </w:rPr>
            </w:pPr>
            <w:bookmarkStart w:id="46" w:name="_Hlk68007787"/>
          </w:p>
        </w:tc>
        <w:tc>
          <w:tcPr>
            <w:tcW w:w="1287" w:type="dxa"/>
            <w:shd w:val="clear" w:color="auto" w:fill="9CC2E5"/>
          </w:tcPr>
          <w:p w:rsidR="00BF4753" w:rsidRPr="00182E2D" w:rsidRDefault="00BF4753" w:rsidP="002D7CA8">
            <w:pPr>
              <w:ind w:firstLine="0"/>
              <w:jc w:val="left"/>
              <w:rPr>
                <w:rFonts w:eastAsia="Times New Roman"/>
                <w:b/>
                <w:bCs/>
                <w:sz w:val="20"/>
              </w:rPr>
            </w:pPr>
            <w:r w:rsidRPr="00182E2D">
              <w:rPr>
                <w:rFonts w:eastAsia="Times New Roman"/>
                <w:b/>
                <w:bCs/>
                <w:sz w:val="20"/>
              </w:rPr>
              <w:t>Kods (EKS)</w:t>
            </w:r>
          </w:p>
        </w:tc>
        <w:tc>
          <w:tcPr>
            <w:tcW w:w="921" w:type="dxa"/>
            <w:shd w:val="clear" w:color="auto" w:fill="9CC2E5"/>
          </w:tcPr>
          <w:p w:rsidR="00BF4753" w:rsidRPr="00182E2D" w:rsidRDefault="00BF4753" w:rsidP="002D7CA8">
            <w:pPr>
              <w:ind w:firstLine="0"/>
              <w:jc w:val="center"/>
              <w:rPr>
                <w:rFonts w:eastAsia="Times New Roman"/>
                <w:b/>
                <w:bCs/>
                <w:sz w:val="20"/>
              </w:rPr>
            </w:pPr>
            <w:r w:rsidRPr="00182E2D">
              <w:rPr>
                <w:rFonts w:eastAsia="Times New Roman"/>
                <w:b/>
                <w:bCs/>
                <w:sz w:val="20"/>
              </w:rPr>
              <w:t>2020</w:t>
            </w:r>
          </w:p>
        </w:tc>
        <w:tc>
          <w:tcPr>
            <w:tcW w:w="922" w:type="dxa"/>
            <w:shd w:val="clear" w:color="auto" w:fill="9CC2E5"/>
          </w:tcPr>
          <w:p w:rsidR="00BF4753" w:rsidRPr="00182E2D" w:rsidRDefault="00BF4753" w:rsidP="002D7CA8">
            <w:pPr>
              <w:ind w:firstLine="0"/>
              <w:jc w:val="center"/>
              <w:rPr>
                <w:rFonts w:eastAsia="Times New Roman"/>
                <w:b/>
                <w:bCs/>
                <w:sz w:val="20"/>
              </w:rPr>
            </w:pPr>
            <w:r w:rsidRPr="00182E2D">
              <w:rPr>
                <w:rFonts w:eastAsia="Times New Roman"/>
                <w:b/>
                <w:bCs/>
                <w:sz w:val="20"/>
              </w:rPr>
              <w:t>2021</w:t>
            </w:r>
          </w:p>
        </w:tc>
        <w:tc>
          <w:tcPr>
            <w:tcW w:w="1053" w:type="dxa"/>
            <w:shd w:val="clear" w:color="auto" w:fill="9CC2E5"/>
          </w:tcPr>
          <w:p w:rsidR="00BF4753" w:rsidRPr="00182E2D" w:rsidRDefault="00BF4753" w:rsidP="002D7CA8">
            <w:pPr>
              <w:ind w:firstLine="0"/>
              <w:jc w:val="center"/>
              <w:rPr>
                <w:rFonts w:eastAsia="Times New Roman"/>
                <w:b/>
                <w:bCs/>
                <w:sz w:val="20"/>
              </w:rPr>
            </w:pPr>
            <w:r w:rsidRPr="00182E2D">
              <w:rPr>
                <w:rFonts w:eastAsia="Times New Roman"/>
                <w:b/>
                <w:bCs/>
                <w:sz w:val="20"/>
              </w:rPr>
              <w:t>2022</w:t>
            </w:r>
          </w:p>
        </w:tc>
        <w:tc>
          <w:tcPr>
            <w:tcW w:w="921" w:type="dxa"/>
            <w:shd w:val="clear" w:color="auto" w:fill="9CC2E5"/>
          </w:tcPr>
          <w:p w:rsidR="00BF4753" w:rsidRPr="00182E2D" w:rsidRDefault="00BF4753" w:rsidP="002D7CA8">
            <w:pPr>
              <w:ind w:firstLine="0"/>
              <w:jc w:val="center"/>
              <w:rPr>
                <w:rFonts w:eastAsia="Times New Roman"/>
                <w:b/>
                <w:bCs/>
                <w:sz w:val="20"/>
              </w:rPr>
            </w:pPr>
            <w:r w:rsidRPr="00182E2D">
              <w:rPr>
                <w:rFonts w:eastAsia="Times New Roman"/>
                <w:b/>
                <w:bCs/>
                <w:sz w:val="20"/>
              </w:rPr>
              <w:t>2023</w:t>
            </w:r>
          </w:p>
        </w:tc>
        <w:tc>
          <w:tcPr>
            <w:tcW w:w="921" w:type="dxa"/>
            <w:shd w:val="clear" w:color="auto" w:fill="9CC2E5"/>
          </w:tcPr>
          <w:p w:rsidR="00BF4753" w:rsidRPr="00182E2D" w:rsidRDefault="00BF4753" w:rsidP="002D7CA8">
            <w:pPr>
              <w:ind w:firstLine="0"/>
              <w:jc w:val="center"/>
              <w:rPr>
                <w:rFonts w:eastAsia="Times New Roman"/>
                <w:b/>
                <w:bCs/>
                <w:sz w:val="20"/>
              </w:rPr>
            </w:pPr>
            <w:r w:rsidRPr="00182E2D">
              <w:rPr>
                <w:rFonts w:eastAsia="Times New Roman"/>
                <w:b/>
                <w:bCs/>
                <w:sz w:val="20"/>
              </w:rPr>
              <w:t>2024</w:t>
            </w:r>
          </w:p>
        </w:tc>
      </w:tr>
      <w:tr w:rsidR="00BF4753" w:rsidRPr="00182E2D" w:rsidTr="002D7CA8">
        <w:trPr>
          <w:trHeight w:val="222"/>
          <w:jc w:val="center"/>
        </w:trPr>
        <w:tc>
          <w:tcPr>
            <w:tcW w:w="2405" w:type="dxa"/>
          </w:tcPr>
          <w:p w:rsidR="00BF4753" w:rsidRPr="00182E2D" w:rsidRDefault="00BF4753" w:rsidP="002D7CA8">
            <w:pPr>
              <w:ind w:firstLine="0"/>
              <w:jc w:val="left"/>
              <w:rPr>
                <w:rFonts w:eastAsia="Times New Roman"/>
                <w:sz w:val="20"/>
              </w:rPr>
            </w:pPr>
            <w:r w:rsidRPr="00182E2D">
              <w:rPr>
                <w:rFonts w:eastAsia="Times New Roman"/>
                <w:sz w:val="20"/>
              </w:rPr>
              <w:t>Nodokļu ieņēmumi</w:t>
            </w:r>
          </w:p>
        </w:tc>
        <w:tc>
          <w:tcPr>
            <w:tcW w:w="1287" w:type="dxa"/>
          </w:tcPr>
          <w:p w:rsidR="00BF4753" w:rsidRPr="00182E2D" w:rsidRDefault="00BF4753" w:rsidP="002D7CA8">
            <w:pPr>
              <w:ind w:firstLine="0"/>
              <w:jc w:val="left"/>
              <w:rPr>
                <w:rFonts w:eastAsia="Times New Roman"/>
                <w:sz w:val="20"/>
              </w:rPr>
            </w:pPr>
          </w:p>
        </w:tc>
        <w:tc>
          <w:tcPr>
            <w:tcW w:w="921" w:type="dxa"/>
          </w:tcPr>
          <w:p w:rsidR="00BF4753" w:rsidRPr="00182E2D" w:rsidRDefault="00BF4753" w:rsidP="002D7CA8">
            <w:pPr>
              <w:tabs>
                <w:tab w:val="decimal" w:pos="483"/>
              </w:tabs>
              <w:ind w:firstLine="0"/>
              <w:jc w:val="left"/>
              <w:rPr>
                <w:rFonts w:eastAsia="Times New Roman"/>
                <w:sz w:val="20"/>
              </w:rPr>
            </w:pPr>
          </w:p>
        </w:tc>
        <w:tc>
          <w:tcPr>
            <w:tcW w:w="922" w:type="dxa"/>
          </w:tcPr>
          <w:p w:rsidR="00BF4753" w:rsidRPr="00182E2D" w:rsidRDefault="00BF4753" w:rsidP="002D7CA8">
            <w:pPr>
              <w:tabs>
                <w:tab w:val="decimal" w:pos="483"/>
              </w:tabs>
              <w:ind w:firstLine="0"/>
              <w:jc w:val="left"/>
              <w:rPr>
                <w:rFonts w:eastAsia="Times New Roman"/>
                <w:sz w:val="20"/>
              </w:rPr>
            </w:pPr>
          </w:p>
        </w:tc>
        <w:tc>
          <w:tcPr>
            <w:tcW w:w="1053" w:type="dxa"/>
          </w:tcPr>
          <w:p w:rsidR="00BF4753" w:rsidRPr="00182E2D" w:rsidRDefault="00BF4753" w:rsidP="002D7CA8">
            <w:pPr>
              <w:tabs>
                <w:tab w:val="decimal" w:pos="483"/>
              </w:tabs>
              <w:ind w:firstLine="0"/>
              <w:jc w:val="left"/>
              <w:rPr>
                <w:rFonts w:eastAsia="Times New Roman"/>
                <w:sz w:val="20"/>
              </w:rPr>
            </w:pPr>
          </w:p>
        </w:tc>
        <w:tc>
          <w:tcPr>
            <w:tcW w:w="921" w:type="dxa"/>
          </w:tcPr>
          <w:p w:rsidR="00BF4753" w:rsidRPr="00182E2D" w:rsidRDefault="00BF4753" w:rsidP="002D7CA8">
            <w:pPr>
              <w:tabs>
                <w:tab w:val="decimal" w:pos="483"/>
              </w:tabs>
              <w:ind w:firstLine="0"/>
              <w:jc w:val="left"/>
              <w:rPr>
                <w:rFonts w:eastAsia="Times New Roman"/>
                <w:sz w:val="20"/>
              </w:rPr>
            </w:pPr>
          </w:p>
        </w:tc>
        <w:tc>
          <w:tcPr>
            <w:tcW w:w="921" w:type="dxa"/>
          </w:tcPr>
          <w:p w:rsidR="00BF4753" w:rsidRPr="00182E2D" w:rsidRDefault="00BF4753" w:rsidP="002D7CA8">
            <w:pPr>
              <w:tabs>
                <w:tab w:val="decimal" w:pos="483"/>
              </w:tabs>
              <w:ind w:firstLine="0"/>
              <w:jc w:val="left"/>
              <w:rPr>
                <w:rFonts w:eastAsia="Times New Roman"/>
                <w:sz w:val="20"/>
              </w:rPr>
            </w:pPr>
          </w:p>
        </w:tc>
      </w:tr>
      <w:tr w:rsidR="00BF4753" w:rsidRPr="00182E2D" w:rsidTr="002D7CA8">
        <w:trPr>
          <w:trHeight w:val="459"/>
          <w:jc w:val="center"/>
        </w:trPr>
        <w:tc>
          <w:tcPr>
            <w:tcW w:w="2405" w:type="dxa"/>
          </w:tcPr>
          <w:p w:rsidR="00BF4753" w:rsidRPr="00182E2D" w:rsidRDefault="00BF4753" w:rsidP="002D7CA8">
            <w:pPr>
              <w:ind w:firstLine="0"/>
              <w:jc w:val="left"/>
              <w:rPr>
                <w:rFonts w:eastAsia="Times New Roman"/>
                <w:sz w:val="20"/>
              </w:rPr>
            </w:pPr>
            <w:r w:rsidRPr="00182E2D">
              <w:rPr>
                <w:rFonts w:eastAsia="Times New Roman"/>
                <w:sz w:val="20"/>
              </w:rPr>
              <w:t>1. Ražošanas un importa nodokļi</w:t>
            </w:r>
          </w:p>
        </w:tc>
        <w:tc>
          <w:tcPr>
            <w:tcW w:w="1287" w:type="dxa"/>
          </w:tcPr>
          <w:p w:rsidR="00BF4753" w:rsidRPr="00182E2D" w:rsidRDefault="00BF4753" w:rsidP="002D7CA8">
            <w:pPr>
              <w:ind w:firstLine="0"/>
              <w:jc w:val="center"/>
              <w:rPr>
                <w:rFonts w:eastAsia="Times New Roman"/>
                <w:sz w:val="20"/>
              </w:rPr>
            </w:pPr>
            <w:r w:rsidRPr="00182E2D">
              <w:rPr>
                <w:rFonts w:eastAsia="Times New Roman"/>
                <w:sz w:val="20"/>
              </w:rPr>
              <w:t>D.2</w:t>
            </w:r>
          </w:p>
        </w:tc>
        <w:tc>
          <w:tcPr>
            <w:tcW w:w="921" w:type="dxa"/>
          </w:tcPr>
          <w:p w:rsidR="00BF4753" w:rsidRPr="00182E2D" w:rsidRDefault="00BF4753" w:rsidP="002D7CA8">
            <w:pPr>
              <w:ind w:firstLine="0"/>
              <w:jc w:val="center"/>
              <w:rPr>
                <w:rFonts w:eastAsia="Times New Roman"/>
                <w:sz w:val="20"/>
              </w:rPr>
            </w:pPr>
            <w:r w:rsidRPr="00182E2D">
              <w:rPr>
                <w:sz w:val="20"/>
              </w:rPr>
              <w:t>4 180,3</w:t>
            </w:r>
          </w:p>
        </w:tc>
        <w:tc>
          <w:tcPr>
            <w:tcW w:w="922" w:type="dxa"/>
          </w:tcPr>
          <w:p w:rsidR="00BF4753" w:rsidRPr="00182E2D" w:rsidRDefault="00BF4753" w:rsidP="002D7CA8">
            <w:pPr>
              <w:ind w:firstLine="0"/>
              <w:jc w:val="center"/>
              <w:rPr>
                <w:rFonts w:eastAsia="Times New Roman"/>
                <w:sz w:val="20"/>
              </w:rPr>
            </w:pPr>
            <w:r w:rsidRPr="00182E2D">
              <w:rPr>
                <w:sz w:val="20"/>
              </w:rPr>
              <w:t>4 436,1</w:t>
            </w:r>
          </w:p>
        </w:tc>
        <w:tc>
          <w:tcPr>
            <w:tcW w:w="1053" w:type="dxa"/>
          </w:tcPr>
          <w:p w:rsidR="00BF4753" w:rsidRPr="00182E2D" w:rsidRDefault="00BF4753" w:rsidP="002D7CA8">
            <w:pPr>
              <w:ind w:firstLine="0"/>
              <w:jc w:val="center"/>
              <w:rPr>
                <w:rFonts w:eastAsia="Times New Roman"/>
                <w:sz w:val="20"/>
              </w:rPr>
            </w:pPr>
            <w:r w:rsidRPr="00182E2D">
              <w:rPr>
                <w:sz w:val="20"/>
              </w:rPr>
              <w:t>4 714,5</w:t>
            </w:r>
          </w:p>
        </w:tc>
        <w:tc>
          <w:tcPr>
            <w:tcW w:w="921" w:type="dxa"/>
          </w:tcPr>
          <w:p w:rsidR="00BF4753" w:rsidRPr="00182E2D" w:rsidRDefault="00BF4753" w:rsidP="002D7CA8">
            <w:pPr>
              <w:ind w:firstLine="0"/>
              <w:jc w:val="center"/>
              <w:rPr>
                <w:rFonts w:eastAsia="Times New Roman"/>
                <w:sz w:val="20"/>
              </w:rPr>
            </w:pPr>
            <w:r w:rsidRPr="00182E2D">
              <w:rPr>
                <w:sz w:val="20"/>
              </w:rPr>
              <w:t>4 950,4</w:t>
            </w:r>
          </w:p>
        </w:tc>
        <w:tc>
          <w:tcPr>
            <w:tcW w:w="921" w:type="dxa"/>
          </w:tcPr>
          <w:p w:rsidR="00BF4753" w:rsidRPr="00182E2D" w:rsidRDefault="00BF4753" w:rsidP="002D7CA8">
            <w:pPr>
              <w:ind w:firstLine="0"/>
              <w:jc w:val="center"/>
              <w:rPr>
                <w:rFonts w:eastAsia="Times New Roman"/>
                <w:sz w:val="20"/>
              </w:rPr>
            </w:pPr>
            <w:r w:rsidRPr="00182E2D">
              <w:rPr>
                <w:sz w:val="20"/>
              </w:rPr>
              <w:t>5 183,0</w:t>
            </w:r>
          </w:p>
        </w:tc>
      </w:tr>
      <w:tr w:rsidR="00BF4753" w:rsidRPr="00182E2D" w:rsidTr="002D7CA8">
        <w:trPr>
          <w:trHeight w:val="444"/>
          <w:jc w:val="center"/>
        </w:trPr>
        <w:tc>
          <w:tcPr>
            <w:tcW w:w="2405" w:type="dxa"/>
          </w:tcPr>
          <w:p w:rsidR="00BF4753" w:rsidRPr="00182E2D" w:rsidRDefault="00BF4753" w:rsidP="002D7CA8">
            <w:pPr>
              <w:ind w:firstLine="0"/>
              <w:jc w:val="left"/>
              <w:rPr>
                <w:rFonts w:eastAsia="Times New Roman"/>
                <w:sz w:val="20"/>
              </w:rPr>
            </w:pPr>
            <w:r w:rsidRPr="00182E2D">
              <w:rPr>
                <w:rFonts w:eastAsia="Times New Roman"/>
                <w:sz w:val="20"/>
              </w:rPr>
              <w:t xml:space="preserve">2. </w:t>
            </w:r>
            <w:r w:rsidRPr="00182E2D">
              <w:rPr>
                <w:rFonts w:eastAsia="Times New Roman"/>
                <w:snapToGrid w:val="0"/>
                <w:sz w:val="20"/>
              </w:rPr>
              <w:t>Ienākuma un mantas kārtējie nodokļi</w:t>
            </w:r>
          </w:p>
        </w:tc>
        <w:tc>
          <w:tcPr>
            <w:tcW w:w="1287" w:type="dxa"/>
          </w:tcPr>
          <w:p w:rsidR="00BF4753" w:rsidRPr="00182E2D" w:rsidRDefault="00BF4753" w:rsidP="002D7CA8">
            <w:pPr>
              <w:ind w:firstLine="0"/>
              <w:jc w:val="center"/>
              <w:rPr>
                <w:rFonts w:eastAsia="Times New Roman"/>
                <w:sz w:val="20"/>
              </w:rPr>
            </w:pPr>
            <w:r w:rsidRPr="00182E2D">
              <w:rPr>
                <w:rFonts w:eastAsia="Times New Roman"/>
                <w:sz w:val="20"/>
              </w:rPr>
              <w:t>D.5</w:t>
            </w:r>
          </w:p>
        </w:tc>
        <w:tc>
          <w:tcPr>
            <w:tcW w:w="921" w:type="dxa"/>
          </w:tcPr>
          <w:p w:rsidR="00BF4753" w:rsidRPr="00182E2D" w:rsidRDefault="00BF4753" w:rsidP="002D7CA8">
            <w:pPr>
              <w:ind w:firstLine="0"/>
              <w:jc w:val="center"/>
              <w:rPr>
                <w:rFonts w:eastAsia="Times New Roman"/>
                <w:sz w:val="20"/>
              </w:rPr>
            </w:pPr>
            <w:r w:rsidRPr="00182E2D">
              <w:rPr>
                <w:rFonts w:eastAsia="Times New Roman"/>
                <w:sz w:val="20"/>
              </w:rPr>
              <w:t>2 108,5</w:t>
            </w:r>
          </w:p>
        </w:tc>
        <w:tc>
          <w:tcPr>
            <w:tcW w:w="922" w:type="dxa"/>
          </w:tcPr>
          <w:p w:rsidR="00BF4753" w:rsidRPr="00182E2D" w:rsidRDefault="00BF4753" w:rsidP="002D7CA8">
            <w:pPr>
              <w:ind w:firstLine="0"/>
              <w:jc w:val="center"/>
              <w:rPr>
                <w:rFonts w:eastAsia="Times New Roman"/>
                <w:sz w:val="20"/>
              </w:rPr>
            </w:pPr>
            <w:r w:rsidRPr="00182E2D">
              <w:rPr>
                <w:rFonts w:eastAsia="Times New Roman"/>
                <w:sz w:val="20"/>
              </w:rPr>
              <w:t>2 175,3</w:t>
            </w:r>
          </w:p>
        </w:tc>
        <w:tc>
          <w:tcPr>
            <w:tcW w:w="1053" w:type="dxa"/>
          </w:tcPr>
          <w:p w:rsidR="00BF4753" w:rsidRPr="00182E2D" w:rsidRDefault="00BF4753" w:rsidP="002D7CA8">
            <w:pPr>
              <w:ind w:firstLine="0"/>
              <w:jc w:val="center"/>
              <w:rPr>
                <w:rFonts w:eastAsia="Times New Roman"/>
                <w:sz w:val="20"/>
              </w:rPr>
            </w:pPr>
            <w:r w:rsidRPr="00182E2D">
              <w:rPr>
                <w:rFonts w:eastAsia="Times New Roman"/>
                <w:sz w:val="20"/>
              </w:rPr>
              <w:t>2 364,7</w:t>
            </w:r>
          </w:p>
        </w:tc>
        <w:tc>
          <w:tcPr>
            <w:tcW w:w="921" w:type="dxa"/>
          </w:tcPr>
          <w:p w:rsidR="00BF4753" w:rsidRPr="00182E2D" w:rsidRDefault="00BF4753" w:rsidP="002D7CA8">
            <w:pPr>
              <w:ind w:firstLine="0"/>
              <w:jc w:val="center"/>
              <w:rPr>
                <w:rFonts w:eastAsia="Times New Roman"/>
                <w:sz w:val="20"/>
              </w:rPr>
            </w:pPr>
            <w:r w:rsidRPr="00182E2D">
              <w:rPr>
                <w:rFonts w:eastAsia="Times New Roman"/>
                <w:sz w:val="20"/>
              </w:rPr>
              <w:t>2 465,5</w:t>
            </w:r>
          </w:p>
        </w:tc>
        <w:tc>
          <w:tcPr>
            <w:tcW w:w="921" w:type="dxa"/>
          </w:tcPr>
          <w:p w:rsidR="00BF4753" w:rsidRPr="00182E2D" w:rsidRDefault="00BF4753" w:rsidP="002D7CA8">
            <w:pPr>
              <w:ind w:firstLine="0"/>
              <w:jc w:val="center"/>
              <w:rPr>
                <w:rFonts w:eastAsia="Times New Roman"/>
                <w:sz w:val="20"/>
              </w:rPr>
            </w:pPr>
            <w:r w:rsidRPr="00182E2D">
              <w:rPr>
                <w:rFonts w:eastAsia="Times New Roman"/>
                <w:sz w:val="20"/>
              </w:rPr>
              <w:t>2 580,4</w:t>
            </w:r>
          </w:p>
        </w:tc>
      </w:tr>
      <w:tr w:rsidR="00BF4753" w:rsidRPr="00182E2D" w:rsidTr="002D7CA8">
        <w:trPr>
          <w:trHeight w:val="222"/>
          <w:jc w:val="center"/>
        </w:trPr>
        <w:tc>
          <w:tcPr>
            <w:tcW w:w="2405" w:type="dxa"/>
          </w:tcPr>
          <w:p w:rsidR="00BF4753" w:rsidRPr="00182E2D" w:rsidRDefault="00BF4753" w:rsidP="002D7CA8">
            <w:pPr>
              <w:ind w:firstLine="0"/>
              <w:jc w:val="left"/>
              <w:rPr>
                <w:rFonts w:eastAsia="Times New Roman"/>
                <w:sz w:val="20"/>
              </w:rPr>
            </w:pPr>
            <w:r w:rsidRPr="00182E2D">
              <w:rPr>
                <w:rFonts w:eastAsia="Times New Roman"/>
                <w:sz w:val="20"/>
              </w:rPr>
              <w:t>3. Kapitāla nodokļi</w:t>
            </w:r>
          </w:p>
        </w:tc>
        <w:tc>
          <w:tcPr>
            <w:tcW w:w="1287" w:type="dxa"/>
          </w:tcPr>
          <w:p w:rsidR="00BF4753" w:rsidRPr="00182E2D" w:rsidRDefault="00BF4753" w:rsidP="002D7CA8">
            <w:pPr>
              <w:ind w:firstLine="0"/>
              <w:jc w:val="center"/>
              <w:rPr>
                <w:rFonts w:eastAsia="Times New Roman"/>
                <w:sz w:val="20"/>
              </w:rPr>
            </w:pPr>
            <w:r w:rsidRPr="00182E2D">
              <w:rPr>
                <w:rFonts w:eastAsia="Times New Roman"/>
                <w:sz w:val="20"/>
              </w:rPr>
              <w:t>D.91</w:t>
            </w:r>
          </w:p>
        </w:tc>
        <w:tc>
          <w:tcPr>
            <w:tcW w:w="921" w:type="dxa"/>
          </w:tcPr>
          <w:p w:rsidR="00BF4753" w:rsidRPr="00182E2D" w:rsidRDefault="00BF4753" w:rsidP="002D7CA8">
            <w:pPr>
              <w:ind w:firstLine="0"/>
              <w:jc w:val="center"/>
              <w:rPr>
                <w:rFonts w:eastAsia="Times New Roman"/>
                <w:sz w:val="20"/>
              </w:rPr>
            </w:pPr>
            <w:r w:rsidRPr="00182E2D">
              <w:rPr>
                <w:sz w:val="20"/>
              </w:rPr>
              <w:t>11,5</w:t>
            </w:r>
          </w:p>
        </w:tc>
        <w:tc>
          <w:tcPr>
            <w:tcW w:w="922" w:type="dxa"/>
          </w:tcPr>
          <w:p w:rsidR="00BF4753" w:rsidRPr="00182E2D" w:rsidRDefault="00BF4753" w:rsidP="002D7CA8">
            <w:pPr>
              <w:ind w:firstLine="0"/>
              <w:jc w:val="center"/>
              <w:rPr>
                <w:rFonts w:eastAsia="Times New Roman"/>
                <w:sz w:val="20"/>
              </w:rPr>
            </w:pPr>
            <w:r w:rsidRPr="00182E2D">
              <w:rPr>
                <w:sz w:val="20"/>
              </w:rPr>
              <w:t>11,7</w:t>
            </w:r>
          </w:p>
        </w:tc>
        <w:tc>
          <w:tcPr>
            <w:tcW w:w="1053" w:type="dxa"/>
          </w:tcPr>
          <w:p w:rsidR="00BF4753" w:rsidRPr="00182E2D" w:rsidRDefault="00BF4753" w:rsidP="002D7CA8">
            <w:pPr>
              <w:ind w:firstLine="0"/>
              <w:jc w:val="center"/>
              <w:rPr>
                <w:rFonts w:eastAsia="Times New Roman"/>
                <w:sz w:val="20"/>
              </w:rPr>
            </w:pPr>
            <w:r w:rsidRPr="00182E2D">
              <w:rPr>
                <w:sz w:val="20"/>
              </w:rPr>
              <w:t>12,3</w:t>
            </w:r>
          </w:p>
        </w:tc>
        <w:tc>
          <w:tcPr>
            <w:tcW w:w="921" w:type="dxa"/>
          </w:tcPr>
          <w:p w:rsidR="00BF4753" w:rsidRPr="00182E2D" w:rsidRDefault="00BF4753" w:rsidP="002D7CA8">
            <w:pPr>
              <w:ind w:firstLine="0"/>
              <w:jc w:val="center"/>
              <w:rPr>
                <w:rFonts w:eastAsia="Times New Roman"/>
                <w:sz w:val="20"/>
              </w:rPr>
            </w:pPr>
            <w:r w:rsidRPr="00182E2D">
              <w:rPr>
                <w:sz w:val="20"/>
              </w:rPr>
              <w:t>12,8</w:t>
            </w:r>
          </w:p>
        </w:tc>
        <w:tc>
          <w:tcPr>
            <w:tcW w:w="921" w:type="dxa"/>
          </w:tcPr>
          <w:p w:rsidR="00BF4753" w:rsidRPr="00182E2D" w:rsidRDefault="00BF4753" w:rsidP="002D7CA8">
            <w:pPr>
              <w:ind w:firstLine="0"/>
              <w:jc w:val="center"/>
              <w:rPr>
                <w:rFonts w:eastAsia="Times New Roman"/>
                <w:sz w:val="20"/>
              </w:rPr>
            </w:pPr>
            <w:r w:rsidRPr="00182E2D">
              <w:rPr>
                <w:sz w:val="20"/>
              </w:rPr>
              <w:t>13,2</w:t>
            </w:r>
          </w:p>
        </w:tc>
      </w:tr>
      <w:tr w:rsidR="00BF4753" w:rsidRPr="00182E2D" w:rsidTr="002D7CA8">
        <w:trPr>
          <w:trHeight w:val="222"/>
          <w:jc w:val="center"/>
        </w:trPr>
        <w:tc>
          <w:tcPr>
            <w:tcW w:w="2405" w:type="dxa"/>
          </w:tcPr>
          <w:p w:rsidR="00BF4753" w:rsidRPr="00182E2D" w:rsidRDefault="00BF4753" w:rsidP="002D7CA8">
            <w:pPr>
              <w:ind w:firstLine="0"/>
              <w:jc w:val="left"/>
              <w:rPr>
                <w:rFonts w:eastAsia="Times New Roman"/>
                <w:sz w:val="20"/>
              </w:rPr>
            </w:pPr>
            <w:r w:rsidRPr="00182E2D">
              <w:rPr>
                <w:rFonts w:eastAsia="Times New Roman"/>
                <w:sz w:val="20"/>
              </w:rPr>
              <w:t>4. Sociālās iemaksas</w:t>
            </w:r>
          </w:p>
        </w:tc>
        <w:tc>
          <w:tcPr>
            <w:tcW w:w="1287" w:type="dxa"/>
          </w:tcPr>
          <w:p w:rsidR="00BF4753" w:rsidRPr="00182E2D" w:rsidRDefault="00BF4753" w:rsidP="002D7CA8">
            <w:pPr>
              <w:ind w:firstLine="0"/>
              <w:jc w:val="center"/>
              <w:rPr>
                <w:rFonts w:eastAsia="Times New Roman"/>
                <w:sz w:val="20"/>
              </w:rPr>
            </w:pPr>
            <w:r w:rsidRPr="00182E2D">
              <w:rPr>
                <w:rFonts w:eastAsia="Times New Roman"/>
                <w:sz w:val="20"/>
              </w:rPr>
              <w:t>D.61</w:t>
            </w:r>
          </w:p>
        </w:tc>
        <w:tc>
          <w:tcPr>
            <w:tcW w:w="921" w:type="dxa"/>
          </w:tcPr>
          <w:p w:rsidR="00BF4753" w:rsidRPr="00182E2D" w:rsidRDefault="00BF4753" w:rsidP="002D7CA8">
            <w:pPr>
              <w:ind w:firstLine="0"/>
              <w:jc w:val="center"/>
              <w:rPr>
                <w:rFonts w:eastAsia="Times New Roman"/>
                <w:sz w:val="20"/>
              </w:rPr>
            </w:pPr>
            <w:r w:rsidRPr="00182E2D">
              <w:rPr>
                <w:sz w:val="20"/>
              </w:rPr>
              <w:t>3 022,2</w:t>
            </w:r>
          </w:p>
        </w:tc>
        <w:tc>
          <w:tcPr>
            <w:tcW w:w="922" w:type="dxa"/>
          </w:tcPr>
          <w:p w:rsidR="00BF4753" w:rsidRPr="00182E2D" w:rsidRDefault="00BF4753" w:rsidP="002D7CA8">
            <w:pPr>
              <w:ind w:firstLine="0"/>
              <w:jc w:val="center"/>
              <w:rPr>
                <w:rFonts w:eastAsia="Times New Roman"/>
                <w:sz w:val="20"/>
              </w:rPr>
            </w:pPr>
            <w:r w:rsidRPr="00182E2D">
              <w:rPr>
                <w:sz w:val="20"/>
              </w:rPr>
              <w:t>3 100,7</w:t>
            </w:r>
          </w:p>
        </w:tc>
        <w:tc>
          <w:tcPr>
            <w:tcW w:w="1053" w:type="dxa"/>
          </w:tcPr>
          <w:p w:rsidR="00BF4753" w:rsidRPr="00182E2D" w:rsidRDefault="00BF4753" w:rsidP="002D7CA8">
            <w:pPr>
              <w:ind w:firstLine="0"/>
              <w:jc w:val="center"/>
              <w:rPr>
                <w:rFonts w:eastAsia="Times New Roman"/>
                <w:sz w:val="20"/>
              </w:rPr>
            </w:pPr>
            <w:r w:rsidRPr="00182E2D">
              <w:rPr>
                <w:sz w:val="20"/>
              </w:rPr>
              <w:t>3 280,4</w:t>
            </w:r>
          </w:p>
        </w:tc>
        <w:tc>
          <w:tcPr>
            <w:tcW w:w="921" w:type="dxa"/>
          </w:tcPr>
          <w:p w:rsidR="00BF4753" w:rsidRPr="00182E2D" w:rsidRDefault="00BF4753" w:rsidP="002D7CA8">
            <w:pPr>
              <w:ind w:firstLine="0"/>
              <w:jc w:val="center"/>
              <w:rPr>
                <w:rFonts w:eastAsia="Times New Roman"/>
                <w:sz w:val="20"/>
              </w:rPr>
            </w:pPr>
            <w:r w:rsidRPr="00182E2D">
              <w:rPr>
                <w:sz w:val="20"/>
              </w:rPr>
              <w:t>3 465,4</w:t>
            </w:r>
          </w:p>
        </w:tc>
        <w:tc>
          <w:tcPr>
            <w:tcW w:w="921" w:type="dxa"/>
          </w:tcPr>
          <w:p w:rsidR="00BF4753" w:rsidRPr="00182E2D" w:rsidRDefault="00BF4753" w:rsidP="002D7CA8">
            <w:pPr>
              <w:ind w:firstLine="0"/>
              <w:jc w:val="center"/>
              <w:rPr>
                <w:rFonts w:eastAsia="Times New Roman"/>
                <w:sz w:val="20"/>
              </w:rPr>
            </w:pPr>
            <w:r w:rsidRPr="00182E2D">
              <w:rPr>
                <w:sz w:val="20"/>
              </w:rPr>
              <w:t>3 628,2</w:t>
            </w:r>
          </w:p>
        </w:tc>
      </w:tr>
      <w:tr w:rsidR="00BF4753" w:rsidRPr="00182E2D" w:rsidTr="002D7CA8">
        <w:trPr>
          <w:trHeight w:val="188"/>
          <w:jc w:val="center"/>
        </w:trPr>
        <w:tc>
          <w:tcPr>
            <w:tcW w:w="2405" w:type="dxa"/>
          </w:tcPr>
          <w:p w:rsidR="00BF4753" w:rsidRPr="00182E2D" w:rsidRDefault="00BF4753" w:rsidP="002D7CA8">
            <w:pPr>
              <w:ind w:firstLine="0"/>
              <w:jc w:val="right"/>
              <w:rPr>
                <w:rFonts w:eastAsia="Times New Roman"/>
                <w:i/>
                <w:sz w:val="20"/>
              </w:rPr>
            </w:pPr>
            <w:r w:rsidRPr="00182E2D">
              <w:rPr>
                <w:rFonts w:eastAsia="Times New Roman"/>
                <w:i/>
                <w:sz w:val="20"/>
              </w:rPr>
              <w:t>No tā faktiskās sociālās iemaksas</w:t>
            </w:r>
          </w:p>
        </w:tc>
        <w:tc>
          <w:tcPr>
            <w:tcW w:w="1287" w:type="dxa"/>
          </w:tcPr>
          <w:p w:rsidR="00BF4753" w:rsidRPr="00182E2D" w:rsidRDefault="00BF4753" w:rsidP="002D7CA8">
            <w:pPr>
              <w:ind w:firstLine="0"/>
              <w:jc w:val="center"/>
              <w:rPr>
                <w:rFonts w:eastAsia="Times New Roman"/>
                <w:i/>
                <w:sz w:val="20"/>
              </w:rPr>
            </w:pPr>
            <w:r w:rsidRPr="00182E2D">
              <w:rPr>
                <w:rFonts w:eastAsia="Times New Roman"/>
                <w:i/>
                <w:sz w:val="20"/>
              </w:rPr>
              <w:t>D.611 un D.613</w:t>
            </w:r>
          </w:p>
        </w:tc>
        <w:tc>
          <w:tcPr>
            <w:tcW w:w="921" w:type="dxa"/>
          </w:tcPr>
          <w:p w:rsidR="00BF4753" w:rsidRPr="00182E2D" w:rsidRDefault="00BF4753" w:rsidP="002D7CA8">
            <w:pPr>
              <w:ind w:firstLine="0"/>
              <w:jc w:val="center"/>
              <w:rPr>
                <w:rFonts w:eastAsia="Times New Roman"/>
                <w:sz w:val="20"/>
              </w:rPr>
            </w:pPr>
            <w:r w:rsidRPr="00182E2D">
              <w:rPr>
                <w:sz w:val="20"/>
              </w:rPr>
              <w:t>2 873,7</w:t>
            </w:r>
          </w:p>
        </w:tc>
        <w:tc>
          <w:tcPr>
            <w:tcW w:w="922" w:type="dxa"/>
          </w:tcPr>
          <w:p w:rsidR="00BF4753" w:rsidRPr="00182E2D" w:rsidRDefault="00BF4753" w:rsidP="002D7CA8">
            <w:pPr>
              <w:ind w:firstLine="0"/>
              <w:jc w:val="center"/>
              <w:rPr>
                <w:rFonts w:eastAsia="Times New Roman"/>
                <w:sz w:val="20"/>
              </w:rPr>
            </w:pPr>
            <w:r w:rsidRPr="00182E2D">
              <w:rPr>
                <w:sz w:val="20"/>
              </w:rPr>
              <w:t>2 952,2</w:t>
            </w:r>
          </w:p>
        </w:tc>
        <w:tc>
          <w:tcPr>
            <w:tcW w:w="1053" w:type="dxa"/>
          </w:tcPr>
          <w:p w:rsidR="00BF4753" w:rsidRPr="00182E2D" w:rsidRDefault="00BF4753" w:rsidP="002D7CA8">
            <w:pPr>
              <w:ind w:firstLine="0"/>
              <w:jc w:val="center"/>
              <w:rPr>
                <w:rFonts w:eastAsia="Times New Roman"/>
                <w:sz w:val="20"/>
              </w:rPr>
            </w:pPr>
            <w:r w:rsidRPr="00182E2D">
              <w:rPr>
                <w:sz w:val="20"/>
              </w:rPr>
              <w:t>3 131,8</w:t>
            </w:r>
          </w:p>
        </w:tc>
        <w:tc>
          <w:tcPr>
            <w:tcW w:w="921" w:type="dxa"/>
          </w:tcPr>
          <w:p w:rsidR="00BF4753" w:rsidRPr="00182E2D" w:rsidRDefault="00BF4753" w:rsidP="002D7CA8">
            <w:pPr>
              <w:ind w:firstLine="0"/>
              <w:jc w:val="center"/>
              <w:rPr>
                <w:rFonts w:eastAsia="Times New Roman"/>
                <w:sz w:val="20"/>
              </w:rPr>
            </w:pPr>
            <w:r w:rsidRPr="00182E2D">
              <w:rPr>
                <w:sz w:val="20"/>
              </w:rPr>
              <w:t>3 316,8</w:t>
            </w:r>
          </w:p>
        </w:tc>
        <w:tc>
          <w:tcPr>
            <w:tcW w:w="921" w:type="dxa"/>
          </w:tcPr>
          <w:p w:rsidR="00BF4753" w:rsidRPr="00182E2D" w:rsidRDefault="00BF4753" w:rsidP="002D7CA8">
            <w:pPr>
              <w:ind w:firstLine="0"/>
              <w:jc w:val="center"/>
              <w:rPr>
                <w:rFonts w:eastAsia="Times New Roman"/>
                <w:sz w:val="20"/>
              </w:rPr>
            </w:pPr>
            <w:r w:rsidRPr="00182E2D">
              <w:rPr>
                <w:sz w:val="20"/>
              </w:rPr>
              <w:t>3 479,7</w:t>
            </w:r>
          </w:p>
        </w:tc>
      </w:tr>
      <w:bookmarkEnd w:id="46"/>
    </w:tbl>
    <w:p w:rsidR="00BF4753" w:rsidRPr="00182E2D" w:rsidRDefault="00BF4753" w:rsidP="00BF4753">
      <w:pPr>
        <w:ind w:firstLine="709"/>
        <w:rPr>
          <w:rFonts w:eastAsia="Times New Roman" w:cs="Times New Roman"/>
          <w:sz w:val="24"/>
          <w:szCs w:val="20"/>
          <w:highlight w:val="yellow"/>
        </w:rPr>
      </w:pPr>
    </w:p>
    <w:p w:rsidR="00BF4753" w:rsidRPr="00FA0B89" w:rsidRDefault="00BF4753" w:rsidP="00BF4753">
      <w:pPr>
        <w:rPr>
          <w:rFonts w:eastAsia="Times New Roman" w:cs="Times New Roman"/>
          <w:szCs w:val="20"/>
        </w:rPr>
      </w:pPr>
      <w:r w:rsidRPr="00FA0B89">
        <w:rPr>
          <w:rFonts w:eastAsia="Times New Roman" w:cs="Times New Roman"/>
          <w:szCs w:val="20"/>
        </w:rPr>
        <w:t>Veikto izmaiņu rezultātā, darbaspēka nodokļu īpatsvars samazināsies no 47,3% 2020.</w:t>
      </w:r>
      <w:r>
        <w:rPr>
          <w:rFonts w:eastAsia="Times New Roman" w:cs="Times New Roman"/>
          <w:szCs w:val="20"/>
        </w:rPr>
        <w:t xml:space="preserve"> </w:t>
      </w:r>
      <w:r w:rsidRPr="00FA0B89">
        <w:rPr>
          <w:rFonts w:eastAsia="Times New Roman" w:cs="Times New Roman"/>
          <w:szCs w:val="20"/>
        </w:rPr>
        <w:t>gadā līdz 46,4% 2024.</w:t>
      </w:r>
      <w:r>
        <w:rPr>
          <w:rFonts w:eastAsia="Times New Roman" w:cs="Times New Roman"/>
          <w:szCs w:val="20"/>
        </w:rPr>
        <w:t xml:space="preserve"> </w:t>
      </w:r>
      <w:r w:rsidRPr="00FA0B89">
        <w:rPr>
          <w:rFonts w:eastAsia="Times New Roman" w:cs="Times New Roman"/>
          <w:szCs w:val="20"/>
        </w:rPr>
        <w:t>gadā, līdz ar to patēriņa un kapitāla nodokļu ieņēmumu īpatsvars kopējos nodokļu ieņēmumos pakāpeniski palielināsies no 52,7% 2020.</w:t>
      </w:r>
      <w:r>
        <w:rPr>
          <w:rFonts w:eastAsia="Times New Roman" w:cs="Times New Roman"/>
          <w:szCs w:val="20"/>
        </w:rPr>
        <w:t xml:space="preserve"> </w:t>
      </w:r>
      <w:r w:rsidRPr="00FA0B89">
        <w:rPr>
          <w:rFonts w:eastAsia="Times New Roman" w:cs="Times New Roman"/>
          <w:szCs w:val="20"/>
        </w:rPr>
        <w:t>gadā līdz 53,6% 2024.</w:t>
      </w:r>
      <w:r>
        <w:rPr>
          <w:rFonts w:eastAsia="Times New Roman" w:cs="Times New Roman"/>
          <w:szCs w:val="20"/>
        </w:rPr>
        <w:t xml:space="preserve"> </w:t>
      </w:r>
      <w:r w:rsidRPr="00FA0B89">
        <w:rPr>
          <w:rFonts w:eastAsia="Times New Roman" w:cs="Times New Roman"/>
          <w:szCs w:val="20"/>
        </w:rPr>
        <w:t>gadā.</w:t>
      </w:r>
    </w:p>
    <w:p w:rsidR="00BF4753" w:rsidRPr="002F061C" w:rsidRDefault="00BF4753" w:rsidP="00BF4753">
      <w:pPr>
        <w:rPr>
          <w:rFonts w:eastAsia="Times New Roman" w:cs="Times New Roman"/>
          <w:szCs w:val="24"/>
          <w:lang w:eastAsia="x-none"/>
        </w:rPr>
      </w:pPr>
      <w:r w:rsidRPr="00FA0B89">
        <w:rPr>
          <w:rFonts w:eastAsia="Times New Roman" w:cs="Times New Roman"/>
          <w:szCs w:val="24"/>
          <w:lang w:val="x-none" w:eastAsia="x-none"/>
        </w:rPr>
        <w:t xml:space="preserve">Līdz ar to arī darbaspēka nodokļu ieņēmumu </w:t>
      </w:r>
      <w:r w:rsidRPr="00FA0B89">
        <w:rPr>
          <w:rFonts w:eastAsia="Times New Roman" w:cs="Times New Roman"/>
          <w:szCs w:val="24"/>
          <w:lang w:eastAsia="x-none"/>
        </w:rPr>
        <w:t>īpatsvars</w:t>
      </w:r>
      <w:r w:rsidRPr="00FA0B89">
        <w:rPr>
          <w:rFonts w:eastAsia="Times New Roman" w:cs="Times New Roman"/>
          <w:szCs w:val="24"/>
          <w:lang w:val="x-none" w:eastAsia="x-none"/>
        </w:rPr>
        <w:t xml:space="preserve"> </w:t>
      </w:r>
      <w:r>
        <w:rPr>
          <w:rFonts w:eastAsia="Times New Roman" w:cs="Times New Roman"/>
          <w:szCs w:val="24"/>
          <w:lang w:eastAsia="x-none"/>
        </w:rPr>
        <w:t>iekšzemes kopproduktā</w:t>
      </w:r>
      <w:r w:rsidRPr="00FA0B89">
        <w:rPr>
          <w:rFonts w:eastAsia="Times New Roman" w:cs="Times New Roman"/>
          <w:szCs w:val="24"/>
          <w:lang w:val="x-none" w:eastAsia="x-none"/>
        </w:rPr>
        <w:t xml:space="preserve"> 202</w:t>
      </w:r>
      <w:r w:rsidRPr="00FA0B89">
        <w:rPr>
          <w:rFonts w:eastAsia="Times New Roman" w:cs="Times New Roman"/>
          <w:szCs w:val="24"/>
          <w:lang w:eastAsia="x-none"/>
        </w:rPr>
        <w:t>4</w:t>
      </w:r>
      <w:r w:rsidRPr="00FA0B89">
        <w:rPr>
          <w:rFonts w:eastAsia="Times New Roman" w:cs="Times New Roman"/>
          <w:szCs w:val="24"/>
          <w:lang w:val="x-none" w:eastAsia="x-none"/>
        </w:rPr>
        <w:t>.</w:t>
      </w:r>
      <w:r>
        <w:rPr>
          <w:rFonts w:eastAsia="Times New Roman" w:cs="Times New Roman"/>
          <w:szCs w:val="24"/>
          <w:lang w:eastAsia="x-none"/>
        </w:rPr>
        <w:t xml:space="preserve"> </w:t>
      </w:r>
      <w:r w:rsidRPr="00FA0B89">
        <w:rPr>
          <w:rFonts w:eastAsia="Times New Roman" w:cs="Times New Roman"/>
          <w:szCs w:val="24"/>
          <w:lang w:val="x-none" w:eastAsia="x-none"/>
        </w:rPr>
        <w:t>gadā, salīdzinot ar 20</w:t>
      </w:r>
      <w:r w:rsidRPr="00FA0B89">
        <w:rPr>
          <w:rFonts w:eastAsia="Times New Roman" w:cs="Times New Roman"/>
          <w:szCs w:val="24"/>
          <w:lang w:eastAsia="x-none"/>
        </w:rPr>
        <w:t>20</w:t>
      </w:r>
      <w:r w:rsidRPr="00FA0B89">
        <w:rPr>
          <w:rFonts w:eastAsia="Times New Roman" w:cs="Times New Roman"/>
          <w:szCs w:val="24"/>
          <w:lang w:val="x-none" w:eastAsia="x-none"/>
        </w:rPr>
        <w:t>.</w:t>
      </w:r>
      <w:r>
        <w:rPr>
          <w:rFonts w:eastAsia="Times New Roman" w:cs="Times New Roman"/>
          <w:szCs w:val="24"/>
          <w:lang w:eastAsia="x-none"/>
        </w:rPr>
        <w:t xml:space="preserve"> </w:t>
      </w:r>
      <w:r w:rsidRPr="00FA0B89">
        <w:rPr>
          <w:rFonts w:eastAsia="Times New Roman" w:cs="Times New Roman"/>
          <w:szCs w:val="24"/>
          <w:lang w:val="x-none" w:eastAsia="x-none"/>
        </w:rPr>
        <w:t>gadu, samazin</w:t>
      </w:r>
      <w:r w:rsidRPr="00FA0B89">
        <w:rPr>
          <w:rFonts w:eastAsia="Times New Roman" w:cs="Times New Roman"/>
          <w:szCs w:val="24"/>
          <w:lang w:eastAsia="x-none"/>
        </w:rPr>
        <w:t>āsies</w:t>
      </w:r>
      <w:r w:rsidRPr="00FA0B89">
        <w:rPr>
          <w:rFonts w:eastAsia="Times New Roman" w:cs="Times New Roman"/>
          <w:szCs w:val="24"/>
          <w:lang w:val="x-none" w:eastAsia="x-none"/>
        </w:rPr>
        <w:t xml:space="preserve"> par </w:t>
      </w:r>
      <w:r w:rsidRPr="00FA0B89">
        <w:rPr>
          <w:rFonts w:eastAsia="Times New Roman" w:cs="Times New Roman"/>
          <w:szCs w:val="24"/>
          <w:lang w:eastAsia="x-none"/>
        </w:rPr>
        <w:t>0,3</w:t>
      </w:r>
      <w:r w:rsidRPr="00FA0B89">
        <w:rPr>
          <w:rFonts w:eastAsia="Times New Roman" w:cs="Times New Roman"/>
          <w:szCs w:val="24"/>
          <w:lang w:val="x-none" w:eastAsia="x-none"/>
        </w:rPr>
        <w:t> procentpunkt</w:t>
      </w:r>
      <w:r w:rsidRPr="00FA0B89">
        <w:rPr>
          <w:rFonts w:eastAsia="Times New Roman" w:cs="Times New Roman"/>
          <w:szCs w:val="24"/>
          <w:lang w:eastAsia="x-none"/>
        </w:rPr>
        <w:t>iem</w:t>
      </w:r>
      <w:r w:rsidRPr="00FA0B89">
        <w:rPr>
          <w:rFonts w:eastAsia="Times New Roman" w:cs="Times New Roman"/>
          <w:szCs w:val="24"/>
          <w:lang w:val="x-none" w:eastAsia="x-none"/>
        </w:rPr>
        <w:t xml:space="preserve">, bet patēriņa un kapitāla nodokļu ieņēmumi no </w:t>
      </w:r>
      <w:r>
        <w:rPr>
          <w:rFonts w:eastAsia="Times New Roman" w:cs="Times New Roman"/>
          <w:szCs w:val="24"/>
          <w:lang w:eastAsia="x-none"/>
        </w:rPr>
        <w:t>iekšzemes kopprodukta</w:t>
      </w:r>
      <w:r w:rsidRPr="00FA0B89">
        <w:rPr>
          <w:rFonts w:eastAsia="Times New Roman" w:cs="Times New Roman"/>
          <w:szCs w:val="24"/>
          <w:lang w:val="x-none" w:eastAsia="x-none"/>
        </w:rPr>
        <w:t xml:space="preserve"> </w:t>
      </w:r>
      <w:r w:rsidRPr="00FA0B89">
        <w:rPr>
          <w:rFonts w:eastAsia="Times New Roman" w:cs="Times New Roman"/>
          <w:szCs w:val="24"/>
          <w:lang w:eastAsia="x-none"/>
        </w:rPr>
        <w:t>palielināsies par 1,0 procentpunktu</w:t>
      </w:r>
      <w:r w:rsidRPr="00FA0B89">
        <w:rPr>
          <w:rFonts w:eastAsia="Times New Roman" w:cs="Times New Roman"/>
          <w:szCs w:val="24"/>
          <w:lang w:val="x-none" w:eastAsia="x-none"/>
        </w:rPr>
        <w:t>.</w:t>
      </w:r>
    </w:p>
    <w:p w:rsidR="00BF4753" w:rsidRPr="00182E2D" w:rsidRDefault="00BF4753" w:rsidP="00BF4753">
      <w:pPr>
        <w:spacing w:before="60" w:after="120"/>
        <w:ind w:firstLine="567"/>
        <w:jc w:val="center"/>
        <w:rPr>
          <w:rFonts w:eastAsia="Times New Roman" w:cs="Times New Roman"/>
          <w:b/>
          <w:sz w:val="24"/>
          <w:szCs w:val="24"/>
        </w:rPr>
      </w:pPr>
      <w:r w:rsidRPr="00182E2D">
        <w:rPr>
          <w:rFonts w:eastAsia="Calibri" w:cs="Times New Roman"/>
          <w:noProof/>
          <w:sz w:val="24"/>
          <w:lang w:eastAsia="lv-LV"/>
        </w:rPr>
        <w:drawing>
          <wp:inline distT="0" distB="0" distL="0" distR="0" wp14:anchorId="3E39ED7A" wp14:editId="4F583790">
            <wp:extent cx="3573780" cy="1851660"/>
            <wp:effectExtent l="0" t="0" r="7620" b="0"/>
            <wp:docPr id="6" name="Chart 6">
              <a:extLst xmlns:a="http://schemas.openxmlformats.org/drawingml/2006/main">
                <a:ext uri="{FF2B5EF4-FFF2-40B4-BE49-F238E27FC236}">
                  <a16:creationId xmlns:a16="http://schemas.microsoft.com/office/drawing/2014/main" id="{1800175E-539F-49E1-8B3F-EFA237105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F4753" w:rsidRPr="00182E2D" w:rsidRDefault="00BF4753" w:rsidP="00BF4753">
      <w:pPr>
        <w:spacing w:before="60" w:after="120"/>
        <w:ind w:firstLine="567"/>
        <w:jc w:val="center"/>
        <w:rPr>
          <w:rFonts w:eastAsia="Times New Roman" w:cs="Times New Roman"/>
          <w:i/>
          <w:iCs/>
          <w:sz w:val="24"/>
          <w:szCs w:val="20"/>
        </w:rPr>
      </w:pPr>
      <w:r w:rsidRPr="00FA0B89">
        <w:rPr>
          <w:rFonts w:eastAsia="Times New Roman" w:cs="Times New Roman"/>
          <w:b/>
          <w:i/>
          <w:iCs/>
          <w:sz w:val="24"/>
          <w:szCs w:val="24"/>
        </w:rPr>
        <w:t>5.2. att.</w:t>
      </w:r>
      <w:r w:rsidRPr="00182E2D">
        <w:rPr>
          <w:rFonts w:eastAsia="Times New Roman" w:cs="Times New Roman"/>
          <w:b/>
          <w:i/>
          <w:iCs/>
          <w:sz w:val="24"/>
          <w:szCs w:val="24"/>
        </w:rPr>
        <w:t xml:space="preserve"> Nodokļu ieņēmumi atbilstoši e</w:t>
      </w:r>
      <w:r>
        <w:rPr>
          <w:rFonts w:eastAsia="Times New Roman" w:cs="Times New Roman"/>
          <w:b/>
          <w:i/>
          <w:iCs/>
          <w:sz w:val="24"/>
          <w:szCs w:val="24"/>
        </w:rPr>
        <w:t>konomiskajām funkcijām, % no iekšzemes kopprodukta</w:t>
      </w:r>
    </w:p>
    <w:p w:rsidR="00BF4753" w:rsidRPr="00182E2D" w:rsidRDefault="00BF4753" w:rsidP="00BF4753">
      <w:pPr>
        <w:rPr>
          <w:rFonts w:eastAsia="Calibri" w:cs="Times New Roman"/>
          <w:sz w:val="24"/>
        </w:rPr>
      </w:pPr>
    </w:p>
    <w:p w:rsidR="00BF4753" w:rsidRPr="00FA0B89" w:rsidRDefault="00BF4753" w:rsidP="00BF4753">
      <w:pPr>
        <w:ind w:firstLine="567"/>
        <w:rPr>
          <w:rFonts w:eastAsia="Calibri" w:cs="Times New Roman"/>
        </w:rPr>
      </w:pPr>
      <w:r w:rsidRPr="00FA0B89">
        <w:rPr>
          <w:rFonts w:eastAsia="Calibri" w:cs="Times New Roman"/>
        </w:rPr>
        <w:lastRenderedPageBreak/>
        <w:t>Turpinoties Covid-19 infekcijas izraisītajai krīzei arī 2021.</w:t>
      </w:r>
      <w:r>
        <w:rPr>
          <w:rFonts w:eastAsia="Calibri" w:cs="Times New Roman"/>
        </w:rPr>
        <w:t xml:space="preserve"> </w:t>
      </w:r>
      <w:r w:rsidRPr="00FA0B89">
        <w:rPr>
          <w:rFonts w:eastAsia="Calibri" w:cs="Times New Roman"/>
        </w:rPr>
        <w:t>gadā, likumā “Covid-19 infekcijas izplatības seku pārvarēšanas likums” ir ietverti atbalsta un saimnieciskās darbības ierobežojošie pasākumi:</w:t>
      </w:r>
    </w:p>
    <w:p w:rsidR="00BF4753" w:rsidRPr="00FA0B89" w:rsidRDefault="00BF4753" w:rsidP="00BF4753">
      <w:pPr>
        <w:numPr>
          <w:ilvl w:val="0"/>
          <w:numId w:val="24"/>
        </w:numPr>
        <w:spacing w:after="160"/>
        <w:ind w:left="1134" w:hanging="283"/>
        <w:contextualSpacing/>
        <w:rPr>
          <w:rFonts w:eastAsia="Calibri" w:cs="Times New Roman"/>
        </w:rPr>
      </w:pPr>
      <w:r w:rsidRPr="00FA0B89">
        <w:rPr>
          <w:rFonts w:eastAsia="Times New Roman" w:cs="Times New Roman"/>
          <w:szCs w:val="24"/>
          <w:shd w:val="clear" w:color="auto" w:fill="FFFFFF"/>
        </w:rPr>
        <w:t>nodokļu maksātājs līdz 2021.</w:t>
      </w:r>
      <w:r>
        <w:rPr>
          <w:rFonts w:eastAsia="Times New Roman" w:cs="Times New Roman"/>
          <w:szCs w:val="24"/>
          <w:shd w:val="clear" w:color="auto" w:fill="FFFFFF"/>
        </w:rPr>
        <w:t xml:space="preserve"> </w:t>
      </w:r>
      <w:r w:rsidRPr="00FA0B89">
        <w:rPr>
          <w:rFonts w:eastAsia="Times New Roman" w:cs="Times New Roman"/>
          <w:szCs w:val="24"/>
          <w:shd w:val="clear" w:color="auto" w:fill="FFFFFF"/>
        </w:rPr>
        <w:t>gada 30.jūnijam var pieteikties nodokļu samaksas termiņa pagarinājumam</w:t>
      </w:r>
      <w:r w:rsidRPr="00FA0B89">
        <w:rPr>
          <w:rFonts w:eastAsia="Calibri" w:cs="Times New Roman"/>
          <w:szCs w:val="24"/>
        </w:rPr>
        <w:t xml:space="preserve"> līdz trim</w:t>
      </w:r>
      <w:r w:rsidRPr="00FA0B89">
        <w:rPr>
          <w:rFonts w:eastAsia="Calibri" w:cs="Times New Roman"/>
        </w:rPr>
        <w:t xml:space="preserve"> gadiem, ja termiņa kavējums radies Covid-19 izplatības dēļ;</w:t>
      </w:r>
    </w:p>
    <w:p w:rsidR="00BF4753" w:rsidRPr="00FA0B89" w:rsidRDefault="00BF4753" w:rsidP="00BF4753">
      <w:pPr>
        <w:numPr>
          <w:ilvl w:val="0"/>
          <w:numId w:val="24"/>
        </w:numPr>
        <w:spacing w:after="160"/>
        <w:ind w:left="1134" w:hanging="283"/>
        <w:contextualSpacing/>
        <w:rPr>
          <w:rFonts w:eastAsia="Calibri" w:cs="Times New Roman"/>
        </w:rPr>
      </w:pPr>
      <w:r>
        <w:rPr>
          <w:rFonts w:eastAsia="Calibri" w:cs="Times New Roman"/>
        </w:rPr>
        <w:t xml:space="preserve">iedzīvotāju ienākuma </w:t>
      </w:r>
      <w:r w:rsidRPr="00FA0B89">
        <w:rPr>
          <w:rFonts w:eastAsia="Calibri" w:cs="Times New Roman"/>
        </w:rPr>
        <w:t>avansa maksājumu atcelšana 2021.</w:t>
      </w:r>
      <w:r>
        <w:rPr>
          <w:rFonts w:eastAsia="Calibri" w:cs="Times New Roman"/>
        </w:rPr>
        <w:t xml:space="preserve"> </w:t>
      </w:r>
      <w:r w:rsidRPr="00FA0B89">
        <w:rPr>
          <w:rFonts w:eastAsia="Calibri" w:cs="Times New Roman"/>
        </w:rPr>
        <w:t>gadā;</w:t>
      </w:r>
    </w:p>
    <w:p w:rsidR="00BF4753" w:rsidRPr="00FA0B89" w:rsidRDefault="00BF4753" w:rsidP="00BF4753">
      <w:pPr>
        <w:numPr>
          <w:ilvl w:val="0"/>
          <w:numId w:val="24"/>
        </w:numPr>
        <w:spacing w:after="160"/>
        <w:ind w:left="1134" w:hanging="283"/>
        <w:contextualSpacing/>
        <w:rPr>
          <w:rFonts w:ascii="Calibri" w:eastAsia="Times New Roman" w:hAnsi="Calibri" w:cs="Times New Roman"/>
          <w:sz w:val="24"/>
        </w:rPr>
      </w:pPr>
      <w:r w:rsidRPr="00FA0B89">
        <w:rPr>
          <w:rFonts w:eastAsia="Calibri" w:cs="Times New Roman"/>
        </w:rPr>
        <w:t>azartspēļu un izložu organizēšanas aizliegšana (izņemot interaktīvās azartspēles, skaitļu izlozes un momentloterijas) un azartspēļu organizēšanas licenču apturēšana. Nodokli aprēķina proporcionāli tām mēneša kalendāra dienām, kurās azartspēļu organizēšana ir atļauta;</w:t>
      </w:r>
    </w:p>
    <w:bookmarkEnd w:id="45"/>
    <w:p w:rsidR="00BF4753" w:rsidRPr="00FA0B89" w:rsidRDefault="00BF4753" w:rsidP="00BF4753">
      <w:pPr>
        <w:numPr>
          <w:ilvl w:val="0"/>
          <w:numId w:val="24"/>
        </w:numPr>
        <w:spacing w:after="160"/>
        <w:ind w:left="1134" w:hanging="283"/>
        <w:contextualSpacing/>
        <w:rPr>
          <w:rFonts w:eastAsia="Times New Roman" w:cs="Times New Roman"/>
          <w:szCs w:val="24"/>
        </w:rPr>
      </w:pPr>
      <w:r w:rsidRPr="00FA0B89">
        <w:rPr>
          <w:rFonts w:eastAsia="Times New Roman" w:cs="Times New Roman"/>
          <w:szCs w:val="24"/>
          <w:shd w:val="clear" w:color="auto" w:fill="FFFFFF"/>
        </w:rPr>
        <w:t>vienreizēja atbalsta izmaksa 500 </w:t>
      </w:r>
      <w:r w:rsidRPr="00FA0B89">
        <w:rPr>
          <w:rFonts w:eastAsia="Times New Roman" w:cs="Times New Roman"/>
          <w:i/>
          <w:iCs/>
          <w:szCs w:val="24"/>
          <w:shd w:val="clear" w:color="auto" w:fill="FFFFFF"/>
        </w:rPr>
        <w:t>euro</w:t>
      </w:r>
      <w:r w:rsidRPr="00FA0B89">
        <w:rPr>
          <w:rFonts w:eastAsia="Times New Roman" w:cs="Times New Roman"/>
          <w:szCs w:val="24"/>
          <w:shd w:val="clear" w:color="auto" w:fill="FFFFFF"/>
        </w:rPr>
        <w:t xml:space="preserve"> apmērā par katru bērnu un vienreizēja atbalsta izmaksa 200 </w:t>
      </w:r>
      <w:r w:rsidRPr="00FA0B89">
        <w:rPr>
          <w:rFonts w:eastAsia="Times New Roman" w:cs="Times New Roman"/>
          <w:i/>
          <w:iCs/>
          <w:szCs w:val="24"/>
          <w:shd w:val="clear" w:color="auto" w:fill="FFFFFF"/>
        </w:rPr>
        <w:t>euro</w:t>
      </w:r>
      <w:r w:rsidRPr="00FA0B89">
        <w:rPr>
          <w:rFonts w:eastAsia="Times New Roman" w:cs="Times New Roman"/>
          <w:szCs w:val="24"/>
          <w:shd w:val="clear" w:color="auto" w:fill="FFFFFF"/>
        </w:rPr>
        <w:t xml:space="preserve"> apmērā</w:t>
      </w:r>
      <w:r w:rsidRPr="00FA0B89">
        <w:rPr>
          <w:rFonts w:ascii="Arial" w:eastAsia="Times New Roman" w:hAnsi="Arial" w:cs="Arial"/>
          <w:color w:val="414142"/>
          <w:sz w:val="22"/>
          <w:szCs w:val="20"/>
        </w:rPr>
        <w:t xml:space="preserve"> </w:t>
      </w:r>
      <w:r w:rsidRPr="00FA0B89">
        <w:rPr>
          <w:rFonts w:eastAsia="Times New Roman" w:cs="Times New Roman"/>
          <w:szCs w:val="24"/>
          <w:shd w:val="clear" w:color="auto" w:fill="FFFFFF"/>
        </w:rPr>
        <w:t>Latvijā dzīvojošai personai, kura laikposmā no 2021.</w:t>
      </w:r>
      <w:r>
        <w:rPr>
          <w:rFonts w:eastAsia="Times New Roman" w:cs="Times New Roman"/>
          <w:szCs w:val="24"/>
          <w:shd w:val="clear" w:color="auto" w:fill="FFFFFF"/>
        </w:rPr>
        <w:t xml:space="preserve"> </w:t>
      </w:r>
      <w:r w:rsidRPr="00FA0B89">
        <w:rPr>
          <w:rFonts w:eastAsia="Times New Roman" w:cs="Times New Roman"/>
          <w:szCs w:val="24"/>
          <w:shd w:val="clear" w:color="auto" w:fill="FFFFFF"/>
        </w:rPr>
        <w:t>gada 1.</w:t>
      </w:r>
      <w:r>
        <w:rPr>
          <w:rFonts w:eastAsia="Times New Roman" w:cs="Times New Roman"/>
          <w:szCs w:val="24"/>
          <w:shd w:val="clear" w:color="auto" w:fill="FFFFFF"/>
        </w:rPr>
        <w:t xml:space="preserve"> </w:t>
      </w:r>
      <w:r w:rsidRPr="00FA0B89">
        <w:rPr>
          <w:rFonts w:eastAsia="Times New Roman" w:cs="Times New Roman"/>
          <w:szCs w:val="24"/>
          <w:shd w:val="clear" w:color="auto" w:fill="FFFFFF"/>
        </w:rPr>
        <w:t>marta līdz sakarā ar Covid-19 izplatību izsludinātās ārkārtējās situācijas beigām ir vecuma, invaliditātes vai apgādnieka zaudējuma pensijas saņēmēja vai bērna ar invaliditāti kopšanas pabalsta saņēmēja vai pabalsta personām ar invaliditāti, kurām nepieciešama kopšana, saņēmēja.</w:t>
      </w:r>
    </w:p>
    <w:p w:rsidR="00BF4753" w:rsidRPr="00FA0B89" w:rsidRDefault="00BF4753" w:rsidP="00BF4753">
      <w:pPr>
        <w:spacing w:before="360" w:after="120"/>
        <w:jc w:val="left"/>
        <w:outlineLvl w:val="3"/>
        <w:rPr>
          <w:rFonts w:eastAsia="Times New Roman" w:cs="Times New Roman"/>
          <w:b/>
          <w:szCs w:val="24"/>
        </w:rPr>
      </w:pPr>
      <w:r w:rsidRPr="00FA0B89">
        <w:rPr>
          <w:rFonts w:eastAsia="Times New Roman" w:cs="Times New Roman"/>
          <w:b/>
          <w:szCs w:val="24"/>
        </w:rPr>
        <w:t>Pievienotās vērtības nodoklis</w:t>
      </w:r>
    </w:p>
    <w:p w:rsidR="00BF4753" w:rsidRPr="00FA0B89" w:rsidRDefault="00BF4753" w:rsidP="00BF4753">
      <w:pPr>
        <w:rPr>
          <w:rFonts w:eastAsia="Times New Roman" w:cs="Times New Roman"/>
          <w:szCs w:val="20"/>
        </w:rPr>
      </w:pPr>
      <w:r w:rsidRPr="00FA0B89">
        <w:rPr>
          <w:rFonts w:eastAsia="Times New Roman" w:cs="Times New Roman"/>
          <w:szCs w:val="20"/>
        </w:rPr>
        <w:t xml:space="preserve">Bāzes scenārijā </w:t>
      </w:r>
      <w:r>
        <w:rPr>
          <w:rFonts w:eastAsia="Times New Roman" w:cs="Times New Roman"/>
          <w:szCs w:val="24"/>
        </w:rPr>
        <w:t>pievienotās vērtības nodokļa</w:t>
      </w:r>
      <w:r w:rsidRPr="00FA0B89">
        <w:rPr>
          <w:rFonts w:eastAsia="Times New Roman" w:cs="Times New Roman"/>
          <w:szCs w:val="24"/>
        </w:rPr>
        <w:t xml:space="preserve"> ieņēmumu dinamika atspoguļo </w:t>
      </w:r>
      <w:r w:rsidRPr="00FA0B89">
        <w:rPr>
          <w:rFonts w:eastAsia="Times New Roman" w:cs="Times New Roman"/>
          <w:szCs w:val="20"/>
        </w:rPr>
        <w:t>prognozējamo valsts ekonomikas attīstību, kuru veicinās Latvijas un pasaules ekonomikas atkopšanās no Covid</w:t>
      </w:r>
      <w:r w:rsidRPr="00FA0B89">
        <w:rPr>
          <w:rFonts w:eastAsia="Times New Roman" w:cs="Times New Roman"/>
          <w:szCs w:val="20"/>
        </w:rPr>
        <w:noBreakHyphen/>
        <w:t>19 krīzes un Eiropas Atveseļošanas un noturības mehānisma īstenošana</w:t>
      </w:r>
      <w:r w:rsidRPr="00FA0B89">
        <w:rPr>
          <w:rFonts w:eastAsia="Times New Roman" w:cs="Times New Roman"/>
          <w:szCs w:val="24"/>
        </w:rPr>
        <w:t xml:space="preserve">. </w:t>
      </w:r>
    </w:p>
    <w:p w:rsidR="00BF4753" w:rsidRPr="00FA0B89" w:rsidRDefault="00BF4753" w:rsidP="00BF4753">
      <w:pPr>
        <w:rPr>
          <w:rFonts w:eastAsia="Times New Roman" w:cs="Times New Roman"/>
          <w:szCs w:val="20"/>
        </w:rPr>
      </w:pPr>
      <w:r>
        <w:rPr>
          <w:rFonts w:eastAsia="Times New Roman" w:cs="Times New Roman"/>
          <w:szCs w:val="20"/>
        </w:rPr>
        <w:t>Pievienotās vērtības nodokļa</w:t>
      </w:r>
      <w:r w:rsidRPr="00FA0B89">
        <w:rPr>
          <w:rFonts w:eastAsia="Times New Roman" w:cs="Times New Roman"/>
          <w:szCs w:val="20"/>
        </w:rPr>
        <w:t xml:space="preserve"> ieņēmumus 2021.</w:t>
      </w:r>
      <w:r>
        <w:rPr>
          <w:rFonts w:eastAsia="Times New Roman" w:cs="Times New Roman"/>
          <w:szCs w:val="20"/>
        </w:rPr>
        <w:t xml:space="preserve"> </w:t>
      </w:r>
      <w:r w:rsidRPr="00FA0B89">
        <w:rPr>
          <w:rFonts w:eastAsia="Times New Roman" w:cs="Times New Roman"/>
          <w:szCs w:val="20"/>
        </w:rPr>
        <w:t>gadā ietekmēs arī iepriekšējos gados pieņemtie grozījumi Pievienotās vērtības nodokļa likumā, kā, piemēram, ar 2021.</w:t>
      </w:r>
      <w:r>
        <w:rPr>
          <w:rFonts w:eastAsia="Times New Roman" w:cs="Times New Roman"/>
          <w:szCs w:val="20"/>
        </w:rPr>
        <w:t xml:space="preserve"> </w:t>
      </w:r>
      <w:r w:rsidRPr="00FA0B89">
        <w:rPr>
          <w:rFonts w:eastAsia="Times New Roman" w:cs="Times New Roman"/>
          <w:szCs w:val="20"/>
        </w:rPr>
        <w:t>gada 1.</w:t>
      </w:r>
      <w:r>
        <w:rPr>
          <w:rFonts w:eastAsia="Times New Roman" w:cs="Times New Roman"/>
          <w:szCs w:val="20"/>
        </w:rPr>
        <w:t xml:space="preserve"> janvāri</w:t>
      </w:r>
      <w:r w:rsidRPr="00FA0B89">
        <w:rPr>
          <w:rFonts w:eastAsia="Times New Roman" w:cs="Times New Roman"/>
          <w:szCs w:val="20"/>
        </w:rPr>
        <w:t xml:space="preserve"> ieviestie </w:t>
      </w:r>
      <w:r>
        <w:rPr>
          <w:rFonts w:eastAsia="Times New Roman" w:cs="Times New Roman"/>
          <w:szCs w:val="20"/>
        </w:rPr>
        <w:t>pievienotās vērtības nodokļa</w:t>
      </w:r>
      <w:r w:rsidRPr="00FA0B89">
        <w:rPr>
          <w:rFonts w:eastAsia="Times New Roman" w:cs="Times New Roman"/>
          <w:szCs w:val="20"/>
        </w:rPr>
        <w:t xml:space="preserve"> piemērošanas vienkāršošanas noteikumi e-komercijas jomā un </w:t>
      </w:r>
      <w:r>
        <w:rPr>
          <w:rFonts w:eastAsia="Times New Roman" w:cs="Times New Roman"/>
          <w:szCs w:val="20"/>
        </w:rPr>
        <w:t>pievienotās vērtības nodokļa</w:t>
      </w:r>
      <w:r w:rsidRPr="00FA0B89">
        <w:rPr>
          <w:rFonts w:eastAsia="Times New Roman" w:cs="Times New Roman"/>
          <w:szCs w:val="20"/>
        </w:rPr>
        <w:t xml:space="preserve"> samazinātās 5% likmes saglabāšana augļiem, ogām un dārzeņiem līdz 2023.</w:t>
      </w:r>
      <w:r>
        <w:rPr>
          <w:rFonts w:eastAsia="Times New Roman" w:cs="Times New Roman"/>
          <w:szCs w:val="20"/>
        </w:rPr>
        <w:t xml:space="preserve"> </w:t>
      </w:r>
      <w:r w:rsidRPr="00FA0B89">
        <w:rPr>
          <w:rFonts w:eastAsia="Times New Roman" w:cs="Times New Roman"/>
          <w:szCs w:val="20"/>
        </w:rPr>
        <w:t>gada 31.</w:t>
      </w:r>
      <w:r>
        <w:rPr>
          <w:rFonts w:eastAsia="Times New Roman" w:cs="Times New Roman"/>
          <w:szCs w:val="20"/>
        </w:rPr>
        <w:t xml:space="preserve"> </w:t>
      </w:r>
      <w:r w:rsidRPr="00FA0B89">
        <w:rPr>
          <w:rFonts w:eastAsia="Times New Roman" w:cs="Times New Roman"/>
          <w:szCs w:val="20"/>
        </w:rPr>
        <w:t>decembrim.</w:t>
      </w:r>
    </w:p>
    <w:p w:rsidR="00BF4753" w:rsidRDefault="00BF4753" w:rsidP="00BF4753">
      <w:pPr>
        <w:rPr>
          <w:rFonts w:eastAsia="Times New Roman" w:cs="Times New Roman"/>
          <w:szCs w:val="20"/>
        </w:rPr>
      </w:pPr>
      <w:r w:rsidRPr="00FA0B89">
        <w:rPr>
          <w:rFonts w:eastAsia="Times New Roman" w:cs="Times New Roman"/>
          <w:szCs w:val="20"/>
        </w:rPr>
        <w:t xml:space="preserve">Papildus minētajām izmaiņām </w:t>
      </w:r>
      <w:r>
        <w:rPr>
          <w:rFonts w:eastAsia="Times New Roman" w:cs="Times New Roman"/>
          <w:szCs w:val="20"/>
        </w:rPr>
        <w:t>pievienotās vērtības nodokļa</w:t>
      </w:r>
      <w:r w:rsidRPr="00FA0B89">
        <w:rPr>
          <w:rFonts w:eastAsia="Times New Roman" w:cs="Times New Roman"/>
          <w:szCs w:val="20"/>
        </w:rPr>
        <w:t xml:space="preserve"> ieņēmumus ietekmē arī citi pasākumi, kas nav tieši saistīti ar Pievienotās vērtības nodokļa likuma izmaiņām, bet veicinās ieņēmumu pieaugumu, piemēram, izmaiņas akcīzes nodokļa piemērošanā, mēneša algas paaugstināšana mediķiem un pedagogiem un citi (sk</w:t>
      </w:r>
      <w:r>
        <w:rPr>
          <w:rFonts w:eastAsia="Times New Roman" w:cs="Times New Roman"/>
          <w:szCs w:val="20"/>
        </w:rPr>
        <w:t>at</w:t>
      </w:r>
      <w:r w:rsidRPr="00FA0B89">
        <w:rPr>
          <w:rFonts w:eastAsia="Times New Roman" w:cs="Times New Roman"/>
          <w:szCs w:val="20"/>
        </w:rPr>
        <w:t xml:space="preserve">. 5.2. tabulu, kurā atspoguļoti visi </w:t>
      </w:r>
      <w:r>
        <w:rPr>
          <w:rFonts w:eastAsia="Times New Roman" w:cs="Times New Roman"/>
          <w:szCs w:val="20"/>
        </w:rPr>
        <w:t>pievienotās vērtības nodokļa</w:t>
      </w:r>
      <w:r w:rsidRPr="00FA0B89">
        <w:rPr>
          <w:rFonts w:eastAsia="Times New Roman" w:cs="Times New Roman"/>
          <w:szCs w:val="20"/>
        </w:rPr>
        <w:t xml:space="preserve"> ieņēmumus ietekmējošie nodokļu politikas pasākumi).</w:t>
      </w:r>
    </w:p>
    <w:p w:rsidR="00BF4753" w:rsidRDefault="00BF4753" w:rsidP="00BF4753">
      <w:pPr>
        <w:rPr>
          <w:rFonts w:eastAsia="Times New Roman" w:cs="Times New Roman"/>
          <w:szCs w:val="20"/>
        </w:rPr>
      </w:pPr>
    </w:p>
    <w:p w:rsidR="00BF4753" w:rsidRDefault="00BF4753" w:rsidP="00BF4753">
      <w:pPr>
        <w:rPr>
          <w:rFonts w:eastAsia="Times New Roman" w:cs="Times New Roman"/>
          <w:szCs w:val="20"/>
        </w:rPr>
      </w:pPr>
    </w:p>
    <w:p w:rsidR="00BF4753" w:rsidRDefault="00BF4753" w:rsidP="00BF4753">
      <w:pPr>
        <w:rPr>
          <w:rFonts w:eastAsia="Times New Roman" w:cs="Times New Roman"/>
          <w:szCs w:val="20"/>
        </w:rPr>
      </w:pPr>
    </w:p>
    <w:p w:rsidR="00BF4753" w:rsidRDefault="00BF4753" w:rsidP="00BF4753">
      <w:pPr>
        <w:rPr>
          <w:rFonts w:eastAsia="Times New Roman" w:cs="Times New Roman"/>
          <w:szCs w:val="20"/>
        </w:rPr>
      </w:pPr>
    </w:p>
    <w:p w:rsidR="00BF4753" w:rsidRPr="00FA0B89" w:rsidRDefault="00BF4753" w:rsidP="00BF4753">
      <w:pPr>
        <w:rPr>
          <w:rFonts w:eastAsia="Times New Roman" w:cs="Times New Roman"/>
          <w:szCs w:val="20"/>
        </w:rPr>
      </w:pPr>
    </w:p>
    <w:p w:rsidR="00BF4753" w:rsidRPr="00FA0B89" w:rsidRDefault="00BF4753" w:rsidP="00BF4753">
      <w:pPr>
        <w:ind w:firstLine="0"/>
        <w:jc w:val="left"/>
        <w:rPr>
          <w:rFonts w:eastAsia="Times New Roman" w:cs="Times New Roman"/>
          <w:b/>
          <w:szCs w:val="20"/>
        </w:rPr>
      </w:pPr>
    </w:p>
    <w:p w:rsidR="00BF4753" w:rsidRPr="00182E2D" w:rsidRDefault="00BF4753" w:rsidP="00BF4753">
      <w:pPr>
        <w:ind w:firstLine="0"/>
        <w:jc w:val="right"/>
        <w:rPr>
          <w:rFonts w:eastAsia="Times New Roman" w:cs="Times New Roman"/>
          <w:b/>
          <w:i/>
          <w:iCs/>
          <w:sz w:val="24"/>
          <w:szCs w:val="20"/>
        </w:rPr>
      </w:pPr>
      <w:r w:rsidRPr="00FA0B89">
        <w:rPr>
          <w:rFonts w:eastAsia="Times New Roman" w:cs="Times New Roman"/>
          <w:b/>
          <w:i/>
          <w:iCs/>
          <w:sz w:val="24"/>
          <w:szCs w:val="20"/>
        </w:rPr>
        <w:lastRenderedPageBreak/>
        <w:t>5.2.</w:t>
      </w:r>
      <w:r>
        <w:rPr>
          <w:rFonts w:eastAsia="Times New Roman" w:cs="Times New Roman"/>
          <w:b/>
          <w:i/>
          <w:iCs/>
          <w:sz w:val="24"/>
          <w:szCs w:val="20"/>
        </w:rPr>
        <w:t xml:space="preserve"> </w:t>
      </w:r>
      <w:r w:rsidRPr="00FA0B89">
        <w:rPr>
          <w:rFonts w:eastAsia="Times New Roman" w:cs="Times New Roman"/>
          <w:b/>
          <w:i/>
          <w:iCs/>
          <w:sz w:val="24"/>
          <w:szCs w:val="20"/>
        </w:rPr>
        <w:t>tabula</w:t>
      </w:r>
      <w:r w:rsidRPr="00182E2D">
        <w:rPr>
          <w:rFonts w:eastAsia="Times New Roman" w:cs="Times New Roman"/>
          <w:b/>
          <w:i/>
          <w:iCs/>
          <w:sz w:val="24"/>
          <w:szCs w:val="20"/>
        </w:rPr>
        <w:t>.</w:t>
      </w:r>
      <w:r w:rsidRPr="00182E2D">
        <w:rPr>
          <w:rFonts w:eastAsia="Times New Roman" w:cs="Times New Roman"/>
          <w:b/>
          <w:i/>
          <w:iCs/>
          <w:sz w:val="24"/>
          <w:szCs w:val="24"/>
        </w:rPr>
        <w:t xml:space="preserve"> Nodokļu politikas izmaiņu ietekme</w:t>
      </w:r>
      <w:r w:rsidRPr="00182E2D">
        <w:rPr>
          <w:rFonts w:eastAsia="Times New Roman" w:cs="Times New Roman"/>
          <w:b/>
          <w:i/>
          <w:iCs/>
          <w:sz w:val="24"/>
          <w:szCs w:val="24"/>
          <w:vertAlign w:val="superscript"/>
        </w:rPr>
        <w:footnoteReference w:id="13"/>
      </w:r>
      <w:r w:rsidRPr="00182E2D">
        <w:rPr>
          <w:rFonts w:eastAsia="Times New Roman" w:cs="Times New Roman"/>
          <w:b/>
          <w:i/>
          <w:iCs/>
          <w:sz w:val="24"/>
          <w:szCs w:val="24"/>
        </w:rPr>
        <w:t xml:space="preserve"> uz </w:t>
      </w:r>
      <w:r w:rsidRPr="00FA0B89">
        <w:rPr>
          <w:rFonts w:eastAsia="Times New Roman" w:cs="Times New Roman"/>
          <w:b/>
          <w:i/>
          <w:iCs/>
          <w:sz w:val="24"/>
          <w:szCs w:val="24"/>
        </w:rPr>
        <w:t>pievienotās vērtības nodokļa</w:t>
      </w:r>
      <w:r w:rsidRPr="00182E2D">
        <w:rPr>
          <w:rFonts w:eastAsia="Times New Roman" w:cs="Times New Roman"/>
          <w:b/>
          <w:i/>
          <w:iCs/>
          <w:sz w:val="24"/>
          <w:szCs w:val="24"/>
        </w:rPr>
        <w:t xml:space="preserve"> ieņēmumiem, milj. euro</w:t>
      </w:r>
    </w:p>
    <w:tbl>
      <w:tblPr>
        <w:tblStyle w:val="TableGrid11"/>
        <w:tblW w:w="8714" w:type="dxa"/>
        <w:jc w:val="center"/>
        <w:tblLayout w:type="fixed"/>
        <w:tblLook w:val="04A0" w:firstRow="1" w:lastRow="0" w:firstColumn="1" w:lastColumn="0" w:noHBand="0" w:noVBand="1"/>
      </w:tblPr>
      <w:tblGrid>
        <w:gridCol w:w="5671"/>
        <w:gridCol w:w="709"/>
        <w:gridCol w:w="709"/>
        <w:gridCol w:w="850"/>
        <w:gridCol w:w="775"/>
      </w:tblGrid>
      <w:tr w:rsidR="00BF4753" w:rsidRPr="00182E2D" w:rsidTr="002D7CA8">
        <w:trPr>
          <w:trHeight w:val="284"/>
          <w:jc w:val="center"/>
        </w:trPr>
        <w:tc>
          <w:tcPr>
            <w:tcW w:w="5671" w:type="dxa"/>
            <w:shd w:val="clear" w:color="auto" w:fill="9CC2E5"/>
          </w:tcPr>
          <w:p w:rsidR="00BF4753" w:rsidRPr="00182E2D" w:rsidRDefault="00BF4753" w:rsidP="002D7CA8">
            <w:pPr>
              <w:ind w:firstLine="0"/>
              <w:jc w:val="left"/>
              <w:rPr>
                <w:rFonts w:eastAsia="Times New Roman"/>
                <w:bCs/>
                <w:sz w:val="20"/>
              </w:rPr>
            </w:pPr>
          </w:p>
        </w:tc>
        <w:tc>
          <w:tcPr>
            <w:tcW w:w="709" w:type="dxa"/>
            <w:shd w:val="clear" w:color="auto" w:fill="9CC2E5"/>
          </w:tcPr>
          <w:p w:rsidR="00BF4753" w:rsidRPr="00182E2D" w:rsidRDefault="00BF4753" w:rsidP="002D7CA8">
            <w:pPr>
              <w:tabs>
                <w:tab w:val="decimal" w:pos="-12114"/>
              </w:tabs>
              <w:ind w:firstLine="0"/>
              <w:jc w:val="center"/>
              <w:rPr>
                <w:rFonts w:eastAsia="Times New Roman"/>
                <w:b/>
                <w:sz w:val="20"/>
              </w:rPr>
            </w:pPr>
            <w:r w:rsidRPr="00182E2D">
              <w:rPr>
                <w:rFonts w:eastAsia="Times New Roman"/>
                <w:b/>
                <w:sz w:val="20"/>
              </w:rPr>
              <w:t>2021</w:t>
            </w:r>
          </w:p>
        </w:tc>
        <w:tc>
          <w:tcPr>
            <w:tcW w:w="709" w:type="dxa"/>
            <w:shd w:val="clear" w:color="auto" w:fill="9CC2E5"/>
          </w:tcPr>
          <w:p w:rsidR="00BF4753" w:rsidRPr="00182E2D" w:rsidRDefault="00BF4753" w:rsidP="002D7CA8">
            <w:pPr>
              <w:tabs>
                <w:tab w:val="decimal" w:pos="-12114"/>
              </w:tabs>
              <w:ind w:firstLine="0"/>
              <w:jc w:val="center"/>
              <w:rPr>
                <w:rFonts w:eastAsia="Times New Roman"/>
                <w:b/>
                <w:sz w:val="20"/>
              </w:rPr>
            </w:pPr>
            <w:r w:rsidRPr="00182E2D">
              <w:rPr>
                <w:rFonts w:eastAsia="Times New Roman"/>
                <w:b/>
                <w:sz w:val="20"/>
              </w:rPr>
              <w:t>2022</w:t>
            </w:r>
          </w:p>
        </w:tc>
        <w:tc>
          <w:tcPr>
            <w:tcW w:w="850" w:type="dxa"/>
            <w:shd w:val="clear" w:color="auto" w:fill="9CC2E5"/>
          </w:tcPr>
          <w:p w:rsidR="00BF4753" w:rsidRPr="00182E2D" w:rsidRDefault="00BF4753" w:rsidP="002D7CA8">
            <w:pPr>
              <w:tabs>
                <w:tab w:val="decimal" w:pos="-12114"/>
              </w:tabs>
              <w:ind w:firstLine="0"/>
              <w:jc w:val="center"/>
              <w:rPr>
                <w:rFonts w:eastAsia="Times New Roman"/>
                <w:b/>
                <w:sz w:val="20"/>
              </w:rPr>
            </w:pPr>
            <w:r w:rsidRPr="00182E2D">
              <w:rPr>
                <w:rFonts w:eastAsia="Times New Roman"/>
                <w:b/>
                <w:sz w:val="20"/>
              </w:rPr>
              <w:t>2023</w:t>
            </w:r>
          </w:p>
        </w:tc>
        <w:tc>
          <w:tcPr>
            <w:tcW w:w="775" w:type="dxa"/>
            <w:shd w:val="clear" w:color="auto" w:fill="9CC2E5"/>
          </w:tcPr>
          <w:p w:rsidR="00BF4753" w:rsidRPr="00182E2D" w:rsidRDefault="00BF4753" w:rsidP="002D7CA8">
            <w:pPr>
              <w:tabs>
                <w:tab w:val="decimal" w:pos="-12114"/>
              </w:tabs>
              <w:ind w:firstLine="0"/>
              <w:jc w:val="center"/>
              <w:rPr>
                <w:rFonts w:eastAsia="Times New Roman"/>
                <w:b/>
                <w:sz w:val="20"/>
              </w:rPr>
            </w:pPr>
            <w:r w:rsidRPr="00182E2D">
              <w:rPr>
                <w:rFonts w:eastAsia="Times New Roman"/>
                <w:b/>
                <w:sz w:val="20"/>
              </w:rPr>
              <w:t>2024</w:t>
            </w:r>
          </w:p>
        </w:tc>
      </w:tr>
      <w:tr w:rsidR="00BF4753" w:rsidRPr="00182E2D" w:rsidTr="002D7CA8">
        <w:trPr>
          <w:trHeight w:val="284"/>
          <w:jc w:val="center"/>
        </w:trPr>
        <w:tc>
          <w:tcPr>
            <w:tcW w:w="5671" w:type="dxa"/>
          </w:tcPr>
          <w:p w:rsidR="00BF4753" w:rsidRPr="00182E2D" w:rsidRDefault="00BF4753" w:rsidP="002D7CA8">
            <w:pPr>
              <w:ind w:firstLine="0"/>
              <w:jc w:val="left"/>
              <w:rPr>
                <w:rFonts w:eastAsia="Times New Roman"/>
                <w:bCs/>
                <w:sz w:val="20"/>
              </w:rPr>
            </w:pPr>
            <w:r w:rsidRPr="00182E2D">
              <w:rPr>
                <w:rFonts w:eastAsia="Times New Roman"/>
                <w:bCs/>
                <w:sz w:val="20"/>
              </w:rPr>
              <w:t>Akcīzes nodokļa likmju palielināšana alkoholiskajiem dzērieniem un alum ar 01.03.2020.</w:t>
            </w:r>
          </w:p>
        </w:tc>
        <w:tc>
          <w:tcPr>
            <w:tcW w:w="709" w:type="dxa"/>
          </w:tcPr>
          <w:p w:rsidR="00BF4753" w:rsidRPr="00182E2D" w:rsidRDefault="00BF4753" w:rsidP="002D7CA8">
            <w:pPr>
              <w:ind w:firstLine="0"/>
              <w:jc w:val="center"/>
              <w:rPr>
                <w:rFonts w:eastAsia="Times New Roman"/>
                <w:bCs/>
                <w:sz w:val="20"/>
              </w:rPr>
            </w:pPr>
            <w:r w:rsidRPr="00182E2D">
              <w:rPr>
                <w:rFonts w:eastAsia="Times New Roman"/>
                <w:bCs/>
                <w:sz w:val="20"/>
              </w:rPr>
              <w:t>0,7</w:t>
            </w:r>
          </w:p>
        </w:tc>
        <w:tc>
          <w:tcPr>
            <w:tcW w:w="709" w:type="dxa"/>
          </w:tcPr>
          <w:p w:rsidR="00BF4753" w:rsidRPr="00182E2D" w:rsidRDefault="00BF4753" w:rsidP="002D7CA8">
            <w:pPr>
              <w:tabs>
                <w:tab w:val="decimal" w:pos="458"/>
              </w:tabs>
              <w:ind w:firstLine="0"/>
              <w:jc w:val="center"/>
              <w:rPr>
                <w:rFonts w:eastAsia="Times New Roman"/>
                <w:bCs/>
                <w:sz w:val="20"/>
              </w:rPr>
            </w:pPr>
          </w:p>
        </w:tc>
        <w:tc>
          <w:tcPr>
            <w:tcW w:w="850" w:type="dxa"/>
          </w:tcPr>
          <w:p w:rsidR="00BF4753" w:rsidRPr="00182E2D" w:rsidRDefault="00BF4753" w:rsidP="002D7CA8">
            <w:pPr>
              <w:tabs>
                <w:tab w:val="decimal" w:pos="458"/>
              </w:tabs>
              <w:ind w:firstLine="0"/>
              <w:jc w:val="center"/>
              <w:rPr>
                <w:rFonts w:eastAsia="Times New Roman"/>
                <w:bCs/>
                <w:sz w:val="20"/>
              </w:rPr>
            </w:pPr>
          </w:p>
        </w:tc>
        <w:tc>
          <w:tcPr>
            <w:tcW w:w="775" w:type="dxa"/>
          </w:tcPr>
          <w:p w:rsidR="00BF4753" w:rsidRPr="00182E2D" w:rsidRDefault="00BF4753" w:rsidP="002D7CA8">
            <w:pPr>
              <w:tabs>
                <w:tab w:val="decimal" w:pos="458"/>
              </w:tabs>
              <w:ind w:firstLine="0"/>
              <w:jc w:val="center"/>
              <w:rPr>
                <w:rFonts w:eastAsia="Times New Roman"/>
                <w:bCs/>
                <w:sz w:val="20"/>
              </w:rPr>
            </w:pPr>
          </w:p>
        </w:tc>
      </w:tr>
      <w:tr w:rsidR="00BF4753" w:rsidRPr="00182E2D" w:rsidTr="002D7CA8">
        <w:trPr>
          <w:trHeight w:val="284"/>
          <w:jc w:val="center"/>
        </w:trPr>
        <w:tc>
          <w:tcPr>
            <w:tcW w:w="5671" w:type="dxa"/>
          </w:tcPr>
          <w:p w:rsidR="00BF4753" w:rsidRPr="00182E2D" w:rsidRDefault="00BF4753" w:rsidP="002D7CA8">
            <w:pPr>
              <w:ind w:firstLine="0"/>
              <w:jc w:val="left"/>
              <w:rPr>
                <w:rFonts w:eastAsia="Times New Roman"/>
                <w:bCs/>
                <w:sz w:val="20"/>
              </w:rPr>
            </w:pPr>
            <w:r w:rsidRPr="00182E2D">
              <w:rPr>
                <w:rFonts w:eastAsia="Times New Roman"/>
                <w:bCs/>
                <w:sz w:val="20"/>
              </w:rPr>
              <w:t>PVN samazinātās 5% likmes augļiem, ogām un dārzeņiem līdz 2020.</w:t>
            </w:r>
            <w:r>
              <w:rPr>
                <w:rFonts w:eastAsia="Times New Roman"/>
                <w:bCs/>
                <w:sz w:val="20"/>
              </w:rPr>
              <w:t xml:space="preserve"> </w:t>
            </w:r>
            <w:r w:rsidRPr="00182E2D">
              <w:rPr>
                <w:rFonts w:eastAsia="Times New Roman"/>
                <w:bCs/>
                <w:sz w:val="20"/>
              </w:rPr>
              <w:t>gada 31.</w:t>
            </w:r>
            <w:r>
              <w:rPr>
                <w:rFonts w:eastAsia="Times New Roman"/>
                <w:bCs/>
                <w:sz w:val="20"/>
              </w:rPr>
              <w:t xml:space="preserve"> </w:t>
            </w:r>
            <w:r w:rsidRPr="00182E2D">
              <w:rPr>
                <w:rFonts w:eastAsia="Times New Roman"/>
                <w:bCs/>
                <w:sz w:val="20"/>
              </w:rPr>
              <w:t>decembrim</w:t>
            </w:r>
          </w:p>
        </w:tc>
        <w:tc>
          <w:tcPr>
            <w:tcW w:w="709" w:type="dxa"/>
          </w:tcPr>
          <w:p w:rsidR="00BF4753" w:rsidRPr="00182E2D" w:rsidRDefault="00BF4753" w:rsidP="002D7CA8">
            <w:pPr>
              <w:ind w:firstLine="0"/>
              <w:jc w:val="center"/>
              <w:rPr>
                <w:rFonts w:eastAsia="Times New Roman"/>
                <w:bCs/>
                <w:sz w:val="20"/>
              </w:rPr>
            </w:pPr>
            <w:r w:rsidRPr="00182E2D">
              <w:rPr>
                <w:rFonts w:eastAsia="Times New Roman"/>
                <w:bCs/>
                <w:sz w:val="20"/>
              </w:rPr>
              <w:t>3,8</w:t>
            </w:r>
          </w:p>
        </w:tc>
        <w:tc>
          <w:tcPr>
            <w:tcW w:w="709" w:type="dxa"/>
          </w:tcPr>
          <w:p w:rsidR="00BF4753" w:rsidRPr="00182E2D" w:rsidRDefault="00BF4753" w:rsidP="002D7CA8">
            <w:pPr>
              <w:tabs>
                <w:tab w:val="decimal" w:pos="458"/>
              </w:tabs>
              <w:ind w:firstLine="0"/>
              <w:jc w:val="center"/>
              <w:rPr>
                <w:rFonts w:eastAsia="Times New Roman"/>
                <w:bCs/>
                <w:sz w:val="20"/>
              </w:rPr>
            </w:pPr>
          </w:p>
        </w:tc>
        <w:tc>
          <w:tcPr>
            <w:tcW w:w="850" w:type="dxa"/>
          </w:tcPr>
          <w:p w:rsidR="00BF4753" w:rsidRPr="00182E2D" w:rsidRDefault="00BF4753" w:rsidP="002D7CA8">
            <w:pPr>
              <w:tabs>
                <w:tab w:val="decimal" w:pos="458"/>
              </w:tabs>
              <w:ind w:firstLine="0"/>
              <w:jc w:val="center"/>
              <w:rPr>
                <w:rFonts w:eastAsia="Times New Roman"/>
                <w:bCs/>
                <w:sz w:val="20"/>
              </w:rPr>
            </w:pPr>
          </w:p>
        </w:tc>
        <w:tc>
          <w:tcPr>
            <w:tcW w:w="775" w:type="dxa"/>
          </w:tcPr>
          <w:p w:rsidR="00BF4753" w:rsidRPr="00182E2D" w:rsidRDefault="00BF4753" w:rsidP="002D7CA8">
            <w:pPr>
              <w:tabs>
                <w:tab w:val="decimal" w:pos="458"/>
              </w:tabs>
              <w:ind w:firstLine="0"/>
              <w:jc w:val="center"/>
              <w:rPr>
                <w:rFonts w:eastAsia="Times New Roman"/>
                <w:bCs/>
                <w:sz w:val="20"/>
              </w:rPr>
            </w:pPr>
          </w:p>
        </w:tc>
      </w:tr>
      <w:tr w:rsidR="00BF4753" w:rsidRPr="00182E2D" w:rsidTr="002D7CA8">
        <w:trPr>
          <w:trHeight w:val="284"/>
          <w:jc w:val="center"/>
        </w:trPr>
        <w:tc>
          <w:tcPr>
            <w:tcW w:w="5671" w:type="dxa"/>
          </w:tcPr>
          <w:p w:rsidR="00BF4753" w:rsidRPr="00182E2D" w:rsidRDefault="00BF4753" w:rsidP="002D7CA8">
            <w:pPr>
              <w:ind w:firstLine="0"/>
              <w:jc w:val="left"/>
              <w:rPr>
                <w:rFonts w:eastAsia="Times New Roman"/>
                <w:bCs/>
                <w:sz w:val="20"/>
              </w:rPr>
            </w:pPr>
            <w:r w:rsidRPr="00182E2D">
              <w:rPr>
                <w:rFonts w:eastAsia="Times New Roman"/>
                <w:bCs/>
                <w:sz w:val="20"/>
              </w:rPr>
              <w:t>Ēnu ekonomikas ierobežošanas pasākums – Tiesību noteikšana Valsts ieņēmumu dienestam sniegt informāciju par riskantajiem darījuma partneriem</w:t>
            </w:r>
          </w:p>
        </w:tc>
        <w:tc>
          <w:tcPr>
            <w:tcW w:w="709" w:type="dxa"/>
          </w:tcPr>
          <w:p w:rsidR="00BF4753" w:rsidRPr="00182E2D" w:rsidRDefault="00BF4753" w:rsidP="002D7CA8">
            <w:pPr>
              <w:ind w:firstLine="0"/>
              <w:jc w:val="center"/>
              <w:rPr>
                <w:rFonts w:eastAsia="Times New Roman"/>
                <w:bCs/>
                <w:sz w:val="20"/>
              </w:rPr>
            </w:pPr>
            <w:r w:rsidRPr="00182E2D">
              <w:rPr>
                <w:rFonts w:eastAsia="Times New Roman"/>
                <w:bCs/>
                <w:sz w:val="20"/>
              </w:rPr>
              <w:t>0,3</w:t>
            </w:r>
          </w:p>
        </w:tc>
        <w:tc>
          <w:tcPr>
            <w:tcW w:w="709" w:type="dxa"/>
          </w:tcPr>
          <w:p w:rsidR="00BF4753" w:rsidRPr="00182E2D" w:rsidRDefault="00BF4753" w:rsidP="002D7CA8">
            <w:pPr>
              <w:tabs>
                <w:tab w:val="decimal" w:pos="458"/>
              </w:tabs>
              <w:ind w:firstLine="0"/>
              <w:jc w:val="center"/>
              <w:rPr>
                <w:rFonts w:eastAsia="Times New Roman"/>
                <w:bCs/>
                <w:sz w:val="20"/>
              </w:rPr>
            </w:pPr>
          </w:p>
        </w:tc>
        <w:tc>
          <w:tcPr>
            <w:tcW w:w="850" w:type="dxa"/>
          </w:tcPr>
          <w:p w:rsidR="00BF4753" w:rsidRPr="00182E2D" w:rsidRDefault="00BF4753" w:rsidP="002D7CA8">
            <w:pPr>
              <w:tabs>
                <w:tab w:val="decimal" w:pos="458"/>
              </w:tabs>
              <w:ind w:firstLine="0"/>
              <w:jc w:val="center"/>
              <w:rPr>
                <w:rFonts w:eastAsia="Times New Roman"/>
                <w:bCs/>
                <w:sz w:val="20"/>
              </w:rPr>
            </w:pPr>
          </w:p>
        </w:tc>
        <w:tc>
          <w:tcPr>
            <w:tcW w:w="775" w:type="dxa"/>
          </w:tcPr>
          <w:p w:rsidR="00BF4753" w:rsidRPr="00182E2D" w:rsidRDefault="00BF4753" w:rsidP="002D7CA8">
            <w:pPr>
              <w:tabs>
                <w:tab w:val="decimal" w:pos="458"/>
              </w:tabs>
              <w:ind w:firstLine="0"/>
              <w:jc w:val="center"/>
              <w:rPr>
                <w:rFonts w:eastAsia="Times New Roman"/>
                <w:bCs/>
                <w:sz w:val="20"/>
              </w:rPr>
            </w:pPr>
          </w:p>
        </w:tc>
      </w:tr>
      <w:tr w:rsidR="00BF4753" w:rsidRPr="00182E2D" w:rsidTr="002D7CA8">
        <w:trPr>
          <w:trHeight w:val="284"/>
          <w:jc w:val="center"/>
        </w:trPr>
        <w:tc>
          <w:tcPr>
            <w:tcW w:w="5671" w:type="dxa"/>
          </w:tcPr>
          <w:p w:rsidR="00BF4753" w:rsidRPr="00182E2D" w:rsidRDefault="00BF4753" w:rsidP="002D7CA8">
            <w:pPr>
              <w:ind w:firstLine="0"/>
              <w:jc w:val="left"/>
              <w:rPr>
                <w:rFonts w:eastAsia="Times New Roman"/>
                <w:bCs/>
                <w:sz w:val="20"/>
              </w:rPr>
            </w:pPr>
            <w:r w:rsidRPr="00182E2D">
              <w:rPr>
                <w:rFonts w:eastAsia="Times New Roman"/>
                <w:bCs/>
                <w:sz w:val="20"/>
              </w:rPr>
              <w:t>Starpproduktu definīcijas precizēšana akcīzes nodoklim no alkoholiskajiem dzērieniem ar 01.05.2020.</w:t>
            </w:r>
          </w:p>
        </w:tc>
        <w:tc>
          <w:tcPr>
            <w:tcW w:w="709" w:type="dxa"/>
          </w:tcPr>
          <w:p w:rsidR="00BF4753" w:rsidRPr="00182E2D" w:rsidRDefault="00BF4753" w:rsidP="002D7CA8">
            <w:pPr>
              <w:ind w:firstLine="0"/>
              <w:jc w:val="center"/>
              <w:rPr>
                <w:rFonts w:eastAsia="Times New Roman"/>
                <w:bCs/>
                <w:sz w:val="20"/>
              </w:rPr>
            </w:pPr>
            <w:r w:rsidRPr="00182E2D">
              <w:rPr>
                <w:rFonts w:eastAsia="Times New Roman"/>
                <w:bCs/>
                <w:sz w:val="20"/>
              </w:rPr>
              <w:t>0,7</w:t>
            </w:r>
          </w:p>
        </w:tc>
        <w:tc>
          <w:tcPr>
            <w:tcW w:w="709" w:type="dxa"/>
          </w:tcPr>
          <w:p w:rsidR="00BF4753" w:rsidRPr="00182E2D" w:rsidRDefault="00BF4753" w:rsidP="002D7CA8">
            <w:pPr>
              <w:tabs>
                <w:tab w:val="decimal" w:pos="458"/>
              </w:tabs>
              <w:ind w:firstLine="0"/>
              <w:jc w:val="center"/>
              <w:rPr>
                <w:rFonts w:eastAsia="Times New Roman"/>
                <w:bCs/>
                <w:sz w:val="20"/>
              </w:rPr>
            </w:pPr>
          </w:p>
        </w:tc>
        <w:tc>
          <w:tcPr>
            <w:tcW w:w="850" w:type="dxa"/>
          </w:tcPr>
          <w:p w:rsidR="00BF4753" w:rsidRPr="00182E2D" w:rsidRDefault="00BF4753" w:rsidP="002D7CA8">
            <w:pPr>
              <w:tabs>
                <w:tab w:val="decimal" w:pos="458"/>
              </w:tabs>
              <w:ind w:firstLine="0"/>
              <w:jc w:val="center"/>
              <w:rPr>
                <w:rFonts w:eastAsia="Times New Roman"/>
                <w:bCs/>
                <w:sz w:val="20"/>
              </w:rPr>
            </w:pPr>
          </w:p>
        </w:tc>
        <w:tc>
          <w:tcPr>
            <w:tcW w:w="775" w:type="dxa"/>
          </w:tcPr>
          <w:p w:rsidR="00BF4753" w:rsidRPr="00182E2D" w:rsidRDefault="00BF4753" w:rsidP="002D7CA8">
            <w:pPr>
              <w:tabs>
                <w:tab w:val="decimal" w:pos="458"/>
              </w:tabs>
              <w:ind w:firstLine="0"/>
              <w:jc w:val="center"/>
              <w:rPr>
                <w:rFonts w:eastAsia="Times New Roman"/>
                <w:bCs/>
                <w:sz w:val="20"/>
              </w:rPr>
            </w:pPr>
          </w:p>
        </w:tc>
      </w:tr>
      <w:tr w:rsidR="00BF4753" w:rsidRPr="00182E2D" w:rsidTr="002D7CA8">
        <w:trPr>
          <w:trHeight w:val="284"/>
          <w:jc w:val="center"/>
        </w:trPr>
        <w:tc>
          <w:tcPr>
            <w:tcW w:w="5671" w:type="dxa"/>
          </w:tcPr>
          <w:p w:rsidR="00BF4753" w:rsidRPr="00182E2D" w:rsidRDefault="00BF4753" w:rsidP="002D7CA8">
            <w:pPr>
              <w:ind w:firstLine="0"/>
              <w:jc w:val="left"/>
              <w:rPr>
                <w:rFonts w:eastAsia="Times New Roman"/>
                <w:bCs/>
                <w:sz w:val="20"/>
              </w:rPr>
            </w:pPr>
            <w:r w:rsidRPr="00182E2D">
              <w:rPr>
                <w:rFonts w:eastAsia="Times New Roman"/>
                <w:bCs/>
                <w:sz w:val="20"/>
              </w:rPr>
              <w:t>2021.</w:t>
            </w:r>
            <w:r>
              <w:rPr>
                <w:rFonts w:eastAsia="Times New Roman"/>
                <w:bCs/>
                <w:sz w:val="20"/>
              </w:rPr>
              <w:t xml:space="preserve"> </w:t>
            </w:r>
            <w:r w:rsidRPr="00182E2D">
              <w:rPr>
                <w:rFonts w:eastAsia="Times New Roman"/>
                <w:bCs/>
                <w:sz w:val="20"/>
              </w:rPr>
              <w:t>gadā piešķirto Covid-19 termiņpagarinājumu ieviešana uz trīs gadiem</w:t>
            </w:r>
          </w:p>
        </w:tc>
        <w:tc>
          <w:tcPr>
            <w:tcW w:w="709" w:type="dxa"/>
          </w:tcPr>
          <w:p w:rsidR="00BF4753" w:rsidRPr="00182E2D" w:rsidRDefault="00BF4753" w:rsidP="002D7CA8">
            <w:pPr>
              <w:ind w:firstLine="0"/>
              <w:jc w:val="center"/>
              <w:rPr>
                <w:rFonts w:eastAsia="Times New Roman"/>
                <w:bCs/>
                <w:sz w:val="20"/>
              </w:rPr>
            </w:pPr>
            <w:r w:rsidRPr="00182E2D">
              <w:rPr>
                <w:rFonts w:eastAsia="Times New Roman"/>
                <w:bCs/>
                <w:sz w:val="20"/>
              </w:rPr>
              <w:t>-7,3</w:t>
            </w:r>
          </w:p>
        </w:tc>
        <w:tc>
          <w:tcPr>
            <w:tcW w:w="709" w:type="dxa"/>
          </w:tcPr>
          <w:p w:rsidR="00BF4753" w:rsidRPr="00182E2D" w:rsidRDefault="00BF4753" w:rsidP="002D7CA8">
            <w:pPr>
              <w:tabs>
                <w:tab w:val="decimal" w:pos="458"/>
              </w:tabs>
              <w:ind w:firstLine="0"/>
              <w:jc w:val="center"/>
              <w:rPr>
                <w:rFonts w:eastAsia="Times New Roman"/>
                <w:bCs/>
                <w:sz w:val="20"/>
              </w:rPr>
            </w:pPr>
          </w:p>
        </w:tc>
        <w:tc>
          <w:tcPr>
            <w:tcW w:w="850" w:type="dxa"/>
          </w:tcPr>
          <w:p w:rsidR="00BF4753" w:rsidRPr="00182E2D" w:rsidRDefault="00BF4753" w:rsidP="002D7CA8">
            <w:pPr>
              <w:tabs>
                <w:tab w:val="decimal" w:pos="458"/>
              </w:tabs>
              <w:ind w:firstLine="0"/>
              <w:jc w:val="center"/>
              <w:rPr>
                <w:rFonts w:eastAsia="Times New Roman"/>
                <w:bCs/>
                <w:sz w:val="20"/>
              </w:rPr>
            </w:pPr>
          </w:p>
        </w:tc>
        <w:tc>
          <w:tcPr>
            <w:tcW w:w="775" w:type="dxa"/>
          </w:tcPr>
          <w:p w:rsidR="00BF4753" w:rsidRPr="00182E2D" w:rsidRDefault="00BF4753" w:rsidP="002D7CA8">
            <w:pPr>
              <w:tabs>
                <w:tab w:val="decimal" w:pos="458"/>
              </w:tabs>
              <w:ind w:firstLine="0"/>
              <w:jc w:val="center"/>
              <w:rPr>
                <w:rFonts w:eastAsia="Times New Roman"/>
                <w:bCs/>
                <w:sz w:val="20"/>
              </w:rPr>
            </w:pPr>
          </w:p>
        </w:tc>
      </w:tr>
      <w:tr w:rsidR="00BF4753" w:rsidRPr="00182E2D" w:rsidTr="002D7CA8">
        <w:trPr>
          <w:trHeight w:val="284"/>
          <w:jc w:val="center"/>
        </w:trPr>
        <w:tc>
          <w:tcPr>
            <w:tcW w:w="5671" w:type="dxa"/>
          </w:tcPr>
          <w:p w:rsidR="00BF4753" w:rsidRPr="00182E2D" w:rsidRDefault="00BF4753" w:rsidP="002D7CA8">
            <w:pPr>
              <w:ind w:firstLine="0"/>
              <w:jc w:val="left"/>
              <w:rPr>
                <w:rFonts w:eastAsia="Times New Roman"/>
                <w:bCs/>
                <w:sz w:val="20"/>
              </w:rPr>
            </w:pPr>
            <w:r w:rsidRPr="00182E2D">
              <w:rPr>
                <w:rFonts w:eastAsia="Times New Roman"/>
                <w:bCs/>
                <w:sz w:val="20"/>
              </w:rPr>
              <w:t>PVN atmaksu kārtības maiņa</w:t>
            </w:r>
          </w:p>
        </w:tc>
        <w:tc>
          <w:tcPr>
            <w:tcW w:w="709" w:type="dxa"/>
          </w:tcPr>
          <w:p w:rsidR="00BF4753" w:rsidRPr="00182E2D" w:rsidRDefault="00BF4753" w:rsidP="002D7CA8">
            <w:pPr>
              <w:ind w:firstLine="0"/>
              <w:jc w:val="center"/>
              <w:rPr>
                <w:rFonts w:eastAsia="Times New Roman"/>
                <w:bCs/>
                <w:sz w:val="20"/>
              </w:rPr>
            </w:pPr>
            <w:r w:rsidRPr="00182E2D">
              <w:rPr>
                <w:rFonts w:eastAsia="Times New Roman"/>
                <w:bCs/>
                <w:sz w:val="20"/>
              </w:rPr>
              <w:t>60,0</w:t>
            </w:r>
          </w:p>
        </w:tc>
        <w:tc>
          <w:tcPr>
            <w:tcW w:w="709" w:type="dxa"/>
          </w:tcPr>
          <w:p w:rsidR="00BF4753" w:rsidRPr="00182E2D" w:rsidRDefault="00BF4753" w:rsidP="002D7CA8">
            <w:pPr>
              <w:tabs>
                <w:tab w:val="decimal" w:pos="458"/>
              </w:tabs>
              <w:ind w:firstLine="0"/>
              <w:jc w:val="center"/>
              <w:rPr>
                <w:rFonts w:eastAsia="Times New Roman"/>
                <w:bCs/>
                <w:sz w:val="20"/>
              </w:rPr>
            </w:pPr>
          </w:p>
        </w:tc>
        <w:tc>
          <w:tcPr>
            <w:tcW w:w="850" w:type="dxa"/>
          </w:tcPr>
          <w:p w:rsidR="00BF4753" w:rsidRPr="00182E2D" w:rsidRDefault="00BF4753" w:rsidP="002D7CA8">
            <w:pPr>
              <w:tabs>
                <w:tab w:val="decimal" w:pos="458"/>
              </w:tabs>
              <w:ind w:firstLine="0"/>
              <w:jc w:val="center"/>
              <w:rPr>
                <w:rFonts w:eastAsia="Times New Roman"/>
                <w:bCs/>
                <w:sz w:val="20"/>
              </w:rPr>
            </w:pPr>
          </w:p>
        </w:tc>
        <w:tc>
          <w:tcPr>
            <w:tcW w:w="775" w:type="dxa"/>
          </w:tcPr>
          <w:p w:rsidR="00BF4753" w:rsidRPr="00182E2D" w:rsidRDefault="00BF4753" w:rsidP="002D7CA8">
            <w:pPr>
              <w:tabs>
                <w:tab w:val="decimal" w:pos="458"/>
              </w:tabs>
              <w:ind w:firstLine="0"/>
              <w:jc w:val="center"/>
              <w:rPr>
                <w:rFonts w:eastAsia="Times New Roman"/>
                <w:bCs/>
                <w:sz w:val="20"/>
              </w:rPr>
            </w:pPr>
          </w:p>
        </w:tc>
      </w:tr>
      <w:tr w:rsidR="00BF4753" w:rsidRPr="00182E2D" w:rsidTr="002D7CA8">
        <w:trPr>
          <w:trHeight w:val="284"/>
          <w:jc w:val="center"/>
        </w:trPr>
        <w:tc>
          <w:tcPr>
            <w:tcW w:w="5671" w:type="dxa"/>
          </w:tcPr>
          <w:p w:rsidR="00BF4753" w:rsidRPr="00182E2D" w:rsidRDefault="00BF4753" w:rsidP="002D7CA8">
            <w:pPr>
              <w:ind w:firstLine="0"/>
              <w:jc w:val="left"/>
              <w:rPr>
                <w:rFonts w:eastAsia="Times New Roman"/>
                <w:bCs/>
                <w:sz w:val="20"/>
              </w:rPr>
            </w:pPr>
            <w:r w:rsidRPr="00182E2D">
              <w:rPr>
                <w:rFonts w:eastAsia="Times New Roman"/>
                <w:bCs/>
                <w:sz w:val="20"/>
              </w:rPr>
              <w:t xml:space="preserve">Mēneša minimālās algas paaugstināšana no 430 </w:t>
            </w:r>
            <w:r w:rsidRPr="00182E2D">
              <w:rPr>
                <w:rFonts w:eastAsia="Times New Roman"/>
                <w:bCs/>
                <w:i/>
                <w:sz w:val="20"/>
              </w:rPr>
              <w:t>euro</w:t>
            </w:r>
            <w:r w:rsidRPr="00182E2D">
              <w:rPr>
                <w:rFonts w:eastAsia="Times New Roman"/>
                <w:bCs/>
                <w:sz w:val="20"/>
              </w:rPr>
              <w:t xml:space="preserve"> līdz 500 </w:t>
            </w:r>
            <w:r w:rsidRPr="00182E2D">
              <w:rPr>
                <w:rFonts w:eastAsia="Times New Roman"/>
                <w:bCs/>
                <w:i/>
                <w:sz w:val="20"/>
              </w:rPr>
              <w:t>euro</w:t>
            </w:r>
            <w:r w:rsidRPr="00182E2D">
              <w:rPr>
                <w:rFonts w:eastAsia="Times New Roman"/>
                <w:bCs/>
                <w:sz w:val="20"/>
              </w:rPr>
              <w:t xml:space="preserve"> ar 2021</w:t>
            </w:r>
            <w:r>
              <w:rPr>
                <w:rFonts w:eastAsia="Times New Roman"/>
                <w:bCs/>
                <w:sz w:val="20"/>
              </w:rPr>
              <w:t xml:space="preserve"> </w:t>
            </w:r>
            <w:r w:rsidRPr="00182E2D">
              <w:rPr>
                <w:rFonts w:eastAsia="Times New Roman"/>
                <w:bCs/>
                <w:sz w:val="20"/>
              </w:rPr>
              <w:t>.gadu</w:t>
            </w:r>
          </w:p>
        </w:tc>
        <w:tc>
          <w:tcPr>
            <w:tcW w:w="709" w:type="dxa"/>
          </w:tcPr>
          <w:p w:rsidR="00BF4753" w:rsidRPr="00182E2D" w:rsidRDefault="00BF4753" w:rsidP="002D7CA8">
            <w:pPr>
              <w:ind w:firstLine="0"/>
              <w:jc w:val="center"/>
              <w:rPr>
                <w:rFonts w:eastAsia="Times New Roman"/>
                <w:bCs/>
                <w:sz w:val="20"/>
              </w:rPr>
            </w:pPr>
            <w:r w:rsidRPr="00182E2D">
              <w:rPr>
                <w:rFonts w:eastAsia="Times New Roman"/>
                <w:bCs/>
                <w:sz w:val="20"/>
              </w:rPr>
              <w:t>3,8</w:t>
            </w:r>
          </w:p>
        </w:tc>
        <w:tc>
          <w:tcPr>
            <w:tcW w:w="709" w:type="dxa"/>
          </w:tcPr>
          <w:p w:rsidR="00BF4753" w:rsidRPr="00182E2D" w:rsidRDefault="00BF4753" w:rsidP="002D7CA8">
            <w:pPr>
              <w:tabs>
                <w:tab w:val="decimal" w:pos="458"/>
              </w:tabs>
              <w:ind w:firstLine="0"/>
              <w:jc w:val="center"/>
              <w:rPr>
                <w:rFonts w:eastAsia="Times New Roman"/>
                <w:bCs/>
                <w:sz w:val="20"/>
              </w:rPr>
            </w:pPr>
          </w:p>
        </w:tc>
        <w:tc>
          <w:tcPr>
            <w:tcW w:w="850" w:type="dxa"/>
          </w:tcPr>
          <w:p w:rsidR="00BF4753" w:rsidRPr="00182E2D" w:rsidRDefault="00BF4753" w:rsidP="002D7CA8">
            <w:pPr>
              <w:tabs>
                <w:tab w:val="decimal" w:pos="458"/>
              </w:tabs>
              <w:ind w:firstLine="0"/>
              <w:jc w:val="center"/>
              <w:rPr>
                <w:rFonts w:eastAsia="Times New Roman"/>
                <w:bCs/>
                <w:sz w:val="20"/>
              </w:rPr>
            </w:pPr>
          </w:p>
        </w:tc>
        <w:tc>
          <w:tcPr>
            <w:tcW w:w="775" w:type="dxa"/>
          </w:tcPr>
          <w:p w:rsidR="00BF4753" w:rsidRPr="00182E2D" w:rsidRDefault="00BF4753" w:rsidP="002D7CA8">
            <w:pPr>
              <w:tabs>
                <w:tab w:val="decimal" w:pos="458"/>
              </w:tabs>
              <w:ind w:firstLine="0"/>
              <w:jc w:val="center"/>
              <w:rPr>
                <w:rFonts w:eastAsia="Times New Roman"/>
                <w:bCs/>
                <w:sz w:val="20"/>
              </w:rPr>
            </w:pPr>
          </w:p>
        </w:tc>
      </w:tr>
      <w:tr w:rsidR="00BF4753" w:rsidRPr="00182E2D" w:rsidTr="002D7CA8">
        <w:trPr>
          <w:trHeight w:val="284"/>
          <w:jc w:val="center"/>
        </w:trPr>
        <w:tc>
          <w:tcPr>
            <w:tcW w:w="5671" w:type="dxa"/>
          </w:tcPr>
          <w:p w:rsidR="00BF4753" w:rsidRPr="00182E2D" w:rsidRDefault="00BF4753" w:rsidP="002D7CA8">
            <w:pPr>
              <w:ind w:firstLine="0"/>
              <w:jc w:val="left"/>
              <w:rPr>
                <w:rFonts w:eastAsia="Times New Roman"/>
                <w:bCs/>
                <w:sz w:val="20"/>
              </w:rPr>
            </w:pPr>
            <w:r w:rsidRPr="00182E2D">
              <w:rPr>
                <w:rFonts w:eastAsia="Times New Roman"/>
                <w:bCs/>
                <w:sz w:val="20"/>
              </w:rPr>
              <w:t>PVN piemērošanas vienkāršošanas noteikumi e-komercijas jomā</w:t>
            </w:r>
          </w:p>
        </w:tc>
        <w:tc>
          <w:tcPr>
            <w:tcW w:w="709" w:type="dxa"/>
          </w:tcPr>
          <w:p w:rsidR="00BF4753" w:rsidRPr="00182E2D" w:rsidRDefault="00BF4753" w:rsidP="002D7CA8">
            <w:pPr>
              <w:ind w:firstLine="0"/>
              <w:jc w:val="center"/>
              <w:rPr>
                <w:rFonts w:eastAsia="Times New Roman"/>
                <w:bCs/>
                <w:sz w:val="20"/>
              </w:rPr>
            </w:pPr>
            <w:r w:rsidRPr="00182E2D">
              <w:rPr>
                <w:rFonts w:eastAsia="Times New Roman"/>
                <w:bCs/>
                <w:sz w:val="20"/>
              </w:rPr>
              <w:t>10,4</w:t>
            </w:r>
          </w:p>
        </w:tc>
        <w:tc>
          <w:tcPr>
            <w:tcW w:w="709" w:type="dxa"/>
          </w:tcPr>
          <w:p w:rsidR="00BF4753" w:rsidRPr="00182E2D" w:rsidRDefault="00BF4753" w:rsidP="002D7CA8">
            <w:pPr>
              <w:tabs>
                <w:tab w:val="decimal" w:pos="458"/>
              </w:tabs>
              <w:ind w:firstLine="0"/>
              <w:jc w:val="center"/>
              <w:rPr>
                <w:rFonts w:eastAsia="Times New Roman"/>
                <w:bCs/>
                <w:sz w:val="20"/>
              </w:rPr>
            </w:pPr>
          </w:p>
        </w:tc>
        <w:tc>
          <w:tcPr>
            <w:tcW w:w="850" w:type="dxa"/>
          </w:tcPr>
          <w:p w:rsidR="00BF4753" w:rsidRPr="00182E2D" w:rsidRDefault="00BF4753" w:rsidP="002D7CA8">
            <w:pPr>
              <w:tabs>
                <w:tab w:val="decimal" w:pos="458"/>
              </w:tabs>
              <w:ind w:firstLine="0"/>
              <w:jc w:val="center"/>
              <w:rPr>
                <w:rFonts w:eastAsia="Times New Roman"/>
                <w:bCs/>
                <w:sz w:val="20"/>
              </w:rPr>
            </w:pPr>
          </w:p>
        </w:tc>
        <w:tc>
          <w:tcPr>
            <w:tcW w:w="775" w:type="dxa"/>
          </w:tcPr>
          <w:p w:rsidR="00BF4753" w:rsidRPr="00182E2D" w:rsidRDefault="00BF4753" w:rsidP="002D7CA8">
            <w:pPr>
              <w:tabs>
                <w:tab w:val="decimal" w:pos="458"/>
              </w:tabs>
              <w:ind w:firstLine="0"/>
              <w:jc w:val="center"/>
              <w:rPr>
                <w:rFonts w:eastAsia="Times New Roman"/>
                <w:bCs/>
                <w:sz w:val="20"/>
              </w:rPr>
            </w:pPr>
          </w:p>
        </w:tc>
      </w:tr>
      <w:tr w:rsidR="00BF4753" w:rsidRPr="00182E2D" w:rsidTr="002D7CA8">
        <w:trPr>
          <w:trHeight w:val="284"/>
          <w:jc w:val="center"/>
        </w:trPr>
        <w:tc>
          <w:tcPr>
            <w:tcW w:w="5671" w:type="dxa"/>
          </w:tcPr>
          <w:p w:rsidR="00BF4753" w:rsidRPr="00182E2D" w:rsidRDefault="00BF4753" w:rsidP="002D7CA8">
            <w:pPr>
              <w:ind w:firstLine="0"/>
              <w:jc w:val="left"/>
              <w:rPr>
                <w:rFonts w:eastAsia="Times New Roman"/>
                <w:bCs/>
                <w:sz w:val="20"/>
              </w:rPr>
            </w:pPr>
            <w:r w:rsidRPr="00182E2D">
              <w:rPr>
                <w:rFonts w:eastAsia="Times New Roman"/>
                <w:bCs/>
                <w:sz w:val="20"/>
              </w:rPr>
              <w:t>Grozījumi Čeku loterijas likumā</w:t>
            </w:r>
          </w:p>
        </w:tc>
        <w:tc>
          <w:tcPr>
            <w:tcW w:w="709" w:type="dxa"/>
          </w:tcPr>
          <w:p w:rsidR="00BF4753" w:rsidRPr="00182E2D" w:rsidRDefault="00BF4753" w:rsidP="002D7CA8">
            <w:pPr>
              <w:ind w:firstLine="0"/>
              <w:jc w:val="center"/>
              <w:rPr>
                <w:rFonts w:eastAsia="Times New Roman"/>
                <w:bCs/>
                <w:sz w:val="20"/>
              </w:rPr>
            </w:pPr>
            <w:r w:rsidRPr="00182E2D">
              <w:rPr>
                <w:rFonts w:eastAsia="Times New Roman"/>
                <w:bCs/>
                <w:sz w:val="20"/>
              </w:rPr>
              <w:t>0,7</w:t>
            </w:r>
          </w:p>
        </w:tc>
        <w:tc>
          <w:tcPr>
            <w:tcW w:w="709" w:type="dxa"/>
          </w:tcPr>
          <w:p w:rsidR="00BF4753" w:rsidRPr="00182E2D" w:rsidRDefault="00BF4753" w:rsidP="002D7CA8">
            <w:pPr>
              <w:tabs>
                <w:tab w:val="decimal" w:pos="458"/>
              </w:tabs>
              <w:ind w:firstLine="0"/>
              <w:jc w:val="center"/>
              <w:rPr>
                <w:rFonts w:eastAsia="Times New Roman"/>
                <w:bCs/>
                <w:sz w:val="20"/>
              </w:rPr>
            </w:pPr>
          </w:p>
        </w:tc>
        <w:tc>
          <w:tcPr>
            <w:tcW w:w="850" w:type="dxa"/>
          </w:tcPr>
          <w:p w:rsidR="00BF4753" w:rsidRPr="00182E2D" w:rsidRDefault="00BF4753" w:rsidP="002D7CA8">
            <w:pPr>
              <w:tabs>
                <w:tab w:val="decimal" w:pos="458"/>
              </w:tabs>
              <w:ind w:firstLine="0"/>
              <w:jc w:val="center"/>
              <w:rPr>
                <w:rFonts w:eastAsia="Times New Roman"/>
                <w:bCs/>
                <w:sz w:val="20"/>
              </w:rPr>
            </w:pPr>
          </w:p>
        </w:tc>
        <w:tc>
          <w:tcPr>
            <w:tcW w:w="775" w:type="dxa"/>
          </w:tcPr>
          <w:p w:rsidR="00BF4753" w:rsidRPr="00182E2D" w:rsidRDefault="00BF4753" w:rsidP="002D7CA8">
            <w:pPr>
              <w:tabs>
                <w:tab w:val="decimal" w:pos="458"/>
              </w:tabs>
              <w:ind w:firstLine="0"/>
              <w:jc w:val="center"/>
              <w:rPr>
                <w:rFonts w:eastAsia="Times New Roman"/>
                <w:bCs/>
                <w:sz w:val="20"/>
              </w:rPr>
            </w:pPr>
          </w:p>
        </w:tc>
      </w:tr>
      <w:tr w:rsidR="00BF4753" w:rsidRPr="00182E2D" w:rsidTr="002D7CA8">
        <w:trPr>
          <w:trHeight w:val="284"/>
          <w:jc w:val="center"/>
        </w:trPr>
        <w:tc>
          <w:tcPr>
            <w:tcW w:w="5671" w:type="dxa"/>
          </w:tcPr>
          <w:p w:rsidR="00BF4753" w:rsidRPr="00182E2D" w:rsidRDefault="00BF4753" w:rsidP="002D7CA8">
            <w:pPr>
              <w:ind w:firstLine="0"/>
              <w:jc w:val="left"/>
              <w:rPr>
                <w:rFonts w:eastAsia="Times New Roman"/>
                <w:bCs/>
                <w:sz w:val="20"/>
              </w:rPr>
            </w:pPr>
            <w:r w:rsidRPr="00182E2D">
              <w:rPr>
                <w:rFonts w:eastAsia="Times New Roman"/>
                <w:bCs/>
                <w:sz w:val="20"/>
              </w:rPr>
              <w:t>PVN samazinātās 5% likmes saglabāšana augļiem, ogām un dārzeņiem līdz 2023.gada 31.decembrim</w:t>
            </w:r>
          </w:p>
        </w:tc>
        <w:tc>
          <w:tcPr>
            <w:tcW w:w="709" w:type="dxa"/>
          </w:tcPr>
          <w:p w:rsidR="00BF4753" w:rsidRPr="00182E2D" w:rsidRDefault="00BF4753" w:rsidP="002D7CA8">
            <w:pPr>
              <w:ind w:firstLine="0"/>
              <w:jc w:val="center"/>
              <w:rPr>
                <w:rFonts w:eastAsia="Times New Roman"/>
                <w:bCs/>
                <w:sz w:val="20"/>
              </w:rPr>
            </w:pPr>
            <w:r w:rsidRPr="00182E2D">
              <w:rPr>
                <w:rFonts w:eastAsia="Times New Roman"/>
                <w:bCs/>
                <w:sz w:val="20"/>
              </w:rPr>
              <w:t>-3,0</w:t>
            </w:r>
          </w:p>
        </w:tc>
        <w:tc>
          <w:tcPr>
            <w:tcW w:w="709" w:type="dxa"/>
          </w:tcPr>
          <w:p w:rsidR="00BF4753" w:rsidRPr="00182E2D" w:rsidRDefault="00BF4753" w:rsidP="002D7CA8">
            <w:pPr>
              <w:tabs>
                <w:tab w:val="decimal" w:pos="458"/>
              </w:tabs>
              <w:ind w:firstLine="0"/>
              <w:jc w:val="center"/>
              <w:rPr>
                <w:rFonts w:eastAsia="Times New Roman"/>
                <w:bCs/>
                <w:sz w:val="20"/>
              </w:rPr>
            </w:pPr>
          </w:p>
        </w:tc>
        <w:tc>
          <w:tcPr>
            <w:tcW w:w="850" w:type="dxa"/>
          </w:tcPr>
          <w:p w:rsidR="00BF4753" w:rsidRPr="00182E2D" w:rsidRDefault="00BF4753" w:rsidP="002D7CA8">
            <w:pPr>
              <w:tabs>
                <w:tab w:val="decimal" w:pos="458"/>
              </w:tabs>
              <w:ind w:firstLine="0"/>
              <w:jc w:val="center"/>
              <w:rPr>
                <w:rFonts w:eastAsia="Times New Roman"/>
                <w:bCs/>
                <w:sz w:val="20"/>
              </w:rPr>
            </w:pPr>
          </w:p>
        </w:tc>
        <w:tc>
          <w:tcPr>
            <w:tcW w:w="775" w:type="dxa"/>
          </w:tcPr>
          <w:p w:rsidR="00BF4753" w:rsidRPr="00182E2D" w:rsidRDefault="00BF4753" w:rsidP="002D7CA8">
            <w:pPr>
              <w:tabs>
                <w:tab w:val="decimal" w:pos="458"/>
              </w:tabs>
              <w:ind w:firstLine="0"/>
              <w:jc w:val="center"/>
              <w:rPr>
                <w:rFonts w:eastAsia="Times New Roman"/>
                <w:bCs/>
                <w:sz w:val="20"/>
              </w:rPr>
            </w:pPr>
            <w:r w:rsidRPr="00182E2D">
              <w:rPr>
                <w:rFonts w:eastAsia="Times New Roman"/>
                <w:bCs/>
                <w:sz w:val="20"/>
              </w:rPr>
              <w:t>3,0</w:t>
            </w:r>
          </w:p>
        </w:tc>
      </w:tr>
      <w:tr w:rsidR="00BF4753" w:rsidRPr="00182E2D" w:rsidTr="002D7CA8">
        <w:trPr>
          <w:trHeight w:val="284"/>
          <w:jc w:val="center"/>
        </w:trPr>
        <w:tc>
          <w:tcPr>
            <w:tcW w:w="5671" w:type="dxa"/>
          </w:tcPr>
          <w:p w:rsidR="00BF4753" w:rsidRPr="00182E2D" w:rsidRDefault="00BF4753" w:rsidP="002D7CA8">
            <w:pPr>
              <w:ind w:firstLine="0"/>
              <w:jc w:val="left"/>
              <w:rPr>
                <w:rFonts w:eastAsia="Times New Roman"/>
                <w:bCs/>
                <w:sz w:val="20"/>
              </w:rPr>
            </w:pPr>
            <w:r w:rsidRPr="00182E2D">
              <w:rPr>
                <w:rFonts w:eastAsia="Times New Roman"/>
                <w:bCs/>
                <w:sz w:val="20"/>
              </w:rPr>
              <w:t>Akcīzes nodokļa atbrīvojumu atcelšana dabasgāzei, ko izmanto lauksaimniecībā izmantojamās zemes segto platību (siltumnīcu) siltumapgādei un rūpniecisko mājputnu novietņu (kūts) un inkubatoru siltumapgādei</w:t>
            </w:r>
          </w:p>
        </w:tc>
        <w:tc>
          <w:tcPr>
            <w:tcW w:w="709" w:type="dxa"/>
          </w:tcPr>
          <w:p w:rsidR="00BF4753" w:rsidRPr="00182E2D" w:rsidRDefault="00BF4753" w:rsidP="002D7CA8">
            <w:pPr>
              <w:ind w:firstLine="0"/>
              <w:jc w:val="center"/>
              <w:rPr>
                <w:rFonts w:eastAsia="Times New Roman"/>
                <w:bCs/>
                <w:sz w:val="20"/>
              </w:rPr>
            </w:pPr>
            <w:r w:rsidRPr="00182E2D">
              <w:rPr>
                <w:rFonts w:eastAsia="Times New Roman"/>
                <w:bCs/>
                <w:sz w:val="20"/>
              </w:rPr>
              <w:t>0.01</w:t>
            </w:r>
          </w:p>
        </w:tc>
        <w:tc>
          <w:tcPr>
            <w:tcW w:w="709" w:type="dxa"/>
          </w:tcPr>
          <w:p w:rsidR="00BF4753" w:rsidRPr="00182E2D" w:rsidRDefault="00BF4753" w:rsidP="002D7CA8">
            <w:pPr>
              <w:tabs>
                <w:tab w:val="decimal" w:pos="458"/>
              </w:tabs>
              <w:ind w:firstLine="0"/>
              <w:jc w:val="center"/>
              <w:rPr>
                <w:rFonts w:eastAsia="Times New Roman"/>
                <w:bCs/>
                <w:sz w:val="20"/>
              </w:rPr>
            </w:pPr>
          </w:p>
        </w:tc>
        <w:tc>
          <w:tcPr>
            <w:tcW w:w="850" w:type="dxa"/>
          </w:tcPr>
          <w:p w:rsidR="00BF4753" w:rsidRPr="00182E2D" w:rsidRDefault="00BF4753" w:rsidP="002D7CA8">
            <w:pPr>
              <w:tabs>
                <w:tab w:val="decimal" w:pos="458"/>
              </w:tabs>
              <w:ind w:firstLine="0"/>
              <w:jc w:val="center"/>
              <w:rPr>
                <w:rFonts w:eastAsia="Times New Roman"/>
                <w:bCs/>
                <w:sz w:val="20"/>
              </w:rPr>
            </w:pPr>
          </w:p>
        </w:tc>
        <w:tc>
          <w:tcPr>
            <w:tcW w:w="775" w:type="dxa"/>
          </w:tcPr>
          <w:p w:rsidR="00BF4753" w:rsidRPr="00182E2D" w:rsidRDefault="00BF4753" w:rsidP="002D7CA8">
            <w:pPr>
              <w:tabs>
                <w:tab w:val="decimal" w:pos="458"/>
              </w:tabs>
              <w:ind w:firstLine="0"/>
              <w:jc w:val="center"/>
              <w:rPr>
                <w:rFonts w:eastAsia="Times New Roman"/>
                <w:bCs/>
                <w:sz w:val="20"/>
              </w:rPr>
            </w:pPr>
          </w:p>
        </w:tc>
      </w:tr>
      <w:tr w:rsidR="00BF4753" w:rsidRPr="00182E2D" w:rsidTr="002D7CA8">
        <w:trPr>
          <w:trHeight w:val="284"/>
          <w:jc w:val="center"/>
        </w:trPr>
        <w:tc>
          <w:tcPr>
            <w:tcW w:w="5671" w:type="dxa"/>
          </w:tcPr>
          <w:p w:rsidR="00BF4753" w:rsidRPr="00182E2D" w:rsidRDefault="00BF4753" w:rsidP="002D7CA8">
            <w:pPr>
              <w:ind w:firstLine="0"/>
              <w:jc w:val="left"/>
              <w:rPr>
                <w:rFonts w:eastAsia="Times New Roman"/>
                <w:bCs/>
                <w:sz w:val="20"/>
              </w:rPr>
            </w:pPr>
            <w:r w:rsidRPr="00182E2D">
              <w:rPr>
                <w:rFonts w:eastAsia="Times New Roman"/>
                <w:bCs/>
                <w:sz w:val="20"/>
              </w:rPr>
              <w:t>Akcīzes nodokļa likmju paaugstināšana un restrukturizēšana cigaretēm ar 01.03.2021., 01.01.2022. un 01.01.2023.; likmju paaugstināšana cigāriem, cigarillām, smēķējamai, karsējamai tabakai un e-cigarešu šķid</w:t>
            </w:r>
            <w:r>
              <w:rPr>
                <w:rFonts w:eastAsia="Times New Roman"/>
                <w:bCs/>
                <w:sz w:val="20"/>
              </w:rPr>
              <w:t>rumiem ar 2021., 2022. un 2023. gada</w:t>
            </w:r>
            <w:r w:rsidRPr="00182E2D">
              <w:rPr>
                <w:rFonts w:eastAsia="Times New Roman"/>
                <w:bCs/>
                <w:sz w:val="20"/>
              </w:rPr>
              <w:t>. 1.</w:t>
            </w:r>
            <w:r>
              <w:rPr>
                <w:rFonts w:eastAsia="Times New Roman"/>
                <w:bCs/>
                <w:sz w:val="20"/>
              </w:rPr>
              <w:t xml:space="preserve"> </w:t>
            </w:r>
            <w:r w:rsidRPr="00182E2D">
              <w:rPr>
                <w:rFonts w:eastAsia="Times New Roman"/>
                <w:bCs/>
                <w:sz w:val="20"/>
              </w:rPr>
              <w:t>janvāri</w:t>
            </w:r>
          </w:p>
        </w:tc>
        <w:tc>
          <w:tcPr>
            <w:tcW w:w="709" w:type="dxa"/>
          </w:tcPr>
          <w:p w:rsidR="00BF4753" w:rsidRPr="00182E2D" w:rsidRDefault="00BF4753" w:rsidP="002D7CA8">
            <w:pPr>
              <w:ind w:firstLine="0"/>
              <w:jc w:val="center"/>
              <w:rPr>
                <w:rFonts w:eastAsia="Times New Roman"/>
                <w:bCs/>
                <w:sz w:val="20"/>
              </w:rPr>
            </w:pPr>
            <w:r w:rsidRPr="00182E2D">
              <w:rPr>
                <w:rFonts w:eastAsia="Times New Roman"/>
                <w:bCs/>
                <w:sz w:val="20"/>
              </w:rPr>
              <w:t>1,3</w:t>
            </w:r>
          </w:p>
        </w:tc>
        <w:tc>
          <w:tcPr>
            <w:tcW w:w="709" w:type="dxa"/>
          </w:tcPr>
          <w:p w:rsidR="00BF4753" w:rsidRPr="00182E2D" w:rsidRDefault="00BF4753" w:rsidP="002D7CA8">
            <w:pPr>
              <w:tabs>
                <w:tab w:val="decimal" w:pos="458"/>
              </w:tabs>
              <w:ind w:firstLine="0"/>
              <w:jc w:val="center"/>
              <w:rPr>
                <w:rFonts w:eastAsia="Times New Roman"/>
                <w:bCs/>
                <w:sz w:val="20"/>
              </w:rPr>
            </w:pPr>
            <w:r w:rsidRPr="00182E2D">
              <w:rPr>
                <w:rFonts w:eastAsia="Times New Roman"/>
                <w:bCs/>
                <w:sz w:val="20"/>
              </w:rPr>
              <w:t>1,1</w:t>
            </w:r>
          </w:p>
        </w:tc>
        <w:tc>
          <w:tcPr>
            <w:tcW w:w="850" w:type="dxa"/>
          </w:tcPr>
          <w:p w:rsidR="00BF4753" w:rsidRPr="00182E2D" w:rsidRDefault="00BF4753" w:rsidP="002D7CA8">
            <w:pPr>
              <w:tabs>
                <w:tab w:val="decimal" w:pos="458"/>
              </w:tabs>
              <w:ind w:firstLine="0"/>
              <w:jc w:val="center"/>
              <w:rPr>
                <w:rFonts w:eastAsia="Times New Roman"/>
                <w:bCs/>
                <w:sz w:val="20"/>
              </w:rPr>
            </w:pPr>
            <w:r w:rsidRPr="00182E2D">
              <w:rPr>
                <w:rFonts w:eastAsia="Times New Roman"/>
                <w:bCs/>
                <w:sz w:val="20"/>
              </w:rPr>
              <w:t>0,6</w:t>
            </w:r>
          </w:p>
        </w:tc>
        <w:tc>
          <w:tcPr>
            <w:tcW w:w="775" w:type="dxa"/>
          </w:tcPr>
          <w:p w:rsidR="00BF4753" w:rsidRPr="00182E2D" w:rsidRDefault="00BF4753" w:rsidP="002D7CA8">
            <w:pPr>
              <w:tabs>
                <w:tab w:val="decimal" w:pos="458"/>
              </w:tabs>
              <w:ind w:firstLine="0"/>
              <w:jc w:val="center"/>
              <w:rPr>
                <w:rFonts w:eastAsia="Times New Roman"/>
                <w:bCs/>
                <w:sz w:val="20"/>
              </w:rPr>
            </w:pPr>
          </w:p>
        </w:tc>
      </w:tr>
      <w:tr w:rsidR="00BF4753" w:rsidRPr="00182E2D" w:rsidTr="002D7CA8">
        <w:trPr>
          <w:trHeight w:val="284"/>
          <w:jc w:val="center"/>
        </w:trPr>
        <w:tc>
          <w:tcPr>
            <w:tcW w:w="5671" w:type="dxa"/>
          </w:tcPr>
          <w:p w:rsidR="00BF4753" w:rsidRPr="00182E2D" w:rsidRDefault="00BF4753" w:rsidP="002D7CA8">
            <w:pPr>
              <w:ind w:firstLine="0"/>
              <w:jc w:val="right"/>
              <w:rPr>
                <w:rFonts w:eastAsia="Times New Roman"/>
                <w:b/>
                <w:sz w:val="20"/>
              </w:rPr>
            </w:pPr>
            <w:r w:rsidRPr="00182E2D">
              <w:rPr>
                <w:rFonts w:eastAsia="Times New Roman"/>
                <w:b/>
                <w:sz w:val="20"/>
              </w:rPr>
              <w:t>Izmaiņu ietekme kopā:</w:t>
            </w:r>
          </w:p>
        </w:tc>
        <w:tc>
          <w:tcPr>
            <w:tcW w:w="709" w:type="dxa"/>
          </w:tcPr>
          <w:p w:rsidR="00BF4753" w:rsidRPr="00182E2D" w:rsidRDefault="00BF4753" w:rsidP="002D7CA8">
            <w:pPr>
              <w:ind w:firstLine="0"/>
              <w:jc w:val="center"/>
              <w:rPr>
                <w:rFonts w:eastAsia="Times New Roman"/>
                <w:b/>
                <w:sz w:val="20"/>
              </w:rPr>
            </w:pPr>
            <w:r w:rsidRPr="00182E2D">
              <w:rPr>
                <w:rFonts w:eastAsia="Times New Roman"/>
                <w:b/>
                <w:sz w:val="20"/>
              </w:rPr>
              <w:t>71,3</w:t>
            </w:r>
          </w:p>
        </w:tc>
        <w:tc>
          <w:tcPr>
            <w:tcW w:w="709" w:type="dxa"/>
          </w:tcPr>
          <w:p w:rsidR="00BF4753" w:rsidRPr="00182E2D" w:rsidRDefault="00BF4753" w:rsidP="002D7CA8">
            <w:pPr>
              <w:ind w:firstLine="0"/>
              <w:jc w:val="center"/>
              <w:rPr>
                <w:rFonts w:eastAsia="Times New Roman"/>
                <w:b/>
                <w:sz w:val="20"/>
              </w:rPr>
            </w:pPr>
            <w:r w:rsidRPr="00182E2D">
              <w:rPr>
                <w:rFonts w:eastAsia="Times New Roman"/>
                <w:b/>
                <w:sz w:val="20"/>
              </w:rPr>
              <w:t>1,1</w:t>
            </w:r>
          </w:p>
        </w:tc>
        <w:tc>
          <w:tcPr>
            <w:tcW w:w="850" w:type="dxa"/>
          </w:tcPr>
          <w:p w:rsidR="00BF4753" w:rsidRPr="00182E2D" w:rsidRDefault="00BF4753" w:rsidP="002D7CA8">
            <w:pPr>
              <w:ind w:firstLine="0"/>
              <w:jc w:val="center"/>
              <w:rPr>
                <w:rFonts w:eastAsia="Times New Roman"/>
                <w:b/>
                <w:sz w:val="20"/>
              </w:rPr>
            </w:pPr>
            <w:r w:rsidRPr="00182E2D">
              <w:rPr>
                <w:rFonts w:eastAsia="Times New Roman"/>
                <w:b/>
                <w:sz w:val="20"/>
              </w:rPr>
              <w:t>0,6</w:t>
            </w:r>
          </w:p>
        </w:tc>
        <w:tc>
          <w:tcPr>
            <w:tcW w:w="775" w:type="dxa"/>
          </w:tcPr>
          <w:p w:rsidR="00BF4753" w:rsidRPr="00182E2D" w:rsidRDefault="00BF4753" w:rsidP="002D7CA8">
            <w:pPr>
              <w:ind w:firstLine="0"/>
              <w:jc w:val="center"/>
              <w:rPr>
                <w:rFonts w:eastAsia="Times New Roman"/>
                <w:b/>
                <w:sz w:val="20"/>
              </w:rPr>
            </w:pPr>
            <w:r w:rsidRPr="00182E2D">
              <w:rPr>
                <w:rFonts w:eastAsia="Times New Roman"/>
                <w:b/>
                <w:sz w:val="20"/>
              </w:rPr>
              <w:t>3,0</w:t>
            </w:r>
          </w:p>
        </w:tc>
      </w:tr>
    </w:tbl>
    <w:p w:rsidR="00BF4753" w:rsidRPr="00FA0B89" w:rsidRDefault="00BF4753" w:rsidP="00BF4753">
      <w:pPr>
        <w:spacing w:before="360" w:after="120"/>
        <w:jc w:val="left"/>
        <w:outlineLvl w:val="3"/>
        <w:rPr>
          <w:rFonts w:eastAsia="Times New Roman" w:cs="Times New Roman"/>
          <w:b/>
          <w:szCs w:val="24"/>
        </w:rPr>
      </w:pPr>
      <w:r w:rsidRPr="00FA0B89">
        <w:rPr>
          <w:rFonts w:eastAsia="Times New Roman" w:cs="Times New Roman"/>
          <w:b/>
          <w:szCs w:val="24"/>
        </w:rPr>
        <w:t>Uzņēmumu ienākuma nodoklis</w:t>
      </w:r>
    </w:p>
    <w:p w:rsidR="00BF4753" w:rsidRPr="00FA0B89" w:rsidRDefault="00BF4753" w:rsidP="00BF4753">
      <w:pPr>
        <w:rPr>
          <w:rFonts w:eastAsia="Times New Roman" w:cs="Times New Roman"/>
          <w:color w:val="000000"/>
          <w:szCs w:val="24"/>
          <w:lang w:eastAsia="lv-LV"/>
        </w:rPr>
      </w:pPr>
      <w:r w:rsidRPr="00FA0B89">
        <w:rPr>
          <w:rFonts w:eastAsia="Times New Roman" w:cs="Times New Roman"/>
          <w:color w:val="000000"/>
          <w:szCs w:val="24"/>
          <w:lang w:eastAsia="lv-LV"/>
        </w:rPr>
        <w:t>Ar 2018.</w:t>
      </w:r>
      <w:r>
        <w:rPr>
          <w:rFonts w:eastAsia="Times New Roman" w:cs="Times New Roman"/>
          <w:color w:val="000000"/>
          <w:szCs w:val="24"/>
          <w:lang w:eastAsia="lv-LV"/>
        </w:rPr>
        <w:t xml:space="preserve"> </w:t>
      </w:r>
      <w:r w:rsidRPr="00FA0B89">
        <w:rPr>
          <w:rFonts w:eastAsia="Times New Roman" w:cs="Times New Roman"/>
          <w:color w:val="000000"/>
          <w:szCs w:val="24"/>
          <w:lang w:eastAsia="lv-LV"/>
        </w:rPr>
        <w:t>gadu ieviests konceptuāli jauns uzņēmumu ienākuma nodokļa maksāšanas režīms. Minētais modelis paredz nodokļa maksāšanas brīdi atlikt līdz brīdim, kad peļņa tiek sadalīta vai citādā veidā novirzīta tādiem izdevumiem, kuri nenodrošina uzņēmuma turpmāku attīstību.</w:t>
      </w:r>
    </w:p>
    <w:p w:rsidR="00BF4753" w:rsidRPr="002F061C" w:rsidRDefault="00BF4753" w:rsidP="00BF4753">
      <w:pPr>
        <w:rPr>
          <w:rFonts w:eastAsia="Times New Roman" w:cs="Times New Roman"/>
          <w:szCs w:val="20"/>
        </w:rPr>
      </w:pPr>
      <w:r>
        <w:rPr>
          <w:rFonts w:eastAsia="Times New Roman" w:cs="Times New Roman"/>
          <w:iCs/>
          <w:szCs w:val="20"/>
        </w:rPr>
        <w:t>Uzņēmumu ienākuma nodokļa</w:t>
      </w:r>
      <w:r w:rsidRPr="00FA0B89">
        <w:rPr>
          <w:rFonts w:eastAsia="Times New Roman" w:cs="Times New Roman"/>
          <w:iCs/>
          <w:szCs w:val="20"/>
        </w:rPr>
        <w:t xml:space="preserve"> ieņēmumus 2021.</w:t>
      </w:r>
      <w:r>
        <w:rPr>
          <w:rFonts w:eastAsia="Times New Roman" w:cs="Times New Roman"/>
          <w:iCs/>
          <w:szCs w:val="20"/>
        </w:rPr>
        <w:t xml:space="preserve"> </w:t>
      </w:r>
      <w:r w:rsidRPr="00FA0B89">
        <w:rPr>
          <w:rFonts w:eastAsia="Times New Roman" w:cs="Times New Roman"/>
          <w:iCs/>
          <w:szCs w:val="20"/>
        </w:rPr>
        <w:t>gadā un turpmākajos gados ietekmēs iepriekš pieņemtās likumdošanas izmaiņas saistībā ar</w:t>
      </w:r>
      <w:r w:rsidRPr="00FA0B89">
        <w:rPr>
          <w:rFonts w:eastAsia="Times New Roman" w:cs="Times New Roman"/>
          <w:szCs w:val="24"/>
        </w:rPr>
        <w:t xml:space="preserve"> </w:t>
      </w:r>
      <w:r w:rsidRPr="00FA0B89">
        <w:rPr>
          <w:rFonts w:eastAsia="Times New Roman" w:cs="Times New Roman"/>
          <w:szCs w:val="20"/>
        </w:rPr>
        <w:t>ziedojuma atlaides intensitātes palielināšanu līdz 85% no ziedojuma summas un nepārsniedzot 30% no nodokļa summas par dividendēm (terminēts līdz 2023.</w:t>
      </w:r>
      <w:r>
        <w:rPr>
          <w:rFonts w:eastAsia="Times New Roman" w:cs="Times New Roman"/>
          <w:szCs w:val="20"/>
        </w:rPr>
        <w:t xml:space="preserve"> </w:t>
      </w:r>
      <w:r w:rsidRPr="00FA0B89">
        <w:rPr>
          <w:rFonts w:eastAsia="Times New Roman" w:cs="Times New Roman"/>
          <w:szCs w:val="20"/>
        </w:rPr>
        <w:t xml:space="preserve">gadam). </w:t>
      </w:r>
    </w:p>
    <w:p w:rsidR="00BF4753" w:rsidRPr="00182E2D" w:rsidRDefault="00BF4753" w:rsidP="00BF4753">
      <w:pPr>
        <w:spacing w:before="120" w:after="120"/>
        <w:jc w:val="right"/>
        <w:rPr>
          <w:rFonts w:eastAsia="Times New Roman" w:cs="Times New Roman"/>
          <w:b/>
          <w:i/>
          <w:iCs/>
          <w:sz w:val="24"/>
          <w:szCs w:val="24"/>
        </w:rPr>
      </w:pPr>
      <w:r w:rsidRPr="00FA0B89">
        <w:rPr>
          <w:rFonts w:eastAsia="Times New Roman" w:cs="Times New Roman"/>
          <w:b/>
          <w:i/>
          <w:iCs/>
          <w:sz w:val="24"/>
          <w:szCs w:val="20"/>
        </w:rPr>
        <w:t>5.3.</w:t>
      </w:r>
      <w:r>
        <w:rPr>
          <w:rFonts w:eastAsia="Times New Roman" w:cs="Times New Roman"/>
          <w:b/>
          <w:i/>
          <w:iCs/>
          <w:sz w:val="24"/>
          <w:szCs w:val="20"/>
        </w:rPr>
        <w:t xml:space="preserve"> </w:t>
      </w:r>
      <w:r w:rsidRPr="00FA0B89">
        <w:rPr>
          <w:rFonts w:eastAsia="Times New Roman" w:cs="Times New Roman"/>
          <w:b/>
          <w:i/>
          <w:iCs/>
          <w:sz w:val="24"/>
          <w:szCs w:val="20"/>
        </w:rPr>
        <w:t>tabula.</w:t>
      </w:r>
      <w:r w:rsidRPr="00182E2D">
        <w:rPr>
          <w:rFonts w:eastAsia="Times New Roman" w:cs="Times New Roman"/>
          <w:b/>
          <w:i/>
          <w:iCs/>
          <w:sz w:val="24"/>
          <w:szCs w:val="20"/>
        </w:rPr>
        <w:t xml:space="preserve"> Nodokļu </w:t>
      </w:r>
      <w:r>
        <w:rPr>
          <w:rFonts w:eastAsia="Times New Roman" w:cs="Times New Roman"/>
          <w:b/>
          <w:i/>
          <w:iCs/>
          <w:sz w:val="24"/>
          <w:szCs w:val="20"/>
        </w:rPr>
        <w:t>politikas izmaiņu ietekme uz uzņēmumu ienākuma nodokļa</w:t>
      </w:r>
      <w:r w:rsidRPr="00182E2D">
        <w:rPr>
          <w:rFonts w:eastAsia="Times New Roman" w:cs="Times New Roman"/>
          <w:b/>
          <w:i/>
          <w:iCs/>
          <w:sz w:val="24"/>
          <w:szCs w:val="20"/>
        </w:rPr>
        <w:t xml:space="preserve"> ieņēmumiem, milj. </w:t>
      </w:r>
      <w:r w:rsidRPr="00182E2D">
        <w:rPr>
          <w:rFonts w:eastAsia="Times New Roman" w:cs="Times New Roman"/>
          <w:b/>
          <w:i/>
          <w:iCs/>
          <w:sz w:val="24"/>
          <w:szCs w:val="24"/>
        </w:rPr>
        <w:t>euro</w:t>
      </w:r>
    </w:p>
    <w:tbl>
      <w:tblPr>
        <w:tblStyle w:val="TableGrid11"/>
        <w:tblW w:w="8359" w:type="dxa"/>
        <w:jc w:val="center"/>
        <w:tblLayout w:type="fixed"/>
        <w:tblLook w:val="04A0" w:firstRow="1" w:lastRow="0" w:firstColumn="1" w:lastColumn="0" w:noHBand="0" w:noVBand="1"/>
      </w:tblPr>
      <w:tblGrid>
        <w:gridCol w:w="4815"/>
        <w:gridCol w:w="992"/>
        <w:gridCol w:w="851"/>
        <w:gridCol w:w="850"/>
        <w:gridCol w:w="851"/>
      </w:tblGrid>
      <w:tr w:rsidR="00BF4753" w:rsidRPr="00182E2D" w:rsidTr="002D7CA8">
        <w:trPr>
          <w:jc w:val="center"/>
        </w:trPr>
        <w:tc>
          <w:tcPr>
            <w:tcW w:w="4815" w:type="dxa"/>
            <w:shd w:val="clear" w:color="auto" w:fill="9CC2E5"/>
          </w:tcPr>
          <w:p w:rsidR="00BF4753" w:rsidRPr="00182E2D" w:rsidRDefault="00BF4753" w:rsidP="002D7CA8">
            <w:pPr>
              <w:ind w:firstLine="0"/>
              <w:jc w:val="left"/>
              <w:rPr>
                <w:rFonts w:eastAsia="Times New Roman"/>
                <w:b/>
                <w:bCs/>
                <w:sz w:val="20"/>
              </w:rPr>
            </w:pPr>
          </w:p>
        </w:tc>
        <w:tc>
          <w:tcPr>
            <w:tcW w:w="992"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2021</w:t>
            </w:r>
          </w:p>
        </w:tc>
        <w:tc>
          <w:tcPr>
            <w:tcW w:w="851"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2022</w:t>
            </w:r>
          </w:p>
        </w:tc>
        <w:tc>
          <w:tcPr>
            <w:tcW w:w="850"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2023</w:t>
            </w:r>
          </w:p>
        </w:tc>
        <w:tc>
          <w:tcPr>
            <w:tcW w:w="851"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2024</w:t>
            </w:r>
          </w:p>
        </w:tc>
      </w:tr>
      <w:tr w:rsidR="00BF4753" w:rsidRPr="00182E2D" w:rsidTr="002D7CA8">
        <w:trPr>
          <w:trHeight w:val="152"/>
          <w:jc w:val="center"/>
        </w:trPr>
        <w:tc>
          <w:tcPr>
            <w:tcW w:w="4815" w:type="dxa"/>
          </w:tcPr>
          <w:p w:rsidR="00BF4753" w:rsidRPr="00182E2D" w:rsidRDefault="00BF4753" w:rsidP="002D7CA8">
            <w:pPr>
              <w:ind w:firstLine="0"/>
              <w:contextualSpacing/>
              <w:jc w:val="left"/>
              <w:rPr>
                <w:rFonts w:eastAsia="Times New Roman"/>
                <w:sz w:val="20"/>
              </w:rPr>
            </w:pPr>
            <w:r w:rsidRPr="00182E2D">
              <w:rPr>
                <w:rFonts w:eastAsia="Times New Roman"/>
                <w:sz w:val="20"/>
              </w:rPr>
              <w:t>Ziedojuma atlaides intensitātes palielināšana (terminēts līdz 2022</w:t>
            </w:r>
            <w:r>
              <w:rPr>
                <w:rFonts w:eastAsia="Times New Roman"/>
                <w:sz w:val="20"/>
              </w:rPr>
              <w:t xml:space="preserve"> </w:t>
            </w:r>
            <w:r w:rsidRPr="00182E2D">
              <w:rPr>
                <w:rFonts w:eastAsia="Times New Roman"/>
                <w:sz w:val="20"/>
              </w:rPr>
              <w:t>.gadam)</w:t>
            </w:r>
          </w:p>
        </w:tc>
        <w:tc>
          <w:tcPr>
            <w:tcW w:w="992" w:type="dxa"/>
          </w:tcPr>
          <w:p w:rsidR="00BF4753" w:rsidRPr="00182E2D" w:rsidRDefault="00BF4753" w:rsidP="002D7CA8">
            <w:pPr>
              <w:tabs>
                <w:tab w:val="decimal" w:pos="458"/>
              </w:tabs>
              <w:ind w:firstLine="0"/>
              <w:jc w:val="right"/>
              <w:rPr>
                <w:rFonts w:eastAsia="Times New Roman"/>
                <w:sz w:val="20"/>
              </w:rPr>
            </w:pPr>
          </w:p>
        </w:tc>
        <w:tc>
          <w:tcPr>
            <w:tcW w:w="851" w:type="dxa"/>
          </w:tcPr>
          <w:p w:rsidR="00BF4753" w:rsidRPr="00182E2D" w:rsidRDefault="00BF4753" w:rsidP="002D7CA8">
            <w:pPr>
              <w:tabs>
                <w:tab w:val="decimal" w:pos="458"/>
              </w:tabs>
              <w:ind w:firstLine="0"/>
              <w:jc w:val="right"/>
              <w:rPr>
                <w:rFonts w:eastAsia="Times New Roman"/>
                <w:sz w:val="20"/>
              </w:rPr>
            </w:pPr>
          </w:p>
        </w:tc>
        <w:tc>
          <w:tcPr>
            <w:tcW w:w="850" w:type="dxa"/>
          </w:tcPr>
          <w:p w:rsidR="00BF4753" w:rsidRPr="00182E2D" w:rsidRDefault="00BF4753" w:rsidP="002D7CA8">
            <w:pPr>
              <w:tabs>
                <w:tab w:val="decimal" w:pos="458"/>
              </w:tabs>
              <w:ind w:firstLine="0"/>
              <w:jc w:val="right"/>
              <w:rPr>
                <w:rFonts w:eastAsia="Times New Roman"/>
                <w:sz w:val="20"/>
              </w:rPr>
            </w:pPr>
            <w:r w:rsidRPr="00182E2D">
              <w:rPr>
                <w:rFonts w:eastAsia="Times New Roman"/>
                <w:sz w:val="20"/>
              </w:rPr>
              <w:t>+5,1</w:t>
            </w:r>
          </w:p>
        </w:tc>
        <w:tc>
          <w:tcPr>
            <w:tcW w:w="851" w:type="dxa"/>
          </w:tcPr>
          <w:p w:rsidR="00BF4753" w:rsidRPr="00182E2D" w:rsidRDefault="00BF4753" w:rsidP="002D7CA8">
            <w:pPr>
              <w:tabs>
                <w:tab w:val="decimal" w:pos="458"/>
              </w:tabs>
              <w:ind w:firstLine="0"/>
              <w:jc w:val="right"/>
              <w:rPr>
                <w:rFonts w:eastAsia="Times New Roman"/>
                <w:sz w:val="20"/>
              </w:rPr>
            </w:pPr>
          </w:p>
        </w:tc>
      </w:tr>
      <w:tr w:rsidR="00BF4753" w:rsidRPr="00182E2D" w:rsidTr="002D7CA8">
        <w:trPr>
          <w:jc w:val="center"/>
        </w:trPr>
        <w:tc>
          <w:tcPr>
            <w:tcW w:w="4815" w:type="dxa"/>
          </w:tcPr>
          <w:p w:rsidR="00BF4753" w:rsidRPr="00182E2D" w:rsidRDefault="00BF4753" w:rsidP="002D7CA8">
            <w:pPr>
              <w:ind w:firstLine="0"/>
              <w:jc w:val="right"/>
              <w:rPr>
                <w:rFonts w:eastAsia="Times New Roman"/>
                <w:b/>
                <w:bCs/>
                <w:sz w:val="20"/>
              </w:rPr>
            </w:pPr>
            <w:r w:rsidRPr="00182E2D">
              <w:rPr>
                <w:rFonts w:eastAsia="Times New Roman"/>
                <w:b/>
                <w:bCs/>
                <w:sz w:val="20"/>
              </w:rPr>
              <w:t>Izmaiņu ietekme kopā:</w:t>
            </w:r>
          </w:p>
        </w:tc>
        <w:tc>
          <w:tcPr>
            <w:tcW w:w="992" w:type="dxa"/>
          </w:tcPr>
          <w:p w:rsidR="00BF4753" w:rsidRPr="00182E2D" w:rsidRDefault="00BF4753" w:rsidP="002D7CA8">
            <w:pPr>
              <w:tabs>
                <w:tab w:val="decimal" w:pos="458"/>
              </w:tabs>
              <w:ind w:firstLine="0"/>
              <w:jc w:val="right"/>
              <w:rPr>
                <w:rFonts w:eastAsia="Times New Roman"/>
                <w:b/>
                <w:bCs/>
                <w:sz w:val="20"/>
              </w:rPr>
            </w:pPr>
            <w:r w:rsidRPr="00182E2D">
              <w:rPr>
                <w:rFonts w:eastAsia="Times New Roman"/>
                <w:b/>
                <w:bCs/>
                <w:sz w:val="20"/>
              </w:rPr>
              <w:t xml:space="preserve"> </w:t>
            </w:r>
          </w:p>
        </w:tc>
        <w:tc>
          <w:tcPr>
            <w:tcW w:w="851" w:type="dxa"/>
          </w:tcPr>
          <w:p w:rsidR="00BF4753" w:rsidRPr="00182E2D" w:rsidRDefault="00BF4753" w:rsidP="002D7CA8">
            <w:pPr>
              <w:tabs>
                <w:tab w:val="decimal" w:pos="458"/>
              </w:tabs>
              <w:ind w:firstLine="0"/>
              <w:jc w:val="right"/>
              <w:rPr>
                <w:rFonts w:eastAsia="Times New Roman"/>
                <w:b/>
                <w:bCs/>
                <w:sz w:val="20"/>
              </w:rPr>
            </w:pPr>
            <w:r w:rsidRPr="00182E2D">
              <w:rPr>
                <w:rFonts w:eastAsia="Times New Roman"/>
                <w:b/>
                <w:bCs/>
                <w:sz w:val="20"/>
              </w:rPr>
              <w:t xml:space="preserve"> </w:t>
            </w:r>
          </w:p>
        </w:tc>
        <w:tc>
          <w:tcPr>
            <w:tcW w:w="850" w:type="dxa"/>
          </w:tcPr>
          <w:p w:rsidR="00BF4753" w:rsidRPr="00182E2D" w:rsidRDefault="00BF4753" w:rsidP="002D7CA8">
            <w:pPr>
              <w:tabs>
                <w:tab w:val="decimal" w:pos="458"/>
              </w:tabs>
              <w:ind w:firstLine="0"/>
              <w:jc w:val="right"/>
              <w:rPr>
                <w:rFonts w:eastAsia="Times New Roman"/>
                <w:b/>
                <w:bCs/>
                <w:sz w:val="20"/>
              </w:rPr>
            </w:pPr>
            <w:r w:rsidRPr="00182E2D">
              <w:rPr>
                <w:rFonts w:eastAsia="Times New Roman"/>
                <w:b/>
                <w:bCs/>
                <w:sz w:val="20"/>
              </w:rPr>
              <w:t>+5,1</w:t>
            </w:r>
          </w:p>
        </w:tc>
        <w:tc>
          <w:tcPr>
            <w:tcW w:w="851" w:type="dxa"/>
          </w:tcPr>
          <w:p w:rsidR="00BF4753" w:rsidRPr="00182E2D" w:rsidRDefault="00BF4753" w:rsidP="002D7CA8">
            <w:pPr>
              <w:tabs>
                <w:tab w:val="decimal" w:pos="458"/>
              </w:tabs>
              <w:ind w:firstLine="0"/>
              <w:jc w:val="right"/>
              <w:rPr>
                <w:rFonts w:eastAsia="Times New Roman"/>
                <w:b/>
                <w:bCs/>
                <w:sz w:val="20"/>
              </w:rPr>
            </w:pPr>
            <w:r w:rsidRPr="00182E2D">
              <w:rPr>
                <w:rFonts w:eastAsia="Times New Roman"/>
                <w:b/>
                <w:bCs/>
                <w:sz w:val="20"/>
              </w:rPr>
              <w:t xml:space="preserve"> </w:t>
            </w:r>
          </w:p>
        </w:tc>
      </w:tr>
    </w:tbl>
    <w:p w:rsidR="00BF4753" w:rsidRDefault="00BF4753" w:rsidP="00BF4753">
      <w:pPr>
        <w:spacing w:before="360" w:after="120"/>
        <w:jc w:val="left"/>
        <w:outlineLvl w:val="3"/>
        <w:rPr>
          <w:rFonts w:eastAsia="Times New Roman" w:cs="Times New Roman"/>
          <w:b/>
          <w:szCs w:val="24"/>
        </w:rPr>
      </w:pPr>
    </w:p>
    <w:p w:rsidR="00BF4753" w:rsidRPr="00FA0B89" w:rsidRDefault="00BF4753" w:rsidP="00BF4753">
      <w:pPr>
        <w:spacing w:before="360" w:after="120"/>
        <w:jc w:val="left"/>
        <w:outlineLvl w:val="3"/>
        <w:rPr>
          <w:rFonts w:eastAsia="Times New Roman" w:cs="Times New Roman"/>
          <w:b/>
          <w:szCs w:val="24"/>
        </w:rPr>
      </w:pPr>
      <w:r w:rsidRPr="00FA0B89">
        <w:rPr>
          <w:rFonts w:eastAsia="Times New Roman" w:cs="Times New Roman"/>
          <w:b/>
          <w:szCs w:val="24"/>
        </w:rPr>
        <w:lastRenderedPageBreak/>
        <w:t>Akcīzes nodoklis</w:t>
      </w:r>
    </w:p>
    <w:p w:rsidR="00BF4753" w:rsidRPr="00FA0B89" w:rsidRDefault="00BF4753" w:rsidP="00BF4753">
      <w:pPr>
        <w:rPr>
          <w:rFonts w:eastAsia="Calibri" w:cs="Times New Roman"/>
        </w:rPr>
      </w:pPr>
      <w:r w:rsidRPr="00FA0B89">
        <w:rPr>
          <w:rFonts w:eastAsia="Calibri" w:cs="Times New Roman"/>
          <w:color w:val="000000"/>
          <w:szCs w:val="24"/>
        </w:rPr>
        <w:t>Akcīzes nodokļa alkoholiskajiem dzērieniem un alum pakāpenisks  paaugstinājums bija plānots jau ar 2017.</w:t>
      </w:r>
      <w:r>
        <w:rPr>
          <w:rFonts w:eastAsia="Calibri" w:cs="Times New Roman"/>
          <w:color w:val="000000"/>
          <w:szCs w:val="24"/>
        </w:rPr>
        <w:t xml:space="preserve"> </w:t>
      </w:r>
      <w:r w:rsidRPr="00FA0B89">
        <w:rPr>
          <w:rFonts w:eastAsia="Calibri" w:cs="Times New Roman"/>
          <w:color w:val="000000"/>
          <w:szCs w:val="24"/>
        </w:rPr>
        <w:t>gada 27.</w:t>
      </w:r>
      <w:r>
        <w:rPr>
          <w:rFonts w:eastAsia="Calibri" w:cs="Times New Roman"/>
          <w:color w:val="000000"/>
          <w:szCs w:val="24"/>
        </w:rPr>
        <w:t xml:space="preserve"> </w:t>
      </w:r>
      <w:r w:rsidRPr="00FA0B89">
        <w:rPr>
          <w:rFonts w:eastAsia="Calibri" w:cs="Times New Roman"/>
          <w:color w:val="000000"/>
          <w:szCs w:val="24"/>
        </w:rPr>
        <w:t>jūlijā Saeimā pieņemtajiem grozījumiem likumā „Par akcīzes nodokli”, kas paredzēja likmes paaugstināt ar 2018., 2019. un 2020.</w:t>
      </w:r>
      <w:r>
        <w:rPr>
          <w:rFonts w:eastAsia="Calibri" w:cs="Times New Roman"/>
          <w:color w:val="000000"/>
          <w:szCs w:val="24"/>
        </w:rPr>
        <w:t xml:space="preserve"> </w:t>
      </w:r>
      <w:r w:rsidRPr="00FA0B89">
        <w:rPr>
          <w:rFonts w:eastAsia="Calibri" w:cs="Times New Roman"/>
          <w:color w:val="000000"/>
          <w:szCs w:val="24"/>
        </w:rPr>
        <w:t>gada 1.</w:t>
      </w:r>
      <w:r>
        <w:rPr>
          <w:rFonts w:eastAsia="Calibri" w:cs="Times New Roman"/>
          <w:color w:val="000000"/>
          <w:szCs w:val="24"/>
        </w:rPr>
        <w:t xml:space="preserve"> </w:t>
      </w:r>
      <w:r w:rsidRPr="00FA0B89">
        <w:rPr>
          <w:rFonts w:eastAsia="Calibri" w:cs="Times New Roman"/>
          <w:color w:val="000000"/>
          <w:szCs w:val="24"/>
        </w:rPr>
        <w:t xml:space="preserve">martu. </w:t>
      </w:r>
      <w:r w:rsidRPr="00FA0B89">
        <w:rPr>
          <w:rFonts w:eastAsia="Calibri" w:cs="Times New Roman"/>
        </w:rPr>
        <w:t>Tomēr, ņemot vērā akcīzes nodokļa alkoholiskajiem dzērieniem un alum politiku pārējās Baltijas valstīs un Latvijas-Igaunijas pierobežā notiekošo pārrobežu tirdzniecību, ar 2019.</w:t>
      </w:r>
      <w:r>
        <w:rPr>
          <w:rFonts w:eastAsia="Calibri" w:cs="Times New Roman"/>
        </w:rPr>
        <w:t xml:space="preserve"> </w:t>
      </w:r>
      <w:r w:rsidRPr="00FA0B89">
        <w:rPr>
          <w:rFonts w:eastAsia="Calibri" w:cs="Times New Roman"/>
        </w:rPr>
        <w:t>gada 8.</w:t>
      </w:r>
      <w:r>
        <w:rPr>
          <w:rFonts w:eastAsia="Calibri" w:cs="Times New Roman"/>
        </w:rPr>
        <w:t xml:space="preserve"> </w:t>
      </w:r>
      <w:r w:rsidRPr="00FA0B89">
        <w:rPr>
          <w:rFonts w:eastAsia="Calibri" w:cs="Times New Roman"/>
        </w:rPr>
        <w:t>jūlijā Saeimā pieņemtajiem grozījumiem likumā “Par akcīzes nodokli” akcīzes nodokļa likme pārējiem alkoholiskajiem dzērieniem laika periodā no 2019.</w:t>
      </w:r>
      <w:r>
        <w:rPr>
          <w:rFonts w:eastAsia="Calibri" w:cs="Times New Roman"/>
        </w:rPr>
        <w:t xml:space="preserve"> </w:t>
      </w:r>
      <w:r w:rsidRPr="00FA0B89">
        <w:rPr>
          <w:rFonts w:eastAsia="Calibri" w:cs="Times New Roman"/>
        </w:rPr>
        <w:t>gada 1.</w:t>
      </w:r>
      <w:r>
        <w:rPr>
          <w:rFonts w:eastAsia="Calibri" w:cs="Times New Roman"/>
        </w:rPr>
        <w:t xml:space="preserve"> </w:t>
      </w:r>
      <w:r w:rsidRPr="00FA0B89">
        <w:rPr>
          <w:rFonts w:eastAsia="Calibri" w:cs="Times New Roman"/>
        </w:rPr>
        <w:t>augusta līdz 2020.</w:t>
      </w:r>
      <w:r>
        <w:rPr>
          <w:rFonts w:eastAsia="Calibri" w:cs="Times New Roman"/>
        </w:rPr>
        <w:t xml:space="preserve"> </w:t>
      </w:r>
      <w:r w:rsidRPr="00FA0B89">
        <w:rPr>
          <w:rFonts w:eastAsia="Calibri" w:cs="Times New Roman"/>
        </w:rPr>
        <w:t>gada 29.</w:t>
      </w:r>
      <w:r>
        <w:rPr>
          <w:rFonts w:eastAsia="Calibri" w:cs="Times New Roman"/>
        </w:rPr>
        <w:t xml:space="preserve"> </w:t>
      </w:r>
      <w:r w:rsidRPr="00FA0B89">
        <w:rPr>
          <w:rFonts w:eastAsia="Calibri" w:cs="Times New Roman"/>
        </w:rPr>
        <w:t xml:space="preserve">februārim tika samazināta līdz 1564 </w:t>
      </w:r>
      <w:r w:rsidRPr="00FA0B89">
        <w:rPr>
          <w:rFonts w:eastAsia="Calibri" w:cs="Times New Roman"/>
          <w:i/>
          <w:iCs/>
        </w:rPr>
        <w:t>euro</w:t>
      </w:r>
      <w:r w:rsidRPr="00FA0B89">
        <w:rPr>
          <w:rFonts w:eastAsia="Calibri" w:cs="Times New Roman"/>
        </w:rPr>
        <w:t xml:space="preserve"> par 100 litriem absolūtā spirta. </w:t>
      </w:r>
    </w:p>
    <w:p w:rsidR="00BF4753" w:rsidRPr="002F061C" w:rsidRDefault="00BF4753" w:rsidP="00BF4753">
      <w:pPr>
        <w:rPr>
          <w:rFonts w:eastAsia="Calibri" w:cs="Times New Roman"/>
          <w:szCs w:val="24"/>
        </w:rPr>
      </w:pPr>
      <w:r w:rsidRPr="00FA0B89">
        <w:rPr>
          <w:rFonts w:eastAsia="Calibri" w:cs="Times New Roman"/>
          <w:szCs w:val="24"/>
        </w:rPr>
        <w:t>Lai novērstu negatīvo ietekmi no alkoholisko dzērienu patēriņa pieauguma tempa palēninājuma uz Latvijas komersantiem, kas veic darbības ar alkoholiskajiem dzērieniem, Saeima 2020.</w:t>
      </w:r>
      <w:r>
        <w:rPr>
          <w:rFonts w:eastAsia="Calibri" w:cs="Times New Roman"/>
          <w:szCs w:val="24"/>
        </w:rPr>
        <w:t xml:space="preserve"> </w:t>
      </w:r>
      <w:r w:rsidRPr="00FA0B89">
        <w:rPr>
          <w:rFonts w:eastAsia="Calibri" w:cs="Times New Roman"/>
          <w:szCs w:val="24"/>
        </w:rPr>
        <w:t>gada 20.</w:t>
      </w:r>
      <w:r>
        <w:rPr>
          <w:rFonts w:eastAsia="Calibri" w:cs="Times New Roman"/>
          <w:szCs w:val="24"/>
        </w:rPr>
        <w:t xml:space="preserve"> </w:t>
      </w:r>
      <w:r w:rsidRPr="00FA0B89">
        <w:rPr>
          <w:rFonts w:eastAsia="Calibri" w:cs="Times New Roman"/>
          <w:szCs w:val="24"/>
        </w:rPr>
        <w:t>februārī nolēma iepriekš plānotā likmju paaugstinājuma (stiprajam alkoholam par 29,5%, pārējiem alkoholisko dzērienu veidiem un alum – par aptuveni 10%) ar 2020.</w:t>
      </w:r>
      <w:r>
        <w:rPr>
          <w:rFonts w:eastAsia="Calibri" w:cs="Times New Roman"/>
          <w:szCs w:val="24"/>
        </w:rPr>
        <w:t xml:space="preserve"> </w:t>
      </w:r>
      <w:r w:rsidRPr="00FA0B89">
        <w:rPr>
          <w:rFonts w:eastAsia="Calibri" w:cs="Times New Roman"/>
          <w:szCs w:val="24"/>
        </w:rPr>
        <w:t>gada 1.</w:t>
      </w:r>
      <w:r>
        <w:rPr>
          <w:rFonts w:eastAsia="Calibri" w:cs="Times New Roman"/>
          <w:szCs w:val="24"/>
        </w:rPr>
        <w:t xml:space="preserve"> </w:t>
      </w:r>
      <w:r w:rsidRPr="00FA0B89">
        <w:rPr>
          <w:rFonts w:eastAsia="Calibri" w:cs="Times New Roman"/>
          <w:szCs w:val="24"/>
        </w:rPr>
        <w:t>martu vietā  noteikt pakāpenisku akcīzes nodokļa likmju paaugstināšanu – akcīzes nodokļa likmes visiem alkoholiskajiem dzērieniem, izņemot raudzētos dzērienus ar absolūtā spirta saturu līdz 6 tilpumprocentiem, un alum  2020. un 2021.</w:t>
      </w:r>
      <w:r>
        <w:rPr>
          <w:rFonts w:eastAsia="Calibri" w:cs="Times New Roman"/>
          <w:szCs w:val="24"/>
        </w:rPr>
        <w:t xml:space="preserve"> </w:t>
      </w:r>
      <w:r w:rsidRPr="00FA0B89">
        <w:rPr>
          <w:rFonts w:eastAsia="Calibri" w:cs="Times New Roman"/>
          <w:szCs w:val="24"/>
        </w:rPr>
        <w:t xml:space="preserve">gadā paaugstināt vidēji par 5 procentiem. </w:t>
      </w:r>
      <w:r w:rsidRPr="00FA0B89">
        <w:rPr>
          <w:rFonts w:eastAsia="Times New Roman" w:cs="Times New Roman"/>
          <w:color w:val="000000"/>
          <w:szCs w:val="24"/>
        </w:rPr>
        <w:t>Visu izmaiņu rezultāts attiecībā uz alkoholiskajiem dzērieniem un alu atspoguļots 5.4. tabulā.</w:t>
      </w:r>
    </w:p>
    <w:p w:rsidR="00BF4753" w:rsidRPr="00182E2D" w:rsidRDefault="00BF4753" w:rsidP="00BF4753">
      <w:pPr>
        <w:spacing w:before="120" w:after="120"/>
        <w:ind w:firstLine="567"/>
        <w:jc w:val="right"/>
        <w:rPr>
          <w:rFonts w:eastAsia="Times New Roman" w:cs="Times New Roman"/>
          <w:b/>
          <w:i/>
          <w:iCs/>
          <w:sz w:val="24"/>
          <w:szCs w:val="24"/>
        </w:rPr>
      </w:pPr>
      <w:r w:rsidRPr="00FA0B89">
        <w:rPr>
          <w:rFonts w:eastAsia="Times New Roman" w:cs="Times New Roman"/>
          <w:b/>
          <w:i/>
          <w:iCs/>
          <w:sz w:val="24"/>
          <w:szCs w:val="20"/>
        </w:rPr>
        <w:t>5.4.</w:t>
      </w:r>
      <w:r>
        <w:rPr>
          <w:rFonts w:eastAsia="Times New Roman" w:cs="Times New Roman"/>
          <w:b/>
          <w:i/>
          <w:iCs/>
          <w:sz w:val="24"/>
          <w:szCs w:val="20"/>
        </w:rPr>
        <w:t xml:space="preserve"> </w:t>
      </w:r>
      <w:r w:rsidRPr="00FA0B89">
        <w:rPr>
          <w:rFonts w:eastAsia="Times New Roman" w:cs="Times New Roman"/>
          <w:b/>
          <w:i/>
          <w:iCs/>
          <w:sz w:val="24"/>
          <w:szCs w:val="20"/>
        </w:rPr>
        <w:t>tabula</w:t>
      </w:r>
      <w:r w:rsidRPr="00182E2D">
        <w:rPr>
          <w:rFonts w:eastAsia="Times New Roman" w:cs="Times New Roman"/>
          <w:b/>
          <w:i/>
          <w:iCs/>
          <w:sz w:val="24"/>
          <w:szCs w:val="20"/>
        </w:rPr>
        <w:t xml:space="preserve">. Akcīzes nodokļa likmes alkoholiskajiem dzērieniem un alum </w:t>
      </w:r>
    </w:p>
    <w:tbl>
      <w:tblPr>
        <w:tblStyle w:val="TableGrid11"/>
        <w:tblW w:w="9036" w:type="dxa"/>
        <w:tblLayout w:type="fixed"/>
        <w:tblLook w:val="04A0" w:firstRow="1" w:lastRow="0" w:firstColumn="1" w:lastColumn="0" w:noHBand="0" w:noVBand="1"/>
      </w:tblPr>
      <w:tblGrid>
        <w:gridCol w:w="5665"/>
        <w:gridCol w:w="1134"/>
        <w:gridCol w:w="1134"/>
        <w:gridCol w:w="1103"/>
      </w:tblGrid>
      <w:tr w:rsidR="00BF4753" w:rsidRPr="00182E2D" w:rsidTr="002D7CA8">
        <w:trPr>
          <w:trHeight w:val="133"/>
        </w:trPr>
        <w:tc>
          <w:tcPr>
            <w:tcW w:w="5665" w:type="dxa"/>
            <w:vMerge w:val="restart"/>
            <w:shd w:val="clear" w:color="auto" w:fill="9CC2E5"/>
            <w:noWrap/>
            <w:vAlign w:val="center"/>
          </w:tcPr>
          <w:p w:rsidR="00BF4753" w:rsidRPr="00182E2D" w:rsidRDefault="00BF4753" w:rsidP="002D7CA8">
            <w:pPr>
              <w:ind w:firstLine="0"/>
              <w:jc w:val="center"/>
              <w:rPr>
                <w:rFonts w:eastAsia="Times New Roman"/>
                <w:b/>
                <w:bCs/>
                <w:color w:val="000000"/>
                <w:sz w:val="20"/>
                <w:szCs w:val="24"/>
              </w:rPr>
            </w:pPr>
            <w:r w:rsidRPr="00182E2D">
              <w:rPr>
                <w:rFonts w:eastAsia="Times New Roman"/>
                <w:b/>
                <w:bCs/>
                <w:color w:val="000000"/>
                <w:sz w:val="20"/>
                <w:szCs w:val="24"/>
              </w:rPr>
              <w:t>Alkoholiskā dzēriena veids</w:t>
            </w:r>
          </w:p>
        </w:tc>
        <w:tc>
          <w:tcPr>
            <w:tcW w:w="3371" w:type="dxa"/>
            <w:gridSpan w:val="3"/>
            <w:shd w:val="clear" w:color="auto" w:fill="9CC2E5"/>
          </w:tcPr>
          <w:p w:rsidR="00BF4753" w:rsidRPr="00182E2D" w:rsidRDefault="00BF4753" w:rsidP="002D7CA8">
            <w:pPr>
              <w:ind w:firstLine="0"/>
              <w:jc w:val="center"/>
              <w:rPr>
                <w:rFonts w:eastAsia="Times New Roman"/>
                <w:b/>
                <w:bCs/>
                <w:sz w:val="20"/>
              </w:rPr>
            </w:pPr>
            <w:r w:rsidRPr="00182E2D">
              <w:rPr>
                <w:rFonts w:eastAsia="Times New Roman"/>
                <w:b/>
                <w:bCs/>
                <w:color w:val="000000"/>
                <w:sz w:val="20"/>
              </w:rPr>
              <w:t>Likmes spēkā stāšanās datums</w:t>
            </w:r>
          </w:p>
        </w:tc>
      </w:tr>
      <w:tr w:rsidR="00BF4753" w:rsidRPr="00182E2D" w:rsidTr="002D7CA8">
        <w:trPr>
          <w:trHeight w:val="133"/>
        </w:trPr>
        <w:tc>
          <w:tcPr>
            <w:tcW w:w="5665" w:type="dxa"/>
            <w:vMerge/>
            <w:shd w:val="clear" w:color="auto" w:fill="9CC2E5"/>
            <w:noWrap/>
            <w:hideMark/>
          </w:tcPr>
          <w:p w:rsidR="00BF4753" w:rsidRPr="00182E2D" w:rsidRDefault="00BF4753" w:rsidP="002D7CA8">
            <w:pPr>
              <w:ind w:firstLine="0"/>
              <w:jc w:val="left"/>
              <w:rPr>
                <w:rFonts w:eastAsia="Times New Roman"/>
                <w:b/>
                <w:bCs/>
                <w:color w:val="000000"/>
                <w:sz w:val="20"/>
                <w:szCs w:val="24"/>
              </w:rPr>
            </w:pPr>
          </w:p>
        </w:tc>
        <w:tc>
          <w:tcPr>
            <w:tcW w:w="1134" w:type="dxa"/>
            <w:shd w:val="clear" w:color="auto" w:fill="9CC2E5"/>
            <w:noWrap/>
            <w:hideMark/>
          </w:tcPr>
          <w:p w:rsidR="00BF4753" w:rsidRPr="00182E2D" w:rsidRDefault="00BF4753" w:rsidP="002D7CA8">
            <w:pPr>
              <w:ind w:firstLine="0"/>
              <w:jc w:val="center"/>
              <w:rPr>
                <w:rFonts w:eastAsia="Times New Roman"/>
                <w:b/>
                <w:bCs/>
                <w:sz w:val="18"/>
                <w:szCs w:val="24"/>
              </w:rPr>
            </w:pPr>
            <w:r w:rsidRPr="00182E2D">
              <w:rPr>
                <w:rFonts w:eastAsia="Times New Roman"/>
                <w:b/>
                <w:bCs/>
                <w:sz w:val="18"/>
                <w:szCs w:val="24"/>
              </w:rPr>
              <w:t>01.03.2019.</w:t>
            </w:r>
          </w:p>
        </w:tc>
        <w:tc>
          <w:tcPr>
            <w:tcW w:w="1134" w:type="dxa"/>
            <w:shd w:val="clear" w:color="auto" w:fill="9CC2E5"/>
          </w:tcPr>
          <w:p w:rsidR="00BF4753" w:rsidRPr="00182E2D" w:rsidRDefault="00BF4753" w:rsidP="002D7CA8">
            <w:pPr>
              <w:ind w:firstLine="0"/>
              <w:jc w:val="center"/>
              <w:rPr>
                <w:rFonts w:eastAsia="Times New Roman"/>
                <w:b/>
                <w:bCs/>
                <w:sz w:val="18"/>
                <w:szCs w:val="24"/>
              </w:rPr>
            </w:pPr>
            <w:r w:rsidRPr="00182E2D">
              <w:rPr>
                <w:rFonts w:eastAsia="Times New Roman"/>
                <w:b/>
                <w:bCs/>
                <w:color w:val="000000"/>
                <w:sz w:val="18"/>
                <w:szCs w:val="24"/>
              </w:rPr>
              <w:t>01.03.2020.</w:t>
            </w:r>
          </w:p>
        </w:tc>
        <w:tc>
          <w:tcPr>
            <w:tcW w:w="1103" w:type="dxa"/>
            <w:shd w:val="clear" w:color="auto" w:fill="9CC2E5"/>
          </w:tcPr>
          <w:p w:rsidR="00BF4753" w:rsidRPr="00182E2D" w:rsidRDefault="00BF4753" w:rsidP="002D7CA8">
            <w:pPr>
              <w:ind w:firstLine="0"/>
              <w:jc w:val="center"/>
              <w:rPr>
                <w:rFonts w:eastAsia="Times New Roman"/>
                <w:b/>
                <w:bCs/>
                <w:color w:val="000000"/>
                <w:sz w:val="18"/>
                <w:szCs w:val="24"/>
              </w:rPr>
            </w:pPr>
            <w:r w:rsidRPr="00182E2D">
              <w:rPr>
                <w:rFonts w:eastAsia="Times New Roman"/>
                <w:b/>
                <w:bCs/>
                <w:color w:val="000000"/>
                <w:sz w:val="18"/>
                <w:szCs w:val="24"/>
              </w:rPr>
              <w:t>01.03.2021.</w:t>
            </w:r>
          </w:p>
        </w:tc>
      </w:tr>
      <w:tr w:rsidR="00BF4753" w:rsidRPr="00182E2D" w:rsidTr="002D7CA8">
        <w:trPr>
          <w:trHeight w:val="401"/>
        </w:trPr>
        <w:tc>
          <w:tcPr>
            <w:tcW w:w="5665" w:type="dxa"/>
            <w:hideMark/>
          </w:tcPr>
          <w:p w:rsidR="00BF4753" w:rsidRPr="00182E2D" w:rsidRDefault="00BF4753" w:rsidP="002D7CA8">
            <w:pPr>
              <w:ind w:firstLine="0"/>
              <w:jc w:val="left"/>
              <w:rPr>
                <w:rFonts w:eastAsia="Times New Roman"/>
                <w:color w:val="000000"/>
                <w:sz w:val="20"/>
                <w:szCs w:val="24"/>
              </w:rPr>
            </w:pPr>
            <w:r w:rsidRPr="00182E2D">
              <w:rPr>
                <w:rFonts w:eastAsia="Times New Roman"/>
                <w:color w:val="000000"/>
                <w:sz w:val="20"/>
                <w:szCs w:val="24"/>
              </w:rPr>
              <w:t xml:space="preserve">Vīns, raudzētie dzērieni ar absolūtā spirta saturu virs 6 tilpumprocentiem un starpprodukti ar absolūtā spirta saturu līdz 15 tilpumprocentiem, </w:t>
            </w:r>
            <w:r w:rsidRPr="00182E2D">
              <w:rPr>
                <w:rFonts w:eastAsia="Times New Roman"/>
                <w:i/>
                <w:color w:val="000000"/>
                <w:sz w:val="20"/>
                <w:szCs w:val="24"/>
              </w:rPr>
              <w:t>euro</w:t>
            </w:r>
            <w:r w:rsidRPr="00182E2D">
              <w:rPr>
                <w:rFonts w:eastAsia="Times New Roman"/>
                <w:color w:val="000000"/>
                <w:sz w:val="20"/>
                <w:szCs w:val="24"/>
              </w:rPr>
              <w:t xml:space="preserve"> par 100 litriem</w:t>
            </w:r>
          </w:p>
        </w:tc>
        <w:tc>
          <w:tcPr>
            <w:tcW w:w="1134" w:type="dxa"/>
            <w:noWrap/>
            <w:hideMark/>
          </w:tcPr>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101,0</w:t>
            </w:r>
          </w:p>
        </w:tc>
        <w:tc>
          <w:tcPr>
            <w:tcW w:w="1134" w:type="dxa"/>
          </w:tcPr>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106,0</w:t>
            </w:r>
          </w:p>
        </w:tc>
        <w:tc>
          <w:tcPr>
            <w:tcW w:w="1103" w:type="dxa"/>
          </w:tcPr>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111,0</w:t>
            </w:r>
          </w:p>
        </w:tc>
      </w:tr>
      <w:tr w:rsidR="00BF4753" w:rsidRPr="00182E2D" w:rsidTr="002D7CA8">
        <w:trPr>
          <w:trHeight w:val="267"/>
        </w:trPr>
        <w:tc>
          <w:tcPr>
            <w:tcW w:w="5665" w:type="dxa"/>
            <w:hideMark/>
          </w:tcPr>
          <w:p w:rsidR="00BF4753" w:rsidRPr="00182E2D" w:rsidRDefault="00BF4753" w:rsidP="002D7CA8">
            <w:pPr>
              <w:ind w:firstLine="0"/>
              <w:jc w:val="left"/>
              <w:rPr>
                <w:rFonts w:eastAsia="Times New Roman"/>
                <w:color w:val="000000"/>
                <w:sz w:val="20"/>
                <w:szCs w:val="24"/>
              </w:rPr>
            </w:pPr>
            <w:r w:rsidRPr="00182E2D">
              <w:rPr>
                <w:rFonts w:eastAsia="Times New Roman"/>
                <w:color w:val="000000"/>
                <w:sz w:val="20"/>
                <w:szCs w:val="24"/>
              </w:rPr>
              <w:t xml:space="preserve">Raudzētie dzērieni ar absolūtā spirta saturu līdz 6 tilpumprocentiem, </w:t>
            </w:r>
            <w:r w:rsidRPr="00182E2D">
              <w:rPr>
                <w:rFonts w:eastAsia="Times New Roman"/>
                <w:i/>
                <w:color w:val="000000"/>
                <w:sz w:val="20"/>
                <w:szCs w:val="24"/>
              </w:rPr>
              <w:t>euro</w:t>
            </w:r>
            <w:r w:rsidRPr="00182E2D">
              <w:rPr>
                <w:rFonts w:eastAsia="Times New Roman"/>
                <w:color w:val="000000"/>
                <w:sz w:val="20"/>
                <w:szCs w:val="24"/>
              </w:rPr>
              <w:t xml:space="preserve"> par 100 litriem</w:t>
            </w:r>
          </w:p>
        </w:tc>
        <w:tc>
          <w:tcPr>
            <w:tcW w:w="1134" w:type="dxa"/>
            <w:noWrap/>
            <w:hideMark/>
          </w:tcPr>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64,0</w:t>
            </w:r>
          </w:p>
        </w:tc>
        <w:tc>
          <w:tcPr>
            <w:tcW w:w="1134" w:type="dxa"/>
          </w:tcPr>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64,0</w:t>
            </w:r>
          </w:p>
        </w:tc>
        <w:tc>
          <w:tcPr>
            <w:tcW w:w="1103" w:type="dxa"/>
          </w:tcPr>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64,0</w:t>
            </w:r>
          </w:p>
        </w:tc>
      </w:tr>
      <w:tr w:rsidR="00BF4753" w:rsidRPr="00182E2D" w:rsidTr="002D7CA8">
        <w:trPr>
          <w:trHeight w:val="267"/>
        </w:trPr>
        <w:tc>
          <w:tcPr>
            <w:tcW w:w="5665" w:type="dxa"/>
            <w:hideMark/>
          </w:tcPr>
          <w:p w:rsidR="00BF4753" w:rsidRPr="00182E2D" w:rsidRDefault="00BF4753" w:rsidP="002D7CA8">
            <w:pPr>
              <w:ind w:firstLine="0"/>
              <w:jc w:val="left"/>
              <w:rPr>
                <w:rFonts w:eastAsia="Times New Roman"/>
                <w:color w:val="000000"/>
                <w:sz w:val="20"/>
                <w:szCs w:val="24"/>
              </w:rPr>
            </w:pPr>
            <w:r w:rsidRPr="00182E2D">
              <w:rPr>
                <w:rFonts w:eastAsia="Times New Roman"/>
                <w:color w:val="000000"/>
                <w:sz w:val="20"/>
                <w:szCs w:val="24"/>
              </w:rPr>
              <w:t xml:space="preserve">Starpprodukti ar absolūtā spirta saturu no 15 tilpumprocentiem līdz 22 tilpumprocentiem, </w:t>
            </w:r>
            <w:r w:rsidRPr="00182E2D">
              <w:rPr>
                <w:rFonts w:eastAsia="Times New Roman"/>
                <w:i/>
                <w:color w:val="000000"/>
                <w:sz w:val="20"/>
                <w:szCs w:val="24"/>
              </w:rPr>
              <w:t>euro</w:t>
            </w:r>
            <w:r w:rsidRPr="00182E2D">
              <w:rPr>
                <w:rFonts w:eastAsia="Times New Roman"/>
                <w:color w:val="000000"/>
                <w:sz w:val="20"/>
                <w:szCs w:val="24"/>
              </w:rPr>
              <w:t xml:space="preserve"> par 100 litriem</w:t>
            </w:r>
          </w:p>
        </w:tc>
        <w:tc>
          <w:tcPr>
            <w:tcW w:w="1134" w:type="dxa"/>
            <w:noWrap/>
            <w:hideMark/>
          </w:tcPr>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168,0</w:t>
            </w:r>
          </w:p>
        </w:tc>
        <w:tc>
          <w:tcPr>
            <w:tcW w:w="1134" w:type="dxa"/>
          </w:tcPr>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176,0</w:t>
            </w:r>
          </w:p>
        </w:tc>
        <w:tc>
          <w:tcPr>
            <w:tcW w:w="1103" w:type="dxa"/>
          </w:tcPr>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185,0</w:t>
            </w:r>
          </w:p>
        </w:tc>
      </w:tr>
      <w:tr w:rsidR="00BF4753" w:rsidRPr="00182E2D" w:rsidTr="002D7CA8">
        <w:trPr>
          <w:trHeight w:val="133"/>
        </w:trPr>
        <w:tc>
          <w:tcPr>
            <w:tcW w:w="5665" w:type="dxa"/>
            <w:hideMark/>
          </w:tcPr>
          <w:p w:rsidR="00BF4753" w:rsidRPr="00182E2D" w:rsidRDefault="00BF4753" w:rsidP="002D7CA8">
            <w:pPr>
              <w:ind w:firstLine="0"/>
              <w:jc w:val="left"/>
              <w:rPr>
                <w:rFonts w:eastAsia="Times New Roman"/>
                <w:color w:val="000000"/>
                <w:sz w:val="20"/>
                <w:szCs w:val="24"/>
              </w:rPr>
            </w:pPr>
            <w:r w:rsidRPr="00182E2D">
              <w:rPr>
                <w:rFonts w:eastAsia="Times New Roman"/>
                <w:color w:val="000000"/>
                <w:sz w:val="20"/>
                <w:szCs w:val="24"/>
              </w:rPr>
              <w:t xml:space="preserve">Pārējie alkoholiskie dzērieni, </w:t>
            </w:r>
            <w:r w:rsidRPr="00182E2D">
              <w:rPr>
                <w:rFonts w:eastAsia="Times New Roman"/>
                <w:i/>
                <w:color w:val="000000"/>
                <w:sz w:val="20"/>
                <w:szCs w:val="24"/>
              </w:rPr>
              <w:t>euro</w:t>
            </w:r>
            <w:r w:rsidRPr="00182E2D">
              <w:rPr>
                <w:rFonts w:eastAsia="Times New Roman"/>
                <w:color w:val="000000"/>
                <w:sz w:val="20"/>
                <w:szCs w:val="24"/>
              </w:rPr>
              <w:t xml:space="preserve"> par 100 litriem absolūta spirta</w:t>
            </w:r>
          </w:p>
        </w:tc>
        <w:tc>
          <w:tcPr>
            <w:tcW w:w="1134" w:type="dxa"/>
            <w:noWrap/>
            <w:hideMark/>
          </w:tcPr>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1 840,0/</w:t>
            </w:r>
          </w:p>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1 564,0*</w:t>
            </w:r>
          </w:p>
        </w:tc>
        <w:tc>
          <w:tcPr>
            <w:tcW w:w="1134" w:type="dxa"/>
          </w:tcPr>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1 642,0</w:t>
            </w:r>
          </w:p>
        </w:tc>
        <w:tc>
          <w:tcPr>
            <w:tcW w:w="1103" w:type="dxa"/>
          </w:tcPr>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1 724,0</w:t>
            </w:r>
          </w:p>
        </w:tc>
      </w:tr>
      <w:tr w:rsidR="00BF4753" w:rsidRPr="00182E2D" w:rsidTr="002D7CA8">
        <w:trPr>
          <w:trHeight w:val="133"/>
        </w:trPr>
        <w:tc>
          <w:tcPr>
            <w:tcW w:w="5665" w:type="dxa"/>
            <w:hideMark/>
          </w:tcPr>
          <w:p w:rsidR="00BF4753" w:rsidRPr="00182E2D" w:rsidRDefault="00BF4753" w:rsidP="002D7CA8">
            <w:pPr>
              <w:ind w:firstLine="0"/>
              <w:jc w:val="left"/>
              <w:rPr>
                <w:rFonts w:eastAsia="Times New Roman"/>
                <w:color w:val="000000"/>
                <w:sz w:val="20"/>
                <w:szCs w:val="24"/>
              </w:rPr>
            </w:pPr>
            <w:r w:rsidRPr="00182E2D">
              <w:rPr>
                <w:rFonts w:eastAsia="Times New Roman"/>
                <w:color w:val="000000"/>
                <w:sz w:val="20"/>
                <w:szCs w:val="24"/>
              </w:rPr>
              <w:t xml:space="preserve">Alus,  </w:t>
            </w:r>
            <w:r w:rsidRPr="00182E2D">
              <w:rPr>
                <w:rFonts w:eastAsia="Times New Roman"/>
                <w:i/>
                <w:color w:val="000000"/>
                <w:sz w:val="20"/>
                <w:szCs w:val="24"/>
              </w:rPr>
              <w:t>euro</w:t>
            </w:r>
            <w:r w:rsidRPr="00182E2D">
              <w:rPr>
                <w:rFonts w:eastAsia="Times New Roman"/>
                <w:color w:val="000000"/>
                <w:sz w:val="20"/>
                <w:szCs w:val="24"/>
              </w:rPr>
              <w:t xml:space="preserve"> par katru absolūtā spirta tilpumprocentu par 100 litriem</w:t>
            </w:r>
          </w:p>
        </w:tc>
        <w:tc>
          <w:tcPr>
            <w:tcW w:w="1134" w:type="dxa"/>
            <w:noWrap/>
          </w:tcPr>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7,4</w:t>
            </w:r>
          </w:p>
        </w:tc>
        <w:tc>
          <w:tcPr>
            <w:tcW w:w="1134" w:type="dxa"/>
          </w:tcPr>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7,8</w:t>
            </w:r>
          </w:p>
        </w:tc>
        <w:tc>
          <w:tcPr>
            <w:tcW w:w="1103" w:type="dxa"/>
          </w:tcPr>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8,2</w:t>
            </w:r>
          </w:p>
        </w:tc>
      </w:tr>
      <w:tr w:rsidR="00BF4753" w:rsidRPr="00182E2D" w:rsidTr="002D7CA8">
        <w:trPr>
          <w:trHeight w:val="133"/>
        </w:trPr>
        <w:tc>
          <w:tcPr>
            <w:tcW w:w="5665" w:type="dxa"/>
            <w:hideMark/>
          </w:tcPr>
          <w:p w:rsidR="00BF4753" w:rsidRPr="00182E2D" w:rsidRDefault="00BF4753" w:rsidP="002D7CA8">
            <w:pPr>
              <w:ind w:firstLine="0"/>
              <w:jc w:val="left"/>
              <w:rPr>
                <w:rFonts w:eastAsia="Times New Roman"/>
                <w:color w:val="000000"/>
                <w:sz w:val="20"/>
                <w:szCs w:val="24"/>
              </w:rPr>
            </w:pPr>
            <w:r w:rsidRPr="00182E2D">
              <w:rPr>
                <w:rFonts w:eastAsia="Times New Roman"/>
                <w:color w:val="000000"/>
                <w:sz w:val="20"/>
                <w:szCs w:val="24"/>
              </w:rPr>
              <w:t xml:space="preserve">Akcīzes nodokļa minimālais līmenis, </w:t>
            </w:r>
            <w:r w:rsidRPr="00182E2D">
              <w:rPr>
                <w:rFonts w:eastAsia="Times New Roman"/>
                <w:i/>
                <w:color w:val="000000"/>
                <w:sz w:val="20"/>
                <w:szCs w:val="24"/>
              </w:rPr>
              <w:t>euro</w:t>
            </w:r>
            <w:r w:rsidRPr="00182E2D">
              <w:rPr>
                <w:rFonts w:eastAsia="Times New Roman"/>
                <w:color w:val="000000"/>
                <w:sz w:val="20"/>
                <w:szCs w:val="24"/>
              </w:rPr>
              <w:t xml:space="preserve"> par 100 litriem alus</w:t>
            </w:r>
          </w:p>
        </w:tc>
        <w:tc>
          <w:tcPr>
            <w:tcW w:w="1134" w:type="dxa"/>
            <w:noWrap/>
          </w:tcPr>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13,6</w:t>
            </w:r>
          </w:p>
        </w:tc>
        <w:tc>
          <w:tcPr>
            <w:tcW w:w="1134" w:type="dxa"/>
          </w:tcPr>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14,4</w:t>
            </w:r>
          </w:p>
        </w:tc>
        <w:tc>
          <w:tcPr>
            <w:tcW w:w="1103" w:type="dxa"/>
          </w:tcPr>
          <w:p w:rsidR="00BF4753" w:rsidRPr="00182E2D" w:rsidRDefault="00BF4753" w:rsidP="002D7CA8">
            <w:pPr>
              <w:ind w:firstLine="0"/>
              <w:jc w:val="center"/>
              <w:rPr>
                <w:rFonts w:eastAsia="Times New Roman"/>
                <w:i/>
                <w:color w:val="000000"/>
                <w:sz w:val="20"/>
                <w:szCs w:val="24"/>
              </w:rPr>
            </w:pPr>
            <w:r w:rsidRPr="00182E2D">
              <w:rPr>
                <w:rFonts w:eastAsia="Times New Roman"/>
                <w:i/>
                <w:color w:val="000000"/>
                <w:sz w:val="20"/>
                <w:szCs w:val="24"/>
              </w:rPr>
              <w:t>15,2</w:t>
            </w:r>
          </w:p>
        </w:tc>
      </w:tr>
    </w:tbl>
    <w:p w:rsidR="00BF4753" w:rsidRPr="00182E2D" w:rsidRDefault="00BF4753" w:rsidP="00BF4753">
      <w:pPr>
        <w:ind w:firstLine="0"/>
        <w:rPr>
          <w:rFonts w:eastAsia="Times New Roman" w:cs="Times New Roman"/>
          <w:i/>
          <w:color w:val="000000"/>
          <w:sz w:val="24"/>
          <w:szCs w:val="24"/>
        </w:rPr>
      </w:pPr>
      <w:r w:rsidRPr="00182E2D">
        <w:rPr>
          <w:rFonts w:eastAsia="Times New Roman" w:cs="Times New Roman"/>
          <w:i/>
          <w:color w:val="000000"/>
          <w:sz w:val="20"/>
          <w:szCs w:val="24"/>
        </w:rPr>
        <w:t>*likme spēkā no 01.08.2019.</w:t>
      </w:r>
    </w:p>
    <w:p w:rsidR="00BF4753" w:rsidRPr="00182E2D" w:rsidRDefault="00BF4753" w:rsidP="00BF4753">
      <w:pPr>
        <w:ind w:firstLine="709"/>
        <w:rPr>
          <w:rFonts w:eastAsia="Times New Roman" w:cs="Times New Roman"/>
          <w:b/>
          <w:i/>
          <w:sz w:val="24"/>
          <w:szCs w:val="28"/>
          <w:highlight w:val="yellow"/>
          <w:u w:val="single"/>
          <w:lang w:eastAsia="lv-LV"/>
        </w:rPr>
      </w:pPr>
    </w:p>
    <w:p w:rsidR="00BF4753" w:rsidRPr="00FA0B89" w:rsidRDefault="00BF4753" w:rsidP="00BF4753">
      <w:pPr>
        <w:rPr>
          <w:rFonts w:eastAsia="Times New Roman" w:cs="Times New Roman"/>
          <w:szCs w:val="24"/>
        </w:rPr>
      </w:pPr>
      <w:r w:rsidRPr="00FA0B89">
        <w:rPr>
          <w:rFonts w:eastAsia="Times New Roman" w:cs="Times New Roman"/>
          <w:szCs w:val="24"/>
        </w:rPr>
        <w:t>Saskaņā ar 2020.</w:t>
      </w:r>
      <w:r>
        <w:rPr>
          <w:rFonts w:eastAsia="Times New Roman" w:cs="Times New Roman"/>
          <w:szCs w:val="24"/>
        </w:rPr>
        <w:t xml:space="preserve"> </w:t>
      </w:r>
      <w:r w:rsidRPr="00FA0B89">
        <w:rPr>
          <w:rFonts w:eastAsia="Times New Roman" w:cs="Times New Roman"/>
          <w:szCs w:val="24"/>
        </w:rPr>
        <w:t>gada 24.</w:t>
      </w:r>
      <w:r>
        <w:rPr>
          <w:rFonts w:eastAsia="Times New Roman" w:cs="Times New Roman"/>
          <w:szCs w:val="24"/>
        </w:rPr>
        <w:t xml:space="preserve"> </w:t>
      </w:r>
      <w:r w:rsidRPr="00FA0B89">
        <w:rPr>
          <w:rFonts w:eastAsia="Times New Roman" w:cs="Times New Roman"/>
          <w:szCs w:val="24"/>
        </w:rPr>
        <w:t>novembrī Saeimā pieņemtajiem grozījumiem likumā “Par akcīzes nodokli” paredzētas šādas akcīzes nodokļa izmaiņas tabakas izstrādājumiem un elektroniskajās cigaretēs izmantojamajiem šķidrumiem:</w:t>
      </w:r>
    </w:p>
    <w:p w:rsidR="00BF4753" w:rsidRPr="00FA0B89" w:rsidRDefault="00BF4753" w:rsidP="00BF4753">
      <w:pPr>
        <w:numPr>
          <w:ilvl w:val="0"/>
          <w:numId w:val="27"/>
        </w:numPr>
        <w:ind w:left="1134" w:hanging="283"/>
        <w:contextualSpacing/>
        <w:rPr>
          <w:rFonts w:eastAsia="Times New Roman" w:cs="Times New Roman"/>
          <w:szCs w:val="24"/>
        </w:rPr>
      </w:pPr>
      <w:r w:rsidRPr="00FA0B89">
        <w:rPr>
          <w:rFonts w:eastAsia="Times New Roman" w:cs="Times New Roman"/>
          <w:szCs w:val="24"/>
        </w:rPr>
        <w:t>ar 2021.</w:t>
      </w:r>
      <w:r>
        <w:rPr>
          <w:rFonts w:eastAsia="Times New Roman" w:cs="Times New Roman"/>
          <w:szCs w:val="24"/>
        </w:rPr>
        <w:t xml:space="preserve"> </w:t>
      </w:r>
      <w:r w:rsidRPr="00FA0B89">
        <w:rPr>
          <w:rFonts w:eastAsia="Times New Roman" w:cs="Times New Roman"/>
          <w:szCs w:val="24"/>
        </w:rPr>
        <w:t>gada 1.</w:t>
      </w:r>
      <w:r>
        <w:rPr>
          <w:rFonts w:eastAsia="Times New Roman" w:cs="Times New Roman"/>
          <w:szCs w:val="24"/>
        </w:rPr>
        <w:t xml:space="preserve"> </w:t>
      </w:r>
      <w:r w:rsidRPr="00FA0B89">
        <w:rPr>
          <w:rFonts w:eastAsia="Times New Roman" w:cs="Times New Roman"/>
          <w:szCs w:val="24"/>
        </w:rPr>
        <w:t>janvāri tika vienkāršota un paaugstināta akcīzes nodokļa likme elektroniskajās cigaretēs izmantojamajiem šķidrumiem, nosakot likmi 0,12 </w:t>
      </w:r>
      <w:r w:rsidRPr="00FA0B89">
        <w:rPr>
          <w:rFonts w:eastAsia="Times New Roman" w:cs="Times New Roman"/>
          <w:i/>
          <w:szCs w:val="24"/>
        </w:rPr>
        <w:t>euro</w:t>
      </w:r>
      <w:r w:rsidRPr="00FA0B89">
        <w:rPr>
          <w:rFonts w:eastAsia="Times New Roman" w:cs="Times New Roman"/>
          <w:szCs w:val="24"/>
        </w:rPr>
        <w:t xml:space="preserve"> par mililitru šķidruma neatkarīgi no nikotīna daudzuma, bet ar 2022.</w:t>
      </w:r>
      <w:r>
        <w:rPr>
          <w:rFonts w:eastAsia="Times New Roman" w:cs="Times New Roman"/>
          <w:szCs w:val="24"/>
        </w:rPr>
        <w:t xml:space="preserve"> </w:t>
      </w:r>
      <w:r w:rsidRPr="00FA0B89">
        <w:rPr>
          <w:rFonts w:eastAsia="Times New Roman" w:cs="Times New Roman"/>
          <w:szCs w:val="24"/>
        </w:rPr>
        <w:t>gada 1.</w:t>
      </w:r>
      <w:r>
        <w:rPr>
          <w:rFonts w:eastAsia="Times New Roman" w:cs="Times New Roman"/>
          <w:szCs w:val="24"/>
        </w:rPr>
        <w:t xml:space="preserve"> </w:t>
      </w:r>
      <w:r w:rsidRPr="00FA0B89">
        <w:rPr>
          <w:rFonts w:eastAsia="Times New Roman" w:cs="Times New Roman"/>
          <w:szCs w:val="24"/>
        </w:rPr>
        <w:t>janvāri paaugstinot to līdz 0,16 </w:t>
      </w:r>
      <w:r w:rsidRPr="00FA0B89">
        <w:rPr>
          <w:rFonts w:eastAsia="Times New Roman" w:cs="Times New Roman"/>
          <w:bCs/>
          <w:i/>
          <w:szCs w:val="24"/>
        </w:rPr>
        <w:t>euro</w:t>
      </w:r>
      <w:r w:rsidRPr="00FA0B89">
        <w:rPr>
          <w:rFonts w:eastAsia="Times New Roman" w:cs="Times New Roman"/>
          <w:szCs w:val="24"/>
        </w:rPr>
        <w:t xml:space="preserve"> un ar 2023.</w:t>
      </w:r>
      <w:r>
        <w:rPr>
          <w:rFonts w:eastAsia="Times New Roman" w:cs="Times New Roman"/>
          <w:szCs w:val="24"/>
        </w:rPr>
        <w:t xml:space="preserve"> </w:t>
      </w:r>
      <w:r w:rsidRPr="00FA0B89">
        <w:rPr>
          <w:rFonts w:eastAsia="Times New Roman" w:cs="Times New Roman"/>
          <w:szCs w:val="24"/>
        </w:rPr>
        <w:t>gada 1.</w:t>
      </w:r>
      <w:r>
        <w:rPr>
          <w:rFonts w:eastAsia="Times New Roman" w:cs="Times New Roman"/>
          <w:szCs w:val="24"/>
        </w:rPr>
        <w:t xml:space="preserve"> </w:t>
      </w:r>
      <w:r w:rsidRPr="00FA0B89">
        <w:rPr>
          <w:rFonts w:eastAsia="Times New Roman" w:cs="Times New Roman"/>
          <w:szCs w:val="24"/>
        </w:rPr>
        <w:t>janvāri – līdz 0,20 </w:t>
      </w:r>
      <w:r w:rsidRPr="00FA0B89">
        <w:rPr>
          <w:rFonts w:eastAsia="Times New Roman" w:cs="Times New Roman"/>
          <w:bCs/>
          <w:i/>
          <w:szCs w:val="24"/>
        </w:rPr>
        <w:t>euro</w:t>
      </w:r>
      <w:r w:rsidRPr="00FA0B89">
        <w:rPr>
          <w:rFonts w:eastAsia="Times New Roman" w:cs="Times New Roman"/>
          <w:szCs w:val="24"/>
        </w:rPr>
        <w:t xml:space="preserve"> par mililitru šķidruma. Akcīzes nodoklis ar 2021.</w:t>
      </w:r>
      <w:r>
        <w:rPr>
          <w:rFonts w:eastAsia="Times New Roman" w:cs="Times New Roman"/>
          <w:szCs w:val="24"/>
        </w:rPr>
        <w:t xml:space="preserve"> </w:t>
      </w:r>
      <w:r w:rsidRPr="00FA0B89">
        <w:rPr>
          <w:rFonts w:eastAsia="Times New Roman" w:cs="Times New Roman"/>
          <w:szCs w:val="24"/>
        </w:rPr>
        <w:t>gada 1.</w:t>
      </w:r>
      <w:r>
        <w:rPr>
          <w:rFonts w:eastAsia="Times New Roman" w:cs="Times New Roman"/>
          <w:szCs w:val="24"/>
        </w:rPr>
        <w:t xml:space="preserve"> </w:t>
      </w:r>
      <w:r w:rsidRPr="00FA0B89">
        <w:rPr>
          <w:rFonts w:eastAsia="Times New Roman" w:cs="Times New Roman"/>
          <w:szCs w:val="24"/>
        </w:rPr>
        <w:t xml:space="preserve">janvāri tiek piemērots arī elektroniskajās cigaretēs izmantojamo šķidrumu sastāvdaļām (propilenglikols, aromatizatori, augu </w:t>
      </w:r>
      <w:r w:rsidRPr="00FA0B89">
        <w:rPr>
          <w:rFonts w:eastAsia="Times New Roman" w:cs="Times New Roman"/>
          <w:szCs w:val="24"/>
        </w:rPr>
        <w:lastRenderedPageBreak/>
        <w:t>izcelsmes glicerīns un nikotīna ekstrakti), kuras plaši tiek piedāvātas Latvijas tirgū un kuras patērētāji iegādājas, lai sagatavotu elektroniskajās cigaretēs izmantojamo šķidrumu, tādējādi izvairoties no akcīzes nodokļa nomaksas;</w:t>
      </w:r>
    </w:p>
    <w:p w:rsidR="00BF4753" w:rsidRPr="00FA0B89" w:rsidRDefault="00BF4753" w:rsidP="00BF4753">
      <w:pPr>
        <w:numPr>
          <w:ilvl w:val="0"/>
          <w:numId w:val="28"/>
        </w:numPr>
        <w:ind w:left="1134" w:hanging="283"/>
        <w:contextualSpacing/>
        <w:rPr>
          <w:rFonts w:eastAsia="Times New Roman" w:cs="Times New Roman"/>
          <w:sz w:val="24"/>
          <w:szCs w:val="24"/>
        </w:rPr>
      </w:pPr>
      <w:r w:rsidRPr="00FA0B89">
        <w:rPr>
          <w:rFonts w:eastAsia="Times New Roman" w:cs="Times New Roman"/>
          <w:szCs w:val="20"/>
        </w:rPr>
        <w:t>ar 2021.</w:t>
      </w:r>
      <w:r>
        <w:rPr>
          <w:rFonts w:eastAsia="Times New Roman" w:cs="Times New Roman"/>
          <w:szCs w:val="20"/>
        </w:rPr>
        <w:t xml:space="preserve"> gada </w:t>
      </w:r>
      <w:r w:rsidRPr="00FA0B89">
        <w:rPr>
          <w:rFonts w:eastAsia="Times New Roman" w:cs="Times New Roman"/>
          <w:szCs w:val="20"/>
        </w:rPr>
        <w:t>1.</w:t>
      </w:r>
      <w:r>
        <w:rPr>
          <w:rFonts w:eastAsia="Times New Roman" w:cs="Times New Roman"/>
          <w:szCs w:val="20"/>
        </w:rPr>
        <w:t xml:space="preserve"> </w:t>
      </w:r>
      <w:r w:rsidRPr="00FA0B89">
        <w:rPr>
          <w:rFonts w:eastAsia="Times New Roman" w:cs="Times New Roman"/>
          <w:szCs w:val="20"/>
        </w:rPr>
        <w:t>janvāri tika paaugstinātas akcīzes nodokļa likmes cigāriem, cigarillām, smēķējamajai un karsējamajai tabakai, un tabakas lapām un to paaugstināšana paredzēta arī ar 2022. un 2023.</w:t>
      </w:r>
      <w:r>
        <w:rPr>
          <w:rFonts w:eastAsia="Times New Roman" w:cs="Times New Roman"/>
          <w:szCs w:val="20"/>
        </w:rPr>
        <w:t> </w:t>
      </w:r>
      <w:r w:rsidRPr="00FA0B89">
        <w:rPr>
          <w:rFonts w:eastAsia="Times New Roman" w:cs="Times New Roman"/>
          <w:szCs w:val="20"/>
        </w:rPr>
        <w:t>gada 1.</w:t>
      </w:r>
      <w:r>
        <w:rPr>
          <w:rFonts w:eastAsia="Times New Roman" w:cs="Times New Roman"/>
          <w:szCs w:val="20"/>
        </w:rPr>
        <w:t> </w:t>
      </w:r>
      <w:r w:rsidRPr="00FA0B89">
        <w:rPr>
          <w:rFonts w:eastAsia="Times New Roman" w:cs="Times New Roman"/>
          <w:szCs w:val="20"/>
        </w:rPr>
        <w:t>janvāri;</w:t>
      </w:r>
    </w:p>
    <w:p w:rsidR="00BF4753" w:rsidRPr="00FA0B89" w:rsidRDefault="00BF4753" w:rsidP="00BF4753">
      <w:pPr>
        <w:numPr>
          <w:ilvl w:val="0"/>
          <w:numId w:val="28"/>
        </w:numPr>
        <w:ind w:left="1134" w:hanging="283"/>
        <w:contextualSpacing/>
        <w:rPr>
          <w:rFonts w:eastAsia="Times New Roman" w:cs="Times New Roman"/>
          <w:sz w:val="24"/>
          <w:szCs w:val="24"/>
        </w:rPr>
      </w:pPr>
      <w:r w:rsidRPr="00FA0B89">
        <w:rPr>
          <w:rFonts w:eastAsia="Times New Roman" w:cs="Times New Roman"/>
          <w:szCs w:val="20"/>
        </w:rPr>
        <w:t>ar 2021.</w:t>
      </w:r>
      <w:r>
        <w:rPr>
          <w:rFonts w:eastAsia="Times New Roman" w:cs="Times New Roman"/>
          <w:szCs w:val="20"/>
        </w:rPr>
        <w:t> </w:t>
      </w:r>
      <w:r w:rsidRPr="00FA0B89">
        <w:rPr>
          <w:rFonts w:eastAsia="Times New Roman" w:cs="Times New Roman"/>
          <w:szCs w:val="20"/>
        </w:rPr>
        <w:t>gada 1.</w:t>
      </w:r>
      <w:r>
        <w:rPr>
          <w:rFonts w:eastAsia="Times New Roman" w:cs="Times New Roman"/>
          <w:szCs w:val="20"/>
        </w:rPr>
        <w:t> </w:t>
      </w:r>
      <w:r w:rsidRPr="00FA0B89">
        <w:rPr>
          <w:rFonts w:eastAsia="Times New Roman" w:cs="Times New Roman"/>
          <w:szCs w:val="20"/>
        </w:rPr>
        <w:t>janvāri akcīzes nodoklis tiek piemērots arī tabakas aizstājējproduktiem (piemēram, nikotīnu saturošiem spilventiņiem) un to paredzēts paaugstināt arī ar 2022. un 2023.</w:t>
      </w:r>
      <w:r>
        <w:rPr>
          <w:rFonts w:eastAsia="Times New Roman" w:cs="Times New Roman"/>
          <w:szCs w:val="20"/>
        </w:rPr>
        <w:t> </w:t>
      </w:r>
      <w:r w:rsidRPr="00FA0B89">
        <w:rPr>
          <w:rFonts w:eastAsia="Times New Roman" w:cs="Times New Roman"/>
          <w:szCs w:val="20"/>
        </w:rPr>
        <w:t>gada 1.</w:t>
      </w:r>
      <w:r>
        <w:rPr>
          <w:rFonts w:eastAsia="Times New Roman" w:cs="Times New Roman"/>
          <w:szCs w:val="20"/>
        </w:rPr>
        <w:t> </w:t>
      </w:r>
      <w:r w:rsidRPr="00FA0B89">
        <w:rPr>
          <w:rFonts w:eastAsia="Times New Roman" w:cs="Times New Roman"/>
          <w:szCs w:val="20"/>
        </w:rPr>
        <w:t>janvāri;</w:t>
      </w:r>
    </w:p>
    <w:p w:rsidR="00BF4753" w:rsidRPr="00FA0B89" w:rsidRDefault="00BF4753" w:rsidP="00BF4753">
      <w:pPr>
        <w:numPr>
          <w:ilvl w:val="0"/>
          <w:numId w:val="28"/>
        </w:numPr>
        <w:ind w:left="1134" w:hanging="283"/>
        <w:contextualSpacing/>
        <w:rPr>
          <w:rFonts w:eastAsia="Times New Roman" w:cs="Times New Roman"/>
          <w:sz w:val="24"/>
          <w:szCs w:val="24"/>
        </w:rPr>
      </w:pPr>
      <w:r w:rsidRPr="00FA0B89">
        <w:rPr>
          <w:rFonts w:eastAsia="Times New Roman" w:cs="Times New Roman"/>
          <w:szCs w:val="20"/>
        </w:rPr>
        <w:t>ar 2021.</w:t>
      </w:r>
      <w:r>
        <w:rPr>
          <w:rFonts w:eastAsia="Times New Roman" w:cs="Times New Roman"/>
          <w:szCs w:val="20"/>
        </w:rPr>
        <w:t> </w:t>
      </w:r>
      <w:r w:rsidRPr="00FA0B89">
        <w:rPr>
          <w:rFonts w:eastAsia="Times New Roman" w:cs="Times New Roman"/>
          <w:szCs w:val="20"/>
        </w:rPr>
        <w:t>gada 1.</w:t>
      </w:r>
      <w:r>
        <w:rPr>
          <w:rFonts w:eastAsia="Times New Roman" w:cs="Times New Roman"/>
          <w:szCs w:val="20"/>
        </w:rPr>
        <w:t xml:space="preserve"> </w:t>
      </w:r>
      <w:r w:rsidRPr="00FA0B89">
        <w:rPr>
          <w:rFonts w:eastAsia="Times New Roman" w:cs="Times New Roman"/>
          <w:szCs w:val="20"/>
        </w:rPr>
        <w:t>martu tika paaugstināta akcīzes nodokļa likme un minimālais līmenis cigaretēm, vienlaicīgi samazinot procentuālo nodokļa daļu no 20% uz 15%. Likmju paaugstinājums, nemainot procentuālo nodokļa daļu, paredzēts arī ar 2022. un 2023.</w:t>
      </w:r>
      <w:r>
        <w:rPr>
          <w:rFonts w:eastAsia="Times New Roman" w:cs="Times New Roman"/>
          <w:szCs w:val="20"/>
        </w:rPr>
        <w:t> </w:t>
      </w:r>
      <w:r w:rsidRPr="00FA0B89">
        <w:rPr>
          <w:rFonts w:eastAsia="Times New Roman" w:cs="Times New Roman"/>
          <w:szCs w:val="20"/>
        </w:rPr>
        <w:t>gada 1.</w:t>
      </w:r>
      <w:r>
        <w:rPr>
          <w:rFonts w:eastAsia="Times New Roman" w:cs="Times New Roman"/>
          <w:szCs w:val="20"/>
        </w:rPr>
        <w:t> </w:t>
      </w:r>
      <w:r w:rsidRPr="00FA0B89">
        <w:rPr>
          <w:rFonts w:eastAsia="Times New Roman" w:cs="Times New Roman"/>
          <w:szCs w:val="20"/>
        </w:rPr>
        <w:t>janvāri.</w:t>
      </w:r>
    </w:p>
    <w:p w:rsidR="00BF4753" w:rsidRPr="002F061C" w:rsidRDefault="00BF4753" w:rsidP="00BF4753">
      <w:pPr>
        <w:ind w:left="851" w:hanging="284"/>
        <w:rPr>
          <w:rFonts w:eastAsia="Times New Roman" w:cs="Times New Roman"/>
          <w:szCs w:val="24"/>
        </w:rPr>
      </w:pPr>
      <w:r w:rsidRPr="00FA0B89">
        <w:rPr>
          <w:rFonts w:eastAsia="Times New Roman" w:cs="Times New Roman"/>
          <w:szCs w:val="24"/>
        </w:rPr>
        <w:t>5.5.</w:t>
      </w:r>
      <w:r>
        <w:rPr>
          <w:rFonts w:eastAsia="Times New Roman" w:cs="Times New Roman"/>
          <w:szCs w:val="24"/>
        </w:rPr>
        <w:t xml:space="preserve"> </w:t>
      </w:r>
      <w:r w:rsidRPr="00FA0B89">
        <w:rPr>
          <w:rFonts w:eastAsia="Times New Roman" w:cs="Times New Roman"/>
          <w:szCs w:val="24"/>
        </w:rPr>
        <w:t>tabulā apkopotas akcīzes nodokļa</w:t>
      </w:r>
      <w:r>
        <w:rPr>
          <w:rFonts w:eastAsia="Times New Roman" w:cs="Times New Roman"/>
          <w:szCs w:val="24"/>
        </w:rPr>
        <w:t xml:space="preserve"> tabakas izstrādājumiem likmes.</w:t>
      </w:r>
    </w:p>
    <w:p w:rsidR="00BF4753" w:rsidRPr="00182E2D" w:rsidRDefault="00BF4753" w:rsidP="00BF4753">
      <w:pPr>
        <w:spacing w:before="120" w:after="120"/>
        <w:ind w:firstLine="0"/>
        <w:jc w:val="right"/>
        <w:rPr>
          <w:rFonts w:eastAsia="Times New Roman" w:cs="Times New Roman"/>
          <w:b/>
          <w:i/>
          <w:sz w:val="24"/>
          <w:szCs w:val="20"/>
        </w:rPr>
      </w:pPr>
      <w:r w:rsidRPr="00FA0B89">
        <w:rPr>
          <w:rFonts w:eastAsia="Times New Roman" w:cs="Times New Roman"/>
          <w:b/>
          <w:i/>
          <w:sz w:val="24"/>
          <w:szCs w:val="20"/>
        </w:rPr>
        <w:t>5.5.</w:t>
      </w:r>
      <w:r>
        <w:rPr>
          <w:rFonts w:eastAsia="Times New Roman" w:cs="Times New Roman"/>
          <w:b/>
          <w:i/>
          <w:sz w:val="24"/>
          <w:szCs w:val="20"/>
        </w:rPr>
        <w:t xml:space="preserve"> </w:t>
      </w:r>
      <w:r w:rsidRPr="00FA0B89">
        <w:rPr>
          <w:rFonts w:eastAsia="Times New Roman" w:cs="Times New Roman"/>
          <w:b/>
          <w:i/>
          <w:sz w:val="24"/>
          <w:szCs w:val="20"/>
        </w:rPr>
        <w:t>tabula</w:t>
      </w:r>
      <w:r w:rsidRPr="00182E2D">
        <w:rPr>
          <w:rFonts w:eastAsia="Times New Roman" w:cs="Times New Roman"/>
          <w:b/>
          <w:i/>
          <w:sz w:val="24"/>
          <w:szCs w:val="20"/>
        </w:rPr>
        <w:t>.</w:t>
      </w:r>
      <w:r w:rsidRPr="00182E2D">
        <w:rPr>
          <w:rFonts w:eastAsia="Times New Roman" w:cs="Times New Roman"/>
          <w:i/>
          <w:sz w:val="24"/>
          <w:szCs w:val="20"/>
        </w:rPr>
        <w:t xml:space="preserve"> </w:t>
      </w:r>
      <w:r w:rsidRPr="00182E2D">
        <w:rPr>
          <w:rFonts w:eastAsia="Times New Roman" w:cs="Times New Roman"/>
          <w:b/>
          <w:i/>
          <w:sz w:val="24"/>
          <w:szCs w:val="20"/>
        </w:rPr>
        <w:t>Akcīzes nodokļa likm</w:t>
      </w:r>
      <w:r>
        <w:rPr>
          <w:rFonts w:eastAsia="Times New Roman" w:cs="Times New Roman"/>
          <w:b/>
          <w:i/>
          <w:sz w:val="24"/>
          <w:szCs w:val="20"/>
        </w:rPr>
        <w:t>es tabakas izstrādājumiem 2020.-</w:t>
      </w:r>
      <w:r w:rsidRPr="00182E2D">
        <w:rPr>
          <w:rFonts w:eastAsia="Times New Roman" w:cs="Times New Roman"/>
          <w:b/>
          <w:i/>
          <w:sz w:val="24"/>
          <w:szCs w:val="20"/>
        </w:rPr>
        <w:t>2023.</w:t>
      </w:r>
      <w:r>
        <w:rPr>
          <w:rFonts w:eastAsia="Times New Roman" w:cs="Times New Roman"/>
          <w:b/>
          <w:i/>
          <w:sz w:val="24"/>
          <w:szCs w:val="20"/>
        </w:rPr>
        <w:t xml:space="preserve"> </w:t>
      </w:r>
      <w:r w:rsidRPr="00182E2D">
        <w:rPr>
          <w:rFonts w:eastAsia="Times New Roman" w:cs="Times New Roman"/>
          <w:b/>
          <w:i/>
          <w:sz w:val="24"/>
          <w:szCs w:val="20"/>
        </w:rPr>
        <w:t>gadā</w:t>
      </w:r>
    </w:p>
    <w:tbl>
      <w:tblPr>
        <w:tblW w:w="7933" w:type="dxa"/>
        <w:jc w:val="center"/>
        <w:tblLook w:val="04A0" w:firstRow="1" w:lastRow="0" w:firstColumn="1" w:lastColumn="0" w:noHBand="0" w:noVBand="1"/>
      </w:tblPr>
      <w:tblGrid>
        <w:gridCol w:w="3239"/>
        <w:gridCol w:w="1166"/>
        <w:gridCol w:w="1166"/>
        <w:gridCol w:w="1166"/>
        <w:gridCol w:w="1196"/>
      </w:tblGrid>
      <w:tr w:rsidR="00BF4753" w:rsidRPr="00182E2D" w:rsidTr="002D7CA8">
        <w:trPr>
          <w:trHeight w:val="221"/>
          <w:tblHeader/>
          <w:jc w:val="center"/>
        </w:trPr>
        <w:tc>
          <w:tcPr>
            <w:tcW w:w="3239" w:type="dxa"/>
            <w:tcBorders>
              <w:top w:val="single" w:sz="4" w:space="0" w:color="auto"/>
              <w:left w:val="single" w:sz="4" w:space="0" w:color="auto"/>
              <w:bottom w:val="single" w:sz="4" w:space="0" w:color="auto"/>
              <w:right w:val="single" w:sz="4" w:space="0" w:color="auto"/>
            </w:tcBorders>
            <w:shd w:val="clear" w:color="auto" w:fill="9CC2E5"/>
            <w:noWrap/>
            <w:vAlign w:val="center"/>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b/>
                <w:bCs/>
                <w:color w:val="000000"/>
                <w:sz w:val="20"/>
                <w:szCs w:val="20"/>
                <w:lang w:eastAsia="lv-LV"/>
              </w:rPr>
              <w:t>Tabakas izstrādājuma veids</w:t>
            </w:r>
          </w:p>
        </w:tc>
        <w:tc>
          <w:tcPr>
            <w:tcW w:w="1166" w:type="dxa"/>
            <w:tcBorders>
              <w:top w:val="single" w:sz="4" w:space="0" w:color="auto"/>
              <w:left w:val="nil"/>
              <w:bottom w:val="single" w:sz="4" w:space="0" w:color="auto"/>
              <w:right w:val="single" w:sz="4" w:space="0" w:color="auto"/>
            </w:tcBorders>
            <w:shd w:val="clear" w:color="auto" w:fill="9CC2E5"/>
            <w:noWrap/>
            <w:vAlign w:val="bottom"/>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b/>
                <w:color w:val="000000"/>
                <w:sz w:val="20"/>
                <w:szCs w:val="20"/>
                <w:lang w:eastAsia="lv-LV"/>
              </w:rPr>
              <w:t>2020</w:t>
            </w:r>
          </w:p>
        </w:tc>
        <w:tc>
          <w:tcPr>
            <w:tcW w:w="3528" w:type="dxa"/>
            <w:gridSpan w:val="3"/>
            <w:tcBorders>
              <w:top w:val="single" w:sz="4" w:space="0" w:color="auto"/>
              <w:left w:val="nil"/>
              <w:bottom w:val="single" w:sz="4" w:space="0" w:color="auto"/>
              <w:right w:val="single" w:sz="4" w:space="0" w:color="auto"/>
            </w:tcBorders>
            <w:shd w:val="clear" w:color="auto" w:fill="9CC2E5"/>
            <w:noWrap/>
            <w:vAlign w:val="center"/>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b/>
                <w:color w:val="000000"/>
                <w:sz w:val="20"/>
                <w:szCs w:val="20"/>
                <w:lang w:eastAsia="lv-LV"/>
              </w:rPr>
              <w:t>Likmes spēkā stāšanās datums</w:t>
            </w:r>
          </w:p>
        </w:tc>
      </w:tr>
      <w:tr w:rsidR="00BF4753" w:rsidRPr="00182E2D" w:rsidTr="002D7CA8">
        <w:trPr>
          <w:trHeight w:val="221"/>
          <w:jc w:val="center"/>
        </w:trPr>
        <w:tc>
          <w:tcPr>
            <w:tcW w:w="3239"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b/>
                <w:bCs/>
                <w:color w:val="000000"/>
                <w:sz w:val="20"/>
                <w:szCs w:val="20"/>
                <w:lang w:eastAsia="lv-LV"/>
              </w:rPr>
              <w:t>Cigaretes</w:t>
            </w:r>
          </w:p>
        </w:tc>
        <w:tc>
          <w:tcPr>
            <w:tcW w:w="1166" w:type="dxa"/>
            <w:tcBorders>
              <w:top w:val="single" w:sz="4" w:space="0" w:color="auto"/>
              <w:left w:val="nil"/>
              <w:bottom w:val="single" w:sz="4" w:space="0" w:color="auto"/>
              <w:right w:val="single" w:sz="4" w:space="0" w:color="auto"/>
            </w:tcBorders>
            <w:shd w:val="clear" w:color="auto" w:fill="DEEAF6"/>
            <w:noWrap/>
            <w:vAlign w:val="bottom"/>
            <w:hideMark/>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01.07.2019.</w:t>
            </w:r>
          </w:p>
        </w:tc>
        <w:tc>
          <w:tcPr>
            <w:tcW w:w="1166" w:type="dxa"/>
            <w:tcBorders>
              <w:top w:val="single" w:sz="4" w:space="0" w:color="auto"/>
              <w:left w:val="nil"/>
              <w:bottom w:val="single" w:sz="4" w:space="0" w:color="auto"/>
              <w:right w:val="single" w:sz="4" w:space="0" w:color="auto"/>
            </w:tcBorders>
            <w:shd w:val="clear" w:color="auto" w:fill="DEEAF6"/>
            <w:noWrap/>
            <w:vAlign w:val="bottom"/>
            <w:hideMark/>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01.03.2021.</w:t>
            </w:r>
          </w:p>
        </w:tc>
        <w:tc>
          <w:tcPr>
            <w:tcW w:w="1166" w:type="dxa"/>
            <w:tcBorders>
              <w:top w:val="single" w:sz="4" w:space="0" w:color="auto"/>
              <w:left w:val="nil"/>
              <w:bottom w:val="single" w:sz="4" w:space="0" w:color="auto"/>
              <w:right w:val="single" w:sz="4" w:space="0" w:color="auto"/>
            </w:tcBorders>
            <w:shd w:val="clear" w:color="auto" w:fill="DEEAF6"/>
            <w:noWrap/>
            <w:vAlign w:val="bottom"/>
            <w:hideMark/>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01.01.2022.</w:t>
            </w:r>
          </w:p>
        </w:tc>
        <w:tc>
          <w:tcPr>
            <w:tcW w:w="1196" w:type="dxa"/>
            <w:tcBorders>
              <w:top w:val="single" w:sz="4" w:space="0" w:color="auto"/>
              <w:left w:val="nil"/>
              <w:bottom w:val="single" w:sz="4" w:space="0" w:color="auto"/>
              <w:right w:val="single" w:sz="4" w:space="0" w:color="auto"/>
            </w:tcBorders>
            <w:shd w:val="clear" w:color="auto" w:fill="DEEAF6"/>
            <w:noWrap/>
            <w:vAlign w:val="bottom"/>
            <w:hideMark/>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01.01.2023.</w:t>
            </w:r>
          </w:p>
        </w:tc>
      </w:tr>
      <w:tr w:rsidR="00BF4753" w:rsidRPr="00182E2D" w:rsidTr="002D7CA8">
        <w:trPr>
          <w:trHeight w:val="221"/>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 xml:space="preserve">Nodokļa likme par </w:t>
            </w:r>
          </w:p>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 xml:space="preserve">1 000 cigaretēm., </w:t>
            </w:r>
            <w:r w:rsidRPr="00182E2D">
              <w:rPr>
                <w:rFonts w:eastAsia="Times New Roman" w:cs="Times New Roman"/>
                <w:i/>
                <w:color w:val="000000"/>
                <w:sz w:val="20"/>
                <w:szCs w:val="20"/>
                <w:lang w:eastAsia="lv-LV"/>
              </w:rPr>
              <w:t>euro</w:t>
            </w:r>
          </w:p>
        </w:tc>
        <w:tc>
          <w:tcPr>
            <w:tcW w:w="116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78,70</w:t>
            </w:r>
          </w:p>
        </w:tc>
        <w:tc>
          <w:tcPr>
            <w:tcW w:w="116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92,50</w:t>
            </w:r>
          </w:p>
        </w:tc>
        <w:tc>
          <w:tcPr>
            <w:tcW w:w="116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98,00</w:t>
            </w:r>
          </w:p>
        </w:tc>
        <w:tc>
          <w:tcPr>
            <w:tcW w:w="119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104,00</w:t>
            </w:r>
          </w:p>
        </w:tc>
      </w:tr>
      <w:tr w:rsidR="00BF4753" w:rsidRPr="00182E2D" w:rsidTr="002D7CA8">
        <w:trPr>
          <w:trHeight w:val="221"/>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 xml:space="preserve">Nodokļa minimālais līmenis par 1000 cigaretēm, </w:t>
            </w:r>
            <w:r w:rsidRPr="00182E2D">
              <w:rPr>
                <w:rFonts w:eastAsia="Times New Roman" w:cs="Times New Roman"/>
                <w:bCs/>
                <w:i/>
                <w:color w:val="000000"/>
                <w:sz w:val="20"/>
                <w:szCs w:val="20"/>
                <w:lang w:eastAsia="lv-LV"/>
              </w:rPr>
              <w:t>euro</w:t>
            </w:r>
            <w:r w:rsidRPr="00182E2D">
              <w:rPr>
                <w:rFonts w:eastAsia="Times New Roman" w:cs="Times New Roman"/>
                <w:color w:val="000000"/>
                <w:sz w:val="20"/>
                <w:szCs w:val="20"/>
                <w:lang w:eastAsia="lv-LV"/>
              </w:rPr>
              <w:t xml:space="preserve"> </w:t>
            </w:r>
          </w:p>
        </w:tc>
        <w:tc>
          <w:tcPr>
            <w:tcW w:w="116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114,70</w:t>
            </w:r>
          </w:p>
        </w:tc>
        <w:tc>
          <w:tcPr>
            <w:tcW w:w="116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121,40</w:t>
            </w:r>
          </w:p>
        </w:tc>
        <w:tc>
          <w:tcPr>
            <w:tcW w:w="116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128,40</w:t>
            </w:r>
          </w:p>
        </w:tc>
        <w:tc>
          <w:tcPr>
            <w:tcW w:w="119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135,90</w:t>
            </w:r>
          </w:p>
        </w:tc>
      </w:tr>
      <w:tr w:rsidR="00BF4753" w:rsidRPr="00182E2D" w:rsidTr="002D7CA8">
        <w:trPr>
          <w:trHeight w:val="221"/>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Ad valorem, %</w:t>
            </w:r>
          </w:p>
        </w:tc>
        <w:tc>
          <w:tcPr>
            <w:tcW w:w="116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20,0%</w:t>
            </w:r>
          </w:p>
        </w:tc>
        <w:tc>
          <w:tcPr>
            <w:tcW w:w="116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15,0%</w:t>
            </w:r>
          </w:p>
        </w:tc>
        <w:tc>
          <w:tcPr>
            <w:tcW w:w="116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15,0%</w:t>
            </w:r>
          </w:p>
        </w:tc>
        <w:tc>
          <w:tcPr>
            <w:tcW w:w="119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15,0%</w:t>
            </w:r>
          </w:p>
        </w:tc>
      </w:tr>
      <w:tr w:rsidR="00BF4753" w:rsidRPr="00182E2D" w:rsidTr="002D7CA8">
        <w:trPr>
          <w:trHeight w:val="221"/>
          <w:jc w:val="center"/>
        </w:trPr>
        <w:tc>
          <w:tcPr>
            <w:tcW w:w="3239" w:type="dxa"/>
            <w:tcBorders>
              <w:top w:val="nil"/>
              <w:left w:val="single" w:sz="4" w:space="0" w:color="auto"/>
              <w:bottom w:val="single" w:sz="4" w:space="0" w:color="auto"/>
              <w:right w:val="single" w:sz="4" w:space="0" w:color="auto"/>
            </w:tcBorders>
            <w:shd w:val="clear" w:color="auto" w:fill="DEEAF6"/>
            <w:noWrap/>
            <w:vAlign w:val="bottom"/>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b/>
                <w:bCs/>
                <w:color w:val="000000"/>
                <w:sz w:val="20"/>
                <w:szCs w:val="20"/>
                <w:lang w:eastAsia="lv-LV"/>
              </w:rPr>
              <w:t xml:space="preserve">Cigāri, cigarillas </w:t>
            </w:r>
          </w:p>
        </w:tc>
        <w:tc>
          <w:tcPr>
            <w:tcW w:w="1166" w:type="dxa"/>
            <w:tcBorders>
              <w:top w:val="nil"/>
              <w:left w:val="nil"/>
              <w:bottom w:val="single" w:sz="4" w:space="0" w:color="auto"/>
              <w:right w:val="single" w:sz="4" w:space="0" w:color="auto"/>
            </w:tcBorders>
            <w:shd w:val="clear" w:color="auto" w:fill="DEEAF6"/>
            <w:noWrap/>
            <w:vAlign w:val="center"/>
            <w:hideMark/>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01.01.2020.</w:t>
            </w:r>
          </w:p>
        </w:tc>
        <w:tc>
          <w:tcPr>
            <w:tcW w:w="1166" w:type="dxa"/>
            <w:tcBorders>
              <w:top w:val="nil"/>
              <w:left w:val="nil"/>
              <w:bottom w:val="single" w:sz="4" w:space="0" w:color="auto"/>
              <w:right w:val="single" w:sz="4" w:space="0" w:color="auto"/>
            </w:tcBorders>
            <w:shd w:val="clear" w:color="auto" w:fill="DEEAF6"/>
            <w:noWrap/>
            <w:vAlign w:val="center"/>
            <w:hideMark/>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01.01.2021.</w:t>
            </w:r>
          </w:p>
        </w:tc>
        <w:tc>
          <w:tcPr>
            <w:tcW w:w="1166" w:type="dxa"/>
            <w:tcBorders>
              <w:top w:val="nil"/>
              <w:left w:val="nil"/>
              <w:bottom w:val="single" w:sz="4" w:space="0" w:color="auto"/>
              <w:right w:val="single" w:sz="4" w:space="0" w:color="auto"/>
            </w:tcBorders>
            <w:shd w:val="clear" w:color="auto" w:fill="DEEAF6"/>
            <w:noWrap/>
            <w:vAlign w:val="center"/>
            <w:hideMark/>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01.01.2022.</w:t>
            </w:r>
          </w:p>
        </w:tc>
        <w:tc>
          <w:tcPr>
            <w:tcW w:w="1196" w:type="dxa"/>
            <w:tcBorders>
              <w:top w:val="nil"/>
              <w:left w:val="nil"/>
              <w:bottom w:val="single" w:sz="4" w:space="0" w:color="auto"/>
              <w:right w:val="single" w:sz="4" w:space="0" w:color="auto"/>
            </w:tcBorders>
            <w:shd w:val="clear" w:color="auto" w:fill="DEEAF6"/>
            <w:noWrap/>
            <w:vAlign w:val="center"/>
            <w:hideMark/>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01.01.2023.</w:t>
            </w:r>
          </w:p>
        </w:tc>
      </w:tr>
      <w:tr w:rsidR="00BF4753" w:rsidRPr="00182E2D" w:rsidTr="002D7CA8">
        <w:trPr>
          <w:trHeight w:val="221"/>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 xml:space="preserve">Nodokļa likme par 1 000 gab., </w:t>
            </w:r>
            <w:r w:rsidRPr="00182E2D">
              <w:rPr>
                <w:rFonts w:eastAsia="Times New Roman" w:cs="Times New Roman"/>
                <w:bCs/>
                <w:i/>
                <w:color w:val="000000"/>
                <w:sz w:val="20"/>
                <w:szCs w:val="20"/>
                <w:lang w:eastAsia="lv-LV"/>
              </w:rPr>
              <w:t>euro</w:t>
            </w:r>
            <w:r w:rsidRPr="00182E2D">
              <w:rPr>
                <w:rFonts w:eastAsia="Times New Roman" w:cs="Times New Roman"/>
                <w:color w:val="000000"/>
                <w:sz w:val="20"/>
                <w:szCs w:val="20"/>
                <w:lang w:eastAsia="lv-LV"/>
              </w:rPr>
              <w:t xml:space="preserve"> </w:t>
            </w:r>
          </w:p>
        </w:tc>
        <w:tc>
          <w:tcPr>
            <w:tcW w:w="116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95,20</w:t>
            </w:r>
          </w:p>
        </w:tc>
        <w:tc>
          <w:tcPr>
            <w:tcW w:w="116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104,7</w:t>
            </w:r>
          </w:p>
        </w:tc>
        <w:tc>
          <w:tcPr>
            <w:tcW w:w="116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115,20</w:t>
            </w:r>
          </w:p>
        </w:tc>
        <w:tc>
          <w:tcPr>
            <w:tcW w:w="119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126,70</w:t>
            </w:r>
          </w:p>
        </w:tc>
      </w:tr>
      <w:tr w:rsidR="00BF4753" w:rsidRPr="00182E2D" w:rsidTr="002D7CA8">
        <w:trPr>
          <w:trHeight w:val="221"/>
          <w:jc w:val="center"/>
        </w:trPr>
        <w:tc>
          <w:tcPr>
            <w:tcW w:w="3239" w:type="dxa"/>
            <w:tcBorders>
              <w:top w:val="nil"/>
              <w:left w:val="single" w:sz="4" w:space="0" w:color="auto"/>
              <w:bottom w:val="single" w:sz="4" w:space="0" w:color="auto"/>
              <w:right w:val="single" w:sz="4" w:space="0" w:color="auto"/>
            </w:tcBorders>
            <w:shd w:val="clear" w:color="auto" w:fill="DEEAF6"/>
            <w:noWrap/>
            <w:vAlign w:val="bottom"/>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b/>
                <w:bCs/>
                <w:color w:val="000000"/>
                <w:sz w:val="20"/>
                <w:szCs w:val="20"/>
                <w:lang w:eastAsia="lv-LV"/>
              </w:rPr>
              <w:t>Smēķējamā tabaka, tabakas lapas</w:t>
            </w:r>
          </w:p>
        </w:tc>
        <w:tc>
          <w:tcPr>
            <w:tcW w:w="1166" w:type="dxa"/>
            <w:tcBorders>
              <w:top w:val="nil"/>
              <w:left w:val="nil"/>
              <w:bottom w:val="single" w:sz="4" w:space="0" w:color="auto"/>
              <w:right w:val="single" w:sz="4" w:space="0" w:color="auto"/>
            </w:tcBorders>
            <w:shd w:val="clear" w:color="auto" w:fill="DEEAF6"/>
            <w:noWrap/>
            <w:vAlign w:val="center"/>
            <w:hideMark/>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01.01.2020.</w:t>
            </w:r>
          </w:p>
        </w:tc>
        <w:tc>
          <w:tcPr>
            <w:tcW w:w="1166" w:type="dxa"/>
            <w:tcBorders>
              <w:top w:val="nil"/>
              <w:left w:val="nil"/>
              <w:bottom w:val="single" w:sz="4" w:space="0" w:color="auto"/>
              <w:right w:val="single" w:sz="4" w:space="0" w:color="auto"/>
            </w:tcBorders>
            <w:shd w:val="clear" w:color="auto" w:fill="DEEAF6"/>
            <w:noWrap/>
            <w:vAlign w:val="center"/>
            <w:hideMark/>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01.01.2021.</w:t>
            </w:r>
          </w:p>
        </w:tc>
        <w:tc>
          <w:tcPr>
            <w:tcW w:w="1166" w:type="dxa"/>
            <w:tcBorders>
              <w:top w:val="nil"/>
              <w:left w:val="nil"/>
              <w:bottom w:val="single" w:sz="4" w:space="0" w:color="auto"/>
              <w:right w:val="single" w:sz="4" w:space="0" w:color="auto"/>
            </w:tcBorders>
            <w:shd w:val="clear" w:color="auto" w:fill="DEEAF6"/>
            <w:noWrap/>
            <w:vAlign w:val="center"/>
            <w:hideMark/>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01.01.2022.</w:t>
            </w:r>
          </w:p>
        </w:tc>
        <w:tc>
          <w:tcPr>
            <w:tcW w:w="1196" w:type="dxa"/>
            <w:tcBorders>
              <w:top w:val="nil"/>
              <w:left w:val="nil"/>
              <w:bottom w:val="single" w:sz="4" w:space="0" w:color="auto"/>
              <w:right w:val="single" w:sz="4" w:space="0" w:color="auto"/>
            </w:tcBorders>
            <w:shd w:val="clear" w:color="auto" w:fill="DEEAF6"/>
            <w:noWrap/>
            <w:vAlign w:val="center"/>
            <w:hideMark/>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01.01.2023.</w:t>
            </w:r>
          </w:p>
        </w:tc>
      </w:tr>
      <w:tr w:rsidR="00BF4753" w:rsidRPr="00182E2D" w:rsidTr="002D7CA8">
        <w:trPr>
          <w:trHeight w:val="221"/>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 xml:space="preserve">Nodokļa likme par 1 000 g., </w:t>
            </w:r>
            <w:r w:rsidRPr="00182E2D">
              <w:rPr>
                <w:rFonts w:eastAsia="Times New Roman" w:cs="Times New Roman"/>
                <w:bCs/>
                <w:i/>
                <w:iCs/>
                <w:color w:val="000000"/>
                <w:sz w:val="20"/>
                <w:szCs w:val="20"/>
                <w:lang w:eastAsia="lv-LV"/>
              </w:rPr>
              <w:t>euro</w:t>
            </w:r>
          </w:p>
        </w:tc>
        <w:tc>
          <w:tcPr>
            <w:tcW w:w="116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75,00</w:t>
            </w:r>
          </w:p>
        </w:tc>
        <w:tc>
          <w:tcPr>
            <w:tcW w:w="116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80,25</w:t>
            </w:r>
          </w:p>
        </w:tc>
        <w:tc>
          <w:tcPr>
            <w:tcW w:w="116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85,90</w:t>
            </w:r>
          </w:p>
        </w:tc>
        <w:tc>
          <w:tcPr>
            <w:tcW w:w="119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91,90</w:t>
            </w:r>
          </w:p>
        </w:tc>
      </w:tr>
      <w:tr w:rsidR="00BF4753" w:rsidRPr="00182E2D" w:rsidTr="002D7CA8">
        <w:trPr>
          <w:trHeight w:val="221"/>
          <w:jc w:val="center"/>
        </w:trPr>
        <w:tc>
          <w:tcPr>
            <w:tcW w:w="3239" w:type="dxa"/>
            <w:tcBorders>
              <w:top w:val="nil"/>
              <w:left w:val="single" w:sz="4" w:space="0" w:color="auto"/>
              <w:bottom w:val="single" w:sz="4" w:space="0" w:color="auto"/>
              <w:right w:val="single" w:sz="4" w:space="0" w:color="auto"/>
            </w:tcBorders>
            <w:shd w:val="clear" w:color="auto" w:fill="DEEAF6"/>
            <w:noWrap/>
            <w:vAlign w:val="bottom"/>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b/>
                <w:bCs/>
                <w:color w:val="000000"/>
                <w:sz w:val="20"/>
                <w:szCs w:val="20"/>
                <w:lang w:eastAsia="lv-LV"/>
              </w:rPr>
              <w:t>Karsējamā tabaka</w:t>
            </w:r>
          </w:p>
        </w:tc>
        <w:tc>
          <w:tcPr>
            <w:tcW w:w="1166" w:type="dxa"/>
            <w:tcBorders>
              <w:top w:val="nil"/>
              <w:left w:val="nil"/>
              <w:bottom w:val="single" w:sz="4" w:space="0" w:color="auto"/>
              <w:right w:val="single" w:sz="4" w:space="0" w:color="auto"/>
            </w:tcBorders>
            <w:shd w:val="clear" w:color="auto" w:fill="DEEAF6"/>
            <w:noWrap/>
            <w:vAlign w:val="center"/>
            <w:hideMark/>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01.01.2020.</w:t>
            </w:r>
          </w:p>
        </w:tc>
        <w:tc>
          <w:tcPr>
            <w:tcW w:w="1166" w:type="dxa"/>
            <w:tcBorders>
              <w:top w:val="nil"/>
              <w:left w:val="nil"/>
              <w:bottom w:val="single" w:sz="4" w:space="0" w:color="auto"/>
              <w:right w:val="single" w:sz="4" w:space="0" w:color="auto"/>
            </w:tcBorders>
            <w:shd w:val="clear" w:color="auto" w:fill="DEEAF6"/>
            <w:noWrap/>
            <w:vAlign w:val="center"/>
            <w:hideMark/>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01.01.2021.</w:t>
            </w:r>
          </w:p>
        </w:tc>
        <w:tc>
          <w:tcPr>
            <w:tcW w:w="1166" w:type="dxa"/>
            <w:tcBorders>
              <w:top w:val="nil"/>
              <w:left w:val="nil"/>
              <w:bottom w:val="single" w:sz="4" w:space="0" w:color="auto"/>
              <w:right w:val="single" w:sz="4" w:space="0" w:color="auto"/>
            </w:tcBorders>
            <w:shd w:val="clear" w:color="auto" w:fill="DEEAF6"/>
            <w:noWrap/>
            <w:vAlign w:val="center"/>
            <w:hideMark/>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01.01.2022.</w:t>
            </w:r>
          </w:p>
        </w:tc>
        <w:tc>
          <w:tcPr>
            <w:tcW w:w="1196" w:type="dxa"/>
            <w:tcBorders>
              <w:top w:val="nil"/>
              <w:left w:val="nil"/>
              <w:bottom w:val="single" w:sz="4" w:space="0" w:color="auto"/>
              <w:right w:val="single" w:sz="4" w:space="0" w:color="auto"/>
            </w:tcBorders>
            <w:shd w:val="clear" w:color="auto" w:fill="DEEAF6"/>
            <w:noWrap/>
            <w:vAlign w:val="center"/>
            <w:hideMark/>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01.01.2023.</w:t>
            </w:r>
          </w:p>
        </w:tc>
      </w:tr>
      <w:tr w:rsidR="00BF4753" w:rsidRPr="00182E2D" w:rsidTr="002D7CA8">
        <w:trPr>
          <w:trHeight w:val="221"/>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 xml:space="preserve">Nodokļa likme par 1 000 g., </w:t>
            </w:r>
            <w:r w:rsidRPr="00182E2D">
              <w:rPr>
                <w:rFonts w:eastAsia="Times New Roman" w:cs="Times New Roman"/>
                <w:bCs/>
                <w:i/>
                <w:color w:val="000000"/>
                <w:sz w:val="20"/>
                <w:szCs w:val="20"/>
                <w:lang w:eastAsia="lv-LV"/>
              </w:rPr>
              <w:t>euro</w:t>
            </w:r>
          </w:p>
        </w:tc>
        <w:tc>
          <w:tcPr>
            <w:tcW w:w="116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75,00</w:t>
            </w:r>
          </w:p>
        </w:tc>
        <w:tc>
          <w:tcPr>
            <w:tcW w:w="116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160,00</w:t>
            </w:r>
          </w:p>
        </w:tc>
        <w:tc>
          <w:tcPr>
            <w:tcW w:w="116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207,00</w:t>
            </w:r>
          </w:p>
        </w:tc>
        <w:tc>
          <w:tcPr>
            <w:tcW w:w="1196" w:type="dxa"/>
            <w:tcBorders>
              <w:top w:val="nil"/>
              <w:left w:val="nil"/>
              <w:bottom w:val="single" w:sz="4" w:space="0" w:color="auto"/>
              <w:right w:val="single" w:sz="4" w:space="0" w:color="auto"/>
            </w:tcBorders>
            <w:shd w:val="clear" w:color="auto" w:fill="auto"/>
            <w:noWrap/>
            <w:vAlign w:val="center"/>
            <w:hideMark/>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218,00</w:t>
            </w:r>
          </w:p>
        </w:tc>
      </w:tr>
      <w:tr w:rsidR="00BF4753" w:rsidRPr="00182E2D" w:rsidTr="002D7CA8">
        <w:trPr>
          <w:trHeight w:val="221"/>
          <w:jc w:val="center"/>
        </w:trPr>
        <w:tc>
          <w:tcPr>
            <w:tcW w:w="3239" w:type="dxa"/>
            <w:tcBorders>
              <w:top w:val="single" w:sz="4" w:space="0" w:color="auto"/>
              <w:left w:val="single" w:sz="4" w:space="0" w:color="auto"/>
              <w:bottom w:val="single" w:sz="4" w:space="0" w:color="auto"/>
              <w:right w:val="single" w:sz="4" w:space="0" w:color="auto"/>
            </w:tcBorders>
            <w:shd w:val="clear" w:color="auto" w:fill="DEEAF6"/>
            <w:noWrap/>
            <w:vAlign w:val="bottom"/>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b/>
                <w:bCs/>
                <w:color w:val="000000"/>
                <w:sz w:val="20"/>
                <w:szCs w:val="20"/>
                <w:lang w:eastAsia="lv-LV"/>
              </w:rPr>
              <w:t>Tabakas aizstājējprodukti</w:t>
            </w:r>
          </w:p>
        </w:tc>
        <w:tc>
          <w:tcPr>
            <w:tcW w:w="1166" w:type="dxa"/>
            <w:tcBorders>
              <w:top w:val="single" w:sz="4" w:space="0" w:color="auto"/>
              <w:left w:val="nil"/>
              <w:bottom w:val="single" w:sz="4" w:space="0" w:color="auto"/>
              <w:right w:val="single" w:sz="4" w:space="0" w:color="auto"/>
            </w:tcBorders>
            <w:shd w:val="clear" w:color="auto" w:fill="DEEAF6"/>
            <w:noWrap/>
            <w:vAlign w:val="center"/>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01.01.2020.</w:t>
            </w:r>
          </w:p>
        </w:tc>
        <w:tc>
          <w:tcPr>
            <w:tcW w:w="1166" w:type="dxa"/>
            <w:tcBorders>
              <w:top w:val="single" w:sz="4" w:space="0" w:color="auto"/>
              <w:left w:val="nil"/>
              <w:bottom w:val="single" w:sz="4" w:space="0" w:color="auto"/>
              <w:right w:val="single" w:sz="4" w:space="0" w:color="auto"/>
            </w:tcBorders>
            <w:shd w:val="clear" w:color="auto" w:fill="DEEAF6"/>
            <w:noWrap/>
            <w:vAlign w:val="center"/>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01.01.2021.</w:t>
            </w:r>
          </w:p>
        </w:tc>
        <w:tc>
          <w:tcPr>
            <w:tcW w:w="1166" w:type="dxa"/>
            <w:tcBorders>
              <w:top w:val="single" w:sz="4" w:space="0" w:color="auto"/>
              <w:left w:val="nil"/>
              <w:bottom w:val="single" w:sz="4" w:space="0" w:color="auto"/>
              <w:right w:val="single" w:sz="4" w:space="0" w:color="auto"/>
            </w:tcBorders>
            <w:shd w:val="clear" w:color="auto" w:fill="DEEAF6"/>
            <w:noWrap/>
            <w:vAlign w:val="center"/>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01.01.2022.</w:t>
            </w:r>
          </w:p>
        </w:tc>
        <w:tc>
          <w:tcPr>
            <w:tcW w:w="1196" w:type="dxa"/>
            <w:tcBorders>
              <w:top w:val="single" w:sz="4" w:space="0" w:color="auto"/>
              <w:left w:val="nil"/>
              <w:bottom w:val="single" w:sz="4" w:space="0" w:color="auto"/>
              <w:right w:val="single" w:sz="4" w:space="0" w:color="auto"/>
            </w:tcBorders>
            <w:shd w:val="clear" w:color="auto" w:fill="DEEAF6"/>
            <w:noWrap/>
            <w:vAlign w:val="center"/>
          </w:tcPr>
          <w:p w:rsidR="00BF4753" w:rsidRPr="00182E2D" w:rsidRDefault="00BF4753" w:rsidP="002D7CA8">
            <w:pPr>
              <w:ind w:firstLine="0"/>
              <w:jc w:val="center"/>
              <w:rPr>
                <w:rFonts w:eastAsia="Times New Roman" w:cs="Times New Roman"/>
                <w:b/>
                <w:color w:val="000000"/>
                <w:sz w:val="20"/>
                <w:szCs w:val="20"/>
                <w:lang w:eastAsia="lv-LV"/>
              </w:rPr>
            </w:pPr>
            <w:r w:rsidRPr="00182E2D">
              <w:rPr>
                <w:rFonts w:eastAsia="Times New Roman" w:cs="Times New Roman"/>
                <w:b/>
                <w:color w:val="000000"/>
                <w:sz w:val="20"/>
                <w:szCs w:val="20"/>
                <w:lang w:eastAsia="lv-LV"/>
              </w:rPr>
              <w:t>01.01.2023.</w:t>
            </w:r>
          </w:p>
        </w:tc>
      </w:tr>
      <w:tr w:rsidR="00BF4753" w:rsidRPr="00182E2D" w:rsidTr="002D7CA8">
        <w:trPr>
          <w:trHeight w:val="221"/>
          <w:jc w:val="center"/>
        </w:trPr>
        <w:tc>
          <w:tcPr>
            <w:tcW w:w="3239" w:type="dxa"/>
            <w:tcBorders>
              <w:top w:val="nil"/>
              <w:left w:val="single" w:sz="4" w:space="0" w:color="auto"/>
              <w:bottom w:val="single" w:sz="4" w:space="0" w:color="auto"/>
              <w:right w:val="single" w:sz="4" w:space="0" w:color="auto"/>
            </w:tcBorders>
            <w:shd w:val="clear" w:color="auto" w:fill="auto"/>
            <w:noWrap/>
            <w:vAlign w:val="bottom"/>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 xml:space="preserve">Nodokļa likme par 1 000 g., </w:t>
            </w:r>
            <w:r w:rsidRPr="00182E2D">
              <w:rPr>
                <w:rFonts w:eastAsia="Times New Roman" w:cs="Times New Roman"/>
                <w:i/>
                <w:color w:val="000000"/>
                <w:sz w:val="20"/>
                <w:szCs w:val="20"/>
                <w:lang w:eastAsia="lv-LV"/>
              </w:rPr>
              <w:t>euro</w:t>
            </w:r>
          </w:p>
        </w:tc>
        <w:tc>
          <w:tcPr>
            <w:tcW w:w="1166" w:type="dxa"/>
            <w:tcBorders>
              <w:top w:val="nil"/>
              <w:left w:val="nil"/>
              <w:bottom w:val="single" w:sz="4" w:space="0" w:color="auto"/>
              <w:right w:val="single" w:sz="4" w:space="0" w:color="auto"/>
            </w:tcBorders>
            <w:shd w:val="clear" w:color="auto" w:fill="auto"/>
            <w:noWrap/>
            <w:vAlign w:val="center"/>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w:t>
            </w:r>
          </w:p>
        </w:tc>
        <w:tc>
          <w:tcPr>
            <w:tcW w:w="1166" w:type="dxa"/>
            <w:tcBorders>
              <w:top w:val="nil"/>
              <w:left w:val="nil"/>
              <w:bottom w:val="single" w:sz="4" w:space="0" w:color="auto"/>
              <w:right w:val="single" w:sz="4" w:space="0" w:color="auto"/>
            </w:tcBorders>
            <w:shd w:val="clear" w:color="auto" w:fill="auto"/>
            <w:noWrap/>
            <w:vAlign w:val="center"/>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80,00</w:t>
            </w:r>
          </w:p>
        </w:tc>
        <w:tc>
          <w:tcPr>
            <w:tcW w:w="1166" w:type="dxa"/>
            <w:tcBorders>
              <w:top w:val="nil"/>
              <w:left w:val="nil"/>
              <w:bottom w:val="single" w:sz="4" w:space="0" w:color="auto"/>
              <w:right w:val="single" w:sz="4" w:space="0" w:color="auto"/>
            </w:tcBorders>
            <w:shd w:val="clear" w:color="auto" w:fill="auto"/>
            <w:noWrap/>
            <w:vAlign w:val="center"/>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100,00</w:t>
            </w:r>
          </w:p>
        </w:tc>
        <w:tc>
          <w:tcPr>
            <w:tcW w:w="1196" w:type="dxa"/>
            <w:tcBorders>
              <w:top w:val="nil"/>
              <w:left w:val="nil"/>
              <w:bottom w:val="single" w:sz="4" w:space="0" w:color="auto"/>
              <w:right w:val="single" w:sz="4" w:space="0" w:color="auto"/>
            </w:tcBorders>
            <w:shd w:val="clear" w:color="auto" w:fill="auto"/>
            <w:noWrap/>
            <w:vAlign w:val="center"/>
          </w:tcPr>
          <w:p w:rsidR="00BF4753" w:rsidRPr="00182E2D" w:rsidRDefault="00BF4753" w:rsidP="002D7CA8">
            <w:pPr>
              <w:ind w:firstLine="0"/>
              <w:jc w:val="center"/>
              <w:rPr>
                <w:rFonts w:eastAsia="Times New Roman" w:cs="Times New Roman"/>
                <w:color w:val="000000"/>
                <w:sz w:val="20"/>
                <w:szCs w:val="20"/>
                <w:lang w:eastAsia="lv-LV"/>
              </w:rPr>
            </w:pPr>
            <w:r w:rsidRPr="00182E2D">
              <w:rPr>
                <w:rFonts w:eastAsia="Times New Roman" w:cs="Times New Roman"/>
                <w:color w:val="000000"/>
                <w:sz w:val="20"/>
                <w:szCs w:val="20"/>
                <w:lang w:eastAsia="lv-LV"/>
              </w:rPr>
              <w:t>120,00</w:t>
            </w:r>
          </w:p>
        </w:tc>
      </w:tr>
    </w:tbl>
    <w:p w:rsidR="00BF4753" w:rsidRPr="00182E2D" w:rsidRDefault="00BF4753" w:rsidP="00BF4753">
      <w:pPr>
        <w:ind w:left="720" w:firstLine="0"/>
        <w:rPr>
          <w:rFonts w:eastAsia="Times New Roman" w:cs="Times New Roman"/>
          <w:szCs w:val="24"/>
        </w:rPr>
      </w:pPr>
    </w:p>
    <w:p w:rsidR="00BF4753" w:rsidRPr="00FA0B89" w:rsidRDefault="00BF4753" w:rsidP="00BF4753">
      <w:pPr>
        <w:rPr>
          <w:rFonts w:eastAsia="Times New Roman" w:cs="Times New Roman"/>
          <w:szCs w:val="28"/>
        </w:rPr>
      </w:pPr>
      <w:r w:rsidRPr="00FA0B89">
        <w:rPr>
          <w:rFonts w:eastAsia="Times New Roman" w:cs="Times New Roman"/>
          <w:szCs w:val="28"/>
        </w:rPr>
        <w:t>Saskaņā ar iepriekš minētajiem grozījumiem uz laiku no 2021.</w:t>
      </w:r>
      <w:r>
        <w:rPr>
          <w:rFonts w:eastAsia="Times New Roman" w:cs="Times New Roman"/>
          <w:szCs w:val="28"/>
        </w:rPr>
        <w:t xml:space="preserve"> </w:t>
      </w:r>
      <w:r w:rsidRPr="00FA0B89">
        <w:rPr>
          <w:rFonts w:eastAsia="Times New Roman" w:cs="Times New Roman"/>
          <w:szCs w:val="28"/>
        </w:rPr>
        <w:t>gada 1.</w:t>
      </w:r>
      <w:r>
        <w:rPr>
          <w:rFonts w:eastAsia="Times New Roman" w:cs="Times New Roman"/>
          <w:szCs w:val="28"/>
        </w:rPr>
        <w:t xml:space="preserve"> </w:t>
      </w:r>
      <w:r w:rsidRPr="00FA0B89">
        <w:rPr>
          <w:rFonts w:eastAsia="Times New Roman" w:cs="Times New Roman"/>
          <w:szCs w:val="28"/>
        </w:rPr>
        <w:t>janvāra līdz 2025.</w:t>
      </w:r>
      <w:r>
        <w:rPr>
          <w:rFonts w:eastAsia="Times New Roman" w:cs="Times New Roman"/>
          <w:szCs w:val="28"/>
        </w:rPr>
        <w:t xml:space="preserve"> </w:t>
      </w:r>
      <w:r w:rsidRPr="00FA0B89">
        <w:rPr>
          <w:rFonts w:eastAsia="Times New Roman" w:cs="Times New Roman"/>
          <w:szCs w:val="28"/>
        </w:rPr>
        <w:t>gada 31.</w:t>
      </w:r>
      <w:r>
        <w:rPr>
          <w:rFonts w:eastAsia="Times New Roman" w:cs="Times New Roman"/>
          <w:szCs w:val="28"/>
        </w:rPr>
        <w:t xml:space="preserve"> </w:t>
      </w:r>
      <w:r w:rsidRPr="00FA0B89">
        <w:rPr>
          <w:rFonts w:eastAsia="Times New Roman" w:cs="Times New Roman"/>
          <w:szCs w:val="28"/>
        </w:rPr>
        <w:t xml:space="preserve">decembrim akcīzes nodoklis dabasgāzei, ko izmanto par degvielu, samazināts no 9,64 </w:t>
      </w:r>
      <w:r w:rsidRPr="00FA0B89">
        <w:rPr>
          <w:rFonts w:eastAsia="Times New Roman" w:cs="Times New Roman"/>
          <w:i/>
          <w:szCs w:val="28"/>
        </w:rPr>
        <w:t>euro</w:t>
      </w:r>
      <w:r w:rsidRPr="00FA0B89">
        <w:rPr>
          <w:rFonts w:eastAsia="Times New Roman" w:cs="Times New Roman"/>
          <w:szCs w:val="28"/>
        </w:rPr>
        <w:t xml:space="preserve"> par MWh līdz 1,91 </w:t>
      </w:r>
      <w:r w:rsidRPr="00FA0B89">
        <w:rPr>
          <w:rFonts w:eastAsia="Times New Roman" w:cs="Times New Roman"/>
          <w:i/>
          <w:szCs w:val="28"/>
        </w:rPr>
        <w:t>euro</w:t>
      </w:r>
      <w:r w:rsidRPr="00FA0B89">
        <w:rPr>
          <w:rFonts w:eastAsia="Times New Roman" w:cs="Times New Roman"/>
          <w:szCs w:val="28"/>
        </w:rPr>
        <w:t xml:space="preserve"> par MWh. Ar 2026.</w:t>
      </w:r>
      <w:r>
        <w:rPr>
          <w:rFonts w:eastAsia="Times New Roman" w:cs="Times New Roman"/>
          <w:szCs w:val="28"/>
        </w:rPr>
        <w:t xml:space="preserve"> </w:t>
      </w:r>
      <w:r w:rsidRPr="00FA0B89">
        <w:rPr>
          <w:rFonts w:eastAsia="Times New Roman" w:cs="Times New Roman"/>
          <w:szCs w:val="28"/>
        </w:rPr>
        <w:t>gada 1.</w:t>
      </w:r>
      <w:r>
        <w:rPr>
          <w:rFonts w:eastAsia="Times New Roman" w:cs="Times New Roman"/>
          <w:szCs w:val="28"/>
        </w:rPr>
        <w:t xml:space="preserve"> </w:t>
      </w:r>
      <w:r w:rsidRPr="00FA0B89">
        <w:rPr>
          <w:rFonts w:eastAsia="Times New Roman" w:cs="Times New Roman"/>
          <w:szCs w:val="28"/>
        </w:rPr>
        <w:t xml:space="preserve">janvāri likme noteikta 10,0 </w:t>
      </w:r>
      <w:r w:rsidRPr="00FA0B89">
        <w:rPr>
          <w:rFonts w:eastAsia="Times New Roman" w:cs="Times New Roman"/>
          <w:i/>
          <w:szCs w:val="28"/>
        </w:rPr>
        <w:t>euro</w:t>
      </w:r>
      <w:r w:rsidRPr="00FA0B89">
        <w:rPr>
          <w:rFonts w:eastAsia="Times New Roman" w:cs="Times New Roman"/>
          <w:szCs w:val="28"/>
        </w:rPr>
        <w:t xml:space="preserve"> par MWh. Akcīzes nodokļa likmes samazināšana dabasgāzei izmantošanai par degvielu neatstās būtisku negatīvu ietekmi uz valsts budžeta ieņēmumiem.</w:t>
      </w:r>
    </w:p>
    <w:p w:rsidR="00BF4753" w:rsidRPr="00FA0B89" w:rsidRDefault="00BF4753" w:rsidP="00BF4753">
      <w:pPr>
        <w:rPr>
          <w:rFonts w:eastAsia="Times New Roman" w:cs="Times New Roman"/>
          <w:szCs w:val="28"/>
        </w:rPr>
      </w:pPr>
      <w:r w:rsidRPr="00FA0B89">
        <w:rPr>
          <w:rFonts w:eastAsia="Times New Roman" w:cs="Times New Roman"/>
          <w:szCs w:val="28"/>
        </w:rPr>
        <w:t>Savukārt saskaņā ar 2020.</w:t>
      </w:r>
      <w:r>
        <w:rPr>
          <w:rFonts w:eastAsia="Times New Roman" w:cs="Times New Roman"/>
          <w:szCs w:val="28"/>
        </w:rPr>
        <w:t xml:space="preserve"> </w:t>
      </w:r>
      <w:r w:rsidRPr="00FA0B89">
        <w:rPr>
          <w:rFonts w:eastAsia="Times New Roman" w:cs="Times New Roman"/>
          <w:szCs w:val="28"/>
        </w:rPr>
        <w:t>gada 17.</w:t>
      </w:r>
      <w:r>
        <w:rPr>
          <w:rFonts w:eastAsia="Times New Roman" w:cs="Times New Roman"/>
          <w:szCs w:val="28"/>
        </w:rPr>
        <w:t xml:space="preserve"> </w:t>
      </w:r>
      <w:r w:rsidRPr="00FA0B89">
        <w:rPr>
          <w:rFonts w:eastAsia="Times New Roman" w:cs="Times New Roman"/>
          <w:szCs w:val="28"/>
        </w:rPr>
        <w:t>decembrī pieņemtajiem grozījumiem likumā “Par akcīzes nodokli”:</w:t>
      </w:r>
    </w:p>
    <w:p w:rsidR="00BF4753" w:rsidRPr="00FA0B89" w:rsidRDefault="00BF4753" w:rsidP="00BF4753">
      <w:pPr>
        <w:numPr>
          <w:ilvl w:val="0"/>
          <w:numId w:val="31"/>
        </w:numPr>
        <w:ind w:left="1134" w:hanging="283"/>
        <w:contextualSpacing/>
        <w:rPr>
          <w:rFonts w:eastAsia="Times New Roman" w:cs="Times New Roman"/>
          <w:szCs w:val="28"/>
        </w:rPr>
      </w:pPr>
      <w:r w:rsidRPr="00FA0B89">
        <w:rPr>
          <w:rFonts w:eastAsia="Times New Roman" w:cs="Times New Roman"/>
          <w:szCs w:val="28"/>
        </w:rPr>
        <w:t>ar 2021.</w:t>
      </w:r>
      <w:r>
        <w:rPr>
          <w:rFonts w:eastAsia="Times New Roman" w:cs="Times New Roman"/>
          <w:szCs w:val="28"/>
        </w:rPr>
        <w:t xml:space="preserve"> </w:t>
      </w:r>
      <w:r w:rsidRPr="00FA0B89">
        <w:rPr>
          <w:rFonts w:eastAsia="Times New Roman" w:cs="Times New Roman"/>
          <w:szCs w:val="28"/>
        </w:rPr>
        <w:t>gada 1.</w:t>
      </w:r>
      <w:r>
        <w:rPr>
          <w:rFonts w:eastAsia="Times New Roman" w:cs="Times New Roman"/>
          <w:szCs w:val="28"/>
        </w:rPr>
        <w:t xml:space="preserve"> </w:t>
      </w:r>
      <w:r w:rsidRPr="00FA0B89">
        <w:rPr>
          <w:rFonts w:eastAsia="Times New Roman" w:cs="Times New Roman"/>
          <w:szCs w:val="28"/>
        </w:rPr>
        <w:t>februāri:</w:t>
      </w:r>
    </w:p>
    <w:p w:rsidR="00BF4753" w:rsidRPr="00FA0B89" w:rsidRDefault="00BF4753" w:rsidP="00BF4753">
      <w:pPr>
        <w:numPr>
          <w:ilvl w:val="0"/>
          <w:numId w:val="29"/>
        </w:numPr>
        <w:ind w:left="1701" w:hanging="284"/>
        <w:contextualSpacing/>
        <w:rPr>
          <w:rFonts w:eastAsia="Times New Roman" w:cs="Times New Roman"/>
          <w:szCs w:val="28"/>
        </w:rPr>
      </w:pPr>
      <w:r w:rsidRPr="00FA0B89">
        <w:rPr>
          <w:rFonts w:eastAsia="Times New Roman" w:cs="Times New Roman"/>
          <w:szCs w:val="28"/>
        </w:rPr>
        <w:t>tika atcelta samazinātā akcīzes nodokļa likme biodīzeļdegvielai, ko izmanto par degvielu, un tika piemērota minimālā nodokļa likme 330 </w:t>
      </w:r>
      <w:r w:rsidRPr="00FA0B89">
        <w:rPr>
          <w:rFonts w:eastAsia="Times New Roman" w:cs="Times New Roman"/>
          <w:i/>
          <w:szCs w:val="28"/>
        </w:rPr>
        <w:t>euro</w:t>
      </w:r>
      <w:r w:rsidRPr="00FA0B89">
        <w:rPr>
          <w:rFonts w:eastAsia="Times New Roman" w:cs="Times New Roman"/>
          <w:szCs w:val="28"/>
        </w:rPr>
        <w:t xml:space="preserve"> par 1000 litriem biodīzeļdegvielas, kas pilnībā iegūta no biomasas, un parafinizētās dīzeļdegvielas, kas iegūta no biomasas;</w:t>
      </w:r>
    </w:p>
    <w:p w:rsidR="00BF4753" w:rsidRPr="00FA0B89" w:rsidRDefault="00BF4753" w:rsidP="00BF4753">
      <w:pPr>
        <w:numPr>
          <w:ilvl w:val="0"/>
          <w:numId w:val="29"/>
        </w:numPr>
        <w:ind w:left="1701" w:hanging="284"/>
        <w:contextualSpacing/>
        <w:rPr>
          <w:rFonts w:eastAsia="Times New Roman" w:cs="Times New Roman"/>
          <w:szCs w:val="28"/>
        </w:rPr>
      </w:pPr>
      <w:r w:rsidRPr="00FA0B89">
        <w:rPr>
          <w:rFonts w:eastAsia="Times New Roman" w:cs="Times New Roman"/>
          <w:szCs w:val="28"/>
        </w:rPr>
        <w:lastRenderedPageBreak/>
        <w:t xml:space="preserve">tika paaugstināta samazinātā nodokļa likme no 152,7 </w:t>
      </w:r>
      <w:r w:rsidRPr="00FA0B89">
        <w:rPr>
          <w:rFonts w:eastAsia="Times New Roman" w:cs="Times New Roman"/>
          <w:i/>
          <w:szCs w:val="28"/>
        </w:rPr>
        <w:t>euro</w:t>
      </w:r>
      <w:r w:rsidRPr="00FA0B89">
        <w:rPr>
          <w:rFonts w:eastAsia="Times New Roman" w:cs="Times New Roman"/>
          <w:szCs w:val="28"/>
        </w:rPr>
        <w:t xml:space="preserve"> uz 360 </w:t>
      </w:r>
      <w:r w:rsidRPr="00FA0B89">
        <w:rPr>
          <w:rFonts w:eastAsia="Times New Roman" w:cs="Times New Roman"/>
          <w:i/>
          <w:szCs w:val="28"/>
        </w:rPr>
        <w:t>euro</w:t>
      </w:r>
      <w:r w:rsidRPr="00FA0B89">
        <w:rPr>
          <w:rFonts w:eastAsia="Times New Roman" w:cs="Times New Roman"/>
          <w:szCs w:val="28"/>
        </w:rPr>
        <w:t xml:space="preserve"> par 1000 litriem svinu nesaturoša benzīna ar augstu bioetanola saturu (no 70–85 tilpumprocentiem) (degviela E85);</w:t>
      </w:r>
    </w:p>
    <w:p w:rsidR="00BF4753" w:rsidRPr="00FA0B89" w:rsidRDefault="00BF4753" w:rsidP="00BF4753">
      <w:pPr>
        <w:numPr>
          <w:ilvl w:val="0"/>
          <w:numId w:val="32"/>
        </w:numPr>
        <w:ind w:left="1134" w:hanging="283"/>
        <w:contextualSpacing/>
        <w:rPr>
          <w:rFonts w:eastAsia="Times New Roman" w:cs="Times New Roman"/>
          <w:szCs w:val="28"/>
        </w:rPr>
      </w:pPr>
      <w:r w:rsidRPr="00FA0B89">
        <w:rPr>
          <w:rFonts w:eastAsia="Times New Roman" w:cs="Times New Roman"/>
          <w:szCs w:val="28"/>
        </w:rPr>
        <w:t>ar 2021.</w:t>
      </w:r>
      <w:r>
        <w:rPr>
          <w:rFonts w:eastAsia="Times New Roman" w:cs="Times New Roman"/>
          <w:szCs w:val="28"/>
        </w:rPr>
        <w:t xml:space="preserve"> </w:t>
      </w:r>
      <w:r w:rsidRPr="00FA0B89">
        <w:rPr>
          <w:rFonts w:eastAsia="Times New Roman" w:cs="Times New Roman"/>
          <w:szCs w:val="28"/>
        </w:rPr>
        <w:t>gada 1.</w:t>
      </w:r>
      <w:r>
        <w:rPr>
          <w:rFonts w:eastAsia="Times New Roman" w:cs="Times New Roman"/>
          <w:szCs w:val="28"/>
        </w:rPr>
        <w:t xml:space="preserve"> </w:t>
      </w:r>
      <w:r w:rsidRPr="00FA0B89">
        <w:rPr>
          <w:rFonts w:eastAsia="Times New Roman" w:cs="Times New Roman"/>
          <w:szCs w:val="28"/>
        </w:rPr>
        <w:t>jūliju:</w:t>
      </w:r>
    </w:p>
    <w:p w:rsidR="00BF4753" w:rsidRPr="00FA0B89" w:rsidRDefault="00BF4753" w:rsidP="00BF4753">
      <w:pPr>
        <w:numPr>
          <w:ilvl w:val="0"/>
          <w:numId w:val="30"/>
        </w:numPr>
        <w:ind w:left="1701" w:hanging="283"/>
        <w:contextualSpacing/>
        <w:rPr>
          <w:rFonts w:eastAsia="Times New Roman" w:cs="Times New Roman"/>
          <w:szCs w:val="28"/>
        </w:rPr>
      </w:pPr>
      <w:r w:rsidRPr="00FA0B89">
        <w:rPr>
          <w:rFonts w:eastAsia="Times New Roman" w:cs="Times New Roman"/>
          <w:szCs w:val="28"/>
        </w:rPr>
        <w:t>tiks atcelta samazinātā akcīzes nodokļa likme biodīzeļdegvielai, ko izmanto par kurināmo, un tiks piemērota minimālā likme 21,0 </w:t>
      </w:r>
      <w:r w:rsidRPr="00FA0B89">
        <w:rPr>
          <w:rFonts w:eastAsia="Times New Roman" w:cs="Times New Roman"/>
          <w:i/>
          <w:szCs w:val="28"/>
        </w:rPr>
        <w:t>euro</w:t>
      </w:r>
      <w:r w:rsidRPr="00FA0B89">
        <w:rPr>
          <w:rFonts w:eastAsia="Times New Roman" w:cs="Times New Roman"/>
          <w:szCs w:val="28"/>
        </w:rPr>
        <w:t xml:space="preserve"> par 1000 litriem biodīzeļdegvielas, kas pilnībā iegūta no biomasas, un parafinizētās dīzeļdegvielas, kas iegūta no biomasas, paredzot, ka minētie produkti ir iezīmēti (marķēti);</w:t>
      </w:r>
    </w:p>
    <w:p w:rsidR="00BF4753" w:rsidRPr="002F061C" w:rsidRDefault="00BF4753" w:rsidP="00BF4753">
      <w:pPr>
        <w:numPr>
          <w:ilvl w:val="0"/>
          <w:numId w:val="30"/>
        </w:numPr>
        <w:ind w:left="1701" w:hanging="283"/>
        <w:contextualSpacing/>
        <w:rPr>
          <w:rFonts w:eastAsia="Times New Roman" w:cs="Times New Roman"/>
          <w:szCs w:val="28"/>
        </w:rPr>
      </w:pPr>
      <w:r w:rsidRPr="00FA0B89">
        <w:rPr>
          <w:rFonts w:eastAsia="Times New Roman" w:cs="Times New Roman"/>
          <w:szCs w:val="28"/>
        </w:rPr>
        <w:t>tiks noteikta viena nodokļa likme naftas produktiem, kurus izmanto par kurināmo, piemērojot 60,0 </w:t>
      </w:r>
      <w:r w:rsidRPr="00FA0B89">
        <w:rPr>
          <w:rFonts w:eastAsia="Times New Roman" w:cs="Times New Roman"/>
          <w:i/>
          <w:szCs w:val="28"/>
        </w:rPr>
        <w:t>euro</w:t>
      </w:r>
      <w:r w:rsidRPr="00FA0B89">
        <w:rPr>
          <w:rFonts w:eastAsia="Times New Roman" w:cs="Times New Roman"/>
          <w:szCs w:val="28"/>
        </w:rPr>
        <w:t xml:space="preserve"> par 1000 litriem, neatkarīgi no biodegvielas piejaukuma, ja attiecīgie naftas produkti ir iezīmēti (marķēti).</w:t>
      </w:r>
    </w:p>
    <w:p w:rsidR="00BF4753" w:rsidRPr="00FA0B89" w:rsidRDefault="00BF4753" w:rsidP="00BF4753">
      <w:pPr>
        <w:rPr>
          <w:rFonts w:eastAsia="Times New Roman" w:cs="Times New Roman"/>
          <w:szCs w:val="28"/>
          <w:lang w:eastAsia="lv-LV"/>
        </w:rPr>
      </w:pPr>
      <w:r w:rsidRPr="00FA0B89">
        <w:rPr>
          <w:rFonts w:eastAsia="Times New Roman" w:cs="Times New Roman"/>
          <w:szCs w:val="28"/>
          <w:lang w:eastAsia="lv-LV"/>
        </w:rPr>
        <w:t>Papildus iepriekš nosauktajām akcīzes nodokļa likmju izmaiņām nodokļa ieņēmumus 2021.</w:t>
      </w:r>
      <w:r>
        <w:rPr>
          <w:rFonts w:eastAsia="Times New Roman" w:cs="Times New Roman"/>
          <w:szCs w:val="28"/>
          <w:lang w:eastAsia="lv-LV"/>
        </w:rPr>
        <w:t xml:space="preserve"> </w:t>
      </w:r>
      <w:r w:rsidRPr="00FA0B89">
        <w:rPr>
          <w:rFonts w:eastAsia="Times New Roman" w:cs="Times New Roman"/>
          <w:szCs w:val="28"/>
          <w:lang w:eastAsia="lv-LV"/>
        </w:rPr>
        <w:t>gadā ietekmē arī 2020.</w:t>
      </w:r>
      <w:r>
        <w:rPr>
          <w:rFonts w:eastAsia="Times New Roman" w:cs="Times New Roman"/>
          <w:szCs w:val="28"/>
          <w:lang w:eastAsia="lv-LV"/>
        </w:rPr>
        <w:t xml:space="preserve"> </w:t>
      </w:r>
      <w:r w:rsidRPr="00FA0B89">
        <w:rPr>
          <w:rFonts w:eastAsia="Times New Roman" w:cs="Times New Roman"/>
          <w:szCs w:val="28"/>
          <w:lang w:eastAsia="lv-LV"/>
        </w:rPr>
        <w:t>gada 6.</w:t>
      </w:r>
      <w:r>
        <w:rPr>
          <w:rFonts w:eastAsia="Times New Roman" w:cs="Times New Roman"/>
          <w:szCs w:val="28"/>
          <w:lang w:eastAsia="lv-LV"/>
        </w:rPr>
        <w:t xml:space="preserve"> </w:t>
      </w:r>
      <w:r w:rsidRPr="00FA0B89">
        <w:rPr>
          <w:rFonts w:eastAsia="Times New Roman" w:cs="Times New Roman"/>
          <w:szCs w:val="28"/>
          <w:lang w:eastAsia="lv-LV"/>
        </w:rPr>
        <w:t>februārī pieņemtie grozījumi likumā “Par akcīzes nodokli”:</w:t>
      </w:r>
    </w:p>
    <w:p w:rsidR="00BF4753" w:rsidRPr="00FA0B89" w:rsidRDefault="00BF4753" w:rsidP="00BF4753">
      <w:pPr>
        <w:numPr>
          <w:ilvl w:val="0"/>
          <w:numId w:val="25"/>
        </w:numPr>
        <w:spacing w:after="160" w:line="259" w:lineRule="auto"/>
        <w:ind w:left="1134" w:hanging="283"/>
        <w:contextualSpacing/>
        <w:rPr>
          <w:rFonts w:eastAsia="Times New Roman" w:cs="Times New Roman"/>
          <w:b/>
          <w:szCs w:val="28"/>
          <w:u w:val="single"/>
          <w:lang w:eastAsia="lv-LV"/>
        </w:rPr>
      </w:pPr>
      <w:r w:rsidRPr="00FA0B89">
        <w:rPr>
          <w:rFonts w:eastAsia="Times New Roman" w:cs="Times New Roman"/>
          <w:szCs w:val="28"/>
          <w:lang w:eastAsia="lv-LV"/>
        </w:rPr>
        <w:t>ar 2020.</w:t>
      </w:r>
      <w:r>
        <w:rPr>
          <w:rFonts w:eastAsia="Times New Roman" w:cs="Times New Roman"/>
          <w:szCs w:val="28"/>
          <w:lang w:eastAsia="lv-LV"/>
        </w:rPr>
        <w:t xml:space="preserve"> </w:t>
      </w:r>
      <w:r w:rsidRPr="00FA0B89">
        <w:rPr>
          <w:rFonts w:eastAsia="Times New Roman" w:cs="Times New Roman"/>
          <w:szCs w:val="28"/>
          <w:lang w:eastAsia="lv-LV"/>
        </w:rPr>
        <w:t>gada 1.</w:t>
      </w:r>
      <w:r>
        <w:rPr>
          <w:rFonts w:eastAsia="Times New Roman" w:cs="Times New Roman"/>
          <w:szCs w:val="28"/>
          <w:lang w:eastAsia="lv-LV"/>
        </w:rPr>
        <w:t xml:space="preserve"> </w:t>
      </w:r>
      <w:r w:rsidRPr="00FA0B89">
        <w:rPr>
          <w:rFonts w:eastAsia="Times New Roman" w:cs="Times New Roman"/>
          <w:szCs w:val="28"/>
          <w:lang w:eastAsia="lv-LV"/>
        </w:rPr>
        <w:t>maiju tika precizēta starpproduktu definīcija, novēršot nekorektu akcīzes nodokļa likmes piemērošanu alkoholiskajiem kokteiļiem, tādā veidā izvairoties no nodokļa nomaksas pilnā apmērā;</w:t>
      </w:r>
    </w:p>
    <w:p w:rsidR="00BF4753" w:rsidRPr="00FA0B89" w:rsidRDefault="00BF4753" w:rsidP="00BF4753">
      <w:pPr>
        <w:numPr>
          <w:ilvl w:val="0"/>
          <w:numId w:val="25"/>
        </w:numPr>
        <w:spacing w:after="160" w:line="259" w:lineRule="auto"/>
        <w:ind w:left="1134" w:hanging="283"/>
        <w:contextualSpacing/>
        <w:rPr>
          <w:rFonts w:eastAsia="Times New Roman" w:cs="Times New Roman"/>
          <w:b/>
          <w:szCs w:val="28"/>
          <w:u w:val="single"/>
          <w:lang w:eastAsia="lv-LV"/>
        </w:rPr>
      </w:pPr>
      <w:r w:rsidRPr="00FA0B89">
        <w:rPr>
          <w:rFonts w:eastAsia="Times New Roman" w:cs="Times New Roman"/>
          <w:szCs w:val="28"/>
          <w:lang w:eastAsia="lv-LV"/>
        </w:rPr>
        <w:t>ar 2020.</w:t>
      </w:r>
      <w:r>
        <w:rPr>
          <w:rFonts w:eastAsia="Times New Roman" w:cs="Times New Roman"/>
          <w:szCs w:val="28"/>
          <w:lang w:eastAsia="lv-LV"/>
        </w:rPr>
        <w:t xml:space="preserve"> </w:t>
      </w:r>
      <w:r w:rsidRPr="00FA0B89">
        <w:rPr>
          <w:rFonts w:eastAsia="Times New Roman" w:cs="Times New Roman"/>
          <w:szCs w:val="28"/>
          <w:lang w:eastAsia="lv-LV"/>
        </w:rPr>
        <w:t>gada 1.</w:t>
      </w:r>
      <w:r>
        <w:rPr>
          <w:rFonts w:eastAsia="Times New Roman" w:cs="Times New Roman"/>
          <w:szCs w:val="28"/>
          <w:lang w:eastAsia="lv-LV"/>
        </w:rPr>
        <w:t xml:space="preserve"> </w:t>
      </w:r>
      <w:r w:rsidRPr="00FA0B89">
        <w:rPr>
          <w:rFonts w:eastAsia="Times New Roman" w:cs="Times New Roman"/>
          <w:szCs w:val="28"/>
          <w:lang w:eastAsia="lv-LV"/>
        </w:rPr>
        <w:t xml:space="preserve">maiju tika atcelti akcīzes nodokļa atbrīvojumi </w:t>
      </w:r>
      <w:r w:rsidRPr="00FA0B89">
        <w:rPr>
          <w:rFonts w:eastAsia="Times New Roman" w:cs="Times New Roman"/>
          <w:iCs/>
          <w:spacing w:val="2"/>
          <w:szCs w:val="28"/>
        </w:rPr>
        <w:t>dabasgāzei, ko izmanto lauksaimniecībā izmantojamās zemes segto platību (siltumnīcu) siltumapgādei un rūpniecisko mājputnu novietņu (kūts) un inkubatoru siltumapgādei;</w:t>
      </w:r>
    </w:p>
    <w:p w:rsidR="00BF4753" w:rsidRPr="00FA0B89" w:rsidRDefault="00BF4753" w:rsidP="00BF4753">
      <w:pPr>
        <w:numPr>
          <w:ilvl w:val="0"/>
          <w:numId w:val="25"/>
        </w:numPr>
        <w:spacing w:after="160" w:line="259" w:lineRule="auto"/>
        <w:ind w:left="1134" w:hanging="283"/>
        <w:contextualSpacing/>
        <w:rPr>
          <w:rFonts w:eastAsia="Times New Roman" w:cs="Times New Roman"/>
          <w:iCs/>
          <w:spacing w:val="2"/>
          <w:szCs w:val="28"/>
        </w:rPr>
      </w:pPr>
      <w:r w:rsidRPr="00FA0B89">
        <w:rPr>
          <w:rFonts w:eastAsia="Times New Roman" w:cs="Times New Roman"/>
          <w:szCs w:val="28"/>
          <w:lang w:eastAsia="lv-LV"/>
        </w:rPr>
        <w:t>ar 2020.</w:t>
      </w:r>
      <w:r>
        <w:rPr>
          <w:rFonts w:eastAsia="Times New Roman" w:cs="Times New Roman"/>
          <w:szCs w:val="28"/>
          <w:lang w:eastAsia="lv-LV"/>
        </w:rPr>
        <w:t xml:space="preserve"> </w:t>
      </w:r>
      <w:r w:rsidRPr="00FA0B89">
        <w:rPr>
          <w:rFonts w:eastAsia="Times New Roman" w:cs="Times New Roman"/>
          <w:szCs w:val="28"/>
          <w:lang w:eastAsia="lv-LV"/>
        </w:rPr>
        <w:t>gada 1.</w:t>
      </w:r>
      <w:r>
        <w:rPr>
          <w:rFonts w:eastAsia="Times New Roman" w:cs="Times New Roman"/>
          <w:szCs w:val="28"/>
          <w:lang w:eastAsia="lv-LV"/>
        </w:rPr>
        <w:t xml:space="preserve"> </w:t>
      </w:r>
      <w:r w:rsidRPr="00FA0B89">
        <w:rPr>
          <w:rFonts w:eastAsia="Times New Roman" w:cs="Times New Roman"/>
          <w:szCs w:val="28"/>
          <w:lang w:eastAsia="lv-LV"/>
        </w:rPr>
        <w:t xml:space="preserve">maiju tika nodrošināta vienota pieeja dīzeļdegvielas iegādē attiecībā uz zvejniekiem. Piekrastes zvejniekiem saglabāta iepriekš  normatīvajos aktos noteiktā kārtība – iespēja ostu teritorijās iegādāties no akcīzes nodokļa atbrīvotu dīzeļdegvielu izmantošanai zvejas kuģos piekrastes ūdeņos. </w:t>
      </w:r>
      <w:r w:rsidRPr="00FA0B89">
        <w:rPr>
          <w:rFonts w:eastAsia="Times New Roman" w:cs="Times New Roman"/>
          <w:iCs/>
          <w:spacing w:val="2"/>
          <w:szCs w:val="28"/>
        </w:rPr>
        <w:t>Savukārt tiem piekrastes un iekšējo ūdeņu zvejniekiem, kuri nevar rast iespēju ostu teritorijās iegādāties no akcīzes nodokļa atbrīvotu dīzeļdegvielu izmantošanai zvejas kuģos, paredzēta samazinātas akcīzes nodokļa likmes piemērošana marķētai dīzeļdegvielai izmantošanai zvejas kuģos piekrastes un iekšējos ūdeņos, vienlaikus ieviešot akcīzes nodokļa atmaksu piekrastes ūdeņu zvejniekiem par to zvejas kuģos izmantoto marķēto dīzeļdegvielu ar samazinātu akcīzes nodokļa likmi.</w:t>
      </w:r>
    </w:p>
    <w:p w:rsidR="00BF4753" w:rsidRDefault="00BF4753" w:rsidP="00BF4753">
      <w:pPr>
        <w:rPr>
          <w:rFonts w:eastAsia="Times New Roman" w:cs="Times New Roman"/>
          <w:szCs w:val="28"/>
          <w:lang w:eastAsia="lv-LV"/>
        </w:rPr>
      </w:pPr>
      <w:r w:rsidRPr="00FA0B89">
        <w:rPr>
          <w:rFonts w:eastAsia="Times New Roman" w:cs="Times New Roman"/>
          <w:szCs w:val="28"/>
          <w:lang w:eastAsia="lv-LV"/>
        </w:rPr>
        <w:t>Ar šiem grozījumiem paredzēts bezalkoholiskajiem dzērieniem ar cukura saturu no 8 gramiem uz 100 mililitriem piemērot paaugstinātu akcīzes nodokļa likmi 14,00 </w:t>
      </w:r>
      <w:r w:rsidRPr="00FA0B89">
        <w:rPr>
          <w:rFonts w:eastAsia="Times New Roman" w:cs="Times New Roman"/>
          <w:i/>
          <w:szCs w:val="28"/>
          <w:lang w:eastAsia="lv-LV"/>
        </w:rPr>
        <w:t>euro</w:t>
      </w:r>
      <w:r w:rsidRPr="00FA0B89">
        <w:rPr>
          <w:rFonts w:eastAsia="Times New Roman" w:cs="Times New Roman"/>
          <w:szCs w:val="28"/>
          <w:lang w:eastAsia="lv-LV"/>
        </w:rPr>
        <w:t xml:space="preserve"> par 100 litriem ar 2022.gada 1.</w:t>
      </w:r>
      <w:r>
        <w:rPr>
          <w:rFonts w:eastAsia="Times New Roman" w:cs="Times New Roman"/>
          <w:szCs w:val="28"/>
          <w:lang w:eastAsia="lv-LV"/>
        </w:rPr>
        <w:t xml:space="preserve"> janvāri.</w:t>
      </w:r>
    </w:p>
    <w:p w:rsidR="003F1C79" w:rsidRDefault="003F1C79" w:rsidP="00BF4753">
      <w:pPr>
        <w:rPr>
          <w:rFonts w:eastAsia="Times New Roman" w:cs="Times New Roman"/>
          <w:szCs w:val="28"/>
          <w:lang w:eastAsia="lv-LV"/>
        </w:rPr>
      </w:pPr>
    </w:p>
    <w:p w:rsidR="00BF4753" w:rsidRDefault="00BF4753" w:rsidP="003F1C79">
      <w:pPr>
        <w:rPr>
          <w:rFonts w:eastAsia="Times New Roman" w:cs="Times New Roman"/>
          <w:b/>
          <w:i/>
          <w:iCs/>
          <w:sz w:val="24"/>
          <w:szCs w:val="20"/>
        </w:rPr>
      </w:pPr>
      <w:r>
        <w:rPr>
          <w:rFonts w:eastAsia="Times New Roman" w:cs="Times New Roman"/>
          <w:b/>
          <w:i/>
          <w:iCs/>
          <w:sz w:val="24"/>
          <w:szCs w:val="20"/>
        </w:rPr>
        <w:t xml:space="preserve"> </w:t>
      </w:r>
    </w:p>
    <w:p w:rsidR="003F1C79" w:rsidRDefault="003F1C79" w:rsidP="003F1C79">
      <w:pPr>
        <w:rPr>
          <w:rFonts w:eastAsia="Times New Roman" w:cs="Times New Roman"/>
          <w:b/>
          <w:i/>
          <w:iCs/>
          <w:sz w:val="24"/>
          <w:szCs w:val="20"/>
        </w:rPr>
      </w:pPr>
    </w:p>
    <w:p w:rsidR="00BF4753" w:rsidRPr="00182E2D" w:rsidRDefault="00BF4753" w:rsidP="003F1C79">
      <w:pPr>
        <w:keepNext/>
        <w:spacing w:after="120"/>
        <w:ind w:firstLine="709"/>
        <w:jc w:val="right"/>
        <w:rPr>
          <w:rFonts w:eastAsia="Times New Roman" w:cs="Times New Roman"/>
          <w:b/>
          <w:i/>
          <w:iCs/>
          <w:sz w:val="24"/>
          <w:szCs w:val="20"/>
        </w:rPr>
      </w:pPr>
      <w:r w:rsidRPr="00C803AC">
        <w:rPr>
          <w:rFonts w:eastAsia="Times New Roman" w:cs="Times New Roman"/>
          <w:b/>
          <w:i/>
          <w:iCs/>
          <w:sz w:val="24"/>
          <w:szCs w:val="20"/>
        </w:rPr>
        <w:lastRenderedPageBreak/>
        <w:t>5.6.</w:t>
      </w:r>
      <w:r>
        <w:rPr>
          <w:rFonts w:eastAsia="Times New Roman" w:cs="Times New Roman"/>
          <w:b/>
          <w:i/>
          <w:iCs/>
          <w:sz w:val="24"/>
          <w:szCs w:val="20"/>
        </w:rPr>
        <w:t xml:space="preserve"> </w:t>
      </w:r>
      <w:r w:rsidRPr="00C803AC">
        <w:rPr>
          <w:rFonts w:eastAsia="Times New Roman" w:cs="Times New Roman"/>
          <w:b/>
          <w:i/>
          <w:iCs/>
          <w:sz w:val="24"/>
          <w:szCs w:val="20"/>
        </w:rPr>
        <w:t>tabula</w:t>
      </w:r>
      <w:r w:rsidRPr="00182E2D">
        <w:rPr>
          <w:rFonts w:eastAsia="Times New Roman" w:cs="Times New Roman"/>
          <w:b/>
          <w:i/>
          <w:iCs/>
          <w:sz w:val="24"/>
          <w:szCs w:val="20"/>
        </w:rPr>
        <w:t>. Nodokļu politikas izmaiņu ietekme uz akcīzes nodokļa ieņēmumiem, milj. euro</w:t>
      </w:r>
    </w:p>
    <w:tbl>
      <w:tblPr>
        <w:tblStyle w:val="TableGrid11"/>
        <w:tblW w:w="9180" w:type="dxa"/>
        <w:tblLayout w:type="fixed"/>
        <w:tblLook w:val="04A0" w:firstRow="1" w:lastRow="0" w:firstColumn="1" w:lastColumn="0" w:noHBand="0" w:noVBand="1"/>
      </w:tblPr>
      <w:tblGrid>
        <w:gridCol w:w="5637"/>
        <w:gridCol w:w="992"/>
        <w:gridCol w:w="851"/>
        <w:gridCol w:w="850"/>
        <w:gridCol w:w="850"/>
      </w:tblGrid>
      <w:tr w:rsidR="00BF4753" w:rsidRPr="00182E2D" w:rsidTr="002D7CA8">
        <w:tc>
          <w:tcPr>
            <w:tcW w:w="5637" w:type="dxa"/>
            <w:shd w:val="clear" w:color="auto" w:fill="9CC2E5"/>
          </w:tcPr>
          <w:p w:rsidR="00BF4753" w:rsidRPr="00182E2D" w:rsidRDefault="00BF4753" w:rsidP="002D7CA8">
            <w:pPr>
              <w:ind w:firstLine="0"/>
              <w:jc w:val="left"/>
              <w:rPr>
                <w:rFonts w:eastAsia="Times New Roman"/>
                <w:b/>
                <w:bCs/>
                <w:sz w:val="20"/>
              </w:rPr>
            </w:pPr>
          </w:p>
        </w:tc>
        <w:tc>
          <w:tcPr>
            <w:tcW w:w="992"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2021</w:t>
            </w:r>
          </w:p>
        </w:tc>
        <w:tc>
          <w:tcPr>
            <w:tcW w:w="851"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2022</w:t>
            </w:r>
          </w:p>
        </w:tc>
        <w:tc>
          <w:tcPr>
            <w:tcW w:w="850"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2023</w:t>
            </w:r>
          </w:p>
        </w:tc>
        <w:tc>
          <w:tcPr>
            <w:tcW w:w="850"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2024</w:t>
            </w:r>
          </w:p>
        </w:tc>
      </w:tr>
      <w:tr w:rsidR="00BF4753" w:rsidRPr="00182E2D" w:rsidTr="002D7CA8">
        <w:tc>
          <w:tcPr>
            <w:tcW w:w="5637" w:type="dxa"/>
          </w:tcPr>
          <w:p w:rsidR="00BF4753" w:rsidRPr="00182E2D" w:rsidRDefault="00BF4753" w:rsidP="002D7CA8">
            <w:pPr>
              <w:ind w:firstLine="0"/>
              <w:jc w:val="left"/>
              <w:rPr>
                <w:rFonts w:eastAsia="Times New Roman"/>
                <w:sz w:val="20"/>
              </w:rPr>
            </w:pPr>
            <w:r w:rsidRPr="00182E2D">
              <w:rPr>
                <w:rFonts w:eastAsia="Times New Roman"/>
                <w:sz w:val="20"/>
              </w:rPr>
              <w:t>Akcīzes nodokļa likmju paaugstināšana alkoholiskajiem dzērieniem un alum ar 01.03.2018.,  01.03.2019. un 01.03.2020.</w:t>
            </w:r>
          </w:p>
        </w:tc>
        <w:tc>
          <w:tcPr>
            <w:tcW w:w="992" w:type="dxa"/>
          </w:tcPr>
          <w:p w:rsidR="00BF4753" w:rsidRPr="00182E2D" w:rsidRDefault="00BF4753" w:rsidP="002D7CA8">
            <w:pPr>
              <w:tabs>
                <w:tab w:val="decimal" w:pos="458"/>
              </w:tabs>
              <w:ind w:firstLine="0"/>
              <w:jc w:val="right"/>
              <w:rPr>
                <w:rFonts w:eastAsia="Times New Roman"/>
                <w:sz w:val="20"/>
              </w:rPr>
            </w:pPr>
            <w:r w:rsidRPr="00182E2D">
              <w:rPr>
                <w:rFonts w:eastAsia="Times New Roman"/>
                <w:sz w:val="20"/>
              </w:rPr>
              <w:t>+3,2</w:t>
            </w:r>
          </w:p>
        </w:tc>
        <w:tc>
          <w:tcPr>
            <w:tcW w:w="851" w:type="dxa"/>
          </w:tcPr>
          <w:p w:rsidR="00BF4753" w:rsidRPr="00182E2D" w:rsidRDefault="00BF4753" w:rsidP="002D7CA8">
            <w:pPr>
              <w:tabs>
                <w:tab w:val="decimal" w:pos="458"/>
              </w:tabs>
              <w:ind w:firstLine="0"/>
              <w:jc w:val="right"/>
              <w:rPr>
                <w:rFonts w:eastAsia="Times New Roman"/>
                <w:sz w:val="20"/>
              </w:rPr>
            </w:pPr>
          </w:p>
        </w:tc>
        <w:tc>
          <w:tcPr>
            <w:tcW w:w="850" w:type="dxa"/>
          </w:tcPr>
          <w:p w:rsidR="00BF4753" w:rsidRPr="00182E2D" w:rsidRDefault="00BF4753" w:rsidP="002D7CA8">
            <w:pPr>
              <w:tabs>
                <w:tab w:val="decimal" w:pos="458"/>
              </w:tabs>
              <w:ind w:firstLine="0"/>
              <w:jc w:val="right"/>
              <w:rPr>
                <w:rFonts w:eastAsia="Times New Roman"/>
                <w:sz w:val="20"/>
              </w:rPr>
            </w:pPr>
          </w:p>
        </w:tc>
        <w:tc>
          <w:tcPr>
            <w:tcW w:w="850" w:type="dxa"/>
          </w:tcPr>
          <w:p w:rsidR="00BF4753" w:rsidRPr="00182E2D" w:rsidRDefault="00BF4753" w:rsidP="002D7CA8">
            <w:pPr>
              <w:tabs>
                <w:tab w:val="decimal" w:pos="458"/>
              </w:tabs>
              <w:ind w:firstLine="0"/>
              <w:jc w:val="right"/>
              <w:rPr>
                <w:rFonts w:eastAsia="Times New Roman"/>
                <w:sz w:val="20"/>
              </w:rPr>
            </w:pPr>
          </w:p>
        </w:tc>
      </w:tr>
      <w:tr w:rsidR="00BF4753" w:rsidRPr="00182E2D" w:rsidTr="002D7CA8">
        <w:tc>
          <w:tcPr>
            <w:tcW w:w="5637" w:type="dxa"/>
          </w:tcPr>
          <w:p w:rsidR="00BF4753" w:rsidRPr="00182E2D" w:rsidRDefault="00BF4753" w:rsidP="002D7CA8">
            <w:pPr>
              <w:ind w:firstLine="0"/>
              <w:jc w:val="left"/>
              <w:rPr>
                <w:rFonts w:eastAsia="Times New Roman"/>
                <w:sz w:val="20"/>
              </w:rPr>
            </w:pPr>
            <w:r w:rsidRPr="00182E2D">
              <w:rPr>
                <w:rFonts w:eastAsia="Times New Roman"/>
                <w:sz w:val="20"/>
              </w:rPr>
              <w:t>Akcīzes nodokļa  likmju alkoholiskajiem dzērieniem lēnāka paaugstināšana ar 01.03.2020. un ar 01.03.2021. (par 5% katru gadu) iepriekš plānoto aptuveni 10% vietā (stiprajam alkoholam plānotais pieaugums bija 29,5%)</w:t>
            </w:r>
          </w:p>
        </w:tc>
        <w:tc>
          <w:tcPr>
            <w:tcW w:w="992" w:type="dxa"/>
          </w:tcPr>
          <w:p w:rsidR="00BF4753" w:rsidRPr="00182E2D" w:rsidRDefault="00BF4753" w:rsidP="002D7CA8">
            <w:pPr>
              <w:tabs>
                <w:tab w:val="decimal" w:pos="458"/>
              </w:tabs>
              <w:ind w:firstLine="0"/>
              <w:jc w:val="right"/>
              <w:rPr>
                <w:rFonts w:eastAsia="Times New Roman"/>
                <w:sz w:val="20"/>
              </w:rPr>
            </w:pPr>
            <w:r w:rsidRPr="00182E2D">
              <w:rPr>
                <w:rFonts w:eastAsia="Times New Roman"/>
                <w:sz w:val="20"/>
              </w:rPr>
              <w:t>+9,2</w:t>
            </w:r>
          </w:p>
        </w:tc>
        <w:tc>
          <w:tcPr>
            <w:tcW w:w="851" w:type="dxa"/>
          </w:tcPr>
          <w:p w:rsidR="00BF4753" w:rsidRPr="00182E2D" w:rsidRDefault="00BF4753" w:rsidP="002D7CA8">
            <w:pPr>
              <w:tabs>
                <w:tab w:val="decimal" w:pos="458"/>
              </w:tabs>
              <w:ind w:firstLine="0"/>
              <w:jc w:val="right"/>
              <w:rPr>
                <w:rFonts w:eastAsia="Times New Roman"/>
                <w:sz w:val="20"/>
              </w:rPr>
            </w:pPr>
            <w:r w:rsidRPr="00182E2D">
              <w:rPr>
                <w:rFonts w:eastAsia="Times New Roman"/>
                <w:sz w:val="20"/>
              </w:rPr>
              <w:t>+1,1</w:t>
            </w:r>
          </w:p>
        </w:tc>
        <w:tc>
          <w:tcPr>
            <w:tcW w:w="850" w:type="dxa"/>
          </w:tcPr>
          <w:p w:rsidR="00BF4753" w:rsidRPr="00182E2D" w:rsidRDefault="00BF4753" w:rsidP="002D7CA8">
            <w:pPr>
              <w:tabs>
                <w:tab w:val="decimal" w:pos="458"/>
              </w:tabs>
              <w:ind w:firstLine="0"/>
              <w:jc w:val="right"/>
              <w:rPr>
                <w:rFonts w:eastAsia="Times New Roman"/>
                <w:sz w:val="20"/>
              </w:rPr>
            </w:pPr>
          </w:p>
        </w:tc>
        <w:tc>
          <w:tcPr>
            <w:tcW w:w="850" w:type="dxa"/>
          </w:tcPr>
          <w:p w:rsidR="00BF4753" w:rsidRPr="00182E2D" w:rsidRDefault="00BF4753" w:rsidP="002D7CA8">
            <w:pPr>
              <w:tabs>
                <w:tab w:val="decimal" w:pos="458"/>
              </w:tabs>
              <w:ind w:firstLine="0"/>
              <w:jc w:val="right"/>
              <w:rPr>
                <w:rFonts w:eastAsia="Times New Roman"/>
                <w:sz w:val="20"/>
              </w:rPr>
            </w:pPr>
          </w:p>
        </w:tc>
      </w:tr>
      <w:tr w:rsidR="00BF4753" w:rsidRPr="00182E2D" w:rsidTr="002D7CA8">
        <w:tc>
          <w:tcPr>
            <w:tcW w:w="5637" w:type="dxa"/>
          </w:tcPr>
          <w:p w:rsidR="00BF4753" w:rsidRPr="00182E2D" w:rsidRDefault="00BF4753" w:rsidP="002D7CA8">
            <w:pPr>
              <w:ind w:firstLine="0"/>
              <w:jc w:val="left"/>
              <w:rPr>
                <w:rFonts w:eastAsia="Times New Roman"/>
                <w:sz w:val="20"/>
              </w:rPr>
            </w:pPr>
            <w:r w:rsidRPr="00182E2D">
              <w:rPr>
                <w:rFonts w:eastAsia="Times New Roman"/>
                <w:sz w:val="20"/>
              </w:rPr>
              <w:t>Akcīzes nodokļa likmju alum lēnāka paaugstināšana ar 01.03.2020. un ar 01.03.2021. (par 5% katru gadu) iepriekš plānoto  10% vietā</w:t>
            </w:r>
          </w:p>
        </w:tc>
        <w:tc>
          <w:tcPr>
            <w:tcW w:w="992" w:type="dxa"/>
          </w:tcPr>
          <w:p w:rsidR="00BF4753" w:rsidRPr="00182E2D" w:rsidRDefault="00BF4753" w:rsidP="002D7CA8">
            <w:pPr>
              <w:tabs>
                <w:tab w:val="decimal" w:pos="458"/>
              </w:tabs>
              <w:ind w:firstLine="0"/>
              <w:jc w:val="right"/>
              <w:rPr>
                <w:rFonts w:eastAsia="Times New Roman"/>
                <w:sz w:val="20"/>
              </w:rPr>
            </w:pPr>
            <w:r w:rsidRPr="00182E2D">
              <w:rPr>
                <w:rFonts w:eastAsia="Times New Roman"/>
                <w:sz w:val="20"/>
              </w:rPr>
              <w:t>+4,6</w:t>
            </w:r>
          </w:p>
        </w:tc>
        <w:tc>
          <w:tcPr>
            <w:tcW w:w="851" w:type="dxa"/>
          </w:tcPr>
          <w:p w:rsidR="00BF4753" w:rsidRPr="00182E2D" w:rsidRDefault="00BF4753" w:rsidP="002D7CA8">
            <w:pPr>
              <w:tabs>
                <w:tab w:val="decimal" w:pos="458"/>
              </w:tabs>
              <w:ind w:firstLine="0"/>
              <w:jc w:val="right"/>
              <w:rPr>
                <w:rFonts w:eastAsia="Times New Roman"/>
                <w:sz w:val="20"/>
              </w:rPr>
            </w:pPr>
            <w:r w:rsidRPr="00182E2D">
              <w:rPr>
                <w:rFonts w:eastAsia="Times New Roman"/>
                <w:sz w:val="20"/>
              </w:rPr>
              <w:t>+0,3</w:t>
            </w:r>
          </w:p>
        </w:tc>
        <w:tc>
          <w:tcPr>
            <w:tcW w:w="850" w:type="dxa"/>
          </w:tcPr>
          <w:p w:rsidR="00BF4753" w:rsidRPr="00182E2D" w:rsidRDefault="00BF4753" w:rsidP="002D7CA8">
            <w:pPr>
              <w:tabs>
                <w:tab w:val="decimal" w:pos="458"/>
              </w:tabs>
              <w:ind w:firstLine="0"/>
              <w:jc w:val="right"/>
              <w:rPr>
                <w:rFonts w:eastAsia="Times New Roman"/>
                <w:sz w:val="20"/>
                <w:highlight w:val="yellow"/>
              </w:rPr>
            </w:pPr>
          </w:p>
        </w:tc>
        <w:tc>
          <w:tcPr>
            <w:tcW w:w="850" w:type="dxa"/>
          </w:tcPr>
          <w:p w:rsidR="00BF4753" w:rsidRPr="00182E2D" w:rsidRDefault="00BF4753" w:rsidP="002D7CA8">
            <w:pPr>
              <w:tabs>
                <w:tab w:val="decimal" w:pos="458"/>
              </w:tabs>
              <w:ind w:firstLine="0"/>
              <w:jc w:val="right"/>
              <w:rPr>
                <w:rFonts w:eastAsia="Times New Roman"/>
                <w:sz w:val="20"/>
                <w:highlight w:val="yellow"/>
              </w:rPr>
            </w:pPr>
          </w:p>
        </w:tc>
      </w:tr>
      <w:tr w:rsidR="00BF4753" w:rsidRPr="00182E2D" w:rsidTr="002D7CA8">
        <w:tc>
          <w:tcPr>
            <w:tcW w:w="5637" w:type="dxa"/>
          </w:tcPr>
          <w:p w:rsidR="00BF4753" w:rsidRPr="00182E2D" w:rsidRDefault="00BF4753" w:rsidP="002D7CA8">
            <w:pPr>
              <w:ind w:firstLine="0"/>
              <w:jc w:val="left"/>
              <w:rPr>
                <w:rFonts w:eastAsia="Times New Roman"/>
                <w:sz w:val="20"/>
              </w:rPr>
            </w:pPr>
            <w:r w:rsidRPr="00182E2D">
              <w:rPr>
                <w:rFonts w:eastAsia="Times New Roman"/>
                <w:sz w:val="20"/>
              </w:rPr>
              <w:t>Starpproduktu definīcijas precizēšana</w:t>
            </w:r>
          </w:p>
        </w:tc>
        <w:tc>
          <w:tcPr>
            <w:tcW w:w="992" w:type="dxa"/>
          </w:tcPr>
          <w:p w:rsidR="00BF4753" w:rsidRPr="00182E2D" w:rsidRDefault="00BF4753" w:rsidP="002D7CA8">
            <w:pPr>
              <w:tabs>
                <w:tab w:val="decimal" w:pos="458"/>
              </w:tabs>
              <w:ind w:firstLine="0"/>
              <w:jc w:val="right"/>
              <w:rPr>
                <w:rFonts w:eastAsia="Times New Roman"/>
                <w:sz w:val="20"/>
              </w:rPr>
            </w:pPr>
            <w:r w:rsidRPr="00182E2D">
              <w:rPr>
                <w:rFonts w:eastAsia="Times New Roman"/>
                <w:sz w:val="20"/>
              </w:rPr>
              <w:t>+3,3</w:t>
            </w:r>
          </w:p>
        </w:tc>
        <w:tc>
          <w:tcPr>
            <w:tcW w:w="851" w:type="dxa"/>
          </w:tcPr>
          <w:p w:rsidR="00BF4753" w:rsidRPr="00182E2D" w:rsidRDefault="00BF4753" w:rsidP="002D7CA8">
            <w:pPr>
              <w:tabs>
                <w:tab w:val="decimal" w:pos="458"/>
              </w:tabs>
              <w:ind w:firstLine="0"/>
              <w:jc w:val="right"/>
              <w:rPr>
                <w:rFonts w:eastAsia="Times New Roman"/>
                <w:sz w:val="20"/>
                <w:highlight w:val="yellow"/>
              </w:rPr>
            </w:pPr>
          </w:p>
        </w:tc>
        <w:tc>
          <w:tcPr>
            <w:tcW w:w="850" w:type="dxa"/>
          </w:tcPr>
          <w:p w:rsidR="00BF4753" w:rsidRPr="00182E2D" w:rsidRDefault="00BF4753" w:rsidP="002D7CA8">
            <w:pPr>
              <w:tabs>
                <w:tab w:val="decimal" w:pos="458"/>
              </w:tabs>
              <w:ind w:firstLine="0"/>
              <w:jc w:val="right"/>
              <w:rPr>
                <w:rFonts w:eastAsia="Times New Roman"/>
                <w:sz w:val="20"/>
                <w:highlight w:val="yellow"/>
              </w:rPr>
            </w:pPr>
          </w:p>
        </w:tc>
        <w:tc>
          <w:tcPr>
            <w:tcW w:w="850" w:type="dxa"/>
          </w:tcPr>
          <w:p w:rsidR="00BF4753" w:rsidRPr="00182E2D" w:rsidRDefault="00BF4753" w:rsidP="002D7CA8">
            <w:pPr>
              <w:tabs>
                <w:tab w:val="decimal" w:pos="458"/>
              </w:tabs>
              <w:ind w:firstLine="0"/>
              <w:jc w:val="right"/>
              <w:rPr>
                <w:rFonts w:eastAsia="Times New Roman"/>
                <w:sz w:val="20"/>
                <w:highlight w:val="yellow"/>
              </w:rPr>
            </w:pPr>
          </w:p>
        </w:tc>
      </w:tr>
      <w:tr w:rsidR="00BF4753" w:rsidRPr="00182E2D" w:rsidTr="002D7CA8">
        <w:tc>
          <w:tcPr>
            <w:tcW w:w="5637" w:type="dxa"/>
          </w:tcPr>
          <w:p w:rsidR="00BF4753" w:rsidRPr="00182E2D" w:rsidRDefault="00BF4753" w:rsidP="002D7CA8">
            <w:pPr>
              <w:ind w:firstLine="0"/>
              <w:jc w:val="left"/>
              <w:rPr>
                <w:rFonts w:eastAsia="Times New Roman"/>
                <w:sz w:val="20"/>
              </w:rPr>
            </w:pPr>
            <w:r w:rsidRPr="00182E2D">
              <w:rPr>
                <w:rFonts w:eastAsia="Times New Roman"/>
                <w:sz w:val="20"/>
              </w:rPr>
              <w:t>Akcīzes nodokļa atbrīvojumu atcelšana dabasgāzei, ko izmanto lauksaimniecībā izmantojamās zemes segto platību (siltumnīcu) siltumapgādei un rūpniecisko mājputnu novietņu (kūts) un inkubatoru siltumapgādei ar 01.05.2020.</w:t>
            </w:r>
          </w:p>
        </w:tc>
        <w:tc>
          <w:tcPr>
            <w:tcW w:w="992" w:type="dxa"/>
          </w:tcPr>
          <w:p w:rsidR="00BF4753" w:rsidRPr="00182E2D" w:rsidRDefault="00BF4753" w:rsidP="002D7CA8">
            <w:pPr>
              <w:tabs>
                <w:tab w:val="decimal" w:pos="458"/>
              </w:tabs>
              <w:ind w:firstLine="0"/>
              <w:jc w:val="right"/>
              <w:rPr>
                <w:rFonts w:eastAsia="Times New Roman"/>
                <w:sz w:val="20"/>
              </w:rPr>
            </w:pPr>
            <w:r w:rsidRPr="00182E2D">
              <w:rPr>
                <w:rFonts w:eastAsia="Times New Roman"/>
                <w:sz w:val="20"/>
              </w:rPr>
              <w:t>+0,05</w:t>
            </w:r>
          </w:p>
        </w:tc>
        <w:tc>
          <w:tcPr>
            <w:tcW w:w="851" w:type="dxa"/>
          </w:tcPr>
          <w:p w:rsidR="00BF4753" w:rsidRPr="00182E2D" w:rsidRDefault="00BF4753" w:rsidP="002D7CA8">
            <w:pPr>
              <w:tabs>
                <w:tab w:val="decimal" w:pos="458"/>
              </w:tabs>
              <w:ind w:firstLine="0"/>
              <w:jc w:val="right"/>
              <w:rPr>
                <w:rFonts w:eastAsia="Times New Roman"/>
                <w:sz w:val="20"/>
                <w:highlight w:val="yellow"/>
              </w:rPr>
            </w:pPr>
          </w:p>
        </w:tc>
        <w:tc>
          <w:tcPr>
            <w:tcW w:w="850" w:type="dxa"/>
          </w:tcPr>
          <w:p w:rsidR="00BF4753" w:rsidRPr="00182E2D" w:rsidRDefault="00BF4753" w:rsidP="002D7CA8">
            <w:pPr>
              <w:tabs>
                <w:tab w:val="decimal" w:pos="458"/>
              </w:tabs>
              <w:ind w:firstLine="0"/>
              <w:jc w:val="right"/>
              <w:rPr>
                <w:rFonts w:eastAsia="Times New Roman"/>
                <w:sz w:val="20"/>
                <w:highlight w:val="yellow"/>
              </w:rPr>
            </w:pPr>
          </w:p>
        </w:tc>
        <w:tc>
          <w:tcPr>
            <w:tcW w:w="850" w:type="dxa"/>
          </w:tcPr>
          <w:p w:rsidR="00BF4753" w:rsidRPr="00182E2D" w:rsidRDefault="00BF4753" w:rsidP="002D7CA8">
            <w:pPr>
              <w:tabs>
                <w:tab w:val="decimal" w:pos="458"/>
              </w:tabs>
              <w:ind w:firstLine="0"/>
              <w:jc w:val="right"/>
              <w:rPr>
                <w:rFonts w:eastAsia="Times New Roman"/>
                <w:sz w:val="20"/>
                <w:highlight w:val="yellow"/>
              </w:rPr>
            </w:pPr>
          </w:p>
        </w:tc>
      </w:tr>
      <w:tr w:rsidR="00BF4753" w:rsidRPr="00182E2D" w:rsidTr="002D7CA8">
        <w:tc>
          <w:tcPr>
            <w:tcW w:w="5637" w:type="dxa"/>
          </w:tcPr>
          <w:p w:rsidR="00BF4753" w:rsidRPr="00182E2D" w:rsidRDefault="00BF4753" w:rsidP="002D7CA8">
            <w:pPr>
              <w:ind w:firstLine="0"/>
              <w:jc w:val="left"/>
              <w:rPr>
                <w:rFonts w:eastAsia="Times New Roman"/>
                <w:color w:val="000000"/>
                <w:sz w:val="20"/>
              </w:rPr>
            </w:pPr>
            <w:r w:rsidRPr="00182E2D">
              <w:rPr>
                <w:rFonts w:eastAsia="Times New Roman"/>
                <w:sz w:val="20"/>
              </w:rPr>
              <w:t>Akcīzes nodokļa likmju paaugstināšana un restrukturizēšana cigaretēm ar 01.03.2021., 01.01.2022. un 01.01.2023. un likmju paaugstināšana cigāriem, cigarillām, smēķējamai, karsējamai tabakai un e-cigarešu šķidrumiem ar 01.01.2021., 01.01.2022. un 01.01.2023.</w:t>
            </w:r>
          </w:p>
        </w:tc>
        <w:tc>
          <w:tcPr>
            <w:tcW w:w="992" w:type="dxa"/>
          </w:tcPr>
          <w:p w:rsidR="00BF4753" w:rsidRPr="00182E2D" w:rsidRDefault="00BF4753" w:rsidP="002D7CA8">
            <w:pPr>
              <w:tabs>
                <w:tab w:val="decimal" w:pos="458"/>
              </w:tabs>
              <w:ind w:firstLine="0"/>
              <w:jc w:val="right"/>
              <w:rPr>
                <w:rFonts w:eastAsia="Times New Roman"/>
                <w:color w:val="000000"/>
                <w:sz w:val="20"/>
              </w:rPr>
            </w:pPr>
            <w:r w:rsidRPr="00182E2D">
              <w:rPr>
                <w:rFonts w:eastAsia="Times New Roman"/>
                <w:color w:val="000000"/>
                <w:sz w:val="20"/>
              </w:rPr>
              <w:t>+6,2</w:t>
            </w:r>
          </w:p>
        </w:tc>
        <w:tc>
          <w:tcPr>
            <w:tcW w:w="851" w:type="dxa"/>
          </w:tcPr>
          <w:p w:rsidR="00BF4753" w:rsidRPr="00182E2D" w:rsidRDefault="00BF4753" w:rsidP="002D7CA8">
            <w:pPr>
              <w:tabs>
                <w:tab w:val="decimal" w:pos="458"/>
              </w:tabs>
              <w:ind w:firstLine="0"/>
              <w:jc w:val="right"/>
              <w:rPr>
                <w:rFonts w:eastAsia="Times New Roman"/>
                <w:color w:val="000000"/>
                <w:sz w:val="20"/>
              </w:rPr>
            </w:pPr>
            <w:r w:rsidRPr="00182E2D">
              <w:rPr>
                <w:rFonts w:eastAsia="Times New Roman"/>
                <w:color w:val="000000"/>
                <w:sz w:val="20"/>
              </w:rPr>
              <w:t>+5,2</w:t>
            </w:r>
          </w:p>
        </w:tc>
        <w:tc>
          <w:tcPr>
            <w:tcW w:w="850" w:type="dxa"/>
          </w:tcPr>
          <w:p w:rsidR="00BF4753" w:rsidRPr="00182E2D" w:rsidRDefault="00BF4753" w:rsidP="002D7CA8">
            <w:pPr>
              <w:tabs>
                <w:tab w:val="decimal" w:pos="458"/>
              </w:tabs>
              <w:ind w:firstLine="0"/>
              <w:jc w:val="right"/>
              <w:rPr>
                <w:rFonts w:eastAsia="Times New Roman"/>
                <w:color w:val="000000"/>
                <w:sz w:val="20"/>
              </w:rPr>
            </w:pPr>
            <w:r w:rsidRPr="00182E2D">
              <w:rPr>
                <w:rFonts w:eastAsia="Times New Roman"/>
                <w:color w:val="000000"/>
                <w:sz w:val="20"/>
              </w:rPr>
              <w:t>+2,8</w:t>
            </w:r>
          </w:p>
        </w:tc>
        <w:tc>
          <w:tcPr>
            <w:tcW w:w="850" w:type="dxa"/>
          </w:tcPr>
          <w:p w:rsidR="00BF4753" w:rsidRPr="00182E2D" w:rsidRDefault="00BF4753" w:rsidP="002D7CA8">
            <w:pPr>
              <w:tabs>
                <w:tab w:val="decimal" w:pos="458"/>
              </w:tabs>
              <w:ind w:firstLine="0"/>
              <w:jc w:val="right"/>
              <w:rPr>
                <w:rFonts w:eastAsia="Times New Roman"/>
                <w:color w:val="000000"/>
                <w:sz w:val="20"/>
              </w:rPr>
            </w:pPr>
          </w:p>
        </w:tc>
      </w:tr>
      <w:tr w:rsidR="00BF4753" w:rsidRPr="00182E2D" w:rsidTr="002D7CA8">
        <w:tc>
          <w:tcPr>
            <w:tcW w:w="5637" w:type="dxa"/>
          </w:tcPr>
          <w:p w:rsidR="00BF4753" w:rsidRPr="00182E2D" w:rsidRDefault="00BF4753" w:rsidP="002D7CA8">
            <w:pPr>
              <w:ind w:firstLine="0"/>
              <w:jc w:val="left"/>
              <w:rPr>
                <w:rFonts w:eastAsia="Times New Roman"/>
                <w:sz w:val="20"/>
              </w:rPr>
            </w:pPr>
            <w:r w:rsidRPr="00182E2D">
              <w:rPr>
                <w:rFonts w:eastAsia="Times New Roman"/>
                <w:sz w:val="20"/>
              </w:rPr>
              <w:t>Covid-19 izplatības dēļ  piešķirtie termiņa pagarinājumi 2021.</w:t>
            </w:r>
            <w:r>
              <w:rPr>
                <w:rFonts w:eastAsia="Times New Roman"/>
                <w:sz w:val="20"/>
              </w:rPr>
              <w:t xml:space="preserve"> </w:t>
            </w:r>
            <w:r w:rsidRPr="00182E2D">
              <w:rPr>
                <w:rFonts w:eastAsia="Times New Roman"/>
                <w:sz w:val="20"/>
              </w:rPr>
              <w:t>gadā</w:t>
            </w:r>
          </w:p>
        </w:tc>
        <w:tc>
          <w:tcPr>
            <w:tcW w:w="992" w:type="dxa"/>
          </w:tcPr>
          <w:p w:rsidR="00BF4753" w:rsidRPr="00182E2D" w:rsidRDefault="00BF4753" w:rsidP="002D7CA8">
            <w:pPr>
              <w:tabs>
                <w:tab w:val="decimal" w:pos="458"/>
              </w:tabs>
              <w:ind w:firstLine="0"/>
              <w:jc w:val="right"/>
              <w:rPr>
                <w:rFonts w:eastAsia="Times New Roman"/>
                <w:color w:val="000000"/>
                <w:sz w:val="20"/>
              </w:rPr>
            </w:pPr>
            <w:r w:rsidRPr="00182E2D">
              <w:rPr>
                <w:rFonts w:eastAsia="Times New Roman"/>
                <w:color w:val="000000"/>
                <w:sz w:val="20"/>
              </w:rPr>
              <w:t>-0,9</w:t>
            </w:r>
          </w:p>
        </w:tc>
        <w:tc>
          <w:tcPr>
            <w:tcW w:w="851" w:type="dxa"/>
          </w:tcPr>
          <w:p w:rsidR="00BF4753" w:rsidRPr="00182E2D" w:rsidRDefault="00BF4753" w:rsidP="002D7CA8">
            <w:pPr>
              <w:tabs>
                <w:tab w:val="decimal" w:pos="458"/>
              </w:tabs>
              <w:ind w:firstLine="0"/>
              <w:jc w:val="right"/>
              <w:rPr>
                <w:rFonts w:eastAsia="Times New Roman"/>
                <w:sz w:val="20"/>
                <w:highlight w:val="yellow"/>
              </w:rPr>
            </w:pPr>
          </w:p>
        </w:tc>
        <w:tc>
          <w:tcPr>
            <w:tcW w:w="850" w:type="dxa"/>
          </w:tcPr>
          <w:p w:rsidR="00BF4753" w:rsidRPr="00182E2D" w:rsidRDefault="00BF4753" w:rsidP="002D7CA8">
            <w:pPr>
              <w:tabs>
                <w:tab w:val="decimal" w:pos="458"/>
              </w:tabs>
              <w:ind w:firstLine="0"/>
              <w:jc w:val="right"/>
              <w:rPr>
                <w:rFonts w:eastAsia="Times New Roman"/>
                <w:sz w:val="20"/>
                <w:highlight w:val="yellow"/>
              </w:rPr>
            </w:pPr>
          </w:p>
        </w:tc>
        <w:tc>
          <w:tcPr>
            <w:tcW w:w="850" w:type="dxa"/>
          </w:tcPr>
          <w:p w:rsidR="00BF4753" w:rsidRPr="00182E2D" w:rsidRDefault="00BF4753" w:rsidP="002D7CA8">
            <w:pPr>
              <w:tabs>
                <w:tab w:val="decimal" w:pos="458"/>
              </w:tabs>
              <w:ind w:firstLine="0"/>
              <w:jc w:val="right"/>
              <w:rPr>
                <w:rFonts w:eastAsia="Times New Roman"/>
                <w:sz w:val="20"/>
                <w:highlight w:val="yellow"/>
              </w:rPr>
            </w:pPr>
          </w:p>
        </w:tc>
      </w:tr>
      <w:tr w:rsidR="00BF4753" w:rsidRPr="00182E2D" w:rsidTr="002D7CA8">
        <w:tc>
          <w:tcPr>
            <w:tcW w:w="5637" w:type="dxa"/>
          </w:tcPr>
          <w:p w:rsidR="00BF4753" w:rsidRPr="00182E2D" w:rsidRDefault="00BF4753" w:rsidP="002D7CA8">
            <w:pPr>
              <w:ind w:firstLine="0"/>
              <w:jc w:val="right"/>
              <w:rPr>
                <w:rFonts w:eastAsia="Times New Roman"/>
                <w:b/>
                <w:bCs/>
                <w:sz w:val="20"/>
              </w:rPr>
            </w:pPr>
            <w:r w:rsidRPr="00182E2D">
              <w:rPr>
                <w:rFonts w:eastAsia="Times New Roman"/>
                <w:b/>
                <w:bCs/>
                <w:sz w:val="20"/>
              </w:rPr>
              <w:t>Izmaiņu ietekme kopā:</w:t>
            </w:r>
          </w:p>
        </w:tc>
        <w:tc>
          <w:tcPr>
            <w:tcW w:w="992" w:type="dxa"/>
          </w:tcPr>
          <w:p w:rsidR="00BF4753" w:rsidRPr="00182E2D" w:rsidRDefault="00BF4753" w:rsidP="002D7CA8">
            <w:pPr>
              <w:tabs>
                <w:tab w:val="decimal" w:pos="458"/>
              </w:tabs>
              <w:ind w:firstLine="0"/>
              <w:jc w:val="right"/>
              <w:rPr>
                <w:rFonts w:eastAsia="Times New Roman"/>
                <w:b/>
                <w:bCs/>
                <w:color w:val="000000"/>
                <w:sz w:val="20"/>
              </w:rPr>
            </w:pPr>
            <w:r w:rsidRPr="00182E2D">
              <w:rPr>
                <w:rFonts w:eastAsia="Times New Roman"/>
                <w:b/>
                <w:bCs/>
                <w:color w:val="000000"/>
                <w:sz w:val="20"/>
              </w:rPr>
              <w:t>+25,6</w:t>
            </w:r>
          </w:p>
        </w:tc>
        <w:tc>
          <w:tcPr>
            <w:tcW w:w="851" w:type="dxa"/>
          </w:tcPr>
          <w:p w:rsidR="00BF4753" w:rsidRPr="00182E2D" w:rsidRDefault="00BF4753" w:rsidP="002D7CA8">
            <w:pPr>
              <w:tabs>
                <w:tab w:val="decimal" w:pos="458"/>
              </w:tabs>
              <w:ind w:firstLine="0"/>
              <w:jc w:val="right"/>
              <w:rPr>
                <w:rFonts w:eastAsia="Times New Roman"/>
                <w:b/>
                <w:bCs/>
                <w:color w:val="000000"/>
                <w:sz w:val="20"/>
              </w:rPr>
            </w:pPr>
            <w:r w:rsidRPr="00182E2D">
              <w:rPr>
                <w:rFonts w:eastAsia="Times New Roman"/>
                <w:b/>
                <w:bCs/>
                <w:color w:val="000000"/>
                <w:sz w:val="20"/>
              </w:rPr>
              <w:t>+6,6</w:t>
            </w:r>
          </w:p>
        </w:tc>
        <w:tc>
          <w:tcPr>
            <w:tcW w:w="850" w:type="dxa"/>
          </w:tcPr>
          <w:p w:rsidR="00BF4753" w:rsidRPr="00182E2D" w:rsidRDefault="00BF4753" w:rsidP="002D7CA8">
            <w:pPr>
              <w:tabs>
                <w:tab w:val="decimal" w:pos="458"/>
              </w:tabs>
              <w:ind w:firstLine="0"/>
              <w:jc w:val="right"/>
              <w:rPr>
                <w:rFonts w:eastAsia="Times New Roman"/>
                <w:b/>
                <w:bCs/>
                <w:color w:val="000000"/>
                <w:sz w:val="20"/>
              </w:rPr>
            </w:pPr>
            <w:r w:rsidRPr="00182E2D">
              <w:rPr>
                <w:rFonts w:eastAsia="Times New Roman"/>
                <w:b/>
                <w:bCs/>
                <w:color w:val="000000"/>
                <w:sz w:val="20"/>
              </w:rPr>
              <w:t>+2,8</w:t>
            </w:r>
          </w:p>
        </w:tc>
        <w:tc>
          <w:tcPr>
            <w:tcW w:w="850" w:type="dxa"/>
          </w:tcPr>
          <w:p w:rsidR="00BF4753" w:rsidRPr="00182E2D" w:rsidRDefault="00BF4753" w:rsidP="002D7CA8">
            <w:pPr>
              <w:tabs>
                <w:tab w:val="decimal" w:pos="458"/>
              </w:tabs>
              <w:ind w:firstLine="0"/>
              <w:jc w:val="right"/>
              <w:rPr>
                <w:rFonts w:eastAsia="Times New Roman"/>
                <w:b/>
                <w:bCs/>
                <w:color w:val="000000"/>
                <w:sz w:val="20"/>
              </w:rPr>
            </w:pPr>
          </w:p>
        </w:tc>
      </w:tr>
    </w:tbl>
    <w:p w:rsidR="00BF4753" w:rsidRPr="00C803AC" w:rsidRDefault="00BF4753" w:rsidP="00BF4753">
      <w:pPr>
        <w:spacing w:before="360" w:after="120"/>
        <w:jc w:val="left"/>
        <w:outlineLvl w:val="3"/>
        <w:rPr>
          <w:rFonts w:eastAsia="Times New Roman" w:cs="Times New Roman"/>
          <w:b/>
          <w:szCs w:val="24"/>
        </w:rPr>
      </w:pPr>
      <w:r w:rsidRPr="00C803AC">
        <w:rPr>
          <w:rFonts w:eastAsia="Times New Roman" w:cs="Times New Roman"/>
          <w:b/>
          <w:szCs w:val="24"/>
        </w:rPr>
        <w:t>Iedzīvotāju ienākuma nodoklis</w:t>
      </w:r>
    </w:p>
    <w:p w:rsidR="00BF4753" w:rsidRPr="00C803AC" w:rsidRDefault="00BF4753" w:rsidP="00BF4753">
      <w:pPr>
        <w:rPr>
          <w:rFonts w:eastAsia="Times New Roman" w:cs="Times New Roman"/>
          <w:szCs w:val="20"/>
        </w:rPr>
      </w:pPr>
      <w:r>
        <w:rPr>
          <w:rFonts w:eastAsia="Times New Roman" w:cs="Times New Roman"/>
          <w:szCs w:val="20"/>
        </w:rPr>
        <w:t>Iedzīvotāju ienākuma nodokļa</w:t>
      </w:r>
      <w:r w:rsidRPr="00C803AC">
        <w:rPr>
          <w:rFonts w:eastAsia="Times New Roman" w:cs="Times New Roman"/>
          <w:szCs w:val="20"/>
        </w:rPr>
        <w:t xml:space="preserve"> ieņēmumus galvenokārt ietekmē tautsaimniecībā nodarbināto skaits, nodarbināto ienākumi, ar </w:t>
      </w:r>
      <w:r>
        <w:rPr>
          <w:rFonts w:eastAsia="Times New Roman" w:cs="Times New Roman"/>
          <w:szCs w:val="20"/>
        </w:rPr>
        <w:t>iedzīvotāju ienākuma nodokļa</w:t>
      </w:r>
      <w:r w:rsidRPr="00C803AC">
        <w:rPr>
          <w:rFonts w:eastAsia="Times New Roman" w:cs="Times New Roman"/>
          <w:szCs w:val="20"/>
        </w:rPr>
        <w:t xml:space="preserve"> neapliekamā minimuma un atvieglojumu apmērs, minimālā darba alga, kā arī ieviestās likumdošanas izmaiņas. Pēdējā laikā </w:t>
      </w:r>
      <w:r>
        <w:rPr>
          <w:rFonts w:eastAsia="Times New Roman" w:cs="Times New Roman"/>
          <w:szCs w:val="20"/>
        </w:rPr>
        <w:t>iedzīvotāju ienākuma nodokļa</w:t>
      </w:r>
      <w:r w:rsidRPr="00C803AC">
        <w:rPr>
          <w:rFonts w:eastAsia="Times New Roman" w:cs="Times New Roman"/>
          <w:szCs w:val="20"/>
        </w:rPr>
        <w:t xml:space="preserve"> ieņēmumus līdzīgi kā citiem nodokļiem ir būtiski ietekmējusi </w:t>
      </w:r>
      <w:r w:rsidRPr="00C803AC">
        <w:rPr>
          <w:rFonts w:eastAsia="Times New Roman" w:cs="Times New Roman"/>
          <w:szCs w:val="24"/>
        </w:rPr>
        <w:t>Covid-19 radītā krīze.</w:t>
      </w:r>
    </w:p>
    <w:p w:rsidR="00BF4753" w:rsidRPr="00C803AC" w:rsidRDefault="00BF4753" w:rsidP="00BF4753">
      <w:pPr>
        <w:rPr>
          <w:rFonts w:eastAsia="Times New Roman" w:cs="Times New Roman"/>
          <w:iCs/>
          <w:szCs w:val="24"/>
          <w:lang w:eastAsia="x-none"/>
        </w:rPr>
      </w:pPr>
      <w:r>
        <w:rPr>
          <w:rFonts w:eastAsia="Times New Roman" w:cs="Times New Roman"/>
          <w:szCs w:val="20"/>
        </w:rPr>
        <w:t>Iedzīvotāju ienākuma nodokļa</w:t>
      </w:r>
      <w:r w:rsidRPr="00C803AC">
        <w:rPr>
          <w:rFonts w:eastAsia="Times New Roman" w:cs="Times New Roman"/>
          <w:szCs w:val="20"/>
        </w:rPr>
        <w:t xml:space="preserve"> ieņēmumus ietekmēs arī iepriekš apstiprinātās likumdošanas izmaiņas saistībā ar pensionāru neapliekamā minimuma palielināšanu 2021.</w:t>
      </w:r>
      <w:r>
        <w:rPr>
          <w:rFonts w:eastAsia="Times New Roman" w:cs="Times New Roman"/>
          <w:szCs w:val="20"/>
        </w:rPr>
        <w:t xml:space="preserve"> </w:t>
      </w:r>
      <w:r w:rsidRPr="00C803AC">
        <w:rPr>
          <w:rFonts w:eastAsia="Times New Roman" w:cs="Times New Roman"/>
          <w:szCs w:val="20"/>
        </w:rPr>
        <w:t>gadā līdz 330 </w:t>
      </w:r>
      <w:r w:rsidRPr="00C803AC">
        <w:rPr>
          <w:rFonts w:eastAsia="Times New Roman" w:cs="Times New Roman"/>
          <w:i/>
          <w:szCs w:val="20"/>
        </w:rPr>
        <w:t>euro</w:t>
      </w:r>
      <w:r w:rsidRPr="00C803AC">
        <w:rPr>
          <w:rFonts w:eastAsia="Times New Roman" w:cs="Times New Roman"/>
          <w:szCs w:val="20"/>
        </w:rPr>
        <w:t xml:space="preserve"> mēnesī, kā arī </w:t>
      </w:r>
      <w:r w:rsidRPr="00C803AC">
        <w:rPr>
          <w:rFonts w:eastAsia="Times New Roman" w:cs="Times New Roman"/>
          <w:szCs w:val="24"/>
        </w:rPr>
        <w:t xml:space="preserve">minimālās mēneša darba algas paaugstināšana </w:t>
      </w:r>
      <w:r w:rsidRPr="00C803AC">
        <w:rPr>
          <w:rFonts w:eastAsia="Times New Roman" w:cs="Times New Roman"/>
          <w:iCs/>
          <w:szCs w:val="20"/>
        </w:rPr>
        <w:t>no</w:t>
      </w:r>
      <w:r w:rsidRPr="00C803AC">
        <w:rPr>
          <w:rFonts w:eastAsia="Times New Roman" w:cs="Times New Roman"/>
          <w:szCs w:val="24"/>
        </w:rPr>
        <w:t xml:space="preserve"> 2021.</w:t>
      </w:r>
      <w:r>
        <w:rPr>
          <w:rFonts w:eastAsia="Times New Roman" w:cs="Times New Roman"/>
          <w:szCs w:val="24"/>
        </w:rPr>
        <w:t xml:space="preserve"> </w:t>
      </w:r>
      <w:r w:rsidRPr="00C803AC">
        <w:rPr>
          <w:rFonts w:eastAsia="Times New Roman" w:cs="Times New Roman"/>
          <w:szCs w:val="24"/>
        </w:rPr>
        <w:t>gada</w:t>
      </w:r>
      <w:r w:rsidRPr="00C803AC">
        <w:rPr>
          <w:rFonts w:eastAsia="Times New Roman" w:cs="Times New Roman"/>
          <w:szCs w:val="20"/>
        </w:rPr>
        <w:t xml:space="preserve"> līdz 500 </w:t>
      </w:r>
      <w:r w:rsidRPr="00C803AC">
        <w:rPr>
          <w:rFonts w:eastAsia="Times New Roman" w:cs="Times New Roman"/>
          <w:i/>
          <w:szCs w:val="20"/>
        </w:rPr>
        <w:t>euro</w:t>
      </w:r>
      <w:r w:rsidRPr="00C803AC">
        <w:rPr>
          <w:rFonts w:eastAsia="Times New Roman" w:cs="Times New Roman"/>
          <w:szCs w:val="20"/>
        </w:rPr>
        <w:t xml:space="preserve"> mēnesī.</w:t>
      </w:r>
      <w:r w:rsidRPr="00C803AC">
        <w:rPr>
          <w:rFonts w:eastAsia="Times New Roman" w:cs="Times New Roman"/>
          <w:iCs/>
          <w:szCs w:val="24"/>
          <w:lang w:eastAsia="x-none"/>
        </w:rPr>
        <w:t xml:space="preserve"> </w:t>
      </w:r>
    </w:p>
    <w:p w:rsidR="00BF4753" w:rsidRDefault="00BF4753" w:rsidP="00BF4753">
      <w:pPr>
        <w:rPr>
          <w:rFonts w:eastAsia="Times New Roman" w:cs="Times New Roman"/>
          <w:szCs w:val="20"/>
        </w:rPr>
      </w:pPr>
      <w:r w:rsidRPr="00C803AC">
        <w:rPr>
          <w:rFonts w:eastAsia="Times New Roman" w:cs="Times New Roman"/>
          <w:iCs/>
          <w:szCs w:val="24"/>
          <w:lang w:eastAsia="x-none"/>
        </w:rPr>
        <w:t xml:space="preserve">Papildus minētajam </w:t>
      </w:r>
      <w:r>
        <w:rPr>
          <w:rFonts w:eastAsia="Times New Roman" w:cs="Times New Roman"/>
          <w:szCs w:val="20"/>
        </w:rPr>
        <w:t>iedzīvotāju ienākuma nodokļa</w:t>
      </w:r>
      <w:r w:rsidRPr="00C803AC">
        <w:rPr>
          <w:rFonts w:eastAsia="Times New Roman" w:cs="Times New Roman"/>
          <w:iCs/>
          <w:szCs w:val="24"/>
        </w:rPr>
        <w:t xml:space="preserve"> ieņēmumus vidējā termiņā ietekmēs 2021.</w:t>
      </w:r>
      <w:r>
        <w:rPr>
          <w:rFonts w:eastAsia="Times New Roman" w:cs="Times New Roman"/>
          <w:iCs/>
          <w:szCs w:val="24"/>
        </w:rPr>
        <w:t xml:space="preserve"> </w:t>
      </w:r>
      <w:r w:rsidRPr="00C803AC">
        <w:rPr>
          <w:rFonts w:eastAsia="Times New Roman" w:cs="Times New Roman"/>
          <w:iCs/>
          <w:szCs w:val="24"/>
        </w:rPr>
        <w:t xml:space="preserve">gada budžeta pieņemšanas gaitā apstiprinātie pasākumi, </w:t>
      </w:r>
      <w:r w:rsidRPr="00C803AC">
        <w:rPr>
          <w:rFonts w:eastAsia="Times New Roman" w:cs="Times New Roman"/>
          <w:szCs w:val="24"/>
        </w:rPr>
        <w:t xml:space="preserve">Covid-19 krīzes laikā apstiprinātie nodokļu atbalsta pasākumi, kā arī </w:t>
      </w:r>
      <w:r w:rsidRPr="00C803AC">
        <w:rPr>
          <w:rFonts w:eastAsia="Times New Roman" w:cs="Times New Roman"/>
          <w:szCs w:val="24"/>
          <w:lang w:eastAsia="lv-LV"/>
        </w:rPr>
        <w:t xml:space="preserve">grozījumi Čeku loterijas likumā, paredzot </w:t>
      </w:r>
      <w:r w:rsidRPr="00C803AC">
        <w:rPr>
          <w:rFonts w:eastAsia="Times New Roman" w:cs="Times New Roman"/>
          <w:szCs w:val="20"/>
        </w:rPr>
        <w:t>reģistrēt dalībai čeku loterijā arī rēķinus par saņemtas preces vai pakalpojuma samaksu.</w:t>
      </w:r>
    </w:p>
    <w:p w:rsidR="00BF4753" w:rsidRDefault="00BF4753" w:rsidP="00BF4753">
      <w:pPr>
        <w:rPr>
          <w:rFonts w:eastAsia="Times New Roman" w:cs="Times New Roman"/>
          <w:szCs w:val="20"/>
        </w:rPr>
      </w:pPr>
    </w:p>
    <w:p w:rsidR="00BF4753" w:rsidRDefault="00BF4753" w:rsidP="00BF4753">
      <w:pPr>
        <w:rPr>
          <w:rFonts w:eastAsia="Times New Roman" w:cs="Times New Roman"/>
          <w:szCs w:val="20"/>
        </w:rPr>
      </w:pPr>
    </w:p>
    <w:p w:rsidR="003F1C79" w:rsidRDefault="003F1C79" w:rsidP="00BF4753">
      <w:pPr>
        <w:rPr>
          <w:rFonts w:eastAsia="Times New Roman" w:cs="Times New Roman"/>
          <w:szCs w:val="20"/>
        </w:rPr>
      </w:pPr>
    </w:p>
    <w:p w:rsidR="00BF4753" w:rsidRDefault="00BF4753" w:rsidP="00BF4753">
      <w:pPr>
        <w:rPr>
          <w:rFonts w:eastAsia="Times New Roman" w:cs="Times New Roman"/>
          <w:szCs w:val="20"/>
        </w:rPr>
      </w:pPr>
    </w:p>
    <w:p w:rsidR="00BF4753" w:rsidRDefault="00BF4753" w:rsidP="00BF4753">
      <w:pPr>
        <w:rPr>
          <w:rFonts w:eastAsia="Times New Roman" w:cs="Times New Roman"/>
          <w:szCs w:val="20"/>
        </w:rPr>
      </w:pPr>
    </w:p>
    <w:p w:rsidR="00BF4753" w:rsidRDefault="00BF4753" w:rsidP="00BF4753">
      <w:pPr>
        <w:rPr>
          <w:rFonts w:eastAsia="Times New Roman" w:cs="Times New Roman"/>
          <w:szCs w:val="20"/>
        </w:rPr>
      </w:pPr>
    </w:p>
    <w:p w:rsidR="003F1C79" w:rsidRDefault="003F1C79" w:rsidP="00BF4753">
      <w:pPr>
        <w:rPr>
          <w:rFonts w:eastAsia="Times New Roman" w:cs="Times New Roman"/>
          <w:szCs w:val="20"/>
        </w:rPr>
      </w:pPr>
    </w:p>
    <w:p w:rsidR="00BF4753" w:rsidRDefault="00BF4753" w:rsidP="00BF4753">
      <w:pPr>
        <w:rPr>
          <w:rFonts w:eastAsia="Times New Roman" w:cs="Times New Roman"/>
          <w:szCs w:val="20"/>
        </w:rPr>
      </w:pPr>
    </w:p>
    <w:p w:rsidR="00BF4753" w:rsidRDefault="00BF4753" w:rsidP="00BF4753">
      <w:pPr>
        <w:rPr>
          <w:rFonts w:eastAsia="Times New Roman" w:cs="Times New Roman"/>
          <w:szCs w:val="20"/>
        </w:rPr>
      </w:pPr>
    </w:p>
    <w:p w:rsidR="00BF4753" w:rsidRPr="00C803AC" w:rsidRDefault="00BF4753" w:rsidP="00BF4753">
      <w:pPr>
        <w:rPr>
          <w:rFonts w:eastAsia="Times New Roman" w:cs="Times New Roman"/>
          <w:iCs/>
          <w:szCs w:val="24"/>
        </w:rPr>
      </w:pPr>
    </w:p>
    <w:p w:rsidR="00BF4753" w:rsidRPr="00182E2D" w:rsidRDefault="00BF4753" w:rsidP="003F1C79">
      <w:pPr>
        <w:spacing w:after="120"/>
        <w:ind w:left="851" w:firstLine="567"/>
        <w:jc w:val="right"/>
        <w:rPr>
          <w:rFonts w:eastAsia="Times New Roman" w:cs="Times New Roman"/>
          <w:b/>
          <w:i/>
          <w:iCs/>
          <w:sz w:val="24"/>
          <w:szCs w:val="24"/>
        </w:rPr>
      </w:pPr>
      <w:r w:rsidRPr="00C803AC">
        <w:rPr>
          <w:rFonts w:eastAsia="Times New Roman" w:cs="Times New Roman"/>
          <w:b/>
          <w:i/>
          <w:iCs/>
          <w:sz w:val="24"/>
          <w:szCs w:val="20"/>
        </w:rPr>
        <w:lastRenderedPageBreak/>
        <w:t>5.7.</w:t>
      </w:r>
      <w:r>
        <w:rPr>
          <w:rFonts w:eastAsia="Times New Roman" w:cs="Times New Roman"/>
          <w:b/>
          <w:i/>
          <w:iCs/>
          <w:sz w:val="24"/>
          <w:szCs w:val="20"/>
        </w:rPr>
        <w:t xml:space="preserve"> </w:t>
      </w:r>
      <w:r w:rsidRPr="00C803AC">
        <w:rPr>
          <w:rFonts w:eastAsia="Times New Roman" w:cs="Times New Roman"/>
          <w:b/>
          <w:i/>
          <w:iCs/>
          <w:sz w:val="24"/>
          <w:szCs w:val="20"/>
        </w:rPr>
        <w:t>tabula.</w:t>
      </w:r>
      <w:r w:rsidRPr="00182E2D">
        <w:rPr>
          <w:rFonts w:eastAsia="Times New Roman" w:cs="Times New Roman"/>
          <w:b/>
          <w:i/>
          <w:iCs/>
          <w:sz w:val="24"/>
          <w:szCs w:val="20"/>
        </w:rPr>
        <w:t xml:space="preserve"> Nodokļu </w:t>
      </w:r>
      <w:r>
        <w:rPr>
          <w:rFonts w:eastAsia="Times New Roman" w:cs="Times New Roman"/>
          <w:b/>
          <w:i/>
          <w:iCs/>
          <w:sz w:val="24"/>
          <w:szCs w:val="20"/>
        </w:rPr>
        <w:t xml:space="preserve">politikas izmaiņu ietekme uz </w:t>
      </w:r>
      <w:r w:rsidRPr="00C803AC">
        <w:rPr>
          <w:rFonts w:eastAsia="Times New Roman" w:cs="Times New Roman"/>
          <w:b/>
          <w:i/>
          <w:iCs/>
          <w:sz w:val="24"/>
          <w:szCs w:val="20"/>
        </w:rPr>
        <w:t>iedzīvotāju ienākuma nodokļa</w:t>
      </w:r>
      <w:r w:rsidRPr="00182E2D">
        <w:rPr>
          <w:rFonts w:eastAsia="Times New Roman" w:cs="Times New Roman"/>
          <w:b/>
          <w:i/>
          <w:iCs/>
          <w:sz w:val="24"/>
          <w:szCs w:val="20"/>
        </w:rPr>
        <w:t xml:space="preserve"> ieņēmumiem, milj. </w:t>
      </w:r>
      <w:r w:rsidRPr="00182E2D">
        <w:rPr>
          <w:rFonts w:eastAsia="Times New Roman" w:cs="Times New Roman"/>
          <w:b/>
          <w:i/>
          <w:iCs/>
          <w:sz w:val="24"/>
          <w:szCs w:val="24"/>
        </w:rPr>
        <w:t>euro</w:t>
      </w:r>
    </w:p>
    <w:tbl>
      <w:tblPr>
        <w:tblStyle w:val="TableGrid11"/>
        <w:tblW w:w="8296" w:type="dxa"/>
        <w:jc w:val="center"/>
        <w:tblLayout w:type="fixed"/>
        <w:tblLook w:val="04A0" w:firstRow="1" w:lastRow="0" w:firstColumn="1" w:lastColumn="0" w:noHBand="0" w:noVBand="1"/>
      </w:tblPr>
      <w:tblGrid>
        <w:gridCol w:w="4692"/>
        <w:gridCol w:w="901"/>
        <w:gridCol w:w="901"/>
        <w:gridCol w:w="901"/>
        <w:gridCol w:w="901"/>
      </w:tblGrid>
      <w:tr w:rsidR="00BF4753" w:rsidRPr="00182E2D" w:rsidTr="002D7CA8">
        <w:trPr>
          <w:jc w:val="center"/>
        </w:trPr>
        <w:tc>
          <w:tcPr>
            <w:tcW w:w="4692" w:type="dxa"/>
            <w:shd w:val="clear" w:color="auto" w:fill="9CC2E5"/>
          </w:tcPr>
          <w:p w:rsidR="00BF4753" w:rsidRPr="00182E2D" w:rsidRDefault="00BF4753" w:rsidP="002D7CA8">
            <w:pPr>
              <w:ind w:firstLine="0"/>
              <w:jc w:val="left"/>
              <w:rPr>
                <w:rFonts w:eastAsia="Times New Roman"/>
                <w:b/>
                <w:bCs/>
                <w:sz w:val="20"/>
              </w:rPr>
            </w:pPr>
          </w:p>
        </w:tc>
        <w:tc>
          <w:tcPr>
            <w:tcW w:w="901"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2021</w:t>
            </w:r>
          </w:p>
        </w:tc>
        <w:tc>
          <w:tcPr>
            <w:tcW w:w="901"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2022</w:t>
            </w:r>
          </w:p>
        </w:tc>
        <w:tc>
          <w:tcPr>
            <w:tcW w:w="901"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2023</w:t>
            </w:r>
          </w:p>
        </w:tc>
        <w:tc>
          <w:tcPr>
            <w:tcW w:w="901"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2024</w:t>
            </w:r>
          </w:p>
        </w:tc>
      </w:tr>
      <w:tr w:rsidR="00BF4753" w:rsidRPr="00182E2D" w:rsidTr="002D7CA8">
        <w:trPr>
          <w:jc w:val="center"/>
        </w:trPr>
        <w:tc>
          <w:tcPr>
            <w:tcW w:w="4692" w:type="dxa"/>
          </w:tcPr>
          <w:p w:rsidR="00BF4753" w:rsidRPr="00182E2D" w:rsidRDefault="00BF4753" w:rsidP="002D7CA8">
            <w:pPr>
              <w:ind w:firstLine="0"/>
              <w:jc w:val="left"/>
              <w:rPr>
                <w:rFonts w:eastAsia="Times New Roman"/>
                <w:sz w:val="20"/>
              </w:rPr>
            </w:pPr>
            <w:r>
              <w:rPr>
                <w:rFonts w:eastAsia="Times New Roman"/>
                <w:sz w:val="20"/>
              </w:rPr>
              <w:t>Diferencētā neapliekamā minimuma</w:t>
            </w:r>
            <w:r w:rsidRPr="00C803AC">
              <w:rPr>
                <w:rFonts w:eastAsia="Times New Roman"/>
                <w:sz w:val="20"/>
              </w:rPr>
              <w:t xml:space="preserve"> </w:t>
            </w:r>
            <w:r w:rsidRPr="00182E2D">
              <w:rPr>
                <w:rFonts w:eastAsia="Times New Roman"/>
                <w:sz w:val="20"/>
              </w:rPr>
              <w:t xml:space="preserve">sliekšņa, līdz kuram piemēro </w:t>
            </w:r>
            <w:r>
              <w:rPr>
                <w:rFonts w:eastAsia="Times New Roman"/>
                <w:sz w:val="20"/>
              </w:rPr>
              <w:t>diferencēto neapliekamo minimumu</w:t>
            </w:r>
            <w:r w:rsidRPr="00182E2D">
              <w:rPr>
                <w:rFonts w:eastAsia="Times New Roman"/>
                <w:sz w:val="20"/>
              </w:rPr>
              <w:t xml:space="preserve">, paaugstināšana līdz 1800 </w:t>
            </w:r>
            <w:r w:rsidRPr="00182E2D">
              <w:rPr>
                <w:rFonts w:eastAsia="Times New Roman"/>
                <w:i/>
                <w:iCs/>
                <w:sz w:val="20"/>
              </w:rPr>
              <w:t>euro</w:t>
            </w:r>
            <w:r w:rsidRPr="00182E2D">
              <w:rPr>
                <w:rFonts w:eastAsia="Times New Roman"/>
                <w:sz w:val="20"/>
              </w:rPr>
              <w:t xml:space="preserve"> mēnesī  </w:t>
            </w:r>
          </w:p>
        </w:tc>
        <w:tc>
          <w:tcPr>
            <w:tcW w:w="901" w:type="dxa"/>
          </w:tcPr>
          <w:p w:rsidR="00BF4753" w:rsidRPr="00182E2D" w:rsidRDefault="00BF4753" w:rsidP="002D7CA8">
            <w:pPr>
              <w:ind w:firstLine="0"/>
              <w:jc w:val="right"/>
              <w:rPr>
                <w:rFonts w:eastAsia="Times New Roman"/>
                <w:sz w:val="20"/>
              </w:rPr>
            </w:pPr>
            <w:r w:rsidRPr="00182E2D">
              <w:rPr>
                <w:rFonts w:eastAsia="Times New Roman"/>
                <w:sz w:val="20"/>
              </w:rPr>
              <w:t>-41,6</w:t>
            </w:r>
          </w:p>
        </w:tc>
        <w:tc>
          <w:tcPr>
            <w:tcW w:w="901" w:type="dxa"/>
          </w:tcPr>
          <w:p w:rsidR="00BF4753" w:rsidRPr="00182E2D" w:rsidRDefault="00BF4753" w:rsidP="002D7CA8">
            <w:pPr>
              <w:ind w:firstLine="0"/>
              <w:jc w:val="right"/>
              <w:rPr>
                <w:rFonts w:eastAsia="Times New Roman"/>
                <w:sz w:val="20"/>
              </w:rPr>
            </w:pPr>
          </w:p>
        </w:tc>
        <w:tc>
          <w:tcPr>
            <w:tcW w:w="901" w:type="dxa"/>
          </w:tcPr>
          <w:p w:rsidR="00BF4753" w:rsidRPr="00182E2D" w:rsidRDefault="00BF4753" w:rsidP="002D7CA8">
            <w:pPr>
              <w:ind w:firstLine="0"/>
              <w:jc w:val="right"/>
              <w:rPr>
                <w:rFonts w:eastAsia="Times New Roman"/>
                <w:sz w:val="20"/>
              </w:rPr>
            </w:pPr>
          </w:p>
        </w:tc>
        <w:tc>
          <w:tcPr>
            <w:tcW w:w="901" w:type="dxa"/>
          </w:tcPr>
          <w:p w:rsidR="00BF4753" w:rsidRPr="00182E2D" w:rsidRDefault="00BF4753" w:rsidP="002D7CA8">
            <w:pPr>
              <w:ind w:firstLine="0"/>
              <w:jc w:val="right"/>
              <w:rPr>
                <w:rFonts w:eastAsia="Times New Roman"/>
                <w:sz w:val="20"/>
              </w:rPr>
            </w:pPr>
          </w:p>
        </w:tc>
      </w:tr>
      <w:tr w:rsidR="00BF4753" w:rsidRPr="00182E2D" w:rsidTr="002D7CA8">
        <w:trPr>
          <w:jc w:val="center"/>
        </w:trPr>
        <w:tc>
          <w:tcPr>
            <w:tcW w:w="4692" w:type="dxa"/>
          </w:tcPr>
          <w:p w:rsidR="00BF4753" w:rsidRPr="00182E2D" w:rsidRDefault="00BF4753" w:rsidP="002D7CA8">
            <w:pPr>
              <w:ind w:firstLine="0"/>
              <w:jc w:val="left"/>
              <w:rPr>
                <w:rFonts w:eastAsia="Times New Roman"/>
                <w:sz w:val="20"/>
              </w:rPr>
            </w:pPr>
            <w:r w:rsidRPr="00182E2D">
              <w:rPr>
                <w:rFonts w:eastAsia="Times New Roman"/>
                <w:sz w:val="20"/>
              </w:rPr>
              <w:t>Avansa maksājumu atcelšana saimnieciskās darbības veicējiem 2020. un 2021. taksācijas gadā</w:t>
            </w:r>
          </w:p>
        </w:tc>
        <w:tc>
          <w:tcPr>
            <w:tcW w:w="901" w:type="dxa"/>
          </w:tcPr>
          <w:p w:rsidR="00BF4753" w:rsidRPr="00182E2D" w:rsidRDefault="00BF4753" w:rsidP="002D7CA8">
            <w:pPr>
              <w:ind w:firstLine="0"/>
              <w:jc w:val="right"/>
              <w:rPr>
                <w:rFonts w:eastAsia="Times New Roman"/>
                <w:sz w:val="20"/>
              </w:rPr>
            </w:pPr>
            <w:r w:rsidRPr="00182E2D">
              <w:rPr>
                <w:rFonts w:eastAsia="Times New Roman"/>
                <w:sz w:val="20"/>
              </w:rPr>
              <w:t>+35,0</w:t>
            </w:r>
          </w:p>
        </w:tc>
        <w:tc>
          <w:tcPr>
            <w:tcW w:w="901" w:type="dxa"/>
          </w:tcPr>
          <w:p w:rsidR="00BF4753" w:rsidRPr="00182E2D" w:rsidRDefault="00BF4753" w:rsidP="002D7CA8">
            <w:pPr>
              <w:ind w:firstLine="0"/>
              <w:jc w:val="right"/>
              <w:rPr>
                <w:rFonts w:eastAsia="Times New Roman"/>
                <w:sz w:val="20"/>
              </w:rPr>
            </w:pPr>
            <w:r w:rsidRPr="00182E2D">
              <w:rPr>
                <w:rFonts w:eastAsia="Times New Roman"/>
                <w:sz w:val="20"/>
              </w:rPr>
              <w:t>+35,0</w:t>
            </w:r>
          </w:p>
        </w:tc>
        <w:tc>
          <w:tcPr>
            <w:tcW w:w="901" w:type="dxa"/>
          </w:tcPr>
          <w:p w:rsidR="00BF4753" w:rsidRPr="00182E2D" w:rsidRDefault="00BF4753" w:rsidP="002D7CA8">
            <w:pPr>
              <w:ind w:firstLine="0"/>
              <w:jc w:val="right"/>
              <w:rPr>
                <w:rFonts w:eastAsia="Times New Roman"/>
                <w:sz w:val="20"/>
              </w:rPr>
            </w:pPr>
            <w:r w:rsidRPr="00182E2D">
              <w:rPr>
                <w:rFonts w:eastAsia="Times New Roman"/>
                <w:sz w:val="20"/>
              </w:rPr>
              <w:t>-35,0</w:t>
            </w:r>
          </w:p>
        </w:tc>
        <w:tc>
          <w:tcPr>
            <w:tcW w:w="901" w:type="dxa"/>
          </w:tcPr>
          <w:p w:rsidR="00BF4753" w:rsidRPr="00182E2D" w:rsidRDefault="00BF4753" w:rsidP="002D7CA8">
            <w:pPr>
              <w:ind w:firstLine="0"/>
              <w:jc w:val="right"/>
              <w:rPr>
                <w:rFonts w:eastAsia="Times New Roman"/>
                <w:sz w:val="20"/>
              </w:rPr>
            </w:pPr>
          </w:p>
        </w:tc>
      </w:tr>
      <w:tr w:rsidR="00BF4753" w:rsidRPr="00182E2D" w:rsidTr="002D7CA8">
        <w:trPr>
          <w:jc w:val="center"/>
        </w:trPr>
        <w:tc>
          <w:tcPr>
            <w:tcW w:w="4692" w:type="dxa"/>
          </w:tcPr>
          <w:p w:rsidR="00BF4753" w:rsidRPr="00182E2D" w:rsidRDefault="00BF4753" w:rsidP="002D7CA8">
            <w:pPr>
              <w:ind w:firstLine="0"/>
              <w:jc w:val="left"/>
              <w:rPr>
                <w:rFonts w:eastAsia="Times New Roman"/>
                <w:sz w:val="20"/>
              </w:rPr>
            </w:pPr>
            <w:r w:rsidRPr="00182E2D">
              <w:rPr>
                <w:rFonts w:eastAsia="Times New Roman"/>
                <w:sz w:val="20"/>
              </w:rPr>
              <w:t>Neapliekamā minimuma pensionāriem paaugstināšana</w:t>
            </w:r>
          </w:p>
        </w:tc>
        <w:tc>
          <w:tcPr>
            <w:tcW w:w="901" w:type="dxa"/>
          </w:tcPr>
          <w:p w:rsidR="00BF4753" w:rsidRPr="00182E2D" w:rsidRDefault="00BF4753" w:rsidP="002D7CA8">
            <w:pPr>
              <w:ind w:firstLine="0"/>
              <w:jc w:val="right"/>
              <w:rPr>
                <w:rFonts w:eastAsia="Times New Roman"/>
                <w:sz w:val="20"/>
              </w:rPr>
            </w:pPr>
            <w:r w:rsidRPr="00182E2D">
              <w:rPr>
                <w:rFonts w:eastAsia="Times New Roman"/>
                <w:sz w:val="20"/>
              </w:rPr>
              <w:t>-11,8</w:t>
            </w:r>
          </w:p>
        </w:tc>
        <w:tc>
          <w:tcPr>
            <w:tcW w:w="901" w:type="dxa"/>
          </w:tcPr>
          <w:p w:rsidR="00BF4753" w:rsidRPr="00182E2D" w:rsidRDefault="00BF4753" w:rsidP="002D7CA8">
            <w:pPr>
              <w:ind w:firstLine="0"/>
              <w:jc w:val="right"/>
              <w:rPr>
                <w:rFonts w:eastAsia="Times New Roman"/>
                <w:sz w:val="20"/>
              </w:rPr>
            </w:pPr>
          </w:p>
        </w:tc>
        <w:tc>
          <w:tcPr>
            <w:tcW w:w="901" w:type="dxa"/>
          </w:tcPr>
          <w:p w:rsidR="00BF4753" w:rsidRPr="00182E2D" w:rsidRDefault="00BF4753" w:rsidP="002D7CA8">
            <w:pPr>
              <w:ind w:firstLine="0"/>
              <w:jc w:val="right"/>
              <w:rPr>
                <w:rFonts w:eastAsia="Times New Roman"/>
                <w:sz w:val="20"/>
              </w:rPr>
            </w:pPr>
          </w:p>
        </w:tc>
        <w:tc>
          <w:tcPr>
            <w:tcW w:w="901" w:type="dxa"/>
          </w:tcPr>
          <w:p w:rsidR="00BF4753" w:rsidRPr="00182E2D" w:rsidRDefault="00BF4753" w:rsidP="002D7CA8">
            <w:pPr>
              <w:ind w:firstLine="0"/>
              <w:jc w:val="right"/>
              <w:rPr>
                <w:rFonts w:eastAsia="Times New Roman"/>
                <w:sz w:val="20"/>
              </w:rPr>
            </w:pPr>
          </w:p>
        </w:tc>
      </w:tr>
      <w:tr w:rsidR="00BF4753" w:rsidRPr="00182E2D" w:rsidTr="002D7CA8">
        <w:trPr>
          <w:jc w:val="center"/>
        </w:trPr>
        <w:tc>
          <w:tcPr>
            <w:tcW w:w="4692" w:type="dxa"/>
          </w:tcPr>
          <w:p w:rsidR="00BF4753" w:rsidRPr="00182E2D" w:rsidRDefault="00BF4753" w:rsidP="002D7CA8">
            <w:pPr>
              <w:ind w:firstLine="0"/>
              <w:jc w:val="left"/>
              <w:rPr>
                <w:rFonts w:eastAsia="Times New Roman"/>
                <w:sz w:val="20"/>
              </w:rPr>
            </w:pPr>
            <w:r w:rsidRPr="00182E2D">
              <w:rPr>
                <w:rFonts w:eastAsia="Times New Roman"/>
                <w:sz w:val="20"/>
              </w:rPr>
              <w:t>2021.</w:t>
            </w:r>
            <w:r>
              <w:rPr>
                <w:rFonts w:eastAsia="Times New Roman"/>
                <w:sz w:val="20"/>
              </w:rPr>
              <w:t xml:space="preserve"> </w:t>
            </w:r>
            <w:r w:rsidRPr="00182E2D">
              <w:rPr>
                <w:rFonts w:eastAsia="Times New Roman"/>
                <w:sz w:val="20"/>
              </w:rPr>
              <w:t>gadā piešķirto COVID-19 termiņpagarinājumu ieviešana uz trīs gadiem</w:t>
            </w:r>
          </w:p>
        </w:tc>
        <w:tc>
          <w:tcPr>
            <w:tcW w:w="901" w:type="dxa"/>
          </w:tcPr>
          <w:p w:rsidR="00BF4753" w:rsidRPr="00182E2D" w:rsidRDefault="00BF4753" w:rsidP="002D7CA8">
            <w:pPr>
              <w:ind w:firstLine="0"/>
              <w:jc w:val="right"/>
              <w:rPr>
                <w:rFonts w:eastAsia="Times New Roman"/>
                <w:sz w:val="20"/>
              </w:rPr>
            </w:pPr>
            <w:r w:rsidRPr="00182E2D">
              <w:rPr>
                <w:rFonts w:eastAsia="Times New Roman"/>
                <w:sz w:val="20"/>
              </w:rPr>
              <w:t>-3,5</w:t>
            </w:r>
          </w:p>
        </w:tc>
        <w:tc>
          <w:tcPr>
            <w:tcW w:w="901" w:type="dxa"/>
          </w:tcPr>
          <w:p w:rsidR="00BF4753" w:rsidRPr="00182E2D" w:rsidRDefault="00BF4753" w:rsidP="002D7CA8">
            <w:pPr>
              <w:ind w:firstLine="0"/>
              <w:jc w:val="right"/>
              <w:rPr>
                <w:rFonts w:eastAsia="Times New Roman"/>
                <w:sz w:val="20"/>
              </w:rPr>
            </w:pPr>
          </w:p>
        </w:tc>
        <w:tc>
          <w:tcPr>
            <w:tcW w:w="901" w:type="dxa"/>
          </w:tcPr>
          <w:p w:rsidR="00BF4753" w:rsidRPr="00182E2D" w:rsidRDefault="00BF4753" w:rsidP="002D7CA8">
            <w:pPr>
              <w:ind w:firstLine="0"/>
              <w:jc w:val="right"/>
              <w:rPr>
                <w:rFonts w:eastAsia="Times New Roman"/>
                <w:sz w:val="20"/>
              </w:rPr>
            </w:pPr>
          </w:p>
        </w:tc>
        <w:tc>
          <w:tcPr>
            <w:tcW w:w="901" w:type="dxa"/>
          </w:tcPr>
          <w:p w:rsidR="00BF4753" w:rsidRPr="00182E2D" w:rsidRDefault="00BF4753" w:rsidP="002D7CA8">
            <w:pPr>
              <w:ind w:firstLine="0"/>
              <w:jc w:val="right"/>
              <w:rPr>
                <w:rFonts w:eastAsia="Times New Roman"/>
                <w:sz w:val="20"/>
              </w:rPr>
            </w:pPr>
          </w:p>
        </w:tc>
      </w:tr>
      <w:tr w:rsidR="00BF4753" w:rsidRPr="00182E2D" w:rsidTr="002D7CA8">
        <w:trPr>
          <w:jc w:val="center"/>
        </w:trPr>
        <w:tc>
          <w:tcPr>
            <w:tcW w:w="4692" w:type="dxa"/>
          </w:tcPr>
          <w:p w:rsidR="00BF4753" w:rsidRPr="00182E2D" w:rsidRDefault="00BF4753" w:rsidP="002D7CA8">
            <w:pPr>
              <w:ind w:firstLine="0"/>
              <w:jc w:val="left"/>
              <w:rPr>
                <w:rFonts w:eastAsia="Times New Roman"/>
                <w:sz w:val="20"/>
              </w:rPr>
            </w:pPr>
            <w:r>
              <w:rPr>
                <w:rFonts w:eastAsia="Times New Roman"/>
                <w:sz w:val="20"/>
              </w:rPr>
              <w:t>Valsts sociālās apdrošināšanas obligāto iemaksu</w:t>
            </w:r>
            <w:r w:rsidRPr="00182E2D">
              <w:rPr>
                <w:rFonts w:eastAsia="Times New Roman"/>
                <w:sz w:val="20"/>
              </w:rPr>
              <w:t xml:space="preserve"> likmes samazināšana par 1 procentpunktu (no 35.09% uz 34.09%)</w:t>
            </w:r>
          </w:p>
        </w:tc>
        <w:tc>
          <w:tcPr>
            <w:tcW w:w="901" w:type="dxa"/>
          </w:tcPr>
          <w:p w:rsidR="00BF4753" w:rsidRPr="00182E2D" w:rsidRDefault="00BF4753" w:rsidP="002D7CA8">
            <w:pPr>
              <w:ind w:firstLine="0"/>
              <w:jc w:val="right"/>
              <w:rPr>
                <w:rFonts w:eastAsia="Times New Roman"/>
                <w:sz w:val="20"/>
              </w:rPr>
            </w:pPr>
            <w:r w:rsidRPr="00182E2D">
              <w:rPr>
                <w:rFonts w:eastAsia="Times New Roman"/>
                <w:sz w:val="20"/>
              </w:rPr>
              <w:t>+6,7</w:t>
            </w:r>
          </w:p>
        </w:tc>
        <w:tc>
          <w:tcPr>
            <w:tcW w:w="901" w:type="dxa"/>
          </w:tcPr>
          <w:p w:rsidR="00BF4753" w:rsidRPr="00182E2D" w:rsidRDefault="00BF4753" w:rsidP="002D7CA8">
            <w:pPr>
              <w:ind w:firstLine="0"/>
              <w:jc w:val="right"/>
              <w:rPr>
                <w:rFonts w:eastAsia="Times New Roman"/>
                <w:sz w:val="20"/>
              </w:rPr>
            </w:pPr>
          </w:p>
        </w:tc>
        <w:tc>
          <w:tcPr>
            <w:tcW w:w="901" w:type="dxa"/>
          </w:tcPr>
          <w:p w:rsidR="00BF4753" w:rsidRPr="00182E2D" w:rsidRDefault="00BF4753" w:rsidP="002D7CA8">
            <w:pPr>
              <w:ind w:firstLine="0"/>
              <w:jc w:val="right"/>
              <w:rPr>
                <w:rFonts w:eastAsia="Times New Roman"/>
                <w:sz w:val="20"/>
              </w:rPr>
            </w:pPr>
          </w:p>
        </w:tc>
        <w:tc>
          <w:tcPr>
            <w:tcW w:w="901" w:type="dxa"/>
          </w:tcPr>
          <w:p w:rsidR="00BF4753" w:rsidRPr="00182E2D" w:rsidRDefault="00BF4753" w:rsidP="002D7CA8">
            <w:pPr>
              <w:ind w:firstLine="0"/>
              <w:jc w:val="right"/>
              <w:rPr>
                <w:rFonts w:eastAsia="Times New Roman"/>
                <w:sz w:val="20"/>
              </w:rPr>
            </w:pPr>
          </w:p>
        </w:tc>
      </w:tr>
      <w:tr w:rsidR="00BF4753" w:rsidRPr="00182E2D" w:rsidTr="002D7CA8">
        <w:trPr>
          <w:jc w:val="center"/>
        </w:trPr>
        <w:tc>
          <w:tcPr>
            <w:tcW w:w="4692" w:type="dxa"/>
          </w:tcPr>
          <w:p w:rsidR="00BF4753" w:rsidRPr="00182E2D" w:rsidRDefault="00BF4753" w:rsidP="002D7CA8">
            <w:pPr>
              <w:ind w:firstLine="0"/>
              <w:jc w:val="left"/>
              <w:rPr>
                <w:rFonts w:eastAsia="Times New Roman"/>
                <w:sz w:val="20"/>
              </w:rPr>
            </w:pPr>
            <w:r w:rsidRPr="00182E2D">
              <w:rPr>
                <w:rFonts w:eastAsia="Times New Roman"/>
                <w:sz w:val="20"/>
              </w:rPr>
              <w:t xml:space="preserve">Minimālā </w:t>
            </w:r>
            <w:r>
              <w:rPr>
                <w:rFonts w:eastAsia="Times New Roman"/>
                <w:sz w:val="20"/>
              </w:rPr>
              <w:t>valsts sociālās apdrošināšanas obligāto iemaksu</w:t>
            </w:r>
            <w:r w:rsidRPr="00182E2D">
              <w:rPr>
                <w:rFonts w:eastAsia="Times New Roman"/>
                <w:sz w:val="20"/>
              </w:rPr>
              <w:t xml:space="preserve"> apmēra ieviešana un mikrouzņēmuma nodokļa režīma reorganizēšana</w:t>
            </w:r>
          </w:p>
        </w:tc>
        <w:tc>
          <w:tcPr>
            <w:tcW w:w="901" w:type="dxa"/>
          </w:tcPr>
          <w:p w:rsidR="00BF4753" w:rsidRPr="00182E2D" w:rsidRDefault="00BF4753" w:rsidP="002D7CA8">
            <w:pPr>
              <w:ind w:firstLine="0"/>
              <w:jc w:val="right"/>
              <w:rPr>
                <w:rFonts w:eastAsia="Times New Roman"/>
                <w:sz w:val="20"/>
              </w:rPr>
            </w:pPr>
            <w:r w:rsidRPr="00182E2D">
              <w:rPr>
                <w:rFonts w:eastAsia="Times New Roman"/>
                <w:sz w:val="20"/>
              </w:rPr>
              <w:t>+17,2</w:t>
            </w:r>
          </w:p>
        </w:tc>
        <w:tc>
          <w:tcPr>
            <w:tcW w:w="901" w:type="dxa"/>
          </w:tcPr>
          <w:p w:rsidR="00BF4753" w:rsidRPr="00182E2D" w:rsidRDefault="00BF4753" w:rsidP="002D7CA8">
            <w:pPr>
              <w:ind w:firstLine="0"/>
              <w:jc w:val="right"/>
              <w:rPr>
                <w:rFonts w:eastAsia="Times New Roman"/>
                <w:sz w:val="20"/>
              </w:rPr>
            </w:pPr>
          </w:p>
        </w:tc>
        <w:tc>
          <w:tcPr>
            <w:tcW w:w="901" w:type="dxa"/>
          </w:tcPr>
          <w:p w:rsidR="00BF4753" w:rsidRPr="00182E2D" w:rsidRDefault="00BF4753" w:rsidP="002D7CA8">
            <w:pPr>
              <w:ind w:firstLine="0"/>
              <w:jc w:val="right"/>
              <w:rPr>
                <w:rFonts w:eastAsia="Times New Roman"/>
                <w:sz w:val="20"/>
              </w:rPr>
            </w:pPr>
          </w:p>
        </w:tc>
        <w:tc>
          <w:tcPr>
            <w:tcW w:w="901" w:type="dxa"/>
          </w:tcPr>
          <w:p w:rsidR="00BF4753" w:rsidRPr="00182E2D" w:rsidRDefault="00BF4753" w:rsidP="002D7CA8">
            <w:pPr>
              <w:ind w:firstLine="0"/>
              <w:jc w:val="right"/>
              <w:rPr>
                <w:rFonts w:eastAsia="Times New Roman"/>
                <w:sz w:val="20"/>
              </w:rPr>
            </w:pPr>
          </w:p>
        </w:tc>
      </w:tr>
      <w:tr w:rsidR="00BF4753" w:rsidRPr="00182E2D" w:rsidTr="002D7CA8">
        <w:trPr>
          <w:jc w:val="center"/>
        </w:trPr>
        <w:tc>
          <w:tcPr>
            <w:tcW w:w="4692" w:type="dxa"/>
          </w:tcPr>
          <w:p w:rsidR="00BF4753" w:rsidRPr="00182E2D" w:rsidRDefault="00BF4753" w:rsidP="002D7CA8">
            <w:pPr>
              <w:ind w:firstLine="0"/>
              <w:jc w:val="left"/>
              <w:rPr>
                <w:rFonts w:eastAsia="Times New Roman"/>
                <w:sz w:val="20"/>
              </w:rPr>
            </w:pPr>
            <w:r w:rsidRPr="00182E2D">
              <w:rPr>
                <w:rFonts w:eastAsia="Times New Roman"/>
                <w:sz w:val="20"/>
              </w:rPr>
              <w:t>Grozījumi Čeku loterijas likumā</w:t>
            </w:r>
          </w:p>
        </w:tc>
        <w:tc>
          <w:tcPr>
            <w:tcW w:w="901" w:type="dxa"/>
          </w:tcPr>
          <w:p w:rsidR="00BF4753" w:rsidRPr="00182E2D" w:rsidRDefault="00BF4753" w:rsidP="002D7CA8">
            <w:pPr>
              <w:ind w:firstLine="0"/>
              <w:jc w:val="right"/>
              <w:rPr>
                <w:rFonts w:eastAsia="Times New Roman"/>
                <w:sz w:val="20"/>
              </w:rPr>
            </w:pPr>
            <w:r w:rsidRPr="00182E2D">
              <w:rPr>
                <w:rFonts w:eastAsia="Times New Roman"/>
                <w:sz w:val="20"/>
              </w:rPr>
              <w:t>+0,004</w:t>
            </w:r>
          </w:p>
        </w:tc>
        <w:tc>
          <w:tcPr>
            <w:tcW w:w="901" w:type="dxa"/>
          </w:tcPr>
          <w:p w:rsidR="00BF4753" w:rsidRPr="00182E2D" w:rsidRDefault="00BF4753" w:rsidP="002D7CA8">
            <w:pPr>
              <w:ind w:firstLine="0"/>
              <w:jc w:val="right"/>
              <w:rPr>
                <w:rFonts w:eastAsia="Times New Roman"/>
                <w:sz w:val="20"/>
              </w:rPr>
            </w:pPr>
          </w:p>
        </w:tc>
        <w:tc>
          <w:tcPr>
            <w:tcW w:w="901" w:type="dxa"/>
          </w:tcPr>
          <w:p w:rsidR="00BF4753" w:rsidRPr="00182E2D" w:rsidRDefault="00BF4753" w:rsidP="002D7CA8">
            <w:pPr>
              <w:ind w:firstLine="0"/>
              <w:jc w:val="right"/>
              <w:rPr>
                <w:rFonts w:eastAsia="Times New Roman"/>
                <w:sz w:val="20"/>
              </w:rPr>
            </w:pPr>
          </w:p>
        </w:tc>
        <w:tc>
          <w:tcPr>
            <w:tcW w:w="901" w:type="dxa"/>
          </w:tcPr>
          <w:p w:rsidR="00BF4753" w:rsidRPr="00182E2D" w:rsidRDefault="00BF4753" w:rsidP="002D7CA8">
            <w:pPr>
              <w:ind w:firstLine="0"/>
              <w:jc w:val="right"/>
              <w:rPr>
                <w:rFonts w:eastAsia="Times New Roman"/>
                <w:sz w:val="20"/>
              </w:rPr>
            </w:pPr>
          </w:p>
        </w:tc>
      </w:tr>
      <w:tr w:rsidR="00BF4753" w:rsidRPr="00182E2D" w:rsidTr="002D7CA8">
        <w:trPr>
          <w:jc w:val="center"/>
        </w:trPr>
        <w:tc>
          <w:tcPr>
            <w:tcW w:w="4692" w:type="dxa"/>
          </w:tcPr>
          <w:p w:rsidR="00BF4753" w:rsidRPr="00182E2D" w:rsidRDefault="00BF4753" w:rsidP="002D7CA8">
            <w:pPr>
              <w:ind w:firstLine="0"/>
              <w:jc w:val="left"/>
              <w:rPr>
                <w:rFonts w:eastAsia="Times New Roman"/>
                <w:sz w:val="20"/>
              </w:rPr>
            </w:pPr>
            <w:r w:rsidRPr="00182E2D">
              <w:rPr>
                <w:rFonts w:eastAsia="Times New Roman"/>
                <w:sz w:val="20"/>
              </w:rPr>
              <w:t>Ar 2021.</w:t>
            </w:r>
            <w:r>
              <w:rPr>
                <w:rFonts w:eastAsia="Times New Roman"/>
                <w:sz w:val="20"/>
              </w:rPr>
              <w:t xml:space="preserve"> </w:t>
            </w:r>
            <w:r w:rsidRPr="00182E2D">
              <w:rPr>
                <w:rFonts w:eastAsia="Times New Roman"/>
                <w:sz w:val="20"/>
              </w:rPr>
              <w:t xml:space="preserve">gadu minimālās mēneša darba algas paaugstināšana līdz 500 </w:t>
            </w:r>
            <w:r w:rsidRPr="00182E2D">
              <w:rPr>
                <w:rFonts w:eastAsia="Times New Roman"/>
                <w:i/>
                <w:iCs/>
                <w:sz w:val="20"/>
              </w:rPr>
              <w:t>euro</w:t>
            </w:r>
            <w:r w:rsidRPr="00182E2D">
              <w:rPr>
                <w:rFonts w:eastAsia="Times New Roman"/>
                <w:sz w:val="20"/>
              </w:rPr>
              <w:t>/mēnesī</w:t>
            </w:r>
          </w:p>
        </w:tc>
        <w:tc>
          <w:tcPr>
            <w:tcW w:w="901" w:type="dxa"/>
          </w:tcPr>
          <w:p w:rsidR="00BF4753" w:rsidRPr="00182E2D" w:rsidRDefault="00BF4753" w:rsidP="002D7CA8">
            <w:pPr>
              <w:ind w:firstLine="0"/>
              <w:jc w:val="right"/>
              <w:rPr>
                <w:rFonts w:eastAsia="Times New Roman"/>
                <w:sz w:val="20"/>
              </w:rPr>
            </w:pPr>
            <w:r w:rsidRPr="00182E2D">
              <w:rPr>
                <w:rFonts w:eastAsia="Times New Roman"/>
                <w:sz w:val="20"/>
              </w:rPr>
              <w:t>+11,9</w:t>
            </w:r>
          </w:p>
        </w:tc>
        <w:tc>
          <w:tcPr>
            <w:tcW w:w="901" w:type="dxa"/>
          </w:tcPr>
          <w:p w:rsidR="00BF4753" w:rsidRPr="00182E2D" w:rsidRDefault="00BF4753" w:rsidP="002D7CA8">
            <w:pPr>
              <w:ind w:firstLine="0"/>
              <w:jc w:val="right"/>
              <w:rPr>
                <w:rFonts w:eastAsia="Times New Roman"/>
                <w:sz w:val="20"/>
              </w:rPr>
            </w:pPr>
          </w:p>
        </w:tc>
        <w:tc>
          <w:tcPr>
            <w:tcW w:w="901" w:type="dxa"/>
          </w:tcPr>
          <w:p w:rsidR="00BF4753" w:rsidRPr="00182E2D" w:rsidRDefault="00BF4753" w:rsidP="002D7CA8">
            <w:pPr>
              <w:ind w:firstLine="0"/>
              <w:jc w:val="right"/>
              <w:rPr>
                <w:rFonts w:eastAsia="Times New Roman"/>
                <w:sz w:val="20"/>
              </w:rPr>
            </w:pPr>
          </w:p>
        </w:tc>
        <w:tc>
          <w:tcPr>
            <w:tcW w:w="901" w:type="dxa"/>
          </w:tcPr>
          <w:p w:rsidR="00BF4753" w:rsidRPr="00182E2D" w:rsidRDefault="00BF4753" w:rsidP="002D7CA8">
            <w:pPr>
              <w:ind w:firstLine="0"/>
              <w:jc w:val="right"/>
              <w:rPr>
                <w:rFonts w:eastAsia="Times New Roman"/>
                <w:sz w:val="20"/>
              </w:rPr>
            </w:pPr>
          </w:p>
        </w:tc>
      </w:tr>
      <w:tr w:rsidR="00BF4753" w:rsidRPr="00182E2D" w:rsidTr="002D7CA8">
        <w:trPr>
          <w:jc w:val="center"/>
        </w:trPr>
        <w:tc>
          <w:tcPr>
            <w:tcW w:w="4692" w:type="dxa"/>
          </w:tcPr>
          <w:p w:rsidR="00BF4753" w:rsidRPr="00182E2D" w:rsidRDefault="00BF4753" w:rsidP="002D7CA8">
            <w:pPr>
              <w:ind w:firstLine="0"/>
              <w:jc w:val="left"/>
              <w:rPr>
                <w:rFonts w:eastAsia="Times New Roman"/>
                <w:sz w:val="20"/>
              </w:rPr>
            </w:pPr>
            <w:r>
              <w:rPr>
                <w:sz w:val="20"/>
              </w:rPr>
              <w:t>Iedzīvotāju ienākuma nodokļa aprēķināšana gadījumos, ja Valsts ieņēmumu dienesta</w:t>
            </w:r>
            <w:r w:rsidRPr="00182E2D">
              <w:rPr>
                <w:sz w:val="20"/>
              </w:rPr>
              <w:t xml:space="preserve"> rīcībā ir informācija par nesamaksātu nodokļa apmēru</w:t>
            </w:r>
          </w:p>
        </w:tc>
        <w:tc>
          <w:tcPr>
            <w:tcW w:w="901" w:type="dxa"/>
          </w:tcPr>
          <w:p w:rsidR="00BF4753" w:rsidRPr="00182E2D" w:rsidRDefault="00BF4753" w:rsidP="002D7CA8">
            <w:pPr>
              <w:ind w:firstLine="0"/>
              <w:jc w:val="right"/>
              <w:rPr>
                <w:rFonts w:eastAsia="Times New Roman"/>
                <w:sz w:val="20"/>
              </w:rPr>
            </w:pPr>
            <w:r w:rsidRPr="00182E2D">
              <w:rPr>
                <w:rFonts w:eastAsia="Times New Roman"/>
                <w:sz w:val="20"/>
              </w:rPr>
              <w:t>+1,0</w:t>
            </w:r>
          </w:p>
        </w:tc>
        <w:tc>
          <w:tcPr>
            <w:tcW w:w="901" w:type="dxa"/>
          </w:tcPr>
          <w:p w:rsidR="00BF4753" w:rsidRPr="00182E2D" w:rsidRDefault="00BF4753" w:rsidP="002D7CA8">
            <w:pPr>
              <w:ind w:firstLine="0"/>
              <w:jc w:val="right"/>
              <w:rPr>
                <w:rFonts w:eastAsia="Times New Roman"/>
                <w:sz w:val="20"/>
              </w:rPr>
            </w:pPr>
          </w:p>
        </w:tc>
        <w:tc>
          <w:tcPr>
            <w:tcW w:w="901" w:type="dxa"/>
          </w:tcPr>
          <w:p w:rsidR="00BF4753" w:rsidRPr="00182E2D" w:rsidRDefault="00BF4753" w:rsidP="002D7CA8">
            <w:pPr>
              <w:ind w:firstLine="0"/>
              <w:jc w:val="right"/>
              <w:rPr>
                <w:rFonts w:eastAsia="Times New Roman"/>
                <w:sz w:val="20"/>
              </w:rPr>
            </w:pPr>
          </w:p>
        </w:tc>
        <w:tc>
          <w:tcPr>
            <w:tcW w:w="901" w:type="dxa"/>
          </w:tcPr>
          <w:p w:rsidR="00BF4753" w:rsidRPr="00182E2D" w:rsidRDefault="00BF4753" w:rsidP="002D7CA8">
            <w:pPr>
              <w:ind w:firstLine="0"/>
              <w:jc w:val="right"/>
              <w:rPr>
                <w:rFonts w:eastAsia="Times New Roman"/>
                <w:sz w:val="20"/>
              </w:rPr>
            </w:pPr>
          </w:p>
        </w:tc>
      </w:tr>
      <w:tr w:rsidR="00BF4753" w:rsidRPr="00182E2D" w:rsidTr="002D7CA8">
        <w:trPr>
          <w:jc w:val="center"/>
        </w:trPr>
        <w:tc>
          <w:tcPr>
            <w:tcW w:w="4692" w:type="dxa"/>
          </w:tcPr>
          <w:p w:rsidR="00BF4753" w:rsidRPr="00182E2D" w:rsidRDefault="00BF4753" w:rsidP="002D7CA8">
            <w:pPr>
              <w:ind w:firstLine="0"/>
              <w:jc w:val="left"/>
              <w:rPr>
                <w:rFonts w:eastAsia="Times New Roman"/>
                <w:sz w:val="20"/>
              </w:rPr>
            </w:pPr>
            <w:r w:rsidRPr="00182E2D">
              <w:rPr>
                <w:rFonts w:eastAsia="Times New Roman"/>
                <w:sz w:val="20"/>
              </w:rPr>
              <w:t>Saimnieciskās darbības izdevumu ierobežojumu 80% procentu apmērā atcelšana 2020. un 2021. taksācijas gadā</w:t>
            </w:r>
          </w:p>
        </w:tc>
        <w:tc>
          <w:tcPr>
            <w:tcW w:w="901" w:type="dxa"/>
          </w:tcPr>
          <w:p w:rsidR="00BF4753" w:rsidRPr="00182E2D" w:rsidRDefault="00BF4753" w:rsidP="002D7CA8">
            <w:pPr>
              <w:ind w:firstLine="0"/>
              <w:jc w:val="right"/>
              <w:rPr>
                <w:rFonts w:eastAsia="Times New Roman"/>
                <w:sz w:val="20"/>
              </w:rPr>
            </w:pPr>
            <w:r w:rsidRPr="00182E2D">
              <w:rPr>
                <w:rFonts w:eastAsia="Times New Roman"/>
                <w:sz w:val="20"/>
              </w:rPr>
              <w:t>-3,6</w:t>
            </w:r>
          </w:p>
        </w:tc>
        <w:tc>
          <w:tcPr>
            <w:tcW w:w="901" w:type="dxa"/>
          </w:tcPr>
          <w:p w:rsidR="00BF4753" w:rsidRPr="00182E2D" w:rsidRDefault="00BF4753" w:rsidP="002D7CA8">
            <w:pPr>
              <w:ind w:firstLine="0"/>
              <w:jc w:val="right"/>
              <w:rPr>
                <w:rFonts w:eastAsia="Times New Roman"/>
                <w:sz w:val="20"/>
              </w:rPr>
            </w:pPr>
          </w:p>
        </w:tc>
        <w:tc>
          <w:tcPr>
            <w:tcW w:w="901" w:type="dxa"/>
          </w:tcPr>
          <w:p w:rsidR="00BF4753" w:rsidRPr="00182E2D" w:rsidRDefault="00BF4753" w:rsidP="002D7CA8">
            <w:pPr>
              <w:ind w:firstLine="0"/>
              <w:jc w:val="right"/>
              <w:rPr>
                <w:rFonts w:eastAsia="Times New Roman"/>
                <w:sz w:val="20"/>
              </w:rPr>
            </w:pPr>
            <w:r w:rsidRPr="00182E2D">
              <w:rPr>
                <w:rFonts w:eastAsia="Times New Roman"/>
                <w:sz w:val="20"/>
              </w:rPr>
              <w:t>+3,6</w:t>
            </w:r>
          </w:p>
        </w:tc>
        <w:tc>
          <w:tcPr>
            <w:tcW w:w="901" w:type="dxa"/>
          </w:tcPr>
          <w:p w:rsidR="00BF4753" w:rsidRPr="00182E2D" w:rsidRDefault="00BF4753" w:rsidP="002D7CA8">
            <w:pPr>
              <w:ind w:firstLine="0"/>
              <w:jc w:val="right"/>
              <w:rPr>
                <w:rFonts w:eastAsia="Times New Roman"/>
                <w:sz w:val="20"/>
              </w:rPr>
            </w:pPr>
          </w:p>
        </w:tc>
      </w:tr>
      <w:tr w:rsidR="00BF4753" w:rsidRPr="00182E2D" w:rsidTr="002D7CA8">
        <w:trPr>
          <w:jc w:val="center"/>
        </w:trPr>
        <w:tc>
          <w:tcPr>
            <w:tcW w:w="4692" w:type="dxa"/>
          </w:tcPr>
          <w:p w:rsidR="00BF4753" w:rsidRPr="00182E2D" w:rsidRDefault="00BF4753" w:rsidP="002D7CA8">
            <w:pPr>
              <w:ind w:firstLine="0"/>
              <w:jc w:val="right"/>
              <w:rPr>
                <w:rFonts w:eastAsia="Times New Roman"/>
                <w:b/>
                <w:bCs/>
                <w:sz w:val="20"/>
              </w:rPr>
            </w:pPr>
            <w:r w:rsidRPr="00182E2D">
              <w:rPr>
                <w:rFonts w:eastAsia="Times New Roman"/>
                <w:b/>
                <w:bCs/>
                <w:sz w:val="20"/>
              </w:rPr>
              <w:t>Izmaiņu ietekme kopā:</w:t>
            </w:r>
          </w:p>
        </w:tc>
        <w:tc>
          <w:tcPr>
            <w:tcW w:w="901" w:type="dxa"/>
          </w:tcPr>
          <w:p w:rsidR="00BF4753" w:rsidRPr="00182E2D" w:rsidRDefault="00BF4753" w:rsidP="002D7CA8">
            <w:pPr>
              <w:ind w:firstLine="0"/>
              <w:jc w:val="right"/>
              <w:rPr>
                <w:rFonts w:eastAsia="Times New Roman"/>
                <w:b/>
                <w:bCs/>
                <w:sz w:val="20"/>
              </w:rPr>
            </w:pPr>
            <w:r w:rsidRPr="00182E2D">
              <w:rPr>
                <w:rFonts w:eastAsia="Times New Roman"/>
                <w:b/>
                <w:bCs/>
                <w:sz w:val="20"/>
              </w:rPr>
              <w:t>+11,2</w:t>
            </w:r>
          </w:p>
        </w:tc>
        <w:tc>
          <w:tcPr>
            <w:tcW w:w="901" w:type="dxa"/>
          </w:tcPr>
          <w:p w:rsidR="00BF4753" w:rsidRPr="00182E2D" w:rsidRDefault="00BF4753" w:rsidP="002D7CA8">
            <w:pPr>
              <w:ind w:firstLine="0"/>
              <w:jc w:val="right"/>
              <w:rPr>
                <w:rFonts w:eastAsia="Times New Roman"/>
                <w:b/>
                <w:bCs/>
                <w:sz w:val="20"/>
              </w:rPr>
            </w:pPr>
            <w:r w:rsidRPr="00182E2D">
              <w:rPr>
                <w:rFonts w:eastAsia="Times New Roman"/>
                <w:b/>
                <w:bCs/>
                <w:sz w:val="20"/>
              </w:rPr>
              <w:t>+35,0</w:t>
            </w:r>
          </w:p>
        </w:tc>
        <w:tc>
          <w:tcPr>
            <w:tcW w:w="901" w:type="dxa"/>
          </w:tcPr>
          <w:p w:rsidR="00BF4753" w:rsidRPr="00182E2D" w:rsidRDefault="00BF4753" w:rsidP="002D7CA8">
            <w:pPr>
              <w:ind w:firstLine="0"/>
              <w:jc w:val="right"/>
              <w:rPr>
                <w:rFonts w:eastAsia="Times New Roman"/>
                <w:b/>
                <w:bCs/>
                <w:sz w:val="20"/>
              </w:rPr>
            </w:pPr>
            <w:r w:rsidRPr="00182E2D">
              <w:rPr>
                <w:rFonts w:eastAsia="Times New Roman"/>
                <w:b/>
                <w:bCs/>
                <w:sz w:val="20"/>
              </w:rPr>
              <w:t>-31,4</w:t>
            </w:r>
          </w:p>
        </w:tc>
        <w:tc>
          <w:tcPr>
            <w:tcW w:w="901" w:type="dxa"/>
          </w:tcPr>
          <w:p w:rsidR="00BF4753" w:rsidRPr="00182E2D" w:rsidRDefault="00BF4753" w:rsidP="002D7CA8">
            <w:pPr>
              <w:ind w:firstLine="0"/>
              <w:jc w:val="right"/>
              <w:rPr>
                <w:rFonts w:eastAsia="Times New Roman"/>
                <w:b/>
                <w:bCs/>
                <w:sz w:val="20"/>
              </w:rPr>
            </w:pPr>
            <w:r w:rsidRPr="00182E2D">
              <w:rPr>
                <w:rFonts w:eastAsia="Times New Roman"/>
                <w:b/>
                <w:bCs/>
                <w:sz w:val="20"/>
              </w:rPr>
              <w:t xml:space="preserve"> </w:t>
            </w:r>
          </w:p>
        </w:tc>
      </w:tr>
    </w:tbl>
    <w:p w:rsidR="00BF4753" w:rsidRPr="00C803AC" w:rsidRDefault="00BF4753" w:rsidP="00BF4753">
      <w:pPr>
        <w:spacing w:before="360" w:after="120"/>
        <w:outlineLvl w:val="3"/>
        <w:rPr>
          <w:rFonts w:eastAsia="Times New Roman" w:cs="Times New Roman"/>
          <w:b/>
          <w:szCs w:val="24"/>
        </w:rPr>
      </w:pPr>
      <w:r w:rsidRPr="00C803AC">
        <w:rPr>
          <w:rFonts w:eastAsia="Times New Roman" w:cs="Times New Roman"/>
          <w:b/>
          <w:szCs w:val="24"/>
        </w:rPr>
        <w:t>Sociālās apdrošināšanas iemaksas</w:t>
      </w:r>
      <w:r w:rsidRPr="00C803AC">
        <w:rPr>
          <w:rFonts w:eastAsia="Times New Roman" w:cs="Times New Roman"/>
          <w:b/>
          <w:szCs w:val="24"/>
          <w:vertAlign w:val="superscript"/>
        </w:rPr>
        <w:footnoteReference w:id="14"/>
      </w:r>
    </w:p>
    <w:p w:rsidR="00BF4753" w:rsidRPr="00C803AC" w:rsidRDefault="00BF4753" w:rsidP="00BF4753">
      <w:pPr>
        <w:rPr>
          <w:rFonts w:eastAsia="Times New Roman" w:cs="Times New Roman"/>
          <w:iCs/>
          <w:szCs w:val="20"/>
          <w:lang w:val="x-none" w:eastAsia="x-none"/>
        </w:rPr>
      </w:pPr>
      <w:r w:rsidRPr="00C803AC">
        <w:rPr>
          <w:rFonts w:eastAsia="Times New Roman" w:cs="Times New Roman"/>
          <w:iCs/>
          <w:szCs w:val="20"/>
          <w:lang w:val="x-none" w:eastAsia="x-none"/>
        </w:rPr>
        <w:t>Vidēj</w:t>
      </w:r>
      <w:r w:rsidRPr="00C803AC">
        <w:rPr>
          <w:rFonts w:eastAsia="Times New Roman" w:cs="Times New Roman"/>
          <w:iCs/>
          <w:szCs w:val="20"/>
          <w:lang w:eastAsia="x-none"/>
        </w:rPr>
        <w:t>ā</w:t>
      </w:r>
      <w:r w:rsidRPr="00C803AC">
        <w:rPr>
          <w:rFonts w:eastAsia="Times New Roman" w:cs="Times New Roman"/>
          <w:iCs/>
          <w:szCs w:val="20"/>
          <w:lang w:val="x-none" w:eastAsia="x-none"/>
        </w:rPr>
        <w:t xml:space="preserve"> termiņa sociālās apdrošināšanas iemaksu ieņēmumu dinamiku noteiks ne tikai prognozētais darba samaksas fonda pieaugums, bet arī veiktās izmaiņas </w:t>
      </w:r>
      <w:r w:rsidRPr="00C803AC">
        <w:rPr>
          <w:rFonts w:eastAsia="Times New Roman" w:cs="Times New Roman"/>
          <w:iCs/>
          <w:szCs w:val="20"/>
          <w:lang w:eastAsia="x-none"/>
        </w:rPr>
        <w:t>normatīvajos aktos</w:t>
      </w:r>
      <w:r w:rsidRPr="00C803AC">
        <w:rPr>
          <w:rFonts w:eastAsia="Times New Roman" w:cs="Times New Roman"/>
          <w:iCs/>
          <w:szCs w:val="20"/>
          <w:lang w:val="x-none" w:eastAsia="x-none"/>
        </w:rPr>
        <w:t>.</w:t>
      </w:r>
      <w:r w:rsidRPr="00C803AC">
        <w:rPr>
          <w:rFonts w:eastAsia="Times New Roman" w:cs="Times New Roman"/>
          <w:iCs/>
          <w:szCs w:val="20"/>
          <w:vertAlign w:val="superscript"/>
          <w:lang w:val="x-none" w:eastAsia="x-none"/>
        </w:rPr>
        <w:t xml:space="preserve"> </w:t>
      </w:r>
    </w:p>
    <w:p w:rsidR="00BF4753" w:rsidRPr="00C803AC" w:rsidRDefault="00BF4753" w:rsidP="00BF4753">
      <w:pPr>
        <w:rPr>
          <w:rFonts w:eastAsia="Calibri" w:cs="Times New Roman"/>
          <w:szCs w:val="28"/>
          <w:lang w:eastAsia="lv-LV"/>
        </w:rPr>
      </w:pPr>
      <w:r w:rsidRPr="00C803AC">
        <w:rPr>
          <w:rFonts w:eastAsia="Calibri" w:cs="Times New Roman"/>
          <w:szCs w:val="28"/>
          <w:lang w:eastAsia="lv-LV"/>
        </w:rPr>
        <w:t>Ar 2021.</w:t>
      </w:r>
      <w:r>
        <w:rPr>
          <w:rFonts w:eastAsia="Calibri" w:cs="Times New Roman"/>
          <w:szCs w:val="28"/>
          <w:lang w:eastAsia="lv-LV"/>
        </w:rPr>
        <w:t xml:space="preserve"> </w:t>
      </w:r>
      <w:r w:rsidRPr="00C803AC">
        <w:rPr>
          <w:rFonts w:eastAsia="Calibri" w:cs="Times New Roman"/>
          <w:szCs w:val="28"/>
          <w:lang w:eastAsia="lv-LV"/>
        </w:rPr>
        <w:t>gada 1.</w:t>
      </w:r>
      <w:r>
        <w:rPr>
          <w:rFonts w:eastAsia="Calibri" w:cs="Times New Roman"/>
          <w:szCs w:val="28"/>
          <w:lang w:eastAsia="lv-LV"/>
        </w:rPr>
        <w:t xml:space="preserve"> </w:t>
      </w:r>
      <w:r w:rsidRPr="00C803AC">
        <w:rPr>
          <w:rFonts w:eastAsia="Calibri" w:cs="Times New Roman"/>
          <w:szCs w:val="28"/>
          <w:lang w:eastAsia="lv-LV"/>
        </w:rPr>
        <w:t>janvāri stājās spēkā solidaritātes nodokļa grozījumi, kas paredz, ka solidaritātes nodokļa likme ir 25,0%, ko piemēro ienākumiem</w:t>
      </w:r>
      <w:r w:rsidRPr="00C803AC">
        <w:rPr>
          <w:rFonts w:eastAsia="Calibri" w:cs="Times New Roman"/>
        </w:rPr>
        <w:t>, kas pārsniedz 62 800 </w:t>
      </w:r>
      <w:r w:rsidRPr="00C803AC">
        <w:rPr>
          <w:rFonts w:eastAsia="Calibri" w:cs="Times New Roman"/>
          <w:i/>
        </w:rPr>
        <w:t>euro</w:t>
      </w:r>
      <w:r w:rsidRPr="00C803AC">
        <w:rPr>
          <w:rFonts w:eastAsia="Calibri" w:cs="Times New Roman"/>
        </w:rPr>
        <w:t xml:space="preserve"> gadā</w:t>
      </w:r>
      <w:r w:rsidRPr="00C803AC">
        <w:rPr>
          <w:rFonts w:eastAsia="Calibri" w:cs="Times New Roman"/>
          <w:szCs w:val="28"/>
          <w:lang w:eastAsia="lv-LV"/>
        </w:rPr>
        <w:t xml:space="preserve">. Taksācijas periodā solidaritātes nodokļa objektam piemēro tādu pašu likmi, kādu piemēro valsts sociālās apdrošināšanas obligāto iemaksu objektam, un Valsts ieņēmumu dienests līdz pēctaksācijas gada 1.septembrim rezumējošā kārtībā veic pārmaksātā solidaritātes nodokļa atmaksu (starpību starp taksācijas periodā samaksāto solidaritātes nodokli, kas aprēķināts, piemērojot augstāku valsts sociālās apdrošināšanas obligāto iemaksu likmi, un rezumējošā kārtībā aprēķināto solidaritātes nodokli, kas aprēķināts, piemērojot solidaritātes nodokļa likmi (25,0%)). </w:t>
      </w:r>
    </w:p>
    <w:p w:rsidR="00BF4753" w:rsidRPr="00C803AC" w:rsidRDefault="00BF4753" w:rsidP="00BF4753">
      <w:pPr>
        <w:rPr>
          <w:rFonts w:eastAsia="Calibri" w:cs="Times New Roman"/>
          <w:spacing w:val="-2"/>
          <w:szCs w:val="28"/>
        </w:rPr>
      </w:pPr>
      <w:r w:rsidRPr="00C803AC">
        <w:rPr>
          <w:rFonts w:eastAsia="Calibri" w:cs="Times New Roman"/>
          <w:szCs w:val="28"/>
          <w:lang w:eastAsia="lv-LV"/>
        </w:rPr>
        <w:t>Ņemot vērā to, ka par 0,5 procentpunktiem ir samazināta solidaritātes nodokļa likme, ar 2021.gada 1.janvāri ir noteikta arī jauna solidaritātes nodokļa sadalīšanas secība</w:t>
      </w:r>
      <w:r w:rsidRPr="00C803AC">
        <w:rPr>
          <w:rFonts w:eastAsia="Calibri" w:cs="Times New Roman"/>
          <w:spacing w:val="-2"/>
          <w:szCs w:val="28"/>
        </w:rPr>
        <w:t>, prioritāti piešķirot ar solidaritāti saistītām sadaļām:</w:t>
      </w:r>
    </w:p>
    <w:p w:rsidR="00BF4753" w:rsidRPr="00C803AC" w:rsidRDefault="00BF4753" w:rsidP="00BF4753">
      <w:pPr>
        <w:numPr>
          <w:ilvl w:val="2"/>
          <w:numId w:val="22"/>
        </w:numPr>
        <w:spacing w:before="120" w:after="120"/>
        <w:ind w:left="1134" w:right="142" w:hanging="283"/>
        <w:contextualSpacing/>
        <w:rPr>
          <w:rFonts w:eastAsia="Calibri" w:cs="Times New Roman"/>
          <w:spacing w:val="-2"/>
          <w:szCs w:val="28"/>
        </w:rPr>
      </w:pPr>
      <w:r w:rsidRPr="00C803AC">
        <w:rPr>
          <w:rFonts w:eastAsia="Calibri" w:cs="Times New Roman"/>
          <w:spacing w:val="-2"/>
          <w:szCs w:val="28"/>
        </w:rPr>
        <w:t>1 procentpunkta apmērā veselības aprūpes pakalpojumu finansēšanai;</w:t>
      </w:r>
    </w:p>
    <w:p w:rsidR="00BF4753" w:rsidRPr="00C803AC" w:rsidRDefault="00BF4753" w:rsidP="00BF4753">
      <w:pPr>
        <w:numPr>
          <w:ilvl w:val="2"/>
          <w:numId w:val="22"/>
        </w:numPr>
        <w:spacing w:before="120" w:after="120"/>
        <w:ind w:left="1134" w:right="142" w:hanging="283"/>
        <w:contextualSpacing/>
        <w:rPr>
          <w:rFonts w:eastAsia="Calibri" w:cs="Times New Roman"/>
          <w:spacing w:val="-2"/>
          <w:szCs w:val="28"/>
        </w:rPr>
      </w:pPr>
      <w:r w:rsidRPr="00C803AC">
        <w:rPr>
          <w:rFonts w:eastAsia="Calibri" w:cs="Times New Roman"/>
          <w:spacing w:val="-2"/>
          <w:szCs w:val="28"/>
        </w:rPr>
        <w:t>14 procentpunktu apmērā valsts pensiju speciālajā budžetā</w:t>
      </w:r>
      <w:r w:rsidRPr="00C803AC">
        <w:rPr>
          <w:rFonts w:eastAsia="Calibri" w:cs="Times New Roman"/>
        </w:rPr>
        <w:t xml:space="preserve"> (līdz 2021.gadam tie tika reģistrēti nodokļa maksātāja personīgajā kontā, </w:t>
      </w:r>
      <w:r w:rsidRPr="00C803AC">
        <w:rPr>
          <w:rFonts w:eastAsia="Calibri" w:cs="Times New Roman"/>
        </w:rPr>
        <w:lastRenderedPageBreak/>
        <w:t>saskaņā ar likumu “Par valsts pensijām”, veicot solidaritātes nodokļa maksājumus no 2021.</w:t>
      </w:r>
      <w:r>
        <w:rPr>
          <w:rFonts w:eastAsia="Calibri" w:cs="Times New Roman"/>
        </w:rPr>
        <w:t xml:space="preserve"> </w:t>
      </w:r>
      <w:r w:rsidRPr="00C803AC">
        <w:rPr>
          <w:rFonts w:eastAsia="Calibri" w:cs="Times New Roman"/>
        </w:rPr>
        <w:t>gada, tos novirzīs valsts pensiju speciālajā budžetā nepersonalizēti</w:t>
      </w:r>
      <w:r w:rsidRPr="00C803AC">
        <w:rPr>
          <w:rFonts w:eastAsia="Calibri" w:cs="Times New Roman"/>
          <w:szCs w:val="24"/>
        </w:rPr>
        <w:t>)</w:t>
      </w:r>
      <w:r w:rsidRPr="00C803AC">
        <w:rPr>
          <w:rFonts w:eastAsia="Calibri" w:cs="Times New Roman"/>
          <w:spacing w:val="-2"/>
          <w:szCs w:val="28"/>
        </w:rPr>
        <w:t>;</w:t>
      </w:r>
    </w:p>
    <w:p w:rsidR="00BF4753" w:rsidRPr="000E7C35" w:rsidRDefault="00BF4753" w:rsidP="00BF4753">
      <w:pPr>
        <w:numPr>
          <w:ilvl w:val="2"/>
          <w:numId w:val="22"/>
        </w:numPr>
        <w:spacing w:before="240" w:after="120"/>
        <w:ind w:left="1134" w:right="142" w:hanging="283"/>
        <w:contextualSpacing/>
        <w:rPr>
          <w:rFonts w:eastAsia="Calibri" w:cs="Times New Roman"/>
          <w:spacing w:val="-2"/>
          <w:szCs w:val="28"/>
        </w:rPr>
      </w:pPr>
      <w:r w:rsidRPr="00C803AC">
        <w:rPr>
          <w:rFonts w:eastAsia="Calibri" w:cs="Times New Roman"/>
          <w:spacing w:val="-2"/>
          <w:szCs w:val="28"/>
        </w:rPr>
        <w:t>10 procentpunktu apmērā iedzīvotāju ienākuma nodokļa kontā (</w:t>
      </w:r>
      <w:r w:rsidRPr="00C803AC">
        <w:rPr>
          <w:rFonts w:eastAsia="Calibri" w:cs="Times New Roman"/>
          <w:szCs w:val="24"/>
        </w:rPr>
        <w:t>ar 2021.</w:t>
      </w:r>
      <w:r>
        <w:rPr>
          <w:rFonts w:eastAsia="Calibri" w:cs="Times New Roman"/>
          <w:szCs w:val="24"/>
        </w:rPr>
        <w:t xml:space="preserve"> </w:t>
      </w:r>
      <w:r w:rsidRPr="00C803AC">
        <w:rPr>
          <w:rFonts w:eastAsia="Calibri" w:cs="Times New Roman"/>
          <w:szCs w:val="24"/>
        </w:rPr>
        <w:t>gada 1.</w:t>
      </w:r>
      <w:r>
        <w:rPr>
          <w:rFonts w:eastAsia="Calibri" w:cs="Times New Roman"/>
          <w:szCs w:val="24"/>
        </w:rPr>
        <w:t xml:space="preserve"> </w:t>
      </w:r>
      <w:r w:rsidRPr="00C803AC">
        <w:rPr>
          <w:rFonts w:eastAsia="Calibri" w:cs="Times New Roman"/>
          <w:szCs w:val="24"/>
        </w:rPr>
        <w:t xml:space="preserve">janvāri samazināts no </w:t>
      </w:r>
      <w:r w:rsidRPr="00C803AC">
        <w:rPr>
          <w:rFonts w:eastAsia="Calibri" w:cs="Times New Roman"/>
          <w:spacing w:val="-2"/>
          <w:szCs w:val="28"/>
        </w:rPr>
        <w:t>10,5 procentpunktiem līdz 10,0 procentpunktiem).</w:t>
      </w:r>
      <w:r w:rsidRPr="00C803AC" w:rsidDel="00765998">
        <w:rPr>
          <w:rFonts w:eastAsia="Calibri" w:cs="Times New Roman"/>
          <w:spacing w:val="-2"/>
          <w:szCs w:val="28"/>
        </w:rPr>
        <w:t xml:space="preserve"> </w:t>
      </w:r>
    </w:p>
    <w:p w:rsidR="00BF4753" w:rsidRPr="00C803AC" w:rsidRDefault="00BF4753" w:rsidP="00BF4753">
      <w:pPr>
        <w:contextualSpacing/>
        <w:rPr>
          <w:rFonts w:eastAsia="Times New Roman" w:cs="Times New Roman"/>
          <w:szCs w:val="24"/>
        </w:rPr>
      </w:pPr>
      <w:r w:rsidRPr="00C803AC">
        <w:rPr>
          <w:rFonts w:eastAsia="Times New Roman" w:cs="Times New Roman"/>
          <w:szCs w:val="24"/>
        </w:rPr>
        <w:t>Iemaksu likme valsts fondēto pensiju shēmā saglabājas nemainīga, sastādot 6 procentpunktus no kopējās valsts sociālās apdrošināšanas obligāto iemaksu likmes.</w:t>
      </w:r>
      <w:r w:rsidRPr="00C803AC">
        <w:rPr>
          <w:rFonts w:eastAsia="Times New Roman" w:cs="Times New Roman"/>
          <w:iCs/>
          <w:szCs w:val="20"/>
          <w:vertAlign w:val="superscript"/>
          <w:lang w:val="x-none" w:eastAsia="x-none"/>
        </w:rPr>
        <w:t xml:space="preserve"> </w:t>
      </w:r>
      <w:r w:rsidRPr="00C803AC">
        <w:rPr>
          <w:rFonts w:eastAsia="Times New Roman" w:cs="Times New Roman"/>
          <w:iCs/>
          <w:szCs w:val="20"/>
          <w:vertAlign w:val="superscript"/>
          <w:lang w:val="x-none" w:eastAsia="x-none"/>
        </w:rPr>
        <w:footnoteReference w:id="15"/>
      </w:r>
    </w:p>
    <w:p w:rsidR="00BF4753" w:rsidRPr="00C803AC" w:rsidRDefault="00BF4753" w:rsidP="00BF4753">
      <w:pPr>
        <w:rPr>
          <w:rFonts w:eastAsia="Calibri" w:cs="Times New Roman"/>
          <w:szCs w:val="24"/>
          <w:lang w:eastAsia="lv-LV"/>
        </w:rPr>
      </w:pPr>
      <w:r w:rsidRPr="00C803AC">
        <w:rPr>
          <w:rFonts w:eastAsia="Times New Roman" w:cs="Times New Roman"/>
          <w:iCs/>
          <w:szCs w:val="20"/>
          <w:lang w:eastAsia="x-none"/>
        </w:rPr>
        <w:t xml:space="preserve">Pieņemtās normatīvo aktu izmaiņas, </w:t>
      </w:r>
      <w:r w:rsidRPr="00C803AC">
        <w:rPr>
          <w:rFonts w:eastAsia="Times New Roman" w:cs="Times New Roman"/>
          <w:szCs w:val="20"/>
          <w:lang w:val="x-none" w:eastAsia="x-none"/>
        </w:rPr>
        <w:t xml:space="preserve">kas ietekmē </w:t>
      </w:r>
      <w:r w:rsidRPr="00C803AC">
        <w:rPr>
          <w:rFonts w:eastAsia="Times New Roman" w:cs="Times New Roman"/>
          <w:iCs/>
          <w:szCs w:val="20"/>
          <w:lang w:val="x-none" w:eastAsia="x-none"/>
        </w:rPr>
        <w:t xml:space="preserve">sociālās apdrošināšanas </w:t>
      </w:r>
      <w:r w:rsidRPr="00C803AC">
        <w:rPr>
          <w:rFonts w:eastAsia="Times New Roman" w:cs="Times New Roman"/>
          <w:iCs/>
          <w:szCs w:val="24"/>
          <w:lang w:val="x-none" w:eastAsia="x-none"/>
        </w:rPr>
        <w:t>iemaksu ieņēmumus</w:t>
      </w:r>
      <w:r w:rsidRPr="00C803AC">
        <w:rPr>
          <w:rFonts w:eastAsia="Times New Roman" w:cs="Times New Roman"/>
          <w:iCs/>
          <w:szCs w:val="24"/>
          <w:lang w:eastAsia="x-none"/>
        </w:rPr>
        <w:t xml:space="preserve"> 2021.</w:t>
      </w:r>
      <w:r>
        <w:rPr>
          <w:rFonts w:eastAsia="Times New Roman" w:cs="Times New Roman"/>
          <w:iCs/>
          <w:szCs w:val="24"/>
          <w:lang w:eastAsia="x-none"/>
        </w:rPr>
        <w:t xml:space="preserve"> </w:t>
      </w:r>
      <w:r w:rsidRPr="00C803AC">
        <w:rPr>
          <w:rFonts w:eastAsia="Times New Roman" w:cs="Times New Roman"/>
          <w:iCs/>
          <w:szCs w:val="24"/>
          <w:lang w:eastAsia="x-none"/>
        </w:rPr>
        <w:t>gadā:</w:t>
      </w:r>
    </w:p>
    <w:p w:rsidR="00BF4753" w:rsidRPr="00C803AC" w:rsidRDefault="00BF4753" w:rsidP="00BF4753">
      <w:pPr>
        <w:numPr>
          <w:ilvl w:val="0"/>
          <w:numId w:val="23"/>
        </w:numPr>
        <w:spacing w:before="120" w:after="120"/>
        <w:ind w:left="1134" w:hanging="283"/>
        <w:contextualSpacing/>
        <w:rPr>
          <w:rFonts w:eastAsia="Times New Roman" w:cs="Times New Roman"/>
          <w:szCs w:val="24"/>
          <w:lang w:eastAsia="lv-LV"/>
        </w:rPr>
      </w:pPr>
      <w:r w:rsidRPr="00C803AC">
        <w:rPr>
          <w:rFonts w:eastAsia="Times New Roman" w:cs="Times New Roman"/>
          <w:noProof/>
          <w:szCs w:val="24"/>
        </w:rPr>
        <w:t xml:space="preserve">lai mazinātu darbaspēka nodokļu slogu un veicinātu uzņēmumu konkurētspējas uzlabošanos, </w:t>
      </w:r>
      <w:r w:rsidRPr="00C803AC">
        <w:rPr>
          <w:rFonts w:eastAsia="Times New Roman" w:cs="Times New Roman"/>
          <w:szCs w:val="24"/>
        </w:rPr>
        <w:t>valsts sociālās apdrošināšanas obligāto iemaksu likme tika samazināta par 1 procentpunktu (no 35,09% uz 34,09%);</w:t>
      </w:r>
    </w:p>
    <w:p w:rsidR="00BF4753" w:rsidRPr="00C803AC" w:rsidRDefault="00BF4753" w:rsidP="00BF4753">
      <w:pPr>
        <w:numPr>
          <w:ilvl w:val="0"/>
          <w:numId w:val="23"/>
        </w:numPr>
        <w:spacing w:before="120" w:after="120"/>
        <w:ind w:left="1134" w:hanging="283"/>
        <w:contextualSpacing/>
        <w:rPr>
          <w:rFonts w:eastAsia="Times New Roman" w:cs="Times New Roman"/>
          <w:szCs w:val="24"/>
          <w:lang w:eastAsia="lv-LV"/>
        </w:rPr>
      </w:pPr>
      <w:r w:rsidRPr="00C803AC">
        <w:rPr>
          <w:rFonts w:eastAsia="Times New Roman" w:cs="Times New Roman"/>
          <w:szCs w:val="24"/>
        </w:rPr>
        <w:t>ar 2021.</w:t>
      </w:r>
      <w:r>
        <w:rPr>
          <w:rFonts w:eastAsia="Times New Roman" w:cs="Times New Roman"/>
          <w:szCs w:val="24"/>
        </w:rPr>
        <w:t xml:space="preserve"> </w:t>
      </w:r>
      <w:r w:rsidRPr="00C803AC">
        <w:rPr>
          <w:rFonts w:eastAsia="Times New Roman" w:cs="Times New Roman"/>
          <w:szCs w:val="24"/>
        </w:rPr>
        <w:t>gada 1.</w:t>
      </w:r>
      <w:r>
        <w:rPr>
          <w:rFonts w:eastAsia="Times New Roman" w:cs="Times New Roman"/>
          <w:szCs w:val="24"/>
        </w:rPr>
        <w:t xml:space="preserve"> </w:t>
      </w:r>
      <w:r w:rsidRPr="00C803AC">
        <w:rPr>
          <w:rFonts w:eastAsia="Times New Roman" w:cs="Times New Roman"/>
          <w:szCs w:val="24"/>
        </w:rPr>
        <w:t>janvāri tika paaugstināta minimālā mēneša darba alga no 430  līdz 500 </w:t>
      </w:r>
      <w:r w:rsidRPr="00C803AC">
        <w:rPr>
          <w:rFonts w:eastAsia="Times New Roman" w:cs="Times New Roman"/>
          <w:i/>
          <w:iCs/>
          <w:szCs w:val="24"/>
        </w:rPr>
        <w:t>euro</w:t>
      </w:r>
      <w:r w:rsidRPr="00C803AC">
        <w:rPr>
          <w:rFonts w:eastAsia="Times New Roman" w:cs="Times New Roman"/>
          <w:szCs w:val="24"/>
        </w:rPr>
        <w:t>/mēnesī;</w:t>
      </w:r>
    </w:p>
    <w:p w:rsidR="00BF4753" w:rsidRPr="00C803AC" w:rsidRDefault="00BF4753" w:rsidP="00BF4753">
      <w:pPr>
        <w:numPr>
          <w:ilvl w:val="0"/>
          <w:numId w:val="23"/>
        </w:numPr>
        <w:spacing w:before="120" w:after="120"/>
        <w:ind w:left="1134" w:hanging="283"/>
        <w:contextualSpacing/>
        <w:rPr>
          <w:rFonts w:eastAsia="Times New Roman" w:cs="Times New Roman"/>
          <w:szCs w:val="24"/>
          <w:lang w:eastAsia="lv-LV"/>
        </w:rPr>
      </w:pPr>
      <w:r w:rsidRPr="00C803AC">
        <w:rPr>
          <w:rFonts w:eastAsia="Times New Roman" w:cs="Times New Roman"/>
          <w:szCs w:val="24"/>
        </w:rPr>
        <w:t>minimālā valsts sociālās apdrošināšanas obligāto iemaksu apmēra ieviešana un alternatīvo nodokļu režīmu reorganizēšana (</w:t>
      </w:r>
      <w:r w:rsidRPr="00C803AC">
        <w:rPr>
          <w:rFonts w:eastAsia="Times New Roman" w:cs="Times New Roman"/>
          <w:iCs/>
          <w:color w:val="000000"/>
          <w:szCs w:val="24"/>
          <w:lang w:eastAsia="lv-LV"/>
        </w:rPr>
        <w:t>Labklājības ministrijas izstrādātie un 2020.</w:t>
      </w:r>
      <w:r>
        <w:rPr>
          <w:rFonts w:eastAsia="Times New Roman" w:cs="Times New Roman"/>
          <w:iCs/>
          <w:color w:val="000000"/>
          <w:szCs w:val="24"/>
          <w:lang w:eastAsia="lv-LV"/>
        </w:rPr>
        <w:t xml:space="preserve"> </w:t>
      </w:r>
      <w:r w:rsidRPr="00C803AC">
        <w:rPr>
          <w:rFonts w:eastAsia="Times New Roman" w:cs="Times New Roman"/>
          <w:iCs/>
          <w:color w:val="000000"/>
          <w:szCs w:val="24"/>
          <w:lang w:eastAsia="lv-LV"/>
        </w:rPr>
        <w:t>gada 27.</w:t>
      </w:r>
      <w:r>
        <w:rPr>
          <w:rFonts w:eastAsia="Times New Roman" w:cs="Times New Roman"/>
          <w:iCs/>
          <w:color w:val="000000"/>
          <w:szCs w:val="24"/>
          <w:lang w:eastAsia="lv-LV"/>
        </w:rPr>
        <w:t xml:space="preserve"> </w:t>
      </w:r>
      <w:r w:rsidRPr="00C803AC">
        <w:rPr>
          <w:rFonts w:eastAsia="Times New Roman" w:cs="Times New Roman"/>
          <w:iCs/>
          <w:color w:val="000000"/>
          <w:szCs w:val="24"/>
          <w:lang w:eastAsia="lv-LV"/>
        </w:rPr>
        <w:t>novembrī Saeimā pieņemtie grozījumi likumā “Par valsts sociālo apdrošināšanu”, pamatojoties uz Ministru kabineta 2020.</w:t>
      </w:r>
      <w:r>
        <w:rPr>
          <w:rFonts w:eastAsia="Times New Roman" w:cs="Times New Roman"/>
          <w:iCs/>
          <w:color w:val="000000"/>
          <w:szCs w:val="24"/>
          <w:lang w:eastAsia="lv-LV"/>
        </w:rPr>
        <w:t xml:space="preserve"> </w:t>
      </w:r>
      <w:r w:rsidRPr="00C803AC">
        <w:rPr>
          <w:rFonts w:eastAsia="Times New Roman" w:cs="Times New Roman"/>
          <w:iCs/>
          <w:color w:val="000000"/>
          <w:szCs w:val="24"/>
          <w:lang w:eastAsia="lv-LV"/>
        </w:rPr>
        <w:t>gada 2.</w:t>
      </w:r>
      <w:r>
        <w:rPr>
          <w:rFonts w:eastAsia="Times New Roman" w:cs="Times New Roman"/>
          <w:iCs/>
          <w:color w:val="000000"/>
          <w:szCs w:val="24"/>
          <w:lang w:eastAsia="lv-LV"/>
        </w:rPr>
        <w:t xml:space="preserve"> </w:t>
      </w:r>
      <w:r w:rsidRPr="00C803AC">
        <w:rPr>
          <w:rFonts w:eastAsia="Times New Roman" w:cs="Times New Roman"/>
          <w:iCs/>
          <w:color w:val="000000"/>
          <w:szCs w:val="24"/>
          <w:lang w:eastAsia="lv-LV"/>
        </w:rPr>
        <w:t>septembra sēdes protokola Nr.</w:t>
      </w:r>
      <w:r>
        <w:rPr>
          <w:rFonts w:eastAsia="Times New Roman" w:cs="Times New Roman"/>
          <w:iCs/>
          <w:color w:val="000000"/>
          <w:szCs w:val="24"/>
          <w:lang w:eastAsia="lv-LV"/>
        </w:rPr>
        <w:t xml:space="preserve"> </w:t>
      </w:r>
      <w:r w:rsidRPr="00C803AC">
        <w:rPr>
          <w:rFonts w:eastAsia="Times New Roman" w:cs="Times New Roman"/>
          <w:iCs/>
          <w:color w:val="000000"/>
          <w:szCs w:val="24"/>
          <w:lang w:eastAsia="lv-LV"/>
        </w:rPr>
        <w:t>51 45.§ 2.1. apakšpunktu)</w:t>
      </w:r>
      <w:r w:rsidRPr="00C803AC">
        <w:rPr>
          <w:rFonts w:eastAsia="Times New Roman" w:cs="Times New Roman"/>
          <w:szCs w:val="24"/>
        </w:rPr>
        <w:t xml:space="preserve"> un mikrouzņēmuma nodokļa režīma reorganizēšana;</w:t>
      </w:r>
    </w:p>
    <w:p w:rsidR="00BF4753" w:rsidRPr="00C803AC" w:rsidRDefault="00BF4753" w:rsidP="00BF4753">
      <w:pPr>
        <w:numPr>
          <w:ilvl w:val="0"/>
          <w:numId w:val="23"/>
        </w:numPr>
        <w:ind w:left="1135" w:hanging="284"/>
        <w:contextualSpacing/>
        <w:rPr>
          <w:rFonts w:eastAsia="Times New Roman" w:cs="Times New Roman"/>
          <w:szCs w:val="24"/>
          <w:lang w:eastAsia="lv-LV"/>
        </w:rPr>
      </w:pPr>
      <w:r w:rsidRPr="00C803AC">
        <w:rPr>
          <w:rFonts w:eastAsia="Times New Roman" w:cs="Times New Roman"/>
          <w:szCs w:val="24"/>
          <w:lang w:eastAsia="lv-LV"/>
        </w:rPr>
        <w:t xml:space="preserve">grozījumi Čeku loterijas likumā, paredzot </w:t>
      </w:r>
      <w:r w:rsidRPr="00C803AC">
        <w:rPr>
          <w:rFonts w:eastAsia="Times New Roman" w:cs="Times New Roman"/>
          <w:szCs w:val="20"/>
        </w:rPr>
        <w:t>reģistrēt dalībai čeku loterijā arī rēķinus par saņemtas preces vai pakalpojuma samaksu.</w:t>
      </w:r>
    </w:p>
    <w:p w:rsidR="00BF4753" w:rsidRPr="00182E2D" w:rsidRDefault="00BF4753" w:rsidP="00BF4753">
      <w:pPr>
        <w:keepNext/>
        <w:spacing w:before="120" w:after="120"/>
        <w:ind w:firstLine="0"/>
        <w:jc w:val="right"/>
        <w:rPr>
          <w:rFonts w:eastAsia="Times New Roman" w:cs="Times New Roman"/>
          <w:b/>
          <w:i/>
          <w:iCs/>
          <w:sz w:val="24"/>
          <w:szCs w:val="20"/>
        </w:rPr>
      </w:pPr>
      <w:r w:rsidRPr="00C803AC">
        <w:rPr>
          <w:rFonts w:eastAsia="Times New Roman" w:cs="Times New Roman"/>
          <w:b/>
          <w:i/>
          <w:iCs/>
          <w:sz w:val="24"/>
          <w:szCs w:val="20"/>
        </w:rPr>
        <w:t>5.8.</w:t>
      </w:r>
      <w:r>
        <w:rPr>
          <w:rFonts w:eastAsia="Times New Roman" w:cs="Times New Roman"/>
          <w:b/>
          <w:i/>
          <w:iCs/>
          <w:sz w:val="24"/>
          <w:szCs w:val="20"/>
        </w:rPr>
        <w:t xml:space="preserve"> </w:t>
      </w:r>
      <w:r w:rsidRPr="00C803AC">
        <w:rPr>
          <w:rFonts w:eastAsia="Times New Roman" w:cs="Times New Roman"/>
          <w:b/>
          <w:i/>
          <w:iCs/>
          <w:sz w:val="24"/>
          <w:szCs w:val="20"/>
        </w:rPr>
        <w:t>tabula. Nodokļu</w:t>
      </w:r>
      <w:r w:rsidRPr="00182E2D">
        <w:rPr>
          <w:rFonts w:eastAsia="Times New Roman" w:cs="Times New Roman"/>
          <w:b/>
          <w:i/>
          <w:iCs/>
          <w:sz w:val="24"/>
          <w:szCs w:val="20"/>
        </w:rPr>
        <w:t xml:space="preserve"> politikas izmaiņu ietekme uz sociālās apdrošināšanas iemaksu ieņēmumiem</w:t>
      </w:r>
      <w:r w:rsidRPr="00182E2D">
        <w:rPr>
          <w:rFonts w:eastAsia="Times New Roman" w:cs="Times New Roman"/>
          <w:b/>
          <w:i/>
          <w:iCs/>
          <w:sz w:val="20"/>
          <w:szCs w:val="20"/>
          <w:vertAlign w:val="superscript"/>
        </w:rPr>
        <w:footnoteReference w:id="16"/>
      </w:r>
      <w:r w:rsidRPr="00182E2D">
        <w:rPr>
          <w:rFonts w:eastAsia="Times New Roman" w:cs="Times New Roman"/>
          <w:b/>
          <w:i/>
          <w:iCs/>
          <w:sz w:val="24"/>
          <w:szCs w:val="20"/>
        </w:rPr>
        <w:t>, milj. euro</w:t>
      </w:r>
    </w:p>
    <w:tbl>
      <w:tblPr>
        <w:tblStyle w:val="TableGrid11"/>
        <w:tblW w:w="8296" w:type="dxa"/>
        <w:jc w:val="center"/>
        <w:tblLayout w:type="fixed"/>
        <w:tblLook w:val="04A0" w:firstRow="1" w:lastRow="0" w:firstColumn="1" w:lastColumn="0" w:noHBand="0" w:noVBand="1"/>
      </w:tblPr>
      <w:tblGrid>
        <w:gridCol w:w="4845"/>
        <w:gridCol w:w="862"/>
        <w:gridCol w:w="863"/>
        <w:gridCol w:w="863"/>
        <w:gridCol w:w="863"/>
      </w:tblGrid>
      <w:tr w:rsidR="00BF4753" w:rsidRPr="00182E2D" w:rsidTr="002D7CA8">
        <w:trPr>
          <w:jc w:val="center"/>
        </w:trPr>
        <w:tc>
          <w:tcPr>
            <w:tcW w:w="4845" w:type="dxa"/>
            <w:shd w:val="clear" w:color="auto" w:fill="9CC2E5"/>
          </w:tcPr>
          <w:p w:rsidR="00BF4753" w:rsidRPr="00182E2D" w:rsidRDefault="00BF4753" w:rsidP="002D7CA8">
            <w:pPr>
              <w:ind w:firstLine="0"/>
              <w:jc w:val="left"/>
              <w:rPr>
                <w:rFonts w:eastAsia="Times New Roman"/>
                <w:b/>
                <w:bCs/>
                <w:sz w:val="20"/>
              </w:rPr>
            </w:pPr>
          </w:p>
        </w:tc>
        <w:tc>
          <w:tcPr>
            <w:tcW w:w="862"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2021</w:t>
            </w:r>
          </w:p>
        </w:tc>
        <w:tc>
          <w:tcPr>
            <w:tcW w:w="863"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2022</w:t>
            </w:r>
          </w:p>
        </w:tc>
        <w:tc>
          <w:tcPr>
            <w:tcW w:w="863"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2023</w:t>
            </w:r>
          </w:p>
        </w:tc>
        <w:tc>
          <w:tcPr>
            <w:tcW w:w="863"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2024</w:t>
            </w:r>
          </w:p>
        </w:tc>
      </w:tr>
      <w:tr w:rsidR="00BF4753" w:rsidRPr="00182E2D" w:rsidTr="002D7CA8">
        <w:trPr>
          <w:jc w:val="center"/>
        </w:trPr>
        <w:tc>
          <w:tcPr>
            <w:tcW w:w="4845" w:type="dxa"/>
          </w:tcPr>
          <w:p w:rsidR="00BF4753" w:rsidRPr="00182E2D" w:rsidRDefault="00BF4753" w:rsidP="002D7CA8">
            <w:pPr>
              <w:ind w:firstLine="0"/>
              <w:jc w:val="left"/>
              <w:rPr>
                <w:rFonts w:eastAsia="Times New Roman"/>
                <w:bCs/>
                <w:sz w:val="20"/>
              </w:rPr>
            </w:pPr>
            <w:r w:rsidRPr="00182E2D">
              <w:rPr>
                <w:rFonts w:eastAsia="Times New Roman"/>
                <w:bCs/>
                <w:sz w:val="20"/>
              </w:rPr>
              <w:t xml:space="preserve">Mēneša minimālās darba algas palielināšana no 430 </w:t>
            </w:r>
            <w:r w:rsidRPr="00182E2D">
              <w:rPr>
                <w:rFonts w:eastAsia="Times New Roman"/>
                <w:bCs/>
                <w:i/>
                <w:sz w:val="20"/>
              </w:rPr>
              <w:t>euro</w:t>
            </w:r>
            <w:r w:rsidRPr="00182E2D">
              <w:rPr>
                <w:rFonts w:eastAsia="Times New Roman"/>
                <w:bCs/>
                <w:sz w:val="20"/>
              </w:rPr>
              <w:t xml:space="preserve"> līdz 500 </w:t>
            </w:r>
            <w:r w:rsidRPr="00182E2D">
              <w:rPr>
                <w:rFonts w:eastAsia="Times New Roman"/>
                <w:bCs/>
                <w:i/>
                <w:sz w:val="20"/>
              </w:rPr>
              <w:t>euro</w:t>
            </w:r>
            <w:r w:rsidRPr="00182E2D">
              <w:rPr>
                <w:rFonts w:eastAsia="Times New Roman"/>
                <w:bCs/>
                <w:sz w:val="20"/>
              </w:rPr>
              <w:t xml:space="preserve"> ar 2021.</w:t>
            </w:r>
            <w:r>
              <w:rPr>
                <w:rFonts w:eastAsia="Times New Roman"/>
                <w:bCs/>
                <w:sz w:val="20"/>
              </w:rPr>
              <w:t xml:space="preserve"> </w:t>
            </w:r>
            <w:r w:rsidRPr="00182E2D">
              <w:rPr>
                <w:rFonts w:eastAsia="Times New Roman"/>
                <w:bCs/>
                <w:sz w:val="20"/>
              </w:rPr>
              <w:t>gadu</w:t>
            </w:r>
          </w:p>
        </w:tc>
        <w:tc>
          <w:tcPr>
            <w:tcW w:w="862" w:type="dxa"/>
          </w:tcPr>
          <w:p w:rsidR="00BF4753" w:rsidRPr="00182E2D" w:rsidRDefault="00BF4753" w:rsidP="002D7CA8">
            <w:pPr>
              <w:ind w:firstLine="0"/>
              <w:jc w:val="right"/>
              <w:rPr>
                <w:rFonts w:eastAsia="Times New Roman"/>
                <w:sz w:val="20"/>
              </w:rPr>
            </w:pPr>
            <w:r w:rsidRPr="00182E2D">
              <w:rPr>
                <w:rFonts w:eastAsia="Times New Roman"/>
                <w:sz w:val="20"/>
              </w:rPr>
              <w:t>+21,6</w:t>
            </w:r>
          </w:p>
        </w:tc>
        <w:tc>
          <w:tcPr>
            <w:tcW w:w="863" w:type="dxa"/>
          </w:tcPr>
          <w:p w:rsidR="00BF4753" w:rsidRPr="00182E2D" w:rsidRDefault="00BF4753" w:rsidP="002D7CA8">
            <w:pPr>
              <w:ind w:firstLine="0"/>
              <w:jc w:val="right"/>
              <w:rPr>
                <w:rFonts w:eastAsia="Times New Roman"/>
                <w:sz w:val="20"/>
              </w:rPr>
            </w:pPr>
          </w:p>
        </w:tc>
        <w:tc>
          <w:tcPr>
            <w:tcW w:w="863" w:type="dxa"/>
          </w:tcPr>
          <w:p w:rsidR="00BF4753" w:rsidRPr="00182E2D" w:rsidRDefault="00BF4753" w:rsidP="002D7CA8">
            <w:pPr>
              <w:ind w:firstLine="0"/>
              <w:jc w:val="right"/>
              <w:rPr>
                <w:rFonts w:eastAsia="Times New Roman"/>
                <w:sz w:val="20"/>
              </w:rPr>
            </w:pPr>
          </w:p>
        </w:tc>
        <w:tc>
          <w:tcPr>
            <w:tcW w:w="863" w:type="dxa"/>
          </w:tcPr>
          <w:p w:rsidR="00BF4753" w:rsidRPr="00182E2D" w:rsidRDefault="00BF4753" w:rsidP="002D7CA8">
            <w:pPr>
              <w:ind w:firstLine="0"/>
              <w:jc w:val="right"/>
              <w:rPr>
                <w:rFonts w:eastAsia="Times New Roman"/>
                <w:sz w:val="20"/>
              </w:rPr>
            </w:pPr>
          </w:p>
        </w:tc>
      </w:tr>
      <w:tr w:rsidR="00BF4753" w:rsidRPr="00182E2D" w:rsidTr="002D7CA8">
        <w:trPr>
          <w:jc w:val="center"/>
        </w:trPr>
        <w:tc>
          <w:tcPr>
            <w:tcW w:w="4845" w:type="dxa"/>
          </w:tcPr>
          <w:p w:rsidR="00BF4753" w:rsidRPr="00182E2D" w:rsidRDefault="00BF4753" w:rsidP="002D7CA8">
            <w:pPr>
              <w:ind w:firstLine="0"/>
              <w:jc w:val="left"/>
              <w:rPr>
                <w:rFonts w:eastAsia="Times New Roman"/>
                <w:bCs/>
                <w:sz w:val="20"/>
              </w:rPr>
            </w:pPr>
            <w:r w:rsidRPr="00182E2D">
              <w:rPr>
                <w:rFonts w:eastAsia="Times New Roman"/>
                <w:bCs/>
                <w:sz w:val="20"/>
              </w:rPr>
              <w:t>Covid-19 termiņpagarinājumu piešķiršana 2021.</w:t>
            </w:r>
            <w:r>
              <w:rPr>
                <w:rFonts w:eastAsia="Times New Roman"/>
                <w:bCs/>
                <w:sz w:val="20"/>
              </w:rPr>
              <w:t xml:space="preserve"> </w:t>
            </w:r>
            <w:r w:rsidRPr="00182E2D">
              <w:rPr>
                <w:rFonts w:eastAsia="Times New Roman"/>
                <w:bCs/>
                <w:sz w:val="20"/>
              </w:rPr>
              <w:t>gadā uz trīs gadiem</w:t>
            </w:r>
          </w:p>
        </w:tc>
        <w:tc>
          <w:tcPr>
            <w:tcW w:w="862" w:type="dxa"/>
          </w:tcPr>
          <w:p w:rsidR="00BF4753" w:rsidRPr="00182E2D" w:rsidRDefault="00BF4753" w:rsidP="002D7CA8">
            <w:pPr>
              <w:ind w:firstLine="0"/>
              <w:jc w:val="right"/>
              <w:rPr>
                <w:rFonts w:eastAsia="Times New Roman"/>
                <w:sz w:val="20"/>
              </w:rPr>
            </w:pPr>
            <w:r w:rsidRPr="00182E2D">
              <w:rPr>
                <w:rFonts w:eastAsia="Times New Roman"/>
                <w:sz w:val="20"/>
              </w:rPr>
              <w:t>-8,3</w:t>
            </w:r>
          </w:p>
        </w:tc>
        <w:tc>
          <w:tcPr>
            <w:tcW w:w="863" w:type="dxa"/>
          </w:tcPr>
          <w:p w:rsidR="00BF4753" w:rsidRPr="00182E2D" w:rsidRDefault="00BF4753" w:rsidP="002D7CA8">
            <w:pPr>
              <w:ind w:firstLine="0"/>
              <w:jc w:val="right"/>
              <w:rPr>
                <w:rFonts w:eastAsia="Times New Roman"/>
                <w:sz w:val="20"/>
              </w:rPr>
            </w:pPr>
          </w:p>
        </w:tc>
        <w:tc>
          <w:tcPr>
            <w:tcW w:w="863" w:type="dxa"/>
          </w:tcPr>
          <w:p w:rsidR="00BF4753" w:rsidRPr="00182E2D" w:rsidRDefault="00BF4753" w:rsidP="002D7CA8">
            <w:pPr>
              <w:ind w:firstLine="0"/>
              <w:jc w:val="right"/>
              <w:rPr>
                <w:rFonts w:eastAsia="Times New Roman"/>
                <w:sz w:val="20"/>
              </w:rPr>
            </w:pPr>
          </w:p>
        </w:tc>
        <w:tc>
          <w:tcPr>
            <w:tcW w:w="863" w:type="dxa"/>
          </w:tcPr>
          <w:p w:rsidR="00BF4753" w:rsidRPr="00182E2D" w:rsidRDefault="00BF4753" w:rsidP="002D7CA8">
            <w:pPr>
              <w:ind w:firstLine="0"/>
              <w:jc w:val="right"/>
              <w:rPr>
                <w:rFonts w:eastAsia="Times New Roman"/>
                <w:sz w:val="20"/>
              </w:rPr>
            </w:pPr>
          </w:p>
        </w:tc>
      </w:tr>
      <w:tr w:rsidR="00BF4753" w:rsidRPr="00182E2D" w:rsidTr="002D7CA8">
        <w:trPr>
          <w:trHeight w:val="254"/>
          <w:jc w:val="center"/>
        </w:trPr>
        <w:tc>
          <w:tcPr>
            <w:tcW w:w="4845" w:type="dxa"/>
          </w:tcPr>
          <w:p w:rsidR="00BF4753" w:rsidRPr="00182E2D" w:rsidRDefault="00BF4753" w:rsidP="002D7CA8">
            <w:pPr>
              <w:ind w:firstLine="0"/>
              <w:jc w:val="left"/>
              <w:rPr>
                <w:rFonts w:eastAsia="Times New Roman"/>
                <w:bCs/>
                <w:sz w:val="20"/>
              </w:rPr>
            </w:pPr>
            <w:r w:rsidRPr="00182E2D">
              <w:rPr>
                <w:rFonts w:eastAsia="Times New Roman"/>
                <w:bCs/>
                <w:sz w:val="20"/>
              </w:rPr>
              <w:t>Grozījumi Čeku loterijas likumā</w:t>
            </w:r>
          </w:p>
        </w:tc>
        <w:tc>
          <w:tcPr>
            <w:tcW w:w="862" w:type="dxa"/>
          </w:tcPr>
          <w:p w:rsidR="00BF4753" w:rsidRPr="00182E2D" w:rsidRDefault="00BF4753" w:rsidP="002D7CA8">
            <w:pPr>
              <w:ind w:firstLine="0"/>
              <w:jc w:val="right"/>
              <w:rPr>
                <w:rFonts w:eastAsia="Times New Roman"/>
                <w:sz w:val="20"/>
              </w:rPr>
            </w:pPr>
            <w:r w:rsidRPr="00182E2D">
              <w:rPr>
                <w:rFonts w:eastAsia="Times New Roman"/>
                <w:sz w:val="20"/>
              </w:rPr>
              <w:t>+0,02</w:t>
            </w:r>
          </w:p>
        </w:tc>
        <w:tc>
          <w:tcPr>
            <w:tcW w:w="863" w:type="dxa"/>
          </w:tcPr>
          <w:p w:rsidR="00BF4753" w:rsidRPr="00182E2D" w:rsidRDefault="00BF4753" w:rsidP="002D7CA8">
            <w:pPr>
              <w:ind w:firstLine="0"/>
              <w:jc w:val="right"/>
              <w:rPr>
                <w:rFonts w:eastAsia="Times New Roman"/>
                <w:sz w:val="20"/>
              </w:rPr>
            </w:pPr>
          </w:p>
        </w:tc>
        <w:tc>
          <w:tcPr>
            <w:tcW w:w="863" w:type="dxa"/>
          </w:tcPr>
          <w:p w:rsidR="00BF4753" w:rsidRPr="00182E2D" w:rsidRDefault="00BF4753" w:rsidP="002D7CA8">
            <w:pPr>
              <w:ind w:firstLine="0"/>
              <w:jc w:val="right"/>
              <w:rPr>
                <w:rFonts w:eastAsia="Times New Roman"/>
                <w:sz w:val="20"/>
              </w:rPr>
            </w:pPr>
          </w:p>
        </w:tc>
        <w:tc>
          <w:tcPr>
            <w:tcW w:w="863" w:type="dxa"/>
          </w:tcPr>
          <w:p w:rsidR="00BF4753" w:rsidRPr="00182E2D" w:rsidRDefault="00BF4753" w:rsidP="002D7CA8">
            <w:pPr>
              <w:ind w:firstLine="0"/>
              <w:jc w:val="right"/>
              <w:rPr>
                <w:rFonts w:eastAsia="Times New Roman"/>
                <w:sz w:val="20"/>
              </w:rPr>
            </w:pPr>
          </w:p>
        </w:tc>
      </w:tr>
      <w:tr w:rsidR="00BF4753" w:rsidRPr="00182E2D" w:rsidTr="002D7CA8">
        <w:trPr>
          <w:jc w:val="center"/>
        </w:trPr>
        <w:tc>
          <w:tcPr>
            <w:tcW w:w="4845" w:type="dxa"/>
          </w:tcPr>
          <w:p w:rsidR="00BF4753" w:rsidRPr="00182E2D" w:rsidRDefault="00BF4753" w:rsidP="002D7CA8">
            <w:pPr>
              <w:ind w:firstLine="0"/>
              <w:jc w:val="left"/>
              <w:rPr>
                <w:rFonts w:eastAsia="Times New Roman"/>
                <w:bCs/>
                <w:sz w:val="20"/>
              </w:rPr>
            </w:pPr>
            <w:r w:rsidRPr="00182E2D">
              <w:rPr>
                <w:rFonts w:eastAsia="Times New Roman"/>
                <w:bCs/>
                <w:sz w:val="20"/>
              </w:rPr>
              <w:t>Valsts sociālās apdrošināšanas obligāto iemaksu likmes samazināšana par 1 procentpunktu</w:t>
            </w:r>
          </w:p>
        </w:tc>
        <w:tc>
          <w:tcPr>
            <w:tcW w:w="862" w:type="dxa"/>
          </w:tcPr>
          <w:p w:rsidR="00BF4753" w:rsidRPr="00182E2D" w:rsidRDefault="00BF4753" w:rsidP="002D7CA8">
            <w:pPr>
              <w:ind w:firstLine="0"/>
              <w:jc w:val="right"/>
              <w:rPr>
                <w:rFonts w:eastAsia="Times New Roman"/>
                <w:sz w:val="20"/>
              </w:rPr>
            </w:pPr>
            <w:r w:rsidRPr="00182E2D">
              <w:rPr>
                <w:rFonts w:eastAsia="Times New Roman"/>
                <w:sz w:val="20"/>
              </w:rPr>
              <w:t>-82,3</w:t>
            </w:r>
          </w:p>
        </w:tc>
        <w:tc>
          <w:tcPr>
            <w:tcW w:w="863" w:type="dxa"/>
          </w:tcPr>
          <w:p w:rsidR="00BF4753" w:rsidRPr="00182E2D" w:rsidRDefault="00BF4753" w:rsidP="002D7CA8">
            <w:pPr>
              <w:ind w:firstLine="0"/>
              <w:jc w:val="right"/>
              <w:rPr>
                <w:rFonts w:eastAsia="Times New Roman"/>
                <w:sz w:val="20"/>
              </w:rPr>
            </w:pPr>
          </w:p>
        </w:tc>
        <w:tc>
          <w:tcPr>
            <w:tcW w:w="863" w:type="dxa"/>
          </w:tcPr>
          <w:p w:rsidR="00BF4753" w:rsidRPr="00182E2D" w:rsidRDefault="00BF4753" w:rsidP="002D7CA8">
            <w:pPr>
              <w:ind w:firstLine="0"/>
              <w:jc w:val="right"/>
              <w:rPr>
                <w:rFonts w:eastAsia="Times New Roman"/>
                <w:sz w:val="20"/>
              </w:rPr>
            </w:pPr>
          </w:p>
        </w:tc>
        <w:tc>
          <w:tcPr>
            <w:tcW w:w="863" w:type="dxa"/>
          </w:tcPr>
          <w:p w:rsidR="00BF4753" w:rsidRPr="00182E2D" w:rsidRDefault="00BF4753" w:rsidP="002D7CA8">
            <w:pPr>
              <w:ind w:firstLine="0"/>
              <w:jc w:val="right"/>
              <w:rPr>
                <w:rFonts w:eastAsia="Times New Roman"/>
                <w:sz w:val="20"/>
              </w:rPr>
            </w:pPr>
          </w:p>
        </w:tc>
      </w:tr>
      <w:tr w:rsidR="00BF4753" w:rsidRPr="00182E2D" w:rsidTr="002D7CA8">
        <w:trPr>
          <w:jc w:val="center"/>
        </w:trPr>
        <w:tc>
          <w:tcPr>
            <w:tcW w:w="4845" w:type="dxa"/>
          </w:tcPr>
          <w:p w:rsidR="00BF4753" w:rsidRPr="00182E2D" w:rsidRDefault="00BF4753" w:rsidP="002D7CA8">
            <w:pPr>
              <w:ind w:firstLine="0"/>
              <w:jc w:val="left"/>
              <w:rPr>
                <w:rFonts w:eastAsia="Times New Roman"/>
                <w:bCs/>
                <w:sz w:val="20"/>
              </w:rPr>
            </w:pPr>
            <w:r w:rsidRPr="00182E2D">
              <w:rPr>
                <w:rFonts w:eastAsia="Times New Roman"/>
                <w:bCs/>
                <w:sz w:val="20"/>
              </w:rPr>
              <w:t>Minimālā valsts sociālās apdrošināšanas obligāto iemaksu apmēra ieviešana un alternatīvo (tostarp mikrouzņēmuma) nodokļu režīmu reorganizēšana</w:t>
            </w:r>
          </w:p>
        </w:tc>
        <w:tc>
          <w:tcPr>
            <w:tcW w:w="862" w:type="dxa"/>
          </w:tcPr>
          <w:p w:rsidR="00BF4753" w:rsidRPr="00182E2D" w:rsidRDefault="00BF4753" w:rsidP="002D7CA8">
            <w:pPr>
              <w:ind w:firstLine="0"/>
              <w:jc w:val="right"/>
              <w:rPr>
                <w:rFonts w:eastAsia="Times New Roman"/>
                <w:sz w:val="20"/>
              </w:rPr>
            </w:pPr>
            <w:r w:rsidRPr="00182E2D">
              <w:rPr>
                <w:rFonts w:eastAsia="Times New Roman"/>
                <w:sz w:val="20"/>
              </w:rPr>
              <w:t>+59,2</w:t>
            </w:r>
          </w:p>
        </w:tc>
        <w:tc>
          <w:tcPr>
            <w:tcW w:w="863" w:type="dxa"/>
          </w:tcPr>
          <w:p w:rsidR="00BF4753" w:rsidRPr="00182E2D" w:rsidRDefault="00BF4753" w:rsidP="002D7CA8">
            <w:pPr>
              <w:ind w:firstLine="0"/>
              <w:jc w:val="right"/>
              <w:rPr>
                <w:rFonts w:eastAsia="Times New Roman"/>
                <w:sz w:val="20"/>
              </w:rPr>
            </w:pPr>
            <w:r w:rsidRPr="00182E2D">
              <w:rPr>
                <w:rFonts w:eastAsia="Times New Roman"/>
                <w:sz w:val="20"/>
              </w:rPr>
              <w:t>+67,4</w:t>
            </w:r>
          </w:p>
        </w:tc>
        <w:tc>
          <w:tcPr>
            <w:tcW w:w="863" w:type="dxa"/>
          </w:tcPr>
          <w:p w:rsidR="00BF4753" w:rsidRPr="00182E2D" w:rsidRDefault="00BF4753" w:rsidP="002D7CA8">
            <w:pPr>
              <w:ind w:firstLine="0"/>
              <w:jc w:val="right"/>
              <w:rPr>
                <w:rFonts w:eastAsia="Times New Roman"/>
                <w:sz w:val="20"/>
              </w:rPr>
            </w:pPr>
          </w:p>
        </w:tc>
        <w:tc>
          <w:tcPr>
            <w:tcW w:w="863" w:type="dxa"/>
          </w:tcPr>
          <w:p w:rsidR="00BF4753" w:rsidRPr="00182E2D" w:rsidRDefault="00BF4753" w:rsidP="002D7CA8">
            <w:pPr>
              <w:ind w:firstLine="0"/>
              <w:jc w:val="right"/>
              <w:rPr>
                <w:rFonts w:eastAsia="Times New Roman"/>
                <w:sz w:val="20"/>
              </w:rPr>
            </w:pPr>
          </w:p>
        </w:tc>
      </w:tr>
      <w:tr w:rsidR="00BF4753" w:rsidRPr="00182E2D" w:rsidTr="002D7CA8">
        <w:trPr>
          <w:jc w:val="center"/>
        </w:trPr>
        <w:tc>
          <w:tcPr>
            <w:tcW w:w="4845" w:type="dxa"/>
          </w:tcPr>
          <w:p w:rsidR="00BF4753" w:rsidRPr="00182E2D" w:rsidRDefault="00BF4753" w:rsidP="002D7CA8">
            <w:pPr>
              <w:ind w:firstLine="0"/>
              <w:jc w:val="right"/>
              <w:rPr>
                <w:rFonts w:eastAsia="Times New Roman"/>
                <w:b/>
                <w:bCs/>
                <w:sz w:val="20"/>
              </w:rPr>
            </w:pPr>
            <w:r w:rsidRPr="00182E2D">
              <w:rPr>
                <w:rFonts w:eastAsia="Times New Roman"/>
                <w:b/>
                <w:bCs/>
                <w:sz w:val="20"/>
              </w:rPr>
              <w:t>Izmaiņu ietekme kopā:</w:t>
            </w:r>
          </w:p>
        </w:tc>
        <w:tc>
          <w:tcPr>
            <w:tcW w:w="862" w:type="dxa"/>
          </w:tcPr>
          <w:p w:rsidR="00BF4753" w:rsidRPr="00182E2D" w:rsidRDefault="00BF4753" w:rsidP="002D7CA8">
            <w:pPr>
              <w:ind w:firstLine="0"/>
              <w:jc w:val="right"/>
              <w:rPr>
                <w:rFonts w:eastAsia="Times New Roman"/>
                <w:b/>
                <w:bCs/>
                <w:sz w:val="20"/>
              </w:rPr>
            </w:pPr>
            <w:r w:rsidRPr="00182E2D">
              <w:rPr>
                <w:rFonts w:eastAsia="Times New Roman"/>
                <w:b/>
                <w:bCs/>
                <w:sz w:val="20"/>
              </w:rPr>
              <w:t>-9,8</w:t>
            </w:r>
          </w:p>
        </w:tc>
        <w:tc>
          <w:tcPr>
            <w:tcW w:w="863" w:type="dxa"/>
          </w:tcPr>
          <w:p w:rsidR="00BF4753" w:rsidRPr="00182E2D" w:rsidRDefault="00BF4753" w:rsidP="002D7CA8">
            <w:pPr>
              <w:ind w:firstLine="0"/>
              <w:jc w:val="right"/>
              <w:rPr>
                <w:rFonts w:eastAsia="Times New Roman"/>
                <w:b/>
                <w:bCs/>
                <w:sz w:val="20"/>
              </w:rPr>
            </w:pPr>
            <w:r w:rsidRPr="00182E2D">
              <w:rPr>
                <w:rFonts w:eastAsia="Times New Roman"/>
                <w:b/>
                <w:bCs/>
                <w:sz w:val="20"/>
              </w:rPr>
              <w:t>+67,4</w:t>
            </w:r>
          </w:p>
        </w:tc>
        <w:tc>
          <w:tcPr>
            <w:tcW w:w="863" w:type="dxa"/>
          </w:tcPr>
          <w:p w:rsidR="00BF4753" w:rsidRPr="00182E2D" w:rsidRDefault="00BF4753" w:rsidP="002D7CA8">
            <w:pPr>
              <w:ind w:firstLine="0"/>
              <w:jc w:val="right"/>
              <w:rPr>
                <w:rFonts w:eastAsia="Times New Roman"/>
                <w:b/>
                <w:bCs/>
                <w:sz w:val="20"/>
              </w:rPr>
            </w:pPr>
          </w:p>
        </w:tc>
        <w:tc>
          <w:tcPr>
            <w:tcW w:w="863" w:type="dxa"/>
          </w:tcPr>
          <w:p w:rsidR="00BF4753" w:rsidRPr="00182E2D" w:rsidRDefault="00BF4753" w:rsidP="002D7CA8">
            <w:pPr>
              <w:ind w:firstLine="0"/>
              <w:jc w:val="right"/>
              <w:rPr>
                <w:rFonts w:eastAsia="Times New Roman"/>
                <w:b/>
                <w:bCs/>
                <w:sz w:val="20"/>
              </w:rPr>
            </w:pPr>
          </w:p>
        </w:tc>
      </w:tr>
    </w:tbl>
    <w:p w:rsidR="00BF4753" w:rsidRPr="00182E2D" w:rsidRDefault="00BF4753" w:rsidP="00BF4753">
      <w:pPr>
        <w:ind w:firstLine="0"/>
        <w:jc w:val="left"/>
        <w:rPr>
          <w:rFonts w:eastAsia="Times New Roman" w:cs="Times New Roman"/>
          <w:iCs/>
          <w:sz w:val="24"/>
          <w:szCs w:val="20"/>
          <w:lang w:eastAsia="x-none"/>
        </w:rPr>
      </w:pPr>
    </w:p>
    <w:p w:rsidR="00BF4753" w:rsidRPr="00887A0A" w:rsidRDefault="00BF4753" w:rsidP="00BF4753">
      <w:pPr>
        <w:rPr>
          <w:rFonts w:eastAsia="Calibri" w:cs="Times New Roman"/>
        </w:rPr>
      </w:pPr>
      <w:r w:rsidRPr="00887A0A">
        <w:rPr>
          <w:rFonts w:eastAsia="Times New Roman" w:cs="Times New Roman"/>
          <w:iCs/>
          <w:szCs w:val="20"/>
          <w:lang w:eastAsia="x-none"/>
        </w:rPr>
        <w:t xml:space="preserve">Iepriekš pieņemtie pasākumi ietekmē arī </w:t>
      </w:r>
      <w:r w:rsidRPr="00887A0A">
        <w:rPr>
          <w:rFonts w:eastAsia="Calibri" w:cs="Times New Roman"/>
        </w:rPr>
        <w:t>valsts sociālās apdrošināšanas iemaksas pamatbudžetā veselības finansēšanai.</w:t>
      </w:r>
    </w:p>
    <w:p w:rsidR="00BF4753" w:rsidRPr="00182E2D" w:rsidRDefault="00BF4753" w:rsidP="00BF4753">
      <w:pPr>
        <w:keepNext/>
        <w:spacing w:after="120"/>
        <w:ind w:firstLine="1559"/>
        <w:jc w:val="right"/>
        <w:rPr>
          <w:rFonts w:eastAsia="Times New Roman" w:cs="Times New Roman"/>
          <w:b/>
          <w:i/>
          <w:iCs/>
          <w:sz w:val="24"/>
          <w:szCs w:val="20"/>
        </w:rPr>
      </w:pPr>
      <w:r w:rsidRPr="00887A0A">
        <w:rPr>
          <w:rFonts w:eastAsia="Times New Roman" w:cs="Times New Roman"/>
          <w:b/>
          <w:i/>
          <w:iCs/>
          <w:sz w:val="24"/>
          <w:szCs w:val="20"/>
        </w:rPr>
        <w:lastRenderedPageBreak/>
        <w:t>5.9.</w:t>
      </w:r>
      <w:r>
        <w:rPr>
          <w:rFonts w:eastAsia="Times New Roman" w:cs="Times New Roman"/>
          <w:b/>
          <w:i/>
          <w:iCs/>
          <w:sz w:val="24"/>
          <w:szCs w:val="20"/>
        </w:rPr>
        <w:t xml:space="preserve"> </w:t>
      </w:r>
      <w:r w:rsidRPr="00887A0A">
        <w:rPr>
          <w:rFonts w:eastAsia="Times New Roman" w:cs="Times New Roman"/>
          <w:b/>
          <w:i/>
          <w:iCs/>
          <w:sz w:val="24"/>
          <w:szCs w:val="20"/>
        </w:rPr>
        <w:t>tabula. Nodokļu politikas izmaiņu ietekme uz valsts sociālās apdrošināšanas iemaksām</w:t>
      </w:r>
      <w:r w:rsidRPr="00182E2D">
        <w:rPr>
          <w:rFonts w:eastAsia="Times New Roman" w:cs="Times New Roman"/>
          <w:b/>
          <w:i/>
          <w:iCs/>
          <w:sz w:val="24"/>
          <w:szCs w:val="20"/>
        </w:rPr>
        <w:t xml:space="preserve"> pamatbudžetā veselības finansēšanai, milj. euro</w:t>
      </w:r>
    </w:p>
    <w:tbl>
      <w:tblPr>
        <w:tblStyle w:val="TableGrid11"/>
        <w:tblW w:w="9214" w:type="dxa"/>
        <w:jc w:val="center"/>
        <w:tblLayout w:type="fixed"/>
        <w:tblLook w:val="04A0" w:firstRow="1" w:lastRow="0" w:firstColumn="1" w:lastColumn="0" w:noHBand="0" w:noVBand="1"/>
      </w:tblPr>
      <w:tblGrid>
        <w:gridCol w:w="6374"/>
        <w:gridCol w:w="709"/>
        <w:gridCol w:w="709"/>
        <w:gridCol w:w="708"/>
        <w:gridCol w:w="714"/>
      </w:tblGrid>
      <w:tr w:rsidR="00BF4753" w:rsidRPr="00182E2D" w:rsidTr="002D7CA8">
        <w:trPr>
          <w:tblHeader/>
          <w:jc w:val="center"/>
        </w:trPr>
        <w:tc>
          <w:tcPr>
            <w:tcW w:w="6374" w:type="dxa"/>
            <w:shd w:val="clear" w:color="auto" w:fill="9CC2E5"/>
          </w:tcPr>
          <w:p w:rsidR="00BF4753" w:rsidRPr="00182E2D" w:rsidRDefault="00BF4753" w:rsidP="002D7CA8">
            <w:pPr>
              <w:ind w:firstLine="0"/>
              <w:jc w:val="left"/>
              <w:rPr>
                <w:rFonts w:eastAsia="Times New Roman"/>
                <w:b/>
                <w:bCs/>
                <w:sz w:val="20"/>
              </w:rPr>
            </w:pPr>
          </w:p>
        </w:tc>
        <w:tc>
          <w:tcPr>
            <w:tcW w:w="709"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2021</w:t>
            </w:r>
          </w:p>
        </w:tc>
        <w:tc>
          <w:tcPr>
            <w:tcW w:w="709"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2022</w:t>
            </w:r>
          </w:p>
        </w:tc>
        <w:tc>
          <w:tcPr>
            <w:tcW w:w="708"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2023</w:t>
            </w:r>
          </w:p>
        </w:tc>
        <w:tc>
          <w:tcPr>
            <w:tcW w:w="714"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2024</w:t>
            </w:r>
          </w:p>
        </w:tc>
      </w:tr>
      <w:tr w:rsidR="00BF4753" w:rsidRPr="00182E2D" w:rsidTr="002D7CA8">
        <w:trPr>
          <w:jc w:val="center"/>
        </w:trPr>
        <w:tc>
          <w:tcPr>
            <w:tcW w:w="6374" w:type="dxa"/>
          </w:tcPr>
          <w:p w:rsidR="00BF4753" w:rsidRPr="00182E2D" w:rsidRDefault="00BF4753" w:rsidP="002D7CA8">
            <w:pPr>
              <w:ind w:firstLine="0"/>
              <w:jc w:val="left"/>
              <w:rPr>
                <w:rFonts w:eastAsia="Times New Roman"/>
                <w:sz w:val="20"/>
              </w:rPr>
            </w:pPr>
            <w:r w:rsidRPr="00182E2D">
              <w:rPr>
                <w:rFonts w:eastAsia="Times New Roman"/>
                <w:sz w:val="20"/>
              </w:rPr>
              <w:t xml:space="preserve">Mēneša minimālās darba algas palielināšana no 430 </w:t>
            </w:r>
            <w:r w:rsidRPr="00182E2D">
              <w:rPr>
                <w:rFonts w:eastAsia="Times New Roman"/>
                <w:i/>
                <w:sz w:val="20"/>
              </w:rPr>
              <w:t>euro</w:t>
            </w:r>
            <w:r w:rsidRPr="00182E2D">
              <w:rPr>
                <w:rFonts w:eastAsia="Times New Roman"/>
                <w:sz w:val="20"/>
              </w:rPr>
              <w:t xml:space="preserve"> līdz 500 </w:t>
            </w:r>
            <w:r w:rsidRPr="00182E2D">
              <w:rPr>
                <w:rFonts w:eastAsia="Times New Roman"/>
                <w:i/>
                <w:sz w:val="20"/>
              </w:rPr>
              <w:t>euro</w:t>
            </w:r>
            <w:r w:rsidRPr="00182E2D">
              <w:rPr>
                <w:rFonts w:eastAsia="Times New Roman"/>
                <w:sz w:val="20"/>
              </w:rPr>
              <w:t xml:space="preserve"> ar 2021.</w:t>
            </w:r>
            <w:r>
              <w:rPr>
                <w:rFonts w:eastAsia="Times New Roman"/>
                <w:sz w:val="20"/>
              </w:rPr>
              <w:t xml:space="preserve"> </w:t>
            </w:r>
            <w:r w:rsidRPr="00182E2D">
              <w:rPr>
                <w:rFonts w:eastAsia="Times New Roman"/>
                <w:sz w:val="20"/>
              </w:rPr>
              <w:t>gadu</w:t>
            </w:r>
          </w:p>
        </w:tc>
        <w:tc>
          <w:tcPr>
            <w:tcW w:w="709" w:type="dxa"/>
          </w:tcPr>
          <w:p w:rsidR="00BF4753" w:rsidRPr="00182E2D" w:rsidRDefault="00BF4753" w:rsidP="002D7CA8">
            <w:pPr>
              <w:ind w:firstLine="0"/>
              <w:jc w:val="right"/>
              <w:rPr>
                <w:rFonts w:eastAsia="Times New Roman"/>
                <w:sz w:val="20"/>
              </w:rPr>
            </w:pPr>
            <w:r w:rsidRPr="00182E2D">
              <w:rPr>
                <w:rFonts w:eastAsia="Times New Roman"/>
                <w:sz w:val="20"/>
              </w:rPr>
              <w:t>+0,8</w:t>
            </w:r>
          </w:p>
        </w:tc>
        <w:tc>
          <w:tcPr>
            <w:tcW w:w="709" w:type="dxa"/>
          </w:tcPr>
          <w:p w:rsidR="00BF4753" w:rsidRPr="00182E2D" w:rsidRDefault="00BF4753" w:rsidP="002D7CA8">
            <w:pPr>
              <w:ind w:firstLine="0"/>
              <w:jc w:val="right"/>
              <w:rPr>
                <w:rFonts w:eastAsia="Times New Roman"/>
                <w:sz w:val="20"/>
              </w:rPr>
            </w:pPr>
          </w:p>
        </w:tc>
        <w:tc>
          <w:tcPr>
            <w:tcW w:w="708" w:type="dxa"/>
          </w:tcPr>
          <w:p w:rsidR="00BF4753" w:rsidRPr="00182E2D" w:rsidRDefault="00BF4753" w:rsidP="002D7CA8">
            <w:pPr>
              <w:ind w:firstLine="0"/>
              <w:jc w:val="right"/>
              <w:rPr>
                <w:rFonts w:eastAsia="Times New Roman"/>
                <w:sz w:val="20"/>
              </w:rPr>
            </w:pPr>
          </w:p>
        </w:tc>
        <w:tc>
          <w:tcPr>
            <w:tcW w:w="714" w:type="dxa"/>
          </w:tcPr>
          <w:p w:rsidR="00BF4753" w:rsidRPr="00182E2D" w:rsidRDefault="00BF4753" w:rsidP="002D7CA8">
            <w:pPr>
              <w:ind w:firstLine="0"/>
              <w:jc w:val="right"/>
              <w:rPr>
                <w:rFonts w:eastAsia="Times New Roman"/>
                <w:sz w:val="20"/>
              </w:rPr>
            </w:pPr>
          </w:p>
        </w:tc>
      </w:tr>
      <w:tr w:rsidR="00BF4753" w:rsidRPr="00182E2D" w:rsidTr="002D7CA8">
        <w:trPr>
          <w:jc w:val="center"/>
        </w:trPr>
        <w:tc>
          <w:tcPr>
            <w:tcW w:w="6374" w:type="dxa"/>
          </w:tcPr>
          <w:p w:rsidR="00BF4753" w:rsidRPr="00182E2D" w:rsidRDefault="00BF4753" w:rsidP="002D7CA8">
            <w:pPr>
              <w:ind w:firstLine="0"/>
              <w:jc w:val="left"/>
              <w:rPr>
                <w:rFonts w:eastAsia="Times New Roman"/>
                <w:sz w:val="20"/>
              </w:rPr>
            </w:pPr>
            <w:r w:rsidRPr="00182E2D">
              <w:rPr>
                <w:rFonts w:eastAsia="Times New Roman"/>
                <w:sz w:val="20"/>
              </w:rPr>
              <w:t>2020.</w:t>
            </w:r>
            <w:r>
              <w:rPr>
                <w:rFonts w:eastAsia="Times New Roman"/>
                <w:sz w:val="20"/>
              </w:rPr>
              <w:t xml:space="preserve"> </w:t>
            </w:r>
            <w:r w:rsidRPr="00182E2D">
              <w:rPr>
                <w:rFonts w:eastAsia="Times New Roman"/>
                <w:sz w:val="20"/>
              </w:rPr>
              <w:t>gadā piešķirto Covid-19 termiņpagarinājumu ieviešana uz trīs gadiem</w:t>
            </w:r>
          </w:p>
        </w:tc>
        <w:tc>
          <w:tcPr>
            <w:tcW w:w="709" w:type="dxa"/>
          </w:tcPr>
          <w:p w:rsidR="00BF4753" w:rsidRPr="00182E2D" w:rsidRDefault="00BF4753" w:rsidP="002D7CA8">
            <w:pPr>
              <w:ind w:firstLine="0"/>
              <w:jc w:val="right"/>
              <w:rPr>
                <w:rFonts w:eastAsia="Times New Roman"/>
                <w:sz w:val="20"/>
              </w:rPr>
            </w:pPr>
            <w:r w:rsidRPr="00182E2D">
              <w:rPr>
                <w:color w:val="000000"/>
                <w:sz w:val="20"/>
              </w:rPr>
              <w:t>+0,2</w:t>
            </w:r>
          </w:p>
        </w:tc>
        <w:tc>
          <w:tcPr>
            <w:tcW w:w="709" w:type="dxa"/>
          </w:tcPr>
          <w:p w:rsidR="00BF4753" w:rsidRPr="00182E2D" w:rsidRDefault="00BF4753" w:rsidP="002D7CA8">
            <w:pPr>
              <w:ind w:firstLine="0"/>
              <w:jc w:val="right"/>
              <w:rPr>
                <w:rFonts w:eastAsia="Times New Roman"/>
                <w:sz w:val="20"/>
              </w:rPr>
            </w:pPr>
            <w:r w:rsidRPr="00182E2D">
              <w:rPr>
                <w:color w:val="000000"/>
                <w:sz w:val="20"/>
              </w:rPr>
              <w:t>+0,5</w:t>
            </w:r>
          </w:p>
        </w:tc>
        <w:tc>
          <w:tcPr>
            <w:tcW w:w="708" w:type="dxa"/>
          </w:tcPr>
          <w:p w:rsidR="00BF4753" w:rsidRPr="00182E2D" w:rsidRDefault="00BF4753" w:rsidP="002D7CA8">
            <w:pPr>
              <w:ind w:firstLine="0"/>
              <w:jc w:val="right"/>
              <w:rPr>
                <w:rFonts w:eastAsia="Times New Roman"/>
                <w:sz w:val="20"/>
              </w:rPr>
            </w:pPr>
            <w:r w:rsidRPr="00182E2D">
              <w:rPr>
                <w:color w:val="000000"/>
                <w:sz w:val="20"/>
              </w:rPr>
              <w:t>+1,0</w:t>
            </w:r>
          </w:p>
        </w:tc>
        <w:tc>
          <w:tcPr>
            <w:tcW w:w="714" w:type="dxa"/>
          </w:tcPr>
          <w:p w:rsidR="00BF4753" w:rsidRPr="00182E2D" w:rsidRDefault="00BF4753" w:rsidP="002D7CA8">
            <w:pPr>
              <w:ind w:firstLine="0"/>
              <w:jc w:val="right"/>
              <w:rPr>
                <w:rFonts w:eastAsia="Times New Roman"/>
                <w:sz w:val="20"/>
              </w:rPr>
            </w:pPr>
            <w:r w:rsidRPr="00182E2D">
              <w:rPr>
                <w:color w:val="000000"/>
                <w:sz w:val="20"/>
              </w:rPr>
              <w:t> </w:t>
            </w:r>
          </w:p>
        </w:tc>
      </w:tr>
      <w:tr w:rsidR="00BF4753" w:rsidRPr="00182E2D" w:rsidTr="002D7CA8">
        <w:trPr>
          <w:jc w:val="center"/>
        </w:trPr>
        <w:tc>
          <w:tcPr>
            <w:tcW w:w="6374" w:type="dxa"/>
          </w:tcPr>
          <w:p w:rsidR="00BF4753" w:rsidRPr="00182E2D" w:rsidRDefault="00BF4753" w:rsidP="002D7CA8">
            <w:pPr>
              <w:ind w:firstLine="0"/>
              <w:jc w:val="left"/>
              <w:rPr>
                <w:rFonts w:eastAsia="Times New Roman"/>
                <w:sz w:val="20"/>
              </w:rPr>
            </w:pPr>
            <w:r w:rsidRPr="00182E2D">
              <w:rPr>
                <w:rFonts w:eastAsia="Times New Roman"/>
                <w:sz w:val="20"/>
              </w:rPr>
              <w:t>2021.</w:t>
            </w:r>
            <w:r>
              <w:rPr>
                <w:rFonts w:eastAsia="Times New Roman"/>
                <w:sz w:val="20"/>
              </w:rPr>
              <w:t xml:space="preserve"> </w:t>
            </w:r>
            <w:r w:rsidRPr="00182E2D">
              <w:rPr>
                <w:rFonts w:eastAsia="Times New Roman"/>
                <w:sz w:val="20"/>
              </w:rPr>
              <w:t>gadā piešķirto Covid-19 termiņpagarinājumu ieviešana uz trīs gadiem</w:t>
            </w:r>
          </w:p>
        </w:tc>
        <w:tc>
          <w:tcPr>
            <w:tcW w:w="709" w:type="dxa"/>
          </w:tcPr>
          <w:p w:rsidR="00BF4753" w:rsidRPr="00182E2D" w:rsidRDefault="00BF4753" w:rsidP="002D7CA8">
            <w:pPr>
              <w:ind w:firstLine="0"/>
              <w:jc w:val="right"/>
              <w:rPr>
                <w:rFonts w:eastAsia="Times New Roman"/>
                <w:sz w:val="20"/>
              </w:rPr>
            </w:pPr>
            <w:r w:rsidRPr="00182E2D">
              <w:rPr>
                <w:color w:val="000000"/>
                <w:sz w:val="20"/>
              </w:rPr>
              <w:t>-1,0</w:t>
            </w:r>
          </w:p>
        </w:tc>
        <w:tc>
          <w:tcPr>
            <w:tcW w:w="709" w:type="dxa"/>
          </w:tcPr>
          <w:p w:rsidR="00BF4753" w:rsidRPr="00182E2D" w:rsidRDefault="00BF4753" w:rsidP="002D7CA8">
            <w:pPr>
              <w:ind w:firstLine="0"/>
              <w:jc w:val="right"/>
              <w:rPr>
                <w:rFonts w:eastAsia="Times New Roman"/>
                <w:sz w:val="20"/>
              </w:rPr>
            </w:pPr>
            <w:r w:rsidRPr="00182E2D">
              <w:rPr>
                <w:color w:val="000000"/>
                <w:sz w:val="20"/>
              </w:rPr>
              <w:t>+0,1</w:t>
            </w:r>
          </w:p>
        </w:tc>
        <w:tc>
          <w:tcPr>
            <w:tcW w:w="708" w:type="dxa"/>
          </w:tcPr>
          <w:p w:rsidR="00BF4753" w:rsidRPr="00182E2D" w:rsidRDefault="00BF4753" w:rsidP="002D7CA8">
            <w:pPr>
              <w:ind w:firstLine="0"/>
              <w:jc w:val="right"/>
              <w:rPr>
                <w:rFonts w:eastAsia="Times New Roman"/>
                <w:sz w:val="20"/>
              </w:rPr>
            </w:pPr>
            <w:r w:rsidRPr="00182E2D">
              <w:rPr>
                <w:color w:val="000000"/>
                <w:sz w:val="20"/>
              </w:rPr>
              <w:t>+0,2</w:t>
            </w:r>
          </w:p>
        </w:tc>
        <w:tc>
          <w:tcPr>
            <w:tcW w:w="714" w:type="dxa"/>
          </w:tcPr>
          <w:p w:rsidR="00BF4753" w:rsidRPr="00182E2D" w:rsidRDefault="00BF4753" w:rsidP="002D7CA8">
            <w:pPr>
              <w:ind w:firstLine="0"/>
              <w:jc w:val="right"/>
              <w:rPr>
                <w:rFonts w:eastAsia="Times New Roman"/>
                <w:sz w:val="20"/>
              </w:rPr>
            </w:pPr>
            <w:r w:rsidRPr="00182E2D">
              <w:rPr>
                <w:color w:val="000000"/>
                <w:sz w:val="20"/>
              </w:rPr>
              <w:t>+0,4</w:t>
            </w:r>
          </w:p>
        </w:tc>
      </w:tr>
      <w:tr w:rsidR="00BF4753" w:rsidRPr="00182E2D" w:rsidTr="002D7CA8">
        <w:trPr>
          <w:jc w:val="center"/>
        </w:trPr>
        <w:tc>
          <w:tcPr>
            <w:tcW w:w="6374" w:type="dxa"/>
          </w:tcPr>
          <w:p w:rsidR="00BF4753" w:rsidRPr="00182E2D" w:rsidRDefault="00BF4753" w:rsidP="002D7CA8">
            <w:pPr>
              <w:ind w:firstLine="0"/>
              <w:jc w:val="left"/>
              <w:rPr>
                <w:rFonts w:eastAsia="Times New Roman"/>
                <w:sz w:val="20"/>
              </w:rPr>
            </w:pPr>
            <w:r w:rsidRPr="00182E2D">
              <w:rPr>
                <w:rFonts w:eastAsia="Times New Roman"/>
                <w:sz w:val="20"/>
              </w:rPr>
              <w:t>Minimālā valsts sociālās apdrošināšanas obligāto iemaksu apmēra ieviešana un alternatīvo (tostarp mikrouzņēmuma) nodokļu režīmu reorganizēšana</w:t>
            </w:r>
          </w:p>
        </w:tc>
        <w:tc>
          <w:tcPr>
            <w:tcW w:w="709" w:type="dxa"/>
          </w:tcPr>
          <w:p w:rsidR="00BF4753" w:rsidRPr="00182E2D" w:rsidRDefault="00BF4753" w:rsidP="002D7CA8">
            <w:pPr>
              <w:ind w:firstLine="0"/>
              <w:jc w:val="right"/>
              <w:rPr>
                <w:rFonts w:eastAsia="Times New Roman"/>
                <w:sz w:val="20"/>
              </w:rPr>
            </w:pPr>
            <w:r w:rsidRPr="00182E2D">
              <w:rPr>
                <w:color w:val="000000"/>
                <w:sz w:val="20"/>
              </w:rPr>
              <w:t>+1,9</w:t>
            </w:r>
          </w:p>
        </w:tc>
        <w:tc>
          <w:tcPr>
            <w:tcW w:w="709" w:type="dxa"/>
          </w:tcPr>
          <w:p w:rsidR="00BF4753" w:rsidRPr="00182E2D" w:rsidRDefault="00BF4753" w:rsidP="002D7CA8">
            <w:pPr>
              <w:ind w:firstLine="0"/>
              <w:jc w:val="right"/>
              <w:rPr>
                <w:rFonts w:eastAsia="Times New Roman"/>
                <w:sz w:val="20"/>
              </w:rPr>
            </w:pPr>
            <w:r w:rsidRPr="00182E2D">
              <w:rPr>
                <w:color w:val="000000"/>
                <w:sz w:val="20"/>
              </w:rPr>
              <w:t>+2,7</w:t>
            </w:r>
          </w:p>
        </w:tc>
        <w:tc>
          <w:tcPr>
            <w:tcW w:w="708" w:type="dxa"/>
          </w:tcPr>
          <w:p w:rsidR="00BF4753" w:rsidRPr="00182E2D" w:rsidRDefault="00BF4753" w:rsidP="002D7CA8">
            <w:pPr>
              <w:ind w:firstLine="0"/>
              <w:jc w:val="right"/>
              <w:rPr>
                <w:rFonts w:eastAsia="Times New Roman"/>
                <w:sz w:val="20"/>
              </w:rPr>
            </w:pPr>
            <w:r w:rsidRPr="00182E2D">
              <w:rPr>
                <w:color w:val="000000"/>
                <w:sz w:val="20"/>
              </w:rPr>
              <w:t> </w:t>
            </w:r>
          </w:p>
        </w:tc>
        <w:tc>
          <w:tcPr>
            <w:tcW w:w="714" w:type="dxa"/>
          </w:tcPr>
          <w:p w:rsidR="00BF4753" w:rsidRPr="00182E2D" w:rsidRDefault="00BF4753" w:rsidP="002D7CA8">
            <w:pPr>
              <w:ind w:firstLine="0"/>
              <w:jc w:val="right"/>
              <w:rPr>
                <w:rFonts w:eastAsia="Times New Roman"/>
                <w:sz w:val="20"/>
              </w:rPr>
            </w:pPr>
            <w:r w:rsidRPr="00182E2D">
              <w:rPr>
                <w:color w:val="000000"/>
                <w:sz w:val="20"/>
              </w:rPr>
              <w:t> </w:t>
            </w:r>
          </w:p>
        </w:tc>
      </w:tr>
      <w:tr w:rsidR="00BF4753" w:rsidRPr="00182E2D" w:rsidTr="002D7CA8">
        <w:trPr>
          <w:jc w:val="center"/>
        </w:trPr>
        <w:tc>
          <w:tcPr>
            <w:tcW w:w="6374" w:type="dxa"/>
          </w:tcPr>
          <w:p w:rsidR="00BF4753" w:rsidRPr="00182E2D" w:rsidRDefault="00BF4753" w:rsidP="002D7CA8">
            <w:pPr>
              <w:ind w:firstLine="0"/>
              <w:jc w:val="right"/>
              <w:rPr>
                <w:rFonts w:eastAsia="Times New Roman"/>
                <w:b/>
                <w:bCs/>
                <w:sz w:val="20"/>
              </w:rPr>
            </w:pPr>
            <w:r w:rsidRPr="00182E2D">
              <w:rPr>
                <w:rFonts w:eastAsia="Times New Roman"/>
                <w:b/>
                <w:bCs/>
                <w:sz w:val="20"/>
              </w:rPr>
              <w:t>Izmaiņu ietekme kopā:</w:t>
            </w:r>
          </w:p>
        </w:tc>
        <w:tc>
          <w:tcPr>
            <w:tcW w:w="709" w:type="dxa"/>
          </w:tcPr>
          <w:p w:rsidR="00BF4753" w:rsidRPr="00182E2D" w:rsidRDefault="00BF4753" w:rsidP="002D7CA8">
            <w:pPr>
              <w:ind w:firstLine="0"/>
              <w:jc w:val="right"/>
              <w:rPr>
                <w:rFonts w:eastAsia="Times New Roman"/>
                <w:b/>
                <w:bCs/>
                <w:sz w:val="20"/>
              </w:rPr>
            </w:pPr>
            <w:r w:rsidRPr="00182E2D">
              <w:rPr>
                <w:rFonts w:eastAsia="Times New Roman"/>
                <w:b/>
                <w:bCs/>
                <w:sz w:val="20"/>
              </w:rPr>
              <w:t>+1,9</w:t>
            </w:r>
          </w:p>
        </w:tc>
        <w:tc>
          <w:tcPr>
            <w:tcW w:w="709" w:type="dxa"/>
          </w:tcPr>
          <w:p w:rsidR="00BF4753" w:rsidRPr="00182E2D" w:rsidRDefault="00BF4753" w:rsidP="002D7CA8">
            <w:pPr>
              <w:ind w:firstLine="0"/>
              <w:jc w:val="right"/>
              <w:rPr>
                <w:rFonts w:eastAsia="Times New Roman"/>
                <w:b/>
                <w:bCs/>
                <w:sz w:val="20"/>
              </w:rPr>
            </w:pPr>
            <w:r w:rsidRPr="00182E2D">
              <w:rPr>
                <w:rFonts w:eastAsia="Times New Roman"/>
                <w:b/>
                <w:bCs/>
                <w:sz w:val="20"/>
              </w:rPr>
              <w:t>+3,3</w:t>
            </w:r>
          </w:p>
        </w:tc>
        <w:tc>
          <w:tcPr>
            <w:tcW w:w="708" w:type="dxa"/>
          </w:tcPr>
          <w:p w:rsidR="00BF4753" w:rsidRPr="00182E2D" w:rsidRDefault="00BF4753" w:rsidP="002D7CA8">
            <w:pPr>
              <w:ind w:firstLine="0"/>
              <w:jc w:val="right"/>
              <w:rPr>
                <w:rFonts w:eastAsia="Times New Roman"/>
                <w:b/>
                <w:bCs/>
                <w:sz w:val="20"/>
              </w:rPr>
            </w:pPr>
            <w:r w:rsidRPr="00182E2D">
              <w:rPr>
                <w:rFonts w:eastAsia="Times New Roman"/>
                <w:b/>
                <w:bCs/>
                <w:sz w:val="20"/>
              </w:rPr>
              <w:t>+1,2</w:t>
            </w:r>
          </w:p>
        </w:tc>
        <w:tc>
          <w:tcPr>
            <w:tcW w:w="714" w:type="dxa"/>
          </w:tcPr>
          <w:p w:rsidR="00BF4753" w:rsidRPr="00182E2D" w:rsidRDefault="00BF4753" w:rsidP="002D7CA8">
            <w:pPr>
              <w:ind w:firstLine="0"/>
              <w:jc w:val="right"/>
              <w:rPr>
                <w:rFonts w:eastAsia="Times New Roman"/>
                <w:b/>
                <w:bCs/>
                <w:sz w:val="20"/>
              </w:rPr>
            </w:pPr>
            <w:r w:rsidRPr="00182E2D">
              <w:rPr>
                <w:rFonts w:eastAsia="Times New Roman"/>
                <w:b/>
                <w:bCs/>
                <w:sz w:val="20"/>
              </w:rPr>
              <w:t>+0,4</w:t>
            </w:r>
          </w:p>
        </w:tc>
      </w:tr>
    </w:tbl>
    <w:p w:rsidR="00BF4753" w:rsidRPr="00887A0A" w:rsidRDefault="00BF4753" w:rsidP="00BF4753">
      <w:pPr>
        <w:spacing w:before="120" w:after="120"/>
        <w:jc w:val="left"/>
        <w:outlineLvl w:val="3"/>
        <w:rPr>
          <w:rFonts w:eastAsia="Times New Roman" w:cs="Times New Roman"/>
          <w:b/>
          <w:szCs w:val="24"/>
        </w:rPr>
      </w:pPr>
      <w:r w:rsidRPr="00887A0A">
        <w:rPr>
          <w:rFonts w:eastAsia="Times New Roman" w:cs="Times New Roman"/>
          <w:b/>
          <w:szCs w:val="24"/>
        </w:rPr>
        <w:t>Izložu un azartspēļu nodoklis</w:t>
      </w:r>
    </w:p>
    <w:p w:rsidR="00BF4753" w:rsidRPr="00A26A81" w:rsidRDefault="00BF4753" w:rsidP="00BF4753">
      <w:pPr>
        <w:spacing w:line="20" w:lineRule="atLeast"/>
        <w:contextualSpacing/>
        <w:rPr>
          <w:rFonts w:eastAsia="Times New Roman" w:cs="Times New Roman"/>
          <w:szCs w:val="24"/>
        </w:rPr>
      </w:pPr>
      <w:r w:rsidRPr="00887A0A">
        <w:rPr>
          <w:rFonts w:eastAsia="Times New Roman" w:cs="Times New Roman"/>
          <w:szCs w:val="24"/>
          <w:shd w:val="clear" w:color="auto" w:fill="FFFFFF"/>
        </w:rPr>
        <w:t>Izložu un azartspēļu nodokļa ieņēmumus 2021.</w:t>
      </w:r>
      <w:r>
        <w:rPr>
          <w:rFonts w:eastAsia="Times New Roman" w:cs="Times New Roman"/>
          <w:szCs w:val="24"/>
          <w:shd w:val="clear" w:color="auto" w:fill="FFFFFF"/>
        </w:rPr>
        <w:t xml:space="preserve"> </w:t>
      </w:r>
      <w:r w:rsidRPr="00887A0A">
        <w:rPr>
          <w:rFonts w:eastAsia="Times New Roman" w:cs="Times New Roman"/>
          <w:szCs w:val="24"/>
          <w:shd w:val="clear" w:color="auto" w:fill="FFFFFF"/>
        </w:rPr>
        <w:t xml:space="preserve">gadā un turpmāk pamatā ietekmēs saistībā ar </w:t>
      </w:r>
      <w:r w:rsidRPr="00887A0A">
        <w:rPr>
          <w:rFonts w:eastAsia="Times New Roman" w:cs="Times New Roman"/>
          <w:szCs w:val="24"/>
        </w:rPr>
        <w:t>Covid-19 krīzi pieņemtie pasākumi, kā būtiskākos minot azartspēļu un izložu organizēšanas aizliegšanu (izņemot interaktīvās azartspēles, skaitļu izlozes un momentloterijas) un azartspēļu organizēšanas licenču apturēšanu Covid-19 izplatību saistītās ārkārtējās situācijas laikā, vienlaikus uzskaitot dienas, kad aizliegums sp</w:t>
      </w:r>
      <w:r>
        <w:rPr>
          <w:rFonts w:eastAsia="Times New Roman" w:cs="Times New Roman"/>
          <w:szCs w:val="24"/>
        </w:rPr>
        <w:t>ēkā, attiecīgā mēneša ietvaros.</w:t>
      </w:r>
    </w:p>
    <w:p w:rsidR="00BF4753" w:rsidRPr="00182E2D" w:rsidRDefault="00BF4753" w:rsidP="00BF4753">
      <w:pPr>
        <w:spacing w:before="120" w:after="120"/>
        <w:ind w:firstLine="567"/>
        <w:jc w:val="right"/>
        <w:rPr>
          <w:rFonts w:eastAsia="Times New Roman" w:cs="Times New Roman"/>
          <w:b/>
          <w:i/>
          <w:iCs/>
          <w:sz w:val="24"/>
          <w:szCs w:val="20"/>
        </w:rPr>
      </w:pPr>
      <w:r w:rsidRPr="00887A0A">
        <w:rPr>
          <w:rFonts w:eastAsia="Times New Roman" w:cs="Times New Roman"/>
          <w:b/>
          <w:i/>
          <w:iCs/>
          <w:sz w:val="24"/>
          <w:szCs w:val="20"/>
        </w:rPr>
        <w:t>5.10.</w:t>
      </w:r>
      <w:r>
        <w:rPr>
          <w:rFonts w:eastAsia="Times New Roman" w:cs="Times New Roman"/>
          <w:b/>
          <w:i/>
          <w:iCs/>
          <w:sz w:val="24"/>
          <w:szCs w:val="20"/>
        </w:rPr>
        <w:t xml:space="preserve"> </w:t>
      </w:r>
      <w:r w:rsidRPr="00887A0A">
        <w:rPr>
          <w:rFonts w:eastAsia="Times New Roman" w:cs="Times New Roman"/>
          <w:b/>
          <w:i/>
          <w:iCs/>
          <w:sz w:val="24"/>
          <w:szCs w:val="20"/>
        </w:rPr>
        <w:t>tabula.</w:t>
      </w:r>
      <w:r w:rsidRPr="00182E2D">
        <w:rPr>
          <w:rFonts w:eastAsia="Times New Roman" w:cs="Times New Roman"/>
          <w:b/>
          <w:i/>
          <w:iCs/>
          <w:sz w:val="24"/>
          <w:szCs w:val="20"/>
        </w:rPr>
        <w:t xml:space="preserve"> Nodokļu politikas izmaiņu ietekme uz izložu un azartspēļu nodokļa ieņēmumiem, milj. euro</w:t>
      </w:r>
    </w:p>
    <w:tbl>
      <w:tblPr>
        <w:tblStyle w:val="TableGrid11"/>
        <w:tblW w:w="9073" w:type="dxa"/>
        <w:jc w:val="center"/>
        <w:tblLayout w:type="fixed"/>
        <w:tblLook w:val="04A0" w:firstRow="1" w:lastRow="0" w:firstColumn="1" w:lastColumn="0" w:noHBand="0" w:noVBand="1"/>
      </w:tblPr>
      <w:tblGrid>
        <w:gridCol w:w="6232"/>
        <w:gridCol w:w="709"/>
        <w:gridCol w:w="709"/>
        <w:gridCol w:w="709"/>
        <w:gridCol w:w="714"/>
      </w:tblGrid>
      <w:tr w:rsidR="00BF4753" w:rsidRPr="00182E2D" w:rsidTr="002D7CA8">
        <w:trPr>
          <w:jc w:val="center"/>
        </w:trPr>
        <w:tc>
          <w:tcPr>
            <w:tcW w:w="6232" w:type="dxa"/>
            <w:shd w:val="clear" w:color="auto" w:fill="9CC2E5"/>
          </w:tcPr>
          <w:p w:rsidR="00BF4753" w:rsidRPr="00182E2D" w:rsidRDefault="00BF4753" w:rsidP="002D7CA8">
            <w:pPr>
              <w:ind w:firstLine="0"/>
              <w:jc w:val="left"/>
              <w:rPr>
                <w:rFonts w:eastAsia="Times New Roman"/>
                <w:b/>
                <w:bCs/>
                <w:sz w:val="20"/>
              </w:rPr>
            </w:pPr>
          </w:p>
        </w:tc>
        <w:tc>
          <w:tcPr>
            <w:tcW w:w="709"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2021</w:t>
            </w:r>
          </w:p>
        </w:tc>
        <w:tc>
          <w:tcPr>
            <w:tcW w:w="709"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2022</w:t>
            </w:r>
          </w:p>
        </w:tc>
        <w:tc>
          <w:tcPr>
            <w:tcW w:w="709"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2023</w:t>
            </w:r>
          </w:p>
        </w:tc>
        <w:tc>
          <w:tcPr>
            <w:tcW w:w="714"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2024</w:t>
            </w:r>
          </w:p>
        </w:tc>
      </w:tr>
      <w:tr w:rsidR="00BF4753" w:rsidRPr="00182E2D" w:rsidTr="002D7CA8">
        <w:trPr>
          <w:jc w:val="center"/>
        </w:trPr>
        <w:tc>
          <w:tcPr>
            <w:tcW w:w="6232" w:type="dxa"/>
          </w:tcPr>
          <w:p w:rsidR="00BF4753" w:rsidRPr="00182E2D" w:rsidRDefault="00BF4753" w:rsidP="002D7CA8">
            <w:pPr>
              <w:ind w:firstLine="0"/>
              <w:jc w:val="left"/>
              <w:rPr>
                <w:rFonts w:eastAsia="Times New Roman"/>
                <w:sz w:val="20"/>
              </w:rPr>
            </w:pPr>
            <w:r w:rsidRPr="00182E2D">
              <w:rPr>
                <w:rFonts w:eastAsia="Times New Roman"/>
                <w:sz w:val="20"/>
              </w:rPr>
              <w:t>Azartspēļu un izložu organizēšanas aizliegšana ārkārtējās situācijas laikā</w:t>
            </w:r>
          </w:p>
        </w:tc>
        <w:tc>
          <w:tcPr>
            <w:tcW w:w="709" w:type="dxa"/>
          </w:tcPr>
          <w:p w:rsidR="00BF4753" w:rsidRPr="00182E2D" w:rsidRDefault="00BF4753" w:rsidP="002D7CA8">
            <w:pPr>
              <w:ind w:firstLine="0"/>
              <w:jc w:val="right"/>
              <w:rPr>
                <w:rFonts w:eastAsia="Times New Roman"/>
                <w:sz w:val="20"/>
              </w:rPr>
            </w:pPr>
            <w:r w:rsidRPr="00182E2D">
              <w:rPr>
                <w:rFonts w:eastAsia="Times New Roman"/>
                <w:sz w:val="20"/>
              </w:rPr>
              <w:t>+6,4</w:t>
            </w:r>
          </w:p>
        </w:tc>
        <w:tc>
          <w:tcPr>
            <w:tcW w:w="709" w:type="dxa"/>
          </w:tcPr>
          <w:p w:rsidR="00BF4753" w:rsidRPr="00182E2D" w:rsidRDefault="00BF4753" w:rsidP="002D7CA8">
            <w:pPr>
              <w:ind w:firstLine="0"/>
              <w:jc w:val="right"/>
              <w:rPr>
                <w:rFonts w:eastAsia="Times New Roman"/>
                <w:sz w:val="20"/>
              </w:rPr>
            </w:pPr>
            <w:r w:rsidRPr="00182E2D">
              <w:rPr>
                <w:rFonts w:eastAsia="Times New Roman"/>
                <w:sz w:val="20"/>
              </w:rPr>
              <w:t>+9,8</w:t>
            </w:r>
          </w:p>
        </w:tc>
        <w:tc>
          <w:tcPr>
            <w:tcW w:w="709" w:type="dxa"/>
          </w:tcPr>
          <w:p w:rsidR="00BF4753" w:rsidRPr="00182E2D" w:rsidRDefault="00BF4753" w:rsidP="002D7CA8">
            <w:pPr>
              <w:ind w:firstLine="0"/>
              <w:jc w:val="right"/>
              <w:rPr>
                <w:rFonts w:eastAsia="Times New Roman"/>
                <w:sz w:val="20"/>
              </w:rPr>
            </w:pPr>
          </w:p>
        </w:tc>
        <w:tc>
          <w:tcPr>
            <w:tcW w:w="714" w:type="dxa"/>
          </w:tcPr>
          <w:p w:rsidR="00BF4753" w:rsidRPr="00182E2D" w:rsidRDefault="00BF4753" w:rsidP="002D7CA8">
            <w:pPr>
              <w:ind w:firstLine="0"/>
              <w:jc w:val="right"/>
              <w:rPr>
                <w:rFonts w:eastAsia="Times New Roman"/>
                <w:sz w:val="20"/>
              </w:rPr>
            </w:pPr>
          </w:p>
        </w:tc>
      </w:tr>
      <w:tr w:rsidR="00BF4753" w:rsidRPr="00182E2D" w:rsidTr="002D7CA8">
        <w:trPr>
          <w:jc w:val="center"/>
        </w:trPr>
        <w:tc>
          <w:tcPr>
            <w:tcW w:w="6232" w:type="dxa"/>
          </w:tcPr>
          <w:p w:rsidR="00BF4753" w:rsidRPr="00182E2D" w:rsidRDefault="00BF4753" w:rsidP="002D7CA8">
            <w:pPr>
              <w:ind w:firstLine="0"/>
              <w:jc w:val="left"/>
              <w:rPr>
                <w:rFonts w:eastAsia="Times New Roman"/>
                <w:sz w:val="20"/>
              </w:rPr>
            </w:pPr>
            <w:r w:rsidRPr="00182E2D">
              <w:rPr>
                <w:rFonts w:eastAsia="Times New Roman"/>
                <w:sz w:val="20"/>
              </w:rPr>
              <w:t>Azartspēļu un izložu organizēšanas aizliegšana ārkārtējās situācijas laikā, uzskaitot dienas, kad aizliegums spēkā, attiecīgā mēneša ietvaros</w:t>
            </w:r>
          </w:p>
        </w:tc>
        <w:tc>
          <w:tcPr>
            <w:tcW w:w="709" w:type="dxa"/>
          </w:tcPr>
          <w:p w:rsidR="00BF4753" w:rsidRPr="00182E2D" w:rsidRDefault="00BF4753" w:rsidP="002D7CA8">
            <w:pPr>
              <w:ind w:firstLine="0"/>
              <w:jc w:val="right"/>
              <w:rPr>
                <w:rFonts w:eastAsia="Times New Roman"/>
                <w:sz w:val="20"/>
              </w:rPr>
            </w:pPr>
            <w:r w:rsidRPr="00182E2D">
              <w:rPr>
                <w:color w:val="000000"/>
                <w:sz w:val="20"/>
              </w:rPr>
              <w:t>-4,7</w:t>
            </w:r>
          </w:p>
        </w:tc>
        <w:tc>
          <w:tcPr>
            <w:tcW w:w="709" w:type="dxa"/>
          </w:tcPr>
          <w:p w:rsidR="00BF4753" w:rsidRPr="00182E2D" w:rsidRDefault="00BF4753" w:rsidP="002D7CA8">
            <w:pPr>
              <w:ind w:firstLine="0"/>
              <w:jc w:val="right"/>
              <w:rPr>
                <w:rFonts w:eastAsia="Times New Roman"/>
                <w:sz w:val="20"/>
              </w:rPr>
            </w:pPr>
            <w:r w:rsidRPr="00182E2D">
              <w:rPr>
                <w:color w:val="000000"/>
                <w:sz w:val="20"/>
              </w:rPr>
              <w:t>+4,7</w:t>
            </w:r>
          </w:p>
        </w:tc>
        <w:tc>
          <w:tcPr>
            <w:tcW w:w="709" w:type="dxa"/>
          </w:tcPr>
          <w:p w:rsidR="00BF4753" w:rsidRPr="00182E2D" w:rsidRDefault="00BF4753" w:rsidP="002D7CA8">
            <w:pPr>
              <w:ind w:firstLine="0"/>
              <w:jc w:val="right"/>
              <w:rPr>
                <w:rFonts w:eastAsia="Times New Roman"/>
                <w:sz w:val="20"/>
              </w:rPr>
            </w:pPr>
          </w:p>
        </w:tc>
        <w:tc>
          <w:tcPr>
            <w:tcW w:w="714" w:type="dxa"/>
          </w:tcPr>
          <w:p w:rsidR="00BF4753" w:rsidRPr="00182E2D" w:rsidRDefault="00BF4753" w:rsidP="002D7CA8">
            <w:pPr>
              <w:ind w:firstLine="0"/>
              <w:jc w:val="right"/>
              <w:rPr>
                <w:rFonts w:eastAsia="Times New Roman"/>
                <w:sz w:val="20"/>
              </w:rPr>
            </w:pPr>
            <w:r w:rsidRPr="00182E2D">
              <w:rPr>
                <w:color w:val="000000"/>
                <w:sz w:val="20"/>
              </w:rPr>
              <w:t> </w:t>
            </w:r>
          </w:p>
        </w:tc>
      </w:tr>
      <w:tr w:rsidR="00BF4753" w:rsidRPr="00182E2D" w:rsidTr="002D7CA8">
        <w:trPr>
          <w:jc w:val="center"/>
        </w:trPr>
        <w:tc>
          <w:tcPr>
            <w:tcW w:w="6232" w:type="dxa"/>
          </w:tcPr>
          <w:p w:rsidR="00BF4753" w:rsidRPr="00182E2D" w:rsidRDefault="00BF4753" w:rsidP="002D7CA8">
            <w:pPr>
              <w:ind w:firstLine="0"/>
              <w:jc w:val="left"/>
              <w:rPr>
                <w:rFonts w:eastAsia="Times New Roman"/>
                <w:sz w:val="20"/>
              </w:rPr>
            </w:pPr>
            <w:r w:rsidRPr="00182E2D">
              <w:rPr>
                <w:rFonts w:eastAsia="Times New Roman"/>
                <w:sz w:val="20"/>
              </w:rPr>
              <w:t>2020. un 2021.</w:t>
            </w:r>
            <w:r>
              <w:rPr>
                <w:rFonts w:eastAsia="Times New Roman"/>
                <w:sz w:val="20"/>
              </w:rPr>
              <w:t xml:space="preserve"> </w:t>
            </w:r>
            <w:r w:rsidRPr="00182E2D">
              <w:rPr>
                <w:rFonts w:eastAsia="Times New Roman"/>
                <w:sz w:val="20"/>
              </w:rPr>
              <w:t>gadā piešķirto Covid-19 termiņpagarinājumu ieviešana uz trīs gadiem</w:t>
            </w:r>
          </w:p>
        </w:tc>
        <w:tc>
          <w:tcPr>
            <w:tcW w:w="709" w:type="dxa"/>
          </w:tcPr>
          <w:p w:rsidR="00BF4753" w:rsidRPr="00182E2D" w:rsidRDefault="00BF4753" w:rsidP="002D7CA8">
            <w:pPr>
              <w:ind w:firstLine="0"/>
              <w:jc w:val="right"/>
              <w:rPr>
                <w:rFonts w:eastAsia="Times New Roman"/>
                <w:sz w:val="20"/>
              </w:rPr>
            </w:pPr>
            <w:r w:rsidRPr="00182E2D">
              <w:rPr>
                <w:color w:val="000000"/>
                <w:sz w:val="20"/>
              </w:rPr>
              <w:t>-1,4</w:t>
            </w:r>
          </w:p>
        </w:tc>
        <w:tc>
          <w:tcPr>
            <w:tcW w:w="709" w:type="dxa"/>
          </w:tcPr>
          <w:p w:rsidR="00BF4753" w:rsidRPr="00182E2D" w:rsidRDefault="00BF4753" w:rsidP="002D7CA8">
            <w:pPr>
              <w:ind w:firstLine="0"/>
              <w:jc w:val="right"/>
              <w:rPr>
                <w:rFonts w:eastAsia="Times New Roman"/>
                <w:sz w:val="20"/>
              </w:rPr>
            </w:pPr>
            <w:r w:rsidRPr="00182E2D">
              <w:rPr>
                <w:color w:val="000000"/>
                <w:sz w:val="20"/>
              </w:rPr>
              <w:t>+1,2</w:t>
            </w:r>
          </w:p>
        </w:tc>
        <w:tc>
          <w:tcPr>
            <w:tcW w:w="709" w:type="dxa"/>
          </w:tcPr>
          <w:p w:rsidR="00BF4753" w:rsidRPr="00182E2D" w:rsidRDefault="00BF4753" w:rsidP="002D7CA8">
            <w:pPr>
              <w:ind w:firstLine="0"/>
              <w:jc w:val="right"/>
              <w:rPr>
                <w:rFonts w:eastAsia="Times New Roman"/>
                <w:sz w:val="20"/>
              </w:rPr>
            </w:pPr>
            <w:r w:rsidRPr="00182E2D">
              <w:rPr>
                <w:color w:val="000000"/>
                <w:sz w:val="20"/>
              </w:rPr>
              <w:t>+2,4</w:t>
            </w:r>
          </w:p>
        </w:tc>
        <w:tc>
          <w:tcPr>
            <w:tcW w:w="714" w:type="dxa"/>
          </w:tcPr>
          <w:p w:rsidR="00BF4753" w:rsidRPr="00182E2D" w:rsidRDefault="00BF4753" w:rsidP="002D7CA8">
            <w:pPr>
              <w:ind w:firstLine="0"/>
              <w:jc w:val="right"/>
              <w:rPr>
                <w:rFonts w:eastAsia="Times New Roman"/>
                <w:sz w:val="20"/>
              </w:rPr>
            </w:pPr>
            <w:r w:rsidRPr="00182E2D">
              <w:rPr>
                <w:color w:val="000000"/>
                <w:sz w:val="20"/>
              </w:rPr>
              <w:t>+0,8</w:t>
            </w:r>
          </w:p>
        </w:tc>
      </w:tr>
      <w:tr w:rsidR="00BF4753" w:rsidRPr="00182E2D" w:rsidTr="002D7CA8">
        <w:trPr>
          <w:jc w:val="center"/>
        </w:trPr>
        <w:tc>
          <w:tcPr>
            <w:tcW w:w="6232" w:type="dxa"/>
          </w:tcPr>
          <w:p w:rsidR="00BF4753" w:rsidRPr="00182E2D" w:rsidRDefault="00BF4753" w:rsidP="002D7CA8">
            <w:pPr>
              <w:ind w:firstLine="0"/>
              <w:jc w:val="right"/>
              <w:rPr>
                <w:rFonts w:eastAsia="Times New Roman"/>
                <w:b/>
                <w:bCs/>
                <w:sz w:val="20"/>
              </w:rPr>
            </w:pPr>
            <w:r w:rsidRPr="00182E2D">
              <w:rPr>
                <w:rFonts w:eastAsia="Times New Roman"/>
                <w:b/>
                <w:bCs/>
                <w:sz w:val="20"/>
              </w:rPr>
              <w:t>Izmaiņu ietekme kopā:</w:t>
            </w:r>
          </w:p>
        </w:tc>
        <w:tc>
          <w:tcPr>
            <w:tcW w:w="709" w:type="dxa"/>
          </w:tcPr>
          <w:p w:rsidR="00BF4753" w:rsidRPr="00182E2D" w:rsidRDefault="00BF4753" w:rsidP="002D7CA8">
            <w:pPr>
              <w:ind w:firstLine="0"/>
              <w:jc w:val="right"/>
              <w:rPr>
                <w:rFonts w:eastAsia="Times New Roman"/>
                <w:b/>
                <w:bCs/>
                <w:sz w:val="20"/>
              </w:rPr>
            </w:pPr>
            <w:r w:rsidRPr="00182E2D">
              <w:rPr>
                <w:rFonts w:eastAsia="Times New Roman"/>
                <w:b/>
                <w:bCs/>
                <w:sz w:val="20"/>
              </w:rPr>
              <w:t>+0,3</w:t>
            </w:r>
          </w:p>
        </w:tc>
        <w:tc>
          <w:tcPr>
            <w:tcW w:w="709" w:type="dxa"/>
          </w:tcPr>
          <w:p w:rsidR="00BF4753" w:rsidRPr="00182E2D" w:rsidRDefault="00BF4753" w:rsidP="002D7CA8">
            <w:pPr>
              <w:ind w:firstLine="0"/>
              <w:jc w:val="right"/>
              <w:rPr>
                <w:rFonts w:eastAsia="Times New Roman"/>
                <w:b/>
                <w:bCs/>
                <w:sz w:val="20"/>
              </w:rPr>
            </w:pPr>
            <w:r w:rsidRPr="00182E2D">
              <w:rPr>
                <w:rFonts w:eastAsia="Times New Roman"/>
                <w:b/>
                <w:bCs/>
                <w:sz w:val="20"/>
              </w:rPr>
              <w:t>+15,7</w:t>
            </w:r>
          </w:p>
        </w:tc>
        <w:tc>
          <w:tcPr>
            <w:tcW w:w="709" w:type="dxa"/>
          </w:tcPr>
          <w:p w:rsidR="00BF4753" w:rsidRPr="00182E2D" w:rsidRDefault="00BF4753" w:rsidP="002D7CA8">
            <w:pPr>
              <w:ind w:firstLine="0"/>
              <w:jc w:val="right"/>
              <w:rPr>
                <w:rFonts w:eastAsia="Times New Roman"/>
                <w:b/>
                <w:bCs/>
                <w:sz w:val="20"/>
              </w:rPr>
            </w:pPr>
            <w:r w:rsidRPr="00182E2D">
              <w:rPr>
                <w:rFonts w:eastAsia="Times New Roman"/>
                <w:b/>
                <w:bCs/>
                <w:sz w:val="20"/>
              </w:rPr>
              <w:t>+2,4</w:t>
            </w:r>
          </w:p>
        </w:tc>
        <w:tc>
          <w:tcPr>
            <w:tcW w:w="714" w:type="dxa"/>
          </w:tcPr>
          <w:p w:rsidR="00BF4753" w:rsidRPr="00182E2D" w:rsidRDefault="00BF4753" w:rsidP="002D7CA8">
            <w:pPr>
              <w:ind w:firstLine="0"/>
              <w:jc w:val="right"/>
              <w:rPr>
                <w:rFonts w:eastAsia="Times New Roman"/>
                <w:b/>
                <w:bCs/>
                <w:sz w:val="20"/>
              </w:rPr>
            </w:pPr>
            <w:r w:rsidRPr="00182E2D">
              <w:rPr>
                <w:rFonts w:eastAsia="Times New Roman"/>
                <w:b/>
                <w:bCs/>
                <w:sz w:val="20"/>
              </w:rPr>
              <w:t>+0,8</w:t>
            </w:r>
          </w:p>
        </w:tc>
      </w:tr>
    </w:tbl>
    <w:p w:rsidR="00BF4753" w:rsidRPr="00887A0A" w:rsidRDefault="00BF4753" w:rsidP="00BF4753">
      <w:pPr>
        <w:spacing w:before="120" w:after="120"/>
        <w:outlineLvl w:val="3"/>
        <w:rPr>
          <w:rFonts w:eastAsia="Times New Roman" w:cs="Times New Roman"/>
          <w:b/>
          <w:szCs w:val="28"/>
        </w:rPr>
      </w:pPr>
      <w:r w:rsidRPr="00887A0A">
        <w:rPr>
          <w:rFonts w:eastAsia="Times New Roman" w:cs="Times New Roman"/>
          <w:b/>
          <w:szCs w:val="28"/>
        </w:rPr>
        <w:t>Dabas resursu nodoklis</w:t>
      </w:r>
    </w:p>
    <w:p w:rsidR="00BF4753" w:rsidRPr="00887A0A" w:rsidRDefault="00BF4753" w:rsidP="00BF4753">
      <w:pPr>
        <w:rPr>
          <w:rFonts w:eastAsia="Times New Roman" w:cs="Times New Roman"/>
          <w:szCs w:val="28"/>
        </w:rPr>
      </w:pPr>
      <w:r w:rsidRPr="00887A0A">
        <w:rPr>
          <w:rFonts w:eastAsia="Times New Roman" w:cs="Times New Roman"/>
          <w:szCs w:val="28"/>
        </w:rPr>
        <w:t>Dabas resursu nodokļa maksājumi ir tieši saistīti ar Latvijas uzņēmumu ekonomiskajām aktivitātēm un to izraisītajām vides noslodzēm, kā arī veiktajiem vides aizsardzības pasākumiem. Līdz ar to nodokļa ieņēmumi gan palielinās, palielinoties kopējai ekonomiskai aktivitātei, gan arī samazinās, uzņēmumiem un pašvaldībām veicot vides aizsardzības pasākumus.</w:t>
      </w:r>
    </w:p>
    <w:p w:rsidR="00BF4753" w:rsidRPr="00887A0A" w:rsidRDefault="00BF4753" w:rsidP="00BF4753">
      <w:pPr>
        <w:rPr>
          <w:rFonts w:eastAsia="Times New Roman" w:cs="Times New Roman"/>
          <w:szCs w:val="28"/>
        </w:rPr>
      </w:pPr>
      <w:r w:rsidRPr="00887A0A">
        <w:rPr>
          <w:rFonts w:eastAsia="Times New Roman" w:cs="Times New Roman"/>
          <w:szCs w:val="28"/>
        </w:rPr>
        <w:t xml:space="preserve">Saskaņā ar 2019. gada 14. novembrī Saeimā pieņemtajām izmaiņām Dabas resursu nodokļa likumā: </w:t>
      </w:r>
    </w:p>
    <w:p w:rsidR="00BF4753" w:rsidRPr="00887A0A" w:rsidRDefault="00BF4753" w:rsidP="00BF4753">
      <w:pPr>
        <w:numPr>
          <w:ilvl w:val="0"/>
          <w:numId w:val="34"/>
        </w:numPr>
        <w:spacing w:after="160"/>
        <w:ind w:left="1134" w:hanging="283"/>
        <w:contextualSpacing/>
        <w:rPr>
          <w:rFonts w:eastAsia="Times New Roman" w:cs="Times New Roman"/>
          <w:szCs w:val="28"/>
        </w:rPr>
      </w:pPr>
      <w:r w:rsidRPr="00887A0A">
        <w:rPr>
          <w:rFonts w:eastAsia="Times New Roman" w:cs="Times New Roman"/>
          <w:szCs w:val="28"/>
        </w:rPr>
        <w:t>ar 2021.</w:t>
      </w:r>
      <w:r>
        <w:rPr>
          <w:rFonts w:eastAsia="Times New Roman" w:cs="Times New Roman"/>
          <w:szCs w:val="28"/>
        </w:rPr>
        <w:t xml:space="preserve"> </w:t>
      </w:r>
      <w:r w:rsidRPr="00887A0A">
        <w:rPr>
          <w:rFonts w:eastAsia="Times New Roman" w:cs="Times New Roman"/>
          <w:szCs w:val="28"/>
        </w:rPr>
        <w:t>gada 1.</w:t>
      </w:r>
      <w:r>
        <w:rPr>
          <w:rFonts w:eastAsia="Times New Roman" w:cs="Times New Roman"/>
          <w:szCs w:val="28"/>
        </w:rPr>
        <w:t xml:space="preserve"> </w:t>
      </w:r>
      <w:r w:rsidRPr="00887A0A">
        <w:rPr>
          <w:rFonts w:eastAsia="Times New Roman" w:cs="Times New Roman"/>
          <w:szCs w:val="28"/>
        </w:rPr>
        <w:t>janvāri tika paaugstināta dabas resursu nodokļa likme par CO</w:t>
      </w:r>
      <w:r w:rsidRPr="00887A0A">
        <w:rPr>
          <w:rFonts w:eastAsia="Times New Roman" w:cs="Times New Roman"/>
          <w:szCs w:val="28"/>
          <w:vertAlign w:val="subscript"/>
        </w:rPr>
        <w:t>2</w:t>
      </w:r>
      <w:r>
        <w:rPr>
          <w:rFonts w:eastAsia="Times New Roman" w:cs="Times New Roman"/>
          <w:szCs w:val="28"/>
        </w:rPr>
        <w:t xml:space="preserve"> emisiju no 9</w:t>
      </w:r>
      <w:r w:rsidRPr="00887A0A">
        <w:rPr>
          <w:rFonts w:eastAsia="Times New Roman" w:cs="Times New Roman"/>
          <w:szCs w:val="28"/>
        </w:rPr>
        <w:t> </w:t>
      </w:r>
      <w:r w:rsidRPr="00887A0A">
        <w:rPr>
          <w:rFonts w:eastAsia="Times New Roman" w:cs="Times New Roman"/>
          <w:i/>
          <w:szCs w:val="28"/>
        </w:rPr>
        <w:t>euro</w:t>
      </w:r>
      <w:r>
        <w:rPr>
          <w:rFonts w:eastAsia="Times New Roman" w:cs="Times New Roman"/>
          <w:szCs w:val="28"/>
        </w:rPr>
        <w:t xml:space="preserve"> līdz 12</w:t>
      </w:r>
      <w:r w:rsidRPr="00887A0A">
        <w:rPr>
          <w:rFonts w:eastAsia="Times New Roman" w:cs="Times New Roman"/>
          <w:szCs w:val="28"/>
        </w:rPr>
        <w:t> </w:t>
      </w:r>
      <w:r w:rsidRPr="00887A0A">
        <w:rPr>
          <w:rFonts w:eastAsia="Times New Roman" w:cs="Times New Roman"/>
          <w:i/>
          <w:szCs w:val="28"/>
        </w:rPr>
        <w:t>euro</w:t>
      </w:r>
      <w:r w:rsidRPr="00887A0A">
        <w:rPr>
          <w:rFonts w:eastAsia="Times New Roman" w:cs="Times New Roman"/>
          <w:szCs w:val="28"/>
        </w:rPr>
        <w:t xml:space="preserve"> par tonnu. Likmi plānots paaugstināt arī ar 2022.</w:t>
      </w:r>
      <w:r>
        <w:rPr>
          <w:rFonts w:eastAsia="Times New Roman" w:cs="Times New Roman"/>
          <w:szCs w:val="28"/>
        </w:rPr>
        <w:t xml:space="preserve"> </w:t>
      </w:r>
      <w:r w:rsidRPr="00887A0A">
        <w:rPr>
          <w:rFonts w:eastAsia="Times New Roman" w:cs="Times New Roman"/>
          <w:szCs w:val="28"/>
        </w:rPr>
        <w:t>gada 1.</w:t>
      </w:r>
      <w:r>
        <w:rPr>
          <w:rFonts w:eastAsia="Times New Roman" w:cs="Times New Roman"/>
          <w:szCs w:val="28"/>
        </w:rPr>
        <w:t xml:space="preserve"> janvāri līdz 15 </w:t>
      </w:r>
      <w:r w:rsidRPr="00887A0A">
        <w:rPr>
          <w:rFonts w:eastAsia="Times New Roman" w:cs="Times New Roman"/>
          <w:i/>
          <w:szCs w:val="28"/>
        </w:rPr>
        <w:t>euro</w:t>
      </w:r>
      <w:r w:rsidRPr="00887A0A">
        <w:rPr>
          <w:rFonts w:eastAsia="Times New Roman" w:cs="Times New Roman"/>
          <w:szCs w:val="28"/>
        </w:rPr>
        <w:t xml:space="preserve"> par tonnu;</w:t>
      </w:r>
    </w:p>
    <w:p w:rsidR="00BF4753" w:rsidRPr="00887A0A" w:rsidRDefault="00BF4753" w:rsidP="00BF4753">
      <w:pPr>
        <w:numPr>
          <w:ilvl w:val="0"/>
          <w:numId w:val="34"/>
        </w:numPr>
        <w:spacing w:after="160"/>
        <w:ind w:left="1134" w:hanging="283"/>
        <w:contextualSpacing/>
        <w:rPr>
          <w:rFonts w:eastAsia="Times New Roman" w:cs="Times New Roman"/>
          <w:szCs w:val="28"/>
        </w:rPr>
      </w:pPr>
      <w:r w:rsidRPr="00887A0A">
        <w:rPr>
          <w:rFonts w:eastAsia="Times New Roman" w:cs="Times New Roman"/>
          <w:szCs w:val="28"/>
        </w:rPr>
        <w:t>ar 2021.</w:t>
      </w:r>
      <w:r>
        <w:rPr>
          <w:rFonts w:eastAsia="Times New Roman" w:cs="Times New Roman"/>
          <w:szCs w:val="28"/>
        </w:rPr>
        <w:t xml:space="preserve"> </w:t>
      </w:r>
      <w:r w:rsidRPr="00887A0A">
        <w:rPr>
          <w:rFonts w:eastAsia="Times New Roman" w:cs="Times New Roman"/>
          <w:szCs w:val="28"/>
        </w:rPr>
        <w:t>gada 1.</w:t>
      </w:r>
      <w:r>
        <w:rPr>
          <w:rFonts w:eastAsia="Times New Roman" w:cs="Times New Roman"/>
          <w:szCs w:val="28"/>
        </w:rPr>
        <w:t xml:space="preserve"> </w:t>
      </w:r>
      <w:r w:rsidRPr="00887A0A">
        <w:rPr>
          <w:rFonts w:eastAsia="Times New Roman" w:cs="Times New Roman"/>
          <w:szCs w:val="28"/>
        </w:rPr>
        <w:t>janvāri nodoklis tiek piemērots arī par sadzīves atkritumu sadedzināšanu.</w:t>
      </w:r>
    </w:p>
    <w:p w:rsidR="00BF4753" w:rsidRPr="00887A0A" w:rsidRDefault="00BF4753" w:rsidP="00BF4753">
      <w:pPr>
        <w:contextualSpacing/>
        <w:rPr>
          <w:rFonts w:eastAsia="Times New Roman" w:cs="Times New Roman"/>
          <w:szCs w:val="28"/>
        </w:rPr>
      </w:pPr>
      <w:r w:rsidRPr="00887A0A">
        <w:rPr>
          <w:rFonts w:eastAsia="Times New Roman" w:cs="Times New Roman"/>
          <w:szCs w:val="28"/>
        </w:rPr>
        <w:t>Saskaņā ar 2020.</w:t>
      </w:r>
      <w:r>
        <w:rPr>
          <w:rFonts w:eastAsia="Times New Roman" w:cs="Times New Roman"/>
          <w:szCs w:val="28"/>
        </w:rPr>
        <w:t xml:space="preserve"> </w:t>
      </w:r>
      <w:r w:rsidRPr="00887A0A">
        <w:rPr>
          <w:rFonts w:eastAsia="Times New Roman" w:cs="Times New Roman"/>
          <w:szCs w:val="28"/>
        </w:rPr>
        <w:t>gada 23. novembrī Saeimā pieņemtajiem grozījumiem Daba</w:t>
      </w:r>
      <w:r>
        <w:rPr>
          <w:rFonts w:eastAsia="Times New Roman" w:cs="Times New Roman"/>
          <w:szCs w:val="28"/>
        </w:rPr>
        <w:t>s resursu nodokļa likumā 2021.-</w:t>
      </w:r>
      <w:r w:rsidRPr="00887A0A">
        <w:rPr>
          <w:rFonts w:eastAsia="Times New Roman" w:cs="Times New Roman"/>
          <w:szCs w:val="28"/>
        </w:rPr>
        <w:t>2023.</w:t>
      </w:r>
      <w:r>
        <w:rPr>
          <w:rFonts w:eastAsia="Times New Roman" w:cs="Times New Roman"/>
          <w:szCs w:val="28"/>
        </w:rPr>
        <w:t xml:space="preserve"> </w:t>
      </w:r>
      <w:r w:rsidRPr="00887A0A">
        <w:rPr>
          <w:rFonts w:eastAsia="Times New Roman" w:cs="Times New Roman"/>
          <w:szCs w:val="28"/>
        </w:rPr>
        <w:t xml:space="preserve">gadā paredzētas vēl vairākas dabas resursu nodokļa izmaiņas: </w:t>
      </w:r>
    </w:p>
    <w:p w:rsidR="00BF4753" w:rsidRPr="00887A0A" w:rsidRDefault="00BF4753" w:rsidP="00BF4753">
      <w:pPr>
        <w:numPr>
          <w:ilvl w:val="0"/>
          <w:numId w:val="35"/>
        </w:numPr>
        <w:spacing w:after="160"/>
        <w:ind w:left="1135" w:hanging="284"/>
        <w:contextualSpacing/>
        <w:rPr>
          <w:rFonts w:eastAsia="Times New Roman" w:cs="Times New Roman"/>
          <w:szCs w:val="28"/>
        </w:rPr>
      </w:pPr>
      <w:r w:rsidRPr="00887A0A">
        <w:rPr>
          <w:rFonts w:eastAsia="Times New Roman" w:cs="Times New Roman"/>
          <w:szCs w:val="28"/>
        </w:rPr>
        <w:t>ar 2021.</w:t>
      </w:r>
      <w:r>
        <w:rPr>
          <w:rFonts w:eastAsia="Times New Roman" w:cs="Times New Roman"/>
          <w:szCs w:val="28"/>
        </w:rPr>
        <w:t xml:space="preserve"> </w:t>
      </w:r>
      <w:r w:rsidRPr="00887A0A">
        <w:rPr>
          <w:rFonts w:eastAsia="Times New Roman" w:cs="Times New Roman"/>
          <w:szCs w:val="28"/>
        </w:rPr>
        <w:t>gada 1.</w:t>
      </w:r>
      <w:r>
        <w:rPr>
          <w:rFonts w:eastAsia="Times New Roman" w:cs="Times New Roman"/>
          <w:szCs w:val="28"/>
        </w:rPr>
        <w:t xml:space="preserve"> </w:t>
      </w:r>
      <w:r w:rsidRPr="00887A0A">
        <w:rPr>
          <w:rFonts w:eastAsia="Times New Roman" w:cs="Times New Roman"/>
          <w:szCs w:val="28"/>
        </w:rPr>
        <w:t>janvāri atcelts atbrīvojums par CO</w:t>
      </w:r>
      <w:r w:rsidRPr="00887A0A">
        <w:rPr>
          <w:rFonts w:eastAsia="Times New Roman" w:cs="Times New Roman"/>
          <w:szCs w:val="28"/>
          <w:vertAlign w:val="subscript"/>
        </w:rPr>
        <w:t>2</w:t>
      </w:r>
      <w:r w:rsidRPr="00887A0A">
        <w:rPr>
          <w:rFonts w:eastAsia="Times New Roman" w:cs="Times New Roman"/>
          <w:szCs w:val="28"/>
        </w:rPr>
        <w:t xml:space="preserve"> emisijām kūdras izmantošanai stacionārajās tehnoloģiskajās iekārtās;</w:t>
      </w:r>
    </w:p>
    <w:p w:rsidR="00BF4753" w:rsidRDefault="00BF4753" w:rsidP="00BF4753">
      <w:pPr>
        <w:numPr>
          <w:ilvl w:val="0"/>
          <w:numId w:val="35"/>
        </w:numPr>
        <w:ind w:left="1135" w:hanging="284"/>
        <w:contextualSpacing/>
        <w:rPr>
          <w:rFonts w:eastAsia="Times New Roman" w:cs="Times New Roman"/>
          <w:szCs w:val="28"/>
        </w:rPr>
      </w:pPr>
      <w:r w:rsidRPr="00887A0A">
        <w:rPr>
          <w:rFonts w:eastAsia="Times New Roman" w:cs="Times New Roman"/>
          <w:szCs w:val="28"/>
        </w:rPr>
        <w:lastRenderedPageBreak/>
        <w:t>ar 2021., 2022. un 2023.</w:t>
      </w:r>
      <w:r>
        <w:rPr>
          <w:rFonts w:eastAsia="Times New Roman" w:cs="Times New Roman"/>
          <w:szCs w:val="28"/>
        </w:rPr>
        <w:t xml:space="preserve"> </w:t>
      </w:r>
      <w:r w:rsidRPr="00887A0A">
        <w:rPr>
          <w:rFonts w:eastAsia="Times New Roman" w:cs="Times New Roman"/>
          <w:szCs w:val="28"/>
        </w:rPr>
        <w:t>gada 1.</w:t>
      </w:r>
      <w:r>
        <w:rPr>
          <w:rFonts w:eastAsia="Times New Roman" w:cs="Times New Roman"/>
          <w:szCs w:val="28"/>
        </w:rPr>
        <w:t xml:space="preserve"> </w:t>
      </w:r>
      <w:r w:rsidRPr="00887A0A">
        <w:rPr>
          <w:rFonts w:eastAsia="Times New Roman" w:cs="Times New Roman"/>
          <w:szCs w:val="28"/>
        </w:rPr>
        <w:t>janvāri tiek paaugstināt dabas resursu nodokļa likmes par sadzīves, ražošanas un bīstamo atkritumu apglabāšanu (skat. 5.11</w:t>
      </w:r>
      <w:r>
        <w:rPr>
          <w:rFonts w:eastAsia="Times New Roman" w:cs="Times New Roman"/>
          <w:szCs w:val="28"/>
        </w:rPr>
        <w:t>.tabulu).</w:t>
      </w:r>
    </w:p>
    <w:p w:rsidR="00BF4753" w:rsidRPr="00887A0A" w:rsidRDefault="00BF4753" w:rsidP="00BF4753">
      <w:pPr>
        <w:spacing w:before="120" w:after="120"/>
        <w:ind w:right="57" w:firstLine="0"/>
        <w:jc w:val="right"/>
        <w:rPr>
          <w:rFonts w:eastAsia="Times New Roman" w:cs="Times New Roman"/>
          <w:b/>
          <w:i/>
          <w:iCs/>
          <w:sz w:val="24"/>
          <w:szCs w:val="24"/>
        </w:rPr>
      </w:pPr>
      <w:r w:rsidRPr="00887A0A">
        <w:rPr>
          <w:rFonts w:eastAsia="Times New Roman" w:cs="Times New Roman"/>
          <w:b/>
          <w:i/>
          <w:iCs/>
          <w:sz w:val="24"/>
          <w:szCs w:val="20"/>
        </w:rPr>
        <w:t>5.11.</w:t>
      </w:r>
      <w:r>
        <w:rPr>
          <w:rFonts w:eastAsia="Times New Roman" w:cs="Times New Roman"/>
          <w:b/>
          <w:i/>
          <w:iCs/>
          <w:sz w:val="24"/>
          <w:szCs w:val="20"/>
        </w:rPr>
        <w:t xml:space="preserve"> </w:t>
      </w:r>
      <w:r w:rsidRPr="00887A0A">
        <w:rPr>
          <w:rFonts w:eastAsia="Times New Roman" w:cs="Times New Roman"/>
          <w:b/>
          <w:i/>
          <w:iCs/>
          <w:sz w:val="24"/>
          <w:szCs w:val="20"/>
        </w:rPr>
        <w:t xml:space="preserve">tabula. </w:t>
      </w:r>
      <w:r w:rsidRPr="00182E2D">
        <w:rPr>
          <w:rFonts w:eastAsia="Times New Roman" w:cs="Times New Roman"/>
          <w:b/>
          <w:i/>
          <w:iCs/>
          <w:sz w:val="24"/>
          <w:szCs w:val="20"/>
        </w:rPr>
        <w:t>Dabas resursu nodokļa likmes par atkritumu apglabāšanu</w:t>
      </w:r>
      <w:r>
        <w:rPr>
          <w:rFonts w:eastAsia="Times New Roman" w:cs="Times New Roman"/>
          <w:b/>
          <w:i/>
          <w:iCs/>
          <w:sz w:val="24"/>
          <w:szCs w:val="24"/>
        </w:rPr>
        <w:t xml:space="preserve"> </w:t>
      </w:r>
      <w:r w:rsidRPr="00182E2D">
        <w:rPr>
          <w:rFonts w:eastAsia="Calibri" w:cs="Times New Roman"/>
          <w:b/>
          <w:i/>
          <w:iCs/>
          <w:sz w:val="24"/>
          <w:szCs w:val="28"/>
          <w:lang w:eastAsia="lv-LV"/>
        </w:rPr>
        <w:t>2020. – 2023. gadā, euro</w:t>
      </w:r>
    </w:p>
    <w:tbl>
      <w:tblPr>
        <w:tblStyle w:val="TableGrid11"/>
        <w:tblW w:w="0" w:type="auto"/>
        <w:jc w:val="center"/>
        <w:tblLook w:val="04A0" w:firstRow="1" w:lastRow="0" w:firstColumn="1" w:lastColumn="0" w:noHBand="0" w:noVBand="1"/>
      </w:tblPr>
      <w:tblGrid>
        <w:gridCol w:w="4673"/>
        <w:gridCol w:w="1166"/>
        <w:gridCol w:w="1166"/>
        <w:gridCol w:w="1166"/>
        <w:gridCol w:w="1166"/>
      </w:tblGrid>
      <w:tr w:rsidR="00BF4753" w:rsidRPr="00182E2D" w:rsidTr="002D7CA8">
        <w:trPr>
          <w:trHeight w:val="148"/>
          <w:jc w:val="center"/>
        </w:trPr>
        <w:tc>
          <w:tcPr>
            <w:tcW w:w="4673" w:type="dxa"/>
            <w:shd w:val="clear" w:color="auto" w:fill="9CC2E5"/>
          </w:tcPr>
          <w:p w:rsidR="00BF4753" w:rsidRPr="00182E2D" w:rsidRDefault="00BF4753" w:rsidP="002D7CA8">
            <w:pPr>
              <w:widowControl w:val="0"/>
              <w:ind w:firstLine="0"/>
              <w:contextualSpacing/>
              <w:jc w:val="left"/>
              <w:rPr>
                <w:b/>
                <w:sz w:val="20"/>
              </w:rPr>
            </w:pPr>
            <w:r w:rsidRPr="00182E2D">
              <w:rPr>
                <w:b/>
                <w:sz w:val="20"/>
              </w:rPr>
              <w:t>Atkritumu veids</w:t>
            </w:r>
          </w:p>
        </w:tc>
        <w:tc>
          <w:tcPr>
            <w:tcW w:w="890" w:type="dxa"/>
            <w:shd w:val="clear" w:color="auto" w:fill="9CC2E5"/>
          </w:tcPr>
          <w:p w:rsidR="00BF4753" w:rsidRPr="00182E2D" w:rsidRDefault="00BF4753" w:rsidP="002D7CA8">
            <w:pPr>
              <w:widowControl w:val="0"/>
              <w:ind w:firstLine="0"/>
              <w:contextualSpacing/>
              <w:jc w:val="center"/>
              <w:rPr>
                <w:b/>
                <w:sz w:val="20"/>
              </w:rPr>
            </w:pPr>
            <w:r w:rsidRPr="00182E2D">
              <w:rPr>
                <w:b/>
                <w:sz w:val="20"/>
              </w:rPr>
              <w:t>01.01.2020.</w:t>
            </w:r>
          </w:p>
        </w:tc>
        <w:tc>
          <w:tcPr>
            <w:tcW w:w="1166" w:type="dxa"/>
            <w:shd w:val="clear" w:color="auto" w:fill="9CC2E5"/>
          </w:tcPr>
          <w:p w:rsidR="00BF4753" w:rsidRPr="00182E2D" w:rsidRDefault="00BF4753" w:rsidP="002D7CA8">
            <w:pPr>
              <w:widowControl w:val="0"/>
              <w:ind w:firstLine="0"/>
              <w:contextualSpacing/>
              <w:jc w:val="center"/>
              <w:rPr>
                <w:b/>
                <w:sz w:val="20"/>
              </w:rPr>
            </w:pPr>
            <w:r w:rsidRPr="00182E2D">
              <w:rPr>
                <w:b/>
                <w:sz w:val="20"/>
              </w:rPr>
              <w:t>01.01.2021.</w:t>
            </w:r>
          </w:p>
        </w:tc>
        <w:tc>
          <w:tcPr>
            <w:tcW w:w="1166" w:type="dxa"/>
            <w:shd w:val="clear" w:color="auto" w:fill="9CC2E5"/>
          </w:tcPr>
          <w:p w:rsidR="00BF4753" w:rsidRPr="00182E2D" w:rsidRDefault="00BF4753" w:rsidP="002D7CA8">
            <w:pPr>
              <w:widowControl w:val="0"/>
              <w:ind w:firstLine="0"/>
              <w:contextualSpacing/>
              <w:jc w:val="center"/>
              <w:rPr>
                <w:b/>
                <w:sz w:val="20"/>
              </w:rPr>
            </w:pPr>
            <w:r w:rsidRPr="00182E2D">
              <w:rPr>
                <w:b/>
                <w:sz w:val="20"/>
              </w:rPr>
              <w:t>01.01.2022.</w:t>
            </w:r>
          </w:p>
        </w:tc>
        <w:tc>
          <w:tcPr>
            <w:tcW w:w="1166" w:type="dxa"/>
            <w:shd w:val="clear" w:color="auto" w:fill="9CC2E5"/>
          </w:tcPr>
          <w:p w:rsidR="00BF4753" w:rsidRPr="00182E2D" w:rsidRDefault="00BF4753" w:rsidP="002D7CA8">
            <w:pPr>
              <w:widowControl w:val="0"/>
              <w:ind w:firstLine="0"/>
              <w:contextualSpacing/>
              <w:jc w:val="center"/>
              <w:rPr>
                <w:b/>
                <w:sz w:val="20"/>
              </w:rPr>
            </w:pPr>
            <w:r w:rsidRPr="00182E2D">
              <w:rPr>
                <w:b/>
                <w:sz w:val="20"/>
              </w:rPr>
              <w:t>01.01.2023.</w:t>
            </w:r>
          </w:p>
        </w:tc>
      </w:tr>
      <w:tr w:rsidR="00BF4753" w:rsidRPr="00182E2D" w:rsidTr="002D7CA8">
        <w:trPr>
          <w:trHeight w:val="482"/>
          <w:jc w:val="center"/>
        </w:trPr>
        <w:tc>
          <w:tcPr>
            <w:tcW w:w="4673" w:type="dxa"/>
          </w:tcPr>
          <w:p w:rsidR="00BF4753" w:rsidRPr="00182E2D" w:rsidRDefault="00BF4753" w:rsidP="002D7CA8">
            <w:pPr>
              <w:widowControl w:val="0"/>
              <w:ind w:firstLine="0"/>
              <w:contextualSpacing/>
              <w:rPr>
                <w:sz w:val="20"/>
              </w:rPr>
            </w:pPr>
            <w:r w:rsidRPr="00182E2D">
              <w:rPr>
                <w:sz w:val="20"/>
              </w:rPr>
              <w:t xml:space="preserve">Sadzīves atkritumi un ražošanas atkritumi, kas nav uzskatāmi par bīstamiem atkritumiem, </w:t>
            </w:r>
            <w:r w:rsidRPr="00182E2D">
              <w:rPr>
                <w:bCs/>
                <w:i/>
                <w:sz w:val="20"/>
              </w:rPr>
              <w:t>euro</w:t>
            </w:r>
            <w:r w:rsidRPr="00182E2D">
              <w:rPr>
                <w:sz w:val="20"/>
              </w:rPr>
              <w:t xml:space="preserve"> par tonnu</w:t>
            </w:r>
          </w:p>
        </w:tc>
        <w:tc>
          <w:tcPr>
            <w:tcW w:w="890" w:type="dxa"/>
          </w:tcPr>
          <w:p w:rsidR="00BF4753" w:rsidRPr="00182E2D" w:rsidRDefault="00BF4753" w:rsidP="002D7CA8">
            <w:pPr>
              <w:widowControl w:val="0"/>
              <w:ind w:firstLine="0"/>
              <w:contextualSpacing/>
              <w:jc w:val="center"/>
              <w:rPr>
                <w:bCs/>
                <w:sz w:val="20"/>
              </w:rPr>
            </w:pPr>
            <w:r w:rsidRPr="00182E2D">
              <w:rPr>
                <w:bCs/>
                <w:sz w:val="20"/>
              </w:rPr>
              <w:t>50,0</w:t>
            </w:r>
          </w:p>
        </w:tc>
        <w:tc>
          <w:tcPr>
            <w:tcW w:w="1166" w:type="dxa"/>
          </w:tcPr>
          <w:p w:rsidR="00BF4753" w:rsidRPr="00182E2D" w:rsidRDefault="00BF4753" w:rsidP="002D7CA8">
            <w:pPr>
              <w:widowControl w:val="0"/>
              <w:ind w:firstLine="0"/>
              <w:contextualSpacing/>
              <w:jc w:val="center"/>
              <w:rPr>
                <w:bCs/>
                <w:sz w:val="20"/>
              </w:rPr>
            </w:pPr>
            <w:r w:rsidRPr="00182E2D">
              <w:rPr>
                <w:bCs/>
                <w:sz w:val="20"/>
              </w:rPr>
              <w:t>65,0</w:t>
            </w:r>
          </w:p>
        </w:tc>
        <w:tc>
          <w:tcPr>
            <w:tcW w:w="1166" w:type="dxa"/>
          </w:tcPr>
          <w:p w:rsidR="00BF4753" w:rsidRPr="00182E2D" w:rsidRDefault="00BF4753" w:rsidP="002D7CA8">
            <w:pPr>
              <w:widowControl w:val="0"/>
              <w:ind w:firstLine="0"/>
              <w:contextualSpacing/>
              <w:jc w:val="center"/>
              <w:rPr>
                <w:bCs/>
                <w:sz w:val="20"/>
              </w:rPr>
            </w:pPr>
            <w:r w:rsidRPr="00182E2D">
              <w:rPr>
                <w:bCs/>
                <w:sz w:val="20"/>
              </w:rPr>
              <w:t>80,0</w:t>
            </w:r>
          </w:p>
        </w:tc>
        <w:tc>
          <w:tcPr>
            <w:tcW w:w="1166" w:type="dxa"/>
          </w:tcPr>
          <w:p w:rsidR="00BF4753" w:rsidRPr="00182E2D" w:rsidRDefault="00BF4753" w:rsidP="002D7CA8">
            <w:pPr>
              <w:widowControl w:val="0"/>
              <w:ind w:firstLine="0"/>
              <w:contextualSpacing/>
              <w:jc w:val="center"/>
              <w:rPr>
                <w:bCs/>
                <w:sz w:val="20"/>
              </w:rPr>
            </w:pPr>
            <w:r w:rsidRPr="00182E2D">
              <w:rPr>
                <w:bCs/>
                <w:sz w:val="20"/>
              </w:rPr>
              <w:t>95,0</w:t>
            </w:r>
          </w:p>
        </w:tc>
      </w:tr>
      <w:tr w:rsidR="00BF4753" w:rsidRPr="00182E2D" w:rsidTr="002D7CA8">
        <w:trPr>
          <w:trHeight w:val="502"/>
          <w:jc w:val="center"/>
        </w:trPr>
        <w:tc>
          <w:tcPr>
            <w:tcW w:w="4673" w:type="dxa"/>
          </w:tcPr>
          <w:p w:rsidR="00BF4753" w:rsidRPr="00182E2D" w:rsidRDefault="00BF4753" w:rsidP="002D7CA8">
            <w:pPr>
              <w:widowControl w:val="0"/>
              <w:ind w:firstLine="0"/>
              <w:contextualSpacing/>
              <w:rPr>
                <w:sz w:val="20"/>
              </w:rPr>
            </w:pPr>
            <w:r w:rsidRPr="00182E2D">
              <w:rPr>
                <w:sz w:val="20"/>
              </w:rPr>
              <w:t xml:space="preserve">Bīstamie atkritumi un ražošanas atkritumi, kas ir uzskatāmi par bīstamiem atkritumiem, </w:t>
            </w:r>
            <w:r w:rsidRPr="00182E2D">
              <w:rPr>
                <w:bCs/>
                <w:i/>
                <w:sz w:val="20"/>
              </w:rPr>
              <w:t>euro</w:t>
            </w:r>
            <w:r w:rsidRPr="00182E2D">
              <w:rPr>
                <w:sz w:val="20"/>
              </w:rPr>
              <w:t xml:space="preserve"> par tonnu</w:t>
            </w:r>
          </w:p>
        </w:tc>
        <w:tc>
          <w:tcPr>
            <w:tcW w:w="890" w:type="dxa"/>
          </w:tcPr>
          <w:p w:rsidR="00BF4753" w:rsidRPr="00182E2D" w:rsidRDefault="00BF4753" w:rsidP="002D7CA8">
            <w:pPr>
              <w:widowControl w:val="0"/>
              <w:ind w:firstLine="0"/>
              <w:contextualSpacing/>
              <w:jc w:val="center"/>
              <w:rPr>
                <w:bCs/>
                <w:sz w:val="20"/>
              </w:rPr>
            </w:pPr>
            <w:r w:rsidRPr="00182E2D">
              <w:rPr>
                <w:bCs/>
                <w:sz w:val="20"/>
              </w:rPr>
              <w:t>60,0</w:t>
            </w:r>
          </w:p>
        </w:tc>
        <w:tc>
          <w:tcPr>
            <w:tcW w:w="1166" w:type="dxa"/>
          </w:tcPr>
          <w:p w:rsidR="00BF4753" w:rsidRPr="00182E2D" w:rsidRDefault="00BF4753" w:rsidP="002D7CA8">
            <w:pPr>
              <w:widowControl w:val="0"/>
              <w:ind w:firstLine="0"/>
              <w:contextualSpacing/>
              <w:jc w:val="center"/>
              <w:rPr>
                <w:bCs/>
                <w:sz w:val="20"/>
              </w:rPr>
            </w:pPr>
            <w:r w:rsidRPr="00182E2D">
              <w:rPr>
                <w:bCs/>
                <w:sz w:val="20"/>
              </w:rPr>
              <w:t>70,0</w:t>
            </w:r>
          </w:p>
        </w:tc>
        <w:tc>
          <w:tcPr>
            <w:tcW w:w="1166" w:type="dxa"/>
          </w:tcPr>
          <w:p w:rsidR="00BF4753" w:rsidRPr="00182E2D" w:rsidRDefault="00BF4753" w:rsidP="002D7CA8">
            <w:pPr>
              <w:widowControl w:val="0"/>
              <w:ind w:firstLine="0"/>
              <w:contextualSpacing/>
              <w:jc w:val="center"/>
              <w:rPr>
                <w:bCs/>
                <w:sz w:val="20"/>
              </w:rPr>
            </w:pPr>
            <w:r w:rsidRPr="00182E2D">
              <w:rPr>
                <w:bCs/>
                <w:sz w:val="20"/>
              </w:rPr>
              <w:t>85,0</w:t>
            </w:r>
          </w:p>
        </w:tc>
        <w:tc>
          <w:tcPr>
            <w:tcW w:w="1166" w:type="dxa"/>
          </w:tcPr>
          <w:p w:rsidR="00BF4753" w:rsidRPr="00182E2D" w:rsidRDefault="00BF4753" w:rsidP="002D7CA8">
            <w:pPr>
              <w:widowControl w:val="0"/>
              <w:ind w:firstLine="0"/>
              <w:contextualSpacing/>
              <w:jc w:val="center"/>
              <w:rPr>
                <w:bCs/>
                <w:sz w:val="20"/>
              </w:rPr>
            </w:pPr>
            <w:r w:rsidRPr="00182E2D">
              <w:rPr>
                <w:bCs/>
                <w:sz w:val="20"/>
              </w:rPr>
              <w:t>100,0</w:t>
            </w:r>
          </w:p>
        </w:tc>
      </w:tr>
    </w:tbl>
    <w:p w:rsidR="00BF4753" w:rsidRPr="00182E2D" w:rsidRDefault="00BF4753" w:rsidP="00BF4753">
      <w:pPr>
        <w:ind w:left="720" w:firstLine="0"/>
        <w:contextualSpacing/>
        <w:rPr>
          <w:rFonts w:eastAsia="Times New Roman" w:cs="Times New Roman"/>
          <w:sz w:val="22"/>
          <w:szCs w:val="28"/>
        </w:rPr>
      </w:pPr>
    </w:p>
    <w:p w:rsidR="00BF4753" w:rsidRPr="00887A0A" w:rsidRDefault="00BF4753" w:rsidP="00BF4753">
      <w:pPr>
        <w:rPr>
          <w:rFonts w:eastAsia="Times New Roman" w:cs="Times New Roman"/>
          <w:szCs w:val="24"/>
        </w:rPr>
      </w:pPr>
      <w:r w:rsidRPr="00887A0A">
        <w:rPr>
          <w:rFonts w:eastAsia="Times New Roman" w:cs="Times New Roman"/>
          <w:szCs w:val="24"/>
        </w:rPr>
        <w:t>Vienlaicīgi mainīts nodokļa ieņēmumu sadalījums starp valsts un pašvaldību budžetiem, 2021.</w:t>
      </w:r>
      <w:r>
        <w:rPr>
          <w:rFonts w:eastAsia="Times New Roman" w:cs="Times New Roman"/>
          <w:szCs w:val="24"/>
        </w:rPr>
        <w:t xml:space="preserve"> </w:t>
      </w:r>
      <w:r w:rsidRPr="00887A0A">
        <w:rPr>
          <w:rFonts w:eastAsia="Times New Roman" w:cs="Times New Roman"/>
          <w:szCs w:val="24"/>
        </w:rPr>
        <w:t>gadā samazinot valsts budžetā ieskaitāmo nodokļa ieņēmumu daļu par bīstamo atkritumu apglabāšanu no 100% uz 80% un 2022.</w:t>
      </w:r>
      <w:r>
        <w:rPr>
          <w:rFonts w:eastAsia="Times New Roman" w:cs="Times New Roman"/>
          <w:szCs w:val="24"/>
        </w:rPr>
        <w:t xml:space="preserve"> </w:t>
      </w:r>
      <w:r w:rsidRPr="00887A0A">
        <w:rPr>
          <w:rFonts w:eastAsia="Times New Roman" w:cs="Times New Roman"/>
          <w:szCs w:val="24"/>
        </w:rPr>
        <w:t>gadā samazinot valsts budžetā ieskaitāmo nodokļa ieņēmumu daļu par sadzīves atkritumu apglabāšanu no 100% uz 90%, bet 2023.</w:t>
      </w:r>
      <w:r>
        <w:rPr>
          <w:rFonts w:eastAsia="Times New Roman" w:cs="Times New Roman"/>
          <w:szCs w:val="24"/>
        </w:rPr>
        <w:t xml:space="preserve"> </w:t>
      </w:r>
      <w:r w:rsidRPr="00887A0A">
        <w:rPr>
          <w:rFonts w:eastAsia="Times New Roman" w:cs="Times New Roman"/>
          <w:szCs w:val="24"/>
        </w:rPr>
        <w:t>gadā to samazinot līdz 85%;</w:t>
      </w:r>
    </w:p>
    <w:p w:rsidR="00BF4753" w:rsidRPr="00887A0A" w:rsidRDefault="00BF4753" w:rsidP="00BF4753">
      <w:pPr>
        <w:numPr>
          <w:ilvl w:val="0"/>
          <w:numId w:val="36"/>
        </w:numPr>
        <w:ind w:left="1135" w:hanging="284"/>
        <w:jc w:val="left"/>
        <w:rPr>
          <w:rFonts w:eastAsia="Times New Roman" w:cs="Times New Roman"/>
          <w:szCs w:val="24"/>
        </w:rPr>
      </w:pPr>
      <w:r w:rsidRPr="00887A0A">
        <w:rPr>
          <w:rFonts w:eastAsia="Times New Roman" w:cs="Times New Roman"/>
          <w:szCs w:val="24"/>
        </w:rPr>
        <w:t>ar 2021., 2022. un 2023.</w:t>
      </w:r>
      <w:r>
        <w:rPr>
          <w:rFonts w:eastAsia="Times New Roman" w:cs="Times New Roman"/>
          <w:szCs w:val="24"/>
        </w:rPr>
        <w:t xml:space="preserve"> </w:t>
      </w:r>
      <w:r w:rsidRPr="00887A0A">
        <w:rPr>
          <w:rFonts w:eastAsia="Times New Roman" w:cs="Times New Roman"/>
          <w:szCs w:val="24"/>
        </w:rPr>
        <w:t>gada 1.</w:t>
      </w:r>
      <w:r>
        <w:rPr>
          <w:rFonts w:eastAsia="Times New Roman" w:cs="Times New Roman"/>
          <w:szCs w:val="24"/>
        </w:rPr>
        <w:t xml:space="preserve"> </w:t>
      </w:r>
      <w:r w:rsidRPr="00887A0A">
        <w:rPr>
          <w:rFonts w:eastAsia="Times New Roman" w:cs="Times New Roman"/>
          <w:szCs w:val="24"/>
        </w:rPr>
        <w:t>janvāri tiek paaugstinātas nodokļa likmes par gaisa piesārņošanu (skat. 5.12.</w:t>
      </w:r>
      <w:r>
        <w:rPr>
          <w:rFonts w:eastAsia="Times New Roman" w:cs="Times New Roman"/>
          <w:szCs w:val="24"/>
        </w:rPr>
        <w:t xml:space="preserve"> </w:t>
      </w:r>
      <w:r w:rsidRPr="00887A0A">
        <w:rPr>
          <w:rFonts w:eastAsia="Times New Roman" w:cs="Times New Roman"/>
          <w:szCs w:val="24"/>
        </w:rPr>
        <w:t>tabulu).</w:t>
      </w:r>
    </w:p>
    <w:p w:rsidR="00BF4753" w:rsidRPr="00887A0A" w:rsidRDefault="00BF4753" w:rsidP="00BF4753">
      <w:pPr>
        <w:spacing w:before="120" w:after="120" w:line="259" w:lineRule="auto"/>
        <w:ind w:firstLine="0"/>
        <w:jc w:val="right"/>
        <w:rPr>
          <w:rFonts w:eastAsia="Times New Roman" w:cs="Times New Roman"/>
          <w:b/>
          <w:i/>
          <w:iCs/>
          <w:sz w:val="24"/>
          <w:szCs w:val="24"/>
        </w:rPr>
      </w:pPr>
      <w:r w:rsidRPr="00887A0A">
        <w:rPr>
          <w:rFonts w:eastAsia="Times New Roman" w:cs="Times New Roman"/>
          <w:b/>
          <w:i/>
          <w:iCs/>
          <w:sz w:val="24"/>
          <w:szCs w:val="24"/>
        </w:rPr>
        <w:t>5.12.</w:t>
      </w:r>
      <w:r>
        <w:rPr>
          <w:rFonts w:eastAsia="Times New Roman" w:cs="Times New Roman"/>
          <w:b/>
          <w:i/>
          <w:iCs/>
          <w:sz w:val="24"/>
          <w:szCs w:val="24"/>
        </w:rPr>
        <w:t xml:space="preserve"> </w:t>
      </w:r>
      <w:r w:rsidRPr="00887A0A">
        <w:rPr>
          <w:rFonts w:eastAsia="Times New Roman" w:cs="Times New Roman"/>
          <w:b/>
          <w:i/>
          <w:iCs/>
          <w:sz w:val="24"/>
          <w:szCs w:val="24"/>
        </w:rPr>
        <w:t>tabula. Da</w:t>
      </w:r>
      <w:r w:rsidRPr="00182E2D">
        <w:rPr>
          <w:rFonts w:eastAsia="Times New Roman" w:cs="Times New Roman"/>
          <w:b/>
          <w:i/>
          <w:iCs/>
          <w:sz w:val="24"/>
          <w:szCs w:val="24"/>
        </w:rPr>
        <w:t xml:space="preserve">bas resursu nodokļa likmes par gaisa piesārņošanu </w:t>
      </w:r>
      <w:r>
        <w:rPr>
          <w:rFonts w:eastAsia="Times New Roman" w:cs="Times New Roman"/>
          <w:b/>
          <w:i/>
          <w:iCs/>
          <w:sz w:val="24"/>
          <w:szCs w:val="24"/>
        </w:rPr>
        <w:t>2020.-</w:t>
      </w:r>
      <w:r w:rsidRPr="00182E2D">
        <w:rPr>
          <w:rFonts w:eastAsia="Times New Roman" w:cs="Times New Roman"/>
          <w:b/>
          <w:i/>
          <w:iCs/>
          <w:sz w:val="24"/>
          <w:szCs w:val="24"/>
        </w:rPr>
        <w:t>2023.</w:t>
      </w:r>
      <w:r>
        <w:rPr>
          <w:rFonts w:eastAsia="Times New Roman" w:cs="Times New Roman"/>
          <w:b/>
          <w:i/>
          <w:iCs/>
          <w:sz w:val="24"/>
          <w:szCs w:val="24"/>
        </w:rPr>
        <w:t> </w:t>
      </w:r>
      <w:r w:rsidRPr="00182E2D">
        <w:rPr>
          <w:rFonts w:eastAsia="Times New Roman" w:cs="Times New Roman"/>
          <w:b/>
          <w:i/>
          <w:iCs/>
          <w:sz w:val="24"/>
          <w:szCs w:val="24"/>
        </w:rPr>
        <w:t>gadā, euro</w:t>
      </w:r>
    </w:p>
    <w:tbl>
      <w:tblPr>
        <w:tblStyle w:val="TableGrid1"/>
        <w:tblW w:w="9219" w:type="dxa"/>
        <w:jc w:val="center"/>
        <w:tblLook w:val="04A0" w:firstRow="1" w:lastRow="0" w:firstColumn="1" w:lastColumn="0" w:noHBand="0" w:noVBand="1"/>
      </w:tblPr>
      <w:tblGrid>
        <w:gridCol w:w="4961"/>
        <w:gridCol w:w="760"/>
        <w:gridCol w:w="1166"/>
        <w:gridCol w:w="1166"/>
        <w:gridCol w:w="1166"/>
      </w:tblGrid>
      <w:tr w:rsidR="00BF4753" w:rsidRPr="00182E2D" w:rsidTr="002D7CA8">
        <w:trPr>
          <w:trHeight w:val="148"/>
          <w:jc w:val="center"/>
        </w:trPr>
        <w:tc>
          <w:tcPr>
            <w:tcW w:w="4961" w:type="dxa"/>
            <w:tcBorders>
              <w:top w:val="single" w:sz="4" w:space="0" w:color="auto"/>
              <w:left w:val="single" w:sz="4" w:space="0" w:color="auto"/>
              <w:bottom w:val="single" w:sz="4" w:space="0" w:color="auto"/>
              <w:right w:val="single" w:sz="4" w:space="0" w:color="auto"/>
            </w:tcBorders>
            <w:shd w:val="clear" w:color="auto" w:fill="9CC2E5"/>
          </w:tcPr>
          <w:p w:rsidR="00BF4753" w:rsidRPr="00182E2D" w:rsidRDefault="00BF4753" w:rsidP="002D7CA8">
            <w:pPr>
              <w:widowControl w:val="0"/>
              <w:ind w:firstLine="0"/>
              <w:contextualSpacing/>
              <w:jc w:val="left"/>
              <w:rPr>
                <w:b/>
                <w:sz w:val="20"/>
                <w:szCs w:val="24"/>
                <w:lang w:eastAsia="en-US"/>
              </w:rPr>
            </w:pPr>
          </w:p>
        </w:tc>
        <w:tc>
          <w:tcPr>
            <w:tcW w:w="760" w:type="dxa"/>
            <w:tcBorders>
              <w:top w:val="single" w:sz="4" w:space="0" w:color="auto"/>
              <w:left w:val="single" w:sz="4" w:space="0" w:color="auto"/>
              <w:bottom w:val="single" w:sz="4" w:space="0" w:color="auto"/>
              <w:right w:val="single" w:sz="4" w:space="0" w:color="auto"/>
            </w:tcBorders>
            <w:shd w:val="clear" w:color="auto" w:fill="9CC2E5"/>
          </w:tcPr>
          <w:p w:rsidR="00BF4753" w:rsidRPr="00182E2D" w:rsidRDefault="00BF4753" w:rsidP="002D7CA8">
            <w:pPr>
              <w:widowControl w:val="0"/>
              <w:ind w:firstLine="0"/>
              <w:contextualSpacing/>
              <w:jc w:val="center"/>
              <w:rPr>
                <w:b/>
                <w:sz w:val="20"/>
                <w:szCs w:val="24"/>
                <w:lang w:eastAsia="en-US"/>
              </w:rPr>
            </w:pPr>
            <w:r w:rsidRPr="00182E2D">
              <w:rPr>
                <w:b/>
                <w:sz w:val="20"/>
                <w:szCs w:val="24"/>
                <w:lang w:eastAsia="en-US"/>
              </w:rPr>
              <w:t>2020</w:t>
            </w:r>
          </w:p>
        </w:tc>
        <w:tc>
          <w:tcPr>
            <w:tcW w:w="1166" w:type="dxa"/>
            <w:tcBorders>
              <w:top w:val="single" w:sz="4" w:space="0" w:color="auto"/>
              <w:left w:val="single" w:sz="4" w:space="0" w:color="auto"/>
              <w:bottom w:val="single" w:sz="4" w:space="0" w:color="auto"/>
              <w:right w:val="single" w:sz="4" w:space="0" w:color="auto"/>
            </w:tcBorders>
            <w:shd w:val="clear" w:color="auto" w:fill="9CC2E5"/>
          </w:tcPr>
          <w:p w:rsidR="00BF4753" w:rsidRPr="00182E2D" w:rsidRDefault="00BF4753" w:rsidP="002D7CA8">
            <w:pPr>
              <w:widowControl w:val="0"/>
              <w:ind w:firstLine="0"/>
              <w:contextualSpacing/>
              <w:jc w:val="center"/>
              <w:rPr>
                <w:b/>
                <w:sz w:val="20"/>
                <w:szCs w:val="24"/>
                <w:lang w:eastAsia="en-US"/>
              </w:rPr>
            </w:pPr>
            <w:r w:rsidRPr="00182E2D">
              <w:rPr>
                <w:b/>
                <w:sz w:val="20"/>
                <w:szCs w:val="24"/>
                <w:lang w:eastAsia="en-US"/>
              </w:rPr>
              <w:t>01.01.2021.</w:t>
            </w:r>
          </w:p>
        </w:tc>
        <w:tc>
          <w:tcPr>
            <w:tcW w:w="1166" w:type="dxa"/>
            <w:tcBorders>
              <w:top w:val="single" w:sz="4" w:space="0" w:color="auto"/>
              <w:left w:val="single" w:sz="4" w:space="0" w:color="auto"/>
              <w:bottom w:val="single" w:sz="4" w:space="0" w:color="auto"/>
              <w:right w:val="single" w:sz="4" w:space="0" w:color="auto"/>
            </w:tcBorders>
            <w:shd w:val="clear" w:color="auto" w:fill="9CC2E5"/>
          </w:tcPr>
          <w:p w:rsidR="00BF4753" w:rsidRPr="00182E2D" w:rsidRDefault="00BF4753" w:rsidP="002D7CA8">
            <w:pPr>
              <w:widowControl w:val="0"/>
              <w:ind w:firstLine="0"/>
              <w:contextualSpacing/>
              <w:jc w:val="center"/>
              <w:rPr>
                <w:b/>
                <w:sz w:val="20"/>
                <w:szCs w:val="24"/>
                <w:lang w:eastAsia="en-US"/>
              </w:rPr>
            </w:pPr>
            <w:r w:rsidRPr="00182E2D">
              <w:rPr>
                <w:b/>
                <w:sz w:val="20"/>
                <w:szCs w:val="24"/>
                <w:lang w:eastAsia="en-US"/>
              </w:rPr>
              <w:t>01.01.2022.</w:t>
            </w:r>
          </w:p>
        </w:tc>
        <w:tc>
          <w:tcPr>
            <w:tcW w:w="1166" w:type="dxa"/>
            <w:tcBorders>
              <w:top w:val="single" w:sz="4" w:space="0" w:color="auto"/>
              <w:left w:val="single" w:sz="4" w:space="0" w:color="auto"/>
              <w:bottom w:val="single" w:sz="4" w:space="0" w:color="auto"/>
              <w:right w:val="single" w:sz="4" w:space="0" w:color="auto"/>
            </w:tcBorders>
            <w:shd w:val="clear" w:color="auto" w:fill="9CC2E5"/>
          </w:tcPr>
          <w:p w:rsidR="00BF4753" w:rsidRPr="00182E2D" w:rsidRDefault="00BF4753" w:rsidP="002D7CA8">
            <w:pPr>
              <w:widowControl w:val="0"/>
              <w:ind w:firstLine="0"/>
              <w:contextualSpacing/>
              <w:jc w:val="center"/>
              <w:rPr>
                <w:b/>
                <w:sz w:val="20"/>
                <w:szCs w:val="24"/>
                <w:lang w:eastAsia="en-US"/>
              </w:rPr>
            </w:pPr>
            <w:r w:rsidRPr="00182E2D">
              <w:rPr>
                <w:b/>
                <w:sz w:val="20"/>
                <w:szCs w:val="24"/>
                <w:lang w:eastAsia="en-US"/>
              </w:rPr>
              <w:t>01.01.2023.</w:t>
            </w:r>
          </w:p>
        </w:tc>
      </w:tr>
      <w:tr w:rsidR="00BF4753" w:rsidRPr="00182E2D" w:rsidTr="002D7CA8">
        <w:trPr>
          <w:trHeight w:val="319"/>
          <w:jc w:val="center"/>
        </w:trPr>
        <w:tc>
          <w:tcPr>
            <w:tcW w:w="4961" w:type="dxa"/>
            <w:tcBorders>
              <w:top w:val="single" w:sz="4" w:space="0" w:color="auto"/>
            </w:tcBorders>
            <w:vAlign w:val="center"/>
          </w:tcPr>
          <w:p w:rsidR="00BF4753" w:rsidRPr="00182E2D" w:rsidRDefault="00BF4753" w:rsidP="002D7CA8">
            <w:pPr>
              <w:widowControl w:val="0"/>
              <w:ind w:firstLine="0"/>
              <w:contextualSpacing/>
              <w:rPr>
                <w:sz w:val="20"/>
                <w:szCs w:val="24"/>
                <w:lang w:eastAsia="en-US"/>
              </w:rPr>
            </w:pPr>
            <w:r w:rsidRPr="00182E2D">
              <w:rPr>
                <w:sz w:val="20"/>
                <w:lang w:eastAsia="en-US"/>
              </w:rPr>
              <w:t>Daļiņas PM</w:t>
            </w:r>
            <w:r w:rsidRPr="00182E2D">
              <w:rPr>
                <w:sz w:val="20"/>
                <w:vertAlign w:val="subscript"/>
                <w:lang w:eastAsia="en-US"/>
              </w:rPr>
              <w:t>10</w:t>
            </w:r>
            <w:r w:rsidRPr="00182E2D">
              <w:rPr>
                <w:sz w:val="20"/>
                <w:lang w:eastAsia="en-US"/>
              </w:rPr>
              <w:t>,</w:t>
            </w:r>
            <w:r w:rsidRPr="00182E2D">
              <w:rPr>
                <w:i/>
                <w:sz w:val="20"/>
                <w:lang w:eastAsia="en-US"/>
              </w:rPr>
              <w:t xml:space="preserve"> euro </w:t>
            </w:r>
            <w:r w:rsidRPr="00182E2D">
              <w:rPr>
                <w:sz w:val="20"/>
                <w:lang w:eastAsia="en-US"/>
              </w:rPr>
              <w:t>par tonnu</w:t>
            </w:r>
          </w:p>
        </w:tc>
        <w:tc>
          <w:tcPr>
            <w:tcW w:w="760" w:type="dxa"/>
            <w:tcBorders>
              <w:top w:val="single" w:sz="4" w:space="0" w:color="auto"/>
            </w:tcBorders>
            <w:vAlign w:val="center"/>
          </w:tcPr>
          <w:p w:rsidR="00BF4753" w:rsidRPr="00182E2D" w:rsidRDefault="00BF4753" w:rsidP="002D7CA8">
            <w:pPr>
              <w:widowControl w:val="0"/>
              <w:ind w:firstLine="0"/>
              <w:contextualSpacing/>
              <w:jc w:val="center"/>
              <w:rPr>
                <w:bCs/>
                <w:sz w:val="20"/>
                <w:szCs w:val="24"/>
                <w:lang w:eastAsia="en-US"/>
              </w:rPr>
            </w:pPr>
            <w:r w:rsidRPr="00182E2D">
              <w:rPr>
                <w:bCs/>
                <w:sz w:val="20"/>
                <w:szCs w:val="24"/>
                <w:lang w:eastAsia="en-US"/>
              </w:rPr>
              <w:t>75,0</w:t>
            </w:r>
          </w:p>
        </w:tc>
        <w:tc>
          <w:tcPr>
            <w:tcW w:w="1166" w:type="dxa"/>
            <w:tcBorders>
              <w:top w:val="single" w:sz="4" w:space="0" w:color="auto"/>
            </w:tcBorders>
            <w:vAlign w:val="center"/>
          </w:tcPr>
          <w:p w:rsidR="00BF4753" w:rsidRPr="00182E2D" w:rsidRDefault="00BF4753" w:rsidP="002D7CA8">
            <w:pPr>
              <w:widowControl w:val="0"/>
              <w:ind w:firstLine="0"/>
              <w:contextualSpacing/>
              <w:jc w:val="center"/>
              <w:rPr>
                <w:bCs/>
                <w:sz w:val="20"/>
                <w:szCs w:val="24"/>
                <w:lang w:eastAsia="en-US"/>
              </w:rPr>
            </w:pPr>
            <w:r w:rsidRPr="00182E2D">
              <w:rPr>
                <w:bCs/>
                <w:sz w:val="20"/>
                <w:szCs w:val="24"/>
                <w:lang w:eastAsia="en-US"/>
              </w:rPr>
              <w:t>105,0</w:t>
            </w:r>
          </w:p>
        </w:tc>
        <w:tc>
          <w:tcPr>
            <w:tcW w:w="1166" w:type="dxa"/>
            <w:tcBorders>
              <w:top w:val="single" w:sz="4" w:space="0" w:color="auto"/>
            </w:tcBorders>
            <w:vAlign w:val="center"/>
          </w:tcPr>
          <w:p w:rsidR="00BF4753" w:rsidRPr="00182E2D" w:rsidRDefault="00BF4753" w:rsidP="002D7CA8">
            <w:pPr>
              <w:widowControl w:val="0"/>
              <w:ind w:firstLine="0"/>
              <w:contextualSpacing/>
              <w:jc w:val="center"/>
              <w:rPr>
                <w:bCs/>
                <w:sz w:val="20"/>
                <w:szCs w:val="24"/>
                <w:lang w:eastAsia="en-US"/>
              </w:rPr>
            </w:pPr>
            <w:r w:rsidRPr="00182E2D">
              <w:rPr>
                <w:bCs/>
                <w:sz w:val="20"/>
                <w:szCs w:val="24"/>
                <w:lang w:eastAsia="en-US"/>
              </w:rPr>
              <w:t>120,0</w:t>
            </w:r>
          </w:p>
        </w:tc>
        <w:tc>
          <w:tcPr>
            <w:tcW w:w="1166" w:type="dxa"/>
            <w:tcBorders>
              <w:top w:val="single" w:sz="4" w:space="0" w:color="auto"/>
            </w:tcBorders>
            <w:vAlign w:val="center"/>
          </w:tcPr>
          <w:p w:rsidR="00BF4753" w:rsidRPr="00182E2D" w:rsidRDefault="00BF4753" w:rsidP="002D7CA8">
            <w:pPr>
              <w:widowControl w:val="0"/>
              <w:ind w:firstLine="0"/>
              <w:contextualSpacing/>
              <w:jc w:val="center"/>
              <w:rPr>
                <w:bCs/>
                <w:sz w:val="20"/>
                <w:szCs w:val="24"/>
                <w:lang w:eastAsia="en-US"/>
              </w:rPr>
            </w:pPr>
            <w:r w:rsidRPr="00182E2D">
              <w:rPr>
                <w:bCs/>
                <w:sz w:val="20"/>
                <w:szCs w:val="24"/>
                <w:lang w:eastAsia="en-US"/>
              </w:rPr>
              <w:t>135,0</w:t>
            </w:r>
          </w:p>
        </w:tc>
      </w:tr>
      <w:tr w:rsidR="00BF4753" w:rsidRPr="00182E2D" w:rsidTr="002D7CA8">
        <w:trPr>
          <w:trHeight w:val="502"/>
          <w:jc w:val="center"/>
        </w:trPr>
        <w:tc>
          <w:tcPr>
            <w:tcW w:w="4961" w:type="dxa"/>
            <w:tcBorders>
              <w:bottom w:val="single" w:sz="4" w:space="0" w:color="595959"/>
            </w:tcBorders>
            <w:vAlign w:val="bottom"/>
          </w:tcPr>
          <w:p w:rsidR="00BF4753" w:rsidRPr="00182E2D" w:rsidRDefault="00BF4753" w:rsidP="002D7CA8">
            <w:pPr>
              <w:widowControl w:val="0"/>
              <w:ind w:firstLine="0"/>
              <w:contextualSpacing/>
              <w:rPr>
                <w:sz w:val="20"/>
                <w:szCs w:val="24"/>
                <w:lang w:eastAsia="en-US"/>
              </w:rPr>
            </w:pPr>
            <w:r w:rsidRPr="00182E2D">
              <w:rPr>
                <w:sz w:val="20"/>
                <w:lang w:eastAsia="en-US"/>
              </w:rPr>
              <w:t>Amonjaks (NH</w:t>
            </w:r>
            <w:r w:rsidRPr="00182E2D">
              <w:rPr>
                <w:sz w:val="20"/>
                <w:vertAlign w:val="subscript"/>
                <w:lang w:eastAsia="en-US"/>
              </w:rPr>
              <w:t>3</w:t>
            </w:r>
            <w:r w:rsidRPr="00182E2D">
              <w:rPr>
                <w:sz w:val="20"/>
                <w:lang w:eastAsia="en-US"/>
              </w:rPr>
              <w:t>), sērūdeņradis (H</w:t>
            </w:r>
            <w:r w:rsidRPr="00182E2D">
              <w:rPr>
                <w:sz w:val="20"/>
                <w:vertAlign w:val="subscript"/>
                <w:lang w:eastAsia="en-US"/>
              </w:rPr>
              <w:t>2</w:t>
            </w:r>
            <w:r w:rsidRPr="00182E2D">
              <w:rPr>
                <w:sz w:val="20"/>
                <w:lang w:eastAsia="en-US"/>
              </w:rPr>
              <w:t>S) un pārējie neorganiskie savienojumi,</w:t>
            </w:r>
            <w:r w:rsidRPr="00182E2D">
              <w:rPr>
                <w:i/>
                <w:sz w:val="20"/>
                <w:lang w:eastAsia="en-US"/>
              </w:rPr>
              <w:t xml:space="preserve"> euro </w:t>
            </w:r>
            <w:r w:rsidRPr="00182E2D">
              <w:rPr>
                <w:sz w:val="20"/>
                <w:lang w:eastAsia="en-US"/>
              </w:rPr>
              <w:t>par tonnu</w:t>
            </w:r>
          </w:p>
        </w:tc>
        <w:tc>
          <w:tcPr>
            <w:tcW w:w="760" w:type="dxa"/>
            <w:vAlign w:val="center"/>
          </w:tcPr>
          <w:p w:rsidR="00BF4753" w:rsidRPr="00182E2D" w:rsidRDefault="00BF4753" w:rsidP="002D7CA8">
            <w:pPr>
              <w:widowControl w:val="0"/>
              <w:ind w:firstLine="0"/>
              <w:contextualSpacing/>
              <w:jc w:val="center"/>
              <w:rPr>
                <w:bCs/>
                <w:sz w:val="20"/>
                <w:szCs w:val="24"/>
                <w:lang w:eastAsia="en-US"/>
              </w:rPr>
            </w:pPr>
            <w:r w:rsidRPr="00182E2D">
              <w:rPr>
                <w:bCs/>
                <w:sz w:val="20"/>
                <w:szCs w:val="24"/>
                <w:lang w:eastAsia="en-US"/>
              </w:rPr>
              <w:t>18,50</w:t>
            </w:r>
          </w:p>
        </w:tc>
        <w:tc>
          <w:tcPr>
            <w:tcW w:w="1166" w:type="dxa"/>
            <w:vAlign w:val="center"/>
          </w:tcPr>
          <w:p w:rsidR="00BF4753" w:rsidRPr="00182E2D" w:rsidRDefault="00BF4753" w:rsidP="002D7CA8">
            <w:pPr>
              <w:widowControl w:val="0"/>
              <w:ind w:firstLine="0"/>
              <w:contextualSpacing/>
              <w:jc w:val="center"/>
              <w:rPr>
                <w:bCs/>
                <w:sz w:val="20"/>
                <w:szCs w:val="24"/>
                <w:lang w:eastAsia="en-US"/>
              </w:rPr>
            </w:pPr>
            <w:r w:rsidRPr="00182E2D">
              <w:rPr>
                <w:bCs/>
                <w:sz w:val="20"/>
                <w:szCs w:val="24"/>
                <w:lang w:eastAsia="en-US"/>
              </w:rPr>
              <w:t>50,0</w:t>
            </w:r>
          </w:p>
        </w:tc>
        <w:tc>
          <w:tcPr>
            <w:tcW w:w="1166" w:type="dxa"/>
            <w:vAlign w:val="center"/>
          </w:tcPr>
          <w:p w:rsidR="00BF4753" w:rsidRPr="00182E2D" w:rsidRDefault="00BF4753" w:rsidP="002D7CA8">
            <w:pPr>
              <w:widowControl w:val="0"/>
              <w:ind w:firstLine="0"/>
              <w:contextualSpacing/>
              <w:jc w:val="center"/>
              <w:rPr>
                <w:bCs/>
                <w:sz w:val="20"/>
                <w:szCs w:val="24"/>
                <w:lang w:eastAsia="en-US"/>
              </w:rPr>
            </w:pPr>
            <w:r w:rsidRPr="00182E2D">
              <w:rPr>
                <w:bCs/>
                <w:sz w:val="20"/>
                <w:szCs w:val="24"/>
                <w:lang w:eastAsia="en-US"/>
              </w:rPr>
              <w:t>70,0</w:t>
            </w:r>
          </w:p>
        </w:tc>
        <w:tc>
          <w:tcPr>
            <w:tcW w:w="1166" w:type="dxa"/>
            <w:vAlign w:val="center"/>
          </w:tcPr>
          <w:p w:rsidR="00BF4753" w:rsidRPr="00182E2D" w:rsidRDefault="00BF4753" w:rsidP="002D7CA8">
            <w:pPr>
              <w:widowControl w:val="0"/>
              <w:ind w:firstLine="0"/>
              <w:contextualSpacing/>
              <w:jc w:val="center"/>
              <w:rPr>
                <w:bCs/>
                <w:sz w:val="20"/>
                <w:szCs w:val="24"/>
                <w:lang w:eastAsia="en-US"/>
              </w:rPr>
            </w:pPr>
            <w:r w:rsidRPr="00182E2D">
              <w:rPr>
                <w:bCs/>
                <w:sz w:val="20"/>
                <w:szCs w:val="24"/>
                <w:lang w:eastAsia="en-US"/>
              </w:rPr>
              <w:t>90,0</w:t>
            </w:r>
          </w:p>
        </w:tc>
      </w:tr>
      <w:tr w:rsidR="00BF4753" w:rsidRPr="00182E2D" w:rsidTr="002D7CA8">
        <w:trPr>
          <w:trHeight w:val="387"/>
          <w:jc w:val="center"/>
        </w:trPr>
        <w:tc>
          <w:tcPr>
            <w:tcW w:w="4961" w:type="dxa"/>
            <w:tcBorders>
              <w:top w:val="single" w:sz="4" w:space="0" w:color="595959"/>
              <w:left w:val="single" w:sz="4" w:space="0" w:color="595959"/>
              <w:bottom w:val="single" w:sz="4" w:space="0" w:color="595959"/>
              <w:right w:val="single" w:sz="4" w:space="0" w:color="595959"/>
            </w:tcBorders>
            <w:vAlign w:val="bottom"/>
          </w:tcPr>
          <w:p w:rsidR="00BF4753" w:rsidRPr="00182E2D" w:rsidRDefault="00BF4753" w:rsidP="002D7CA8">
            <w:pPr>
              <w:widowControl w:val="0"/>
              <w:ind w:firstLine="0"/>
              <w:contextualSpacing/>
              <w:rPr>
                <w:color w:val="414142"/>
                <w:sz w:val="20"/>
                <w:shd w:val="clear" w:color="auto" w:fill="FFFFFF"/>
                <w:lang w:eastAsia="en-US"/>
              </w:rPr>
            </w:pPr>
            <w:r w:rsidRPr="00182E2D">
              <w:rPr>
                <w:sz w:val="20"/>
                <w:lang w:eastAsia="en-US"/>
              </w:rPr>
              <w:t>Sēra dioksīds (SO</w:t>
            </w:r>
            <w:r w:rsidRPr="00182E2D">
              <w:rPr>
                <w:sz w:val="20"/>
                <w:vertAlign w:val="subscript"/>
                <w:lang w:eastAsia="en-US"/>
              </w:rPr>
              <w:t>2</w:t>
            </w:r>
            <w:r w:rsidRPr="00182E2D">
              <w:rPr>
                <w:sz w:val="20"/>
                <w:lang w:eastAsia="en-US"/>
              </w:rPr>
              <w:t>), slāpekļa oksīdi (NOx – slāpekļa oksīdu summa, pārrēķināta uz NO</w:t>
            </w:r>
            <w:r w:rsidRPr="00182E2D">
              <w:rPr>
                <w:sz w:val="20"/>
                <w:vertAlign w:val="subscript"/>
                <w:lang w:eastAsia="en-US"/>
              </w:rPr>
              <w:t>2</w:t>
            </w:r>
            <w:r w:rsidRPr="00182E2D">
              <w:rPr>
                <w:sz w:val="20"/>
                <w:lang w:eastAsia="en-US"/>
              </w:rPr>
              <w:t>),</w:t>
            </w:r>
            <w:r w:rsidRPr="00182E2D">
              <w:rPr>
                <w:i/>
                <w:sz w:val="20"/>
                <w:lang w:eastAsia="en-US"/>
              </w:rPr>
              <w:t xml:space="preserve"> euro </w:t>
            </w:r>
            <w:r w:rsidRPr="00182E2D">
              <w:rPr>
                <w:sz w:val="20"/>
                <w:lang w:eastAsia="en-US"/>
              </w:rPr>
              <w:t>par tonnu</w:t>
            </w:r>
          </w:p>
        </w:tc>
        <w:tc>
          <w:tcPr>
            <w:tcW w:w="760" w:type="dxa"/>
            <w:tcBorders>
              <w:left w:val="single" w:sz="4" w:space="0" w:color="595959"/>
            </w:tcBorders>
            <w:vAlign w:val="center"/>
          </w:tcPr>
          <w:p w:rsidR="00BF4753" w:rsidRPr="00182E2D" w:rsidRDefault="00BF4753" w:rsidP="002D7CA8">
            <w:pPr>
              <w:widowControl w:val="0"/>
              <w:ind w:firstLine="0"/>
              <w:contextualSpacing/>
              <w:jc w:val="center"/>
              <w:rPr>
                <w:bCs/>
                <w:sz w:val="20"/>
                <w:szCs w:val="24"/>
                <w:lang w:eastAsia="en-US"/>
              </w:rPr>
            </w:pPr>
            <w:r w:rsidRPr="00182E2D">
              <w:rPr>
                <w:bCs/>
                <w:sz w:val="20"/>
                <w:szCs w:val="24"/>
                <w:lang w:eastAsia="en-US"/>
              </w:rPr>
              <w:t>85,37</w:t>
            </w:r>
          </w:p>
        </w:tc>
        <w:tc>
          <w:tcPr>
            <w:tcW w:w="1166" w:type="dxa"/>
            <w:vAlign w:val="center"/>
          </w:tcPr>
          <w:p w:rsidR="00BF4753" w:rsidRPr="00182E2D" w:rsidRDefault="00BF4753" w:rsidP="002D7CA8">
            <w:pPr>
              <w:widowControl w:val="0"/>
              <w:ind w:firstLine="0"/>
              <w:contextualSpacing/>
              <w:jc w:val="center"/>
              <w:rPr>
                <w:bCs/>
                <w:sz w:val="20"/>
                <w:szCs w:val="24"/>
                <w:lang w:eastAsia="en-US"/>
              </w:rPr>
            </w:pPr>
            <w:r w:rsidRPr="00182E2D">
              <w:rPr>
                <w:bCs/>
                <w:sz w:val="20"/>
                <w:szCs w:val="24"/>
                <w:lang w:eastAsia="en-US"/>
              </w:rPr>
              <w:t>125,0</w:t>
            </w:r>
          </w:p>
        </w:tc>
        <w:tc>
          <w:tcPr>
            <w:tcW w:w="1166" w:type="dxa"/>
            <w:vAlign w:val="center"/>
          </w:tcPr>
          <w:p w:rsidR="00BF4753" w:rsidRPr="00182E2D" w:rsidRDefault="00BF4753" w:rsidP="002D7CA8">
            <w:pPr>
              <w:widowControl w:val="0"/>
              <w:ind w:firstLine="0"/>
              <w:contextualSpacing/>
              <w:jc w:val="center"/>
              <w:rPr>
                <w:bCs/>
                <w:sz w:val="20"/>
                <w:szCs w:val="24"/>
                <w:lang w:eastAsia="en-US"/>
              </w:rPr>
            </w:pPr>
            <w:r w:rsidRPr="00182E2D">
              <w:rPr>
                <w:bCs/>
                <w:sz w:val="20"/>
                <w:szCs w:val="24"/>
                <w:lang w:eastAsia="en-US"/>
              </w:rPr>
              <w:t>140,0</w:t>
            </w:r>
          </w:p>
        </w:tc>
        <w:tc>
          <w:tcPr>
            <w:tcW w:w="1166" w:type="dxa"/>
            <w:vAlign w:val="center"/>
          </w:tcPr>
          <w:p w:rsidR="00BF4753" w:rsidRPr="00182E2D" w:rsidRDefault="00BF4753" w:rsidP="002D7CA8">
            <w:pPr>
              <w:widowControl w:val="0"/>
              <w:ind w:firstLine="0"/>
              <w:contextualSpacing/>
              <w:jc w:val="center"/>
              <w:rPr>
                <w:bCs/>
                <w:sz w:val="20"/>
                <w:szCs w:val="24"/>
                <w:lang w:eastAsia="en-US"/>
              </w:rPr>
            </w:pPr>
            <w:r w:rsidRPr="00182E2D">
              <w:rPr>
                <w:bCs/>
                <w:sz w:val="20"/>
                <w:szCs w:val="24"/>
                <w:lang w:eastAsia="en-US"/>
              </w:rPr>
              <w:t>160,0</w:t>
            </w:r>
          </w:p>
        </w:tc>
      </w:tr>
    </w:tbl>
    <w:p w:rsidR="00BF4753" w:rsidRPr="00182E2D" w:rsidRDefault="00BF4753" w:rsidP="00BF4753">
      <w:pPr>
        <w:ind w:firstLine="0"/>
        <w:rPr>
          <w:rFonts w:eastAsia="Times New Roman" w:cs="Times New Roman"/>
          <w:sz w:val="24"/>
          <w:szCs w:val="24"/>
        </w:rPr>
      </w:pPr>
    </w:p>
    <w:p w:rsidR="00BF4753" w:rsidRPr="00A26A81" w:rsidRDefault="00BF4753" w:rsidP="00BF4753">
      <w:pPr>
        <w:numPr>
          <w:ilvl w:val="0"/>
          <w:numId w:val="33"/>
        </w:numPr>
        <w:ind w:left="1135" w:hanging="284"/>
        <w:rPr>
          <w:rFonts w:eastAsia="Times New Roman" w:cs="Times New Roman"/>
          <w:szCs w:val="24"/>
        </w:rPr>
      </w:pPr>
      <w:r w:rsidRPr="00887A0A">
        <w:rPr>
          <w:rFonts w:eastAsia="Times New Roman" w:cs="Times New Roman"/>
          <w:szCs w:val="24"/>
        </w:rPr>
        <w:t>ar 2021., 2022. un 2023.</w:t>
      </w:r>
      <w:r>
        <w:rPr>
          <w:rFonts w:eastAsia="Times New Roman" w:cs="Times New Roman"/>
          <w:szCs w:val="24"/>
        </w:rPr>
        <w:t xml:space="preserve"> </w:t>
      </w:r>
      <w:r w:rsidRPr="00887A0A">
        <w:rPr>
          <w:rFonts w:eastAsia="Times New Roman" w:cs="Times New Roman"/>
          <w:szCs w:val="24"/>
        </w:rPr>
        <w:t>gada 1.</w:t>
      </w:r>
      <w:r>
        <w:rPr>
          <w:rFonts w:eastAsia="Times New Roman" w:cs="Times New Roman"/>
          <w:szCs w:val="24"/>
        </w:rPr>
        <w:t xml:space="preserve"> </w:t>
      </w:r>
      <w:r w:rsidRPr="00887A0A">
        <w:rPr>
          <w:rFonts w:eastAsia="Times New Roman" w:cs="Times New Roman"/>
          <w:szCs w:val="24"/>
        </w:rPr>
        <w:t>janvāri tiek paaugstināts fiksētais nodokļa maksājums par C kategorijas piesārņojošo darbību emisijām (skat. 5.13.</w:t>
      </w:r>
      <w:r>
        <w:rPr>
          <w:rFonts w:eastAsia="Times New Roman" w:cs="Times New Roman"/>
          <w:szCs w:val="24"/>
        </w:rPr>
        <w:t xml:space="preserve"> </w:t>
      </w:r>
      <w:r w:rsidRPr="00887A0A">
        <w:rPr>
          <w:rFonts w:eastAsia="Times New Roman" w:cs="Times New Roman"/>
          <w:szCs w:val="24"/>
        </w:rPr>
        <w:t>tabulu).</w:t>
      </w:r>
    </w:p>
    <w:p w:rsidR="00BF4753" w:rsidRPr="00182E2D" w:rsidRDefault="00BF4753" w:rsidP="00BF4753">
      <w:pPr>
        <w:spacing w:before="120" w:after="120"/>
        <w:ind w:hanging="11"/>
        <w:jc w:val="right"/>
        <w:rPr>
          <w:rFonts w:eastAsia="Times New Roman" w:cs="Times New Roman"/>
          <w:b/>
          <w:i/>
          <w:iCs/>
          <w:sz w:val="24"/>
          <w:szCs w:val="24"/>
        </w:rPr>
      </w:pPr>
      <w:r w:rsidRPr="00887A0A">
        <w:rPr>
          <w:rFonts w:eastAsia="Times New Roman" w:cs="Times New Roman"/>
          <w:b/>
          <w:i/>
          <w:iCs/>
          <w:sz w:val="24"/>
          <w:szCs w:val="24"/>
        </w:rPr>
        <w:t>5.13.tabula. Fiksētais nodokļa maksājums par C kategorijas piesārņojošu darbību 2020. – 2023.gadā, eur</w:t>
      </w:r>
      <w:r w:rsidRPr="00182E2D">
        <w:rPr>
          <w:rFonts w:eastAsia="Times New Roman" w:cs="Times New Roman"/>
          <w:b/>
          <w:i/>
          <w:iCs/>
          <w:sz w:val="24"/>
          <w:szCs w:val="24"/>
        </w:rPr>
        <w:t>o</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567"/>
        <w:gridCol w:w="1275"/>
        <w:gridCol w:w="1134"/>
        <w:gridCol w:w="1418"/>
      </w:tblGrid>
      <w:tr w:rsidR="00BF4753" w:rsidRPr="00182E2D" w:rsidTr="002D7CA8">
        <w:trPr>
          <w:trHeight w:val="181"/>
        </w:trPr>
        <w:tc>
          <w:tcPr>
            <w:tcW w:w="4962" w:type="dxa"/>
            <w:shd w:val="clear" w:color="auto" w:fill="9CC2E5"/>
          </w:tcPr>
          <w:p w:rsidR="00BF4753" w:rsidRPr="00182E2D" w:rsidRDefault="00BF4753" w:rsidP="002D7CA8">
            <w:pPr>
              <w:widowControl w:val="0"/>
              <w:ind w:firstLine="0"/>
              <w:contextualSpacing/>
              <w:jc w:val="left"/>
              <w:rPr>
                <w:rFonts w:eastAsia="Times New Roman" w:cs="Times New Roman"/>
                <w:b/>
                <w:sz w:val="20"/>
                <w:szCs w:val="20"/>
              </w:rPr>
            </w:pPr>
          </w:p>
        </w:tc>
        <w:tc>
          <w:tcPr>
            <w:tcW w:w="567" w:type="dxa"/>
            <w:shd w:val="clear" w:color="auto" w:fill="9CC2E5"/>
            <w:tcMar>
              <w:left w:w="57" w:type="dxa"/>
              <w:right w:w="57" w:type="dxa"/>
            </w:tcMar>
          </w:tcPr>
          <w:p w:rsidR="00BF4753" w:rsidRPr="00182E2D" w:rsidRDefault="00BF4753" w:rsidP="002D7CA8">
            <w:pPr>
              <w:widowControl w:val="0"/>
              <w:ind w:firstLine="0"/>
              <w:contextualSpacing/>
              <w:jc w:val="center"/>
              <w:rPr>
                <w:rFonts w:eastAsia="Times New Roman" w:cs="Times New Roman"/>
                <w:b/>
                <w:sz w:val="20"/>
                <w:szCs w:val="20"/>
              </w:rPr>
            </w:pPr>
            <w:r w:rsidRPr="00182E2D">
              <w:rPr>
                <w:rFonts w:eastAsia="Times New Roman" w:cs="Times New Roman"/>
                <w:b/>
                <w:sz w:val="20"/>
                <w:szCs w:val="20"/>
              </w:rPr>
              <w:t>2020</w:t>
            </w:r>
          </w:p>
        </w:tc>
        <w:tc>
          <w:tcPr>
            <w:tcW w:w="1275" w:type="dxa"/>
            <w:shd w:val="clear" w:color="auto" w:fill="9CC2E5"/>
            <w:tcMar>
              <w:left w:w="57" w:type="dxa"/>
              <w:right w:w="57" w:type="dxa"/>
            </w:tcMar>
          </w:tcPr>
          <w:p w:rsidR="00BF4753" w:rsidRPr="00182E2D" w:rsidRDefault="00BF4753" w:rsidP="002D7CA8">
            <w:pPr>
              <w:widowControl w:val="0"/>
              <w:ind w:firstLine="0"/>
              <w:contextualSpacing/>
              <w:jc w:val="center"/>
              <w:rPr>
                <w:rFonts w:eastAsia="Times New Roman" w:cs="Times New Roman"/>
                <w:b/>
                <w:sz w:val="20"/>
                <w:szCs w:val="20"/>
              </w:rPr>
            </w:pPr>
            <w:r w:rsidRPr="00182E2D">
              <w:rPr>
                <w:rFonts w:eastAsia="Times New Roman" w:cs="Times New Roman"/>
                <w:b/>
                <w:sz w:val="20"/>
                <w:szCs w:val="20"/>
              </w:rPr>
              <w:t>01.01.2021.</w:t>
            </w:r>
          </w:p>
        </w:tc>
        <w:tc>
          <w:tcPr>
            <w:tcW w:w="1134" w:type="dxa"/>
            <w:shd w:val="clear" w:color="auto" w:fill="9CC2E5"/>
            <w:tcMar>
              <w:left w:w="57" w:type="dxa"/>
              <w:right w:w="57" w:type="dxa"/>
            </w:tcMar>
          </w:tcPr>
          <w:p w:rsidR="00BF4753" w:rsidRPr="00182E2D" w:rsidRDefault="00BF4753" w:rsidP="002D7CA8">
            <w:pPr>
              <w:widowControl w:val="0"/>
              <w:ind w:firstLine="0"/>
              <w:contextualSpacing/>
              <w:jc w:val="center"/>
              <w:rPr>
                <w:rFonts w:eastAsia="Times New Roman" w:cs="Times New Roman"/>
                <w:b/>
                <w:sz w:val="20"/>
                <w:szCs w:val="20"/>
              </w:rPr>
            </w:pPr>
            <w:r w:rsidRPr="00182E2D">
              <w:rPr>
                <w:rFonts w:eastAsia="Times New Roman" w:cs="Times New Roman"/>
                <w:b/>
                <w:sz w:val="20"/>
                <w:szCs w:val="20"/>
              </w:rPr>
              <w:t>01.01.2022.</w:t>
            </w:r>
          </w:p>
        </w:tc>
        <w:tc>
          <w:tcPr>
            <w:tcW w:w="1418" w:type="dxa"/>
            <w:shd w:val="clear" w:color="auto" w:fill="9CC2E5"/>
            <w:tcMar>
              <w:left w:w="57" w:type="dxa"/>
              <w:right w:w="57" w:type="dxa"/>
            </w:tcMar>
          </w:tcPr>
          <w:p w:rsidR="00BF4753" w:rsidRPr="00182E2D" w:rsidRDefault="00BF4753" w:rsidP="002D7CA8">
            <w:pPr>
              <w:widowControl w:val="0"/>
              <w:ind w:firstLine="0"/>
              <w:contextualSpacing/>
              <w:jc w:val="center"/>
              <w:rPr>
                <w:rFonts w:eastAsia="Times New Roman" w:cs="Times New Roman"/>
                <w:b/>
                <w:sz w:val="20"/>
                <w:szCs w:val="20"/>
              </w:rPr>
            </w:pPr>
            <w:r w:rsidRPr="00182E2D">
              <w:rPr>
                <w:rFonts w:eastAsia="Times New Roman" w:cs="Times New Roman"/>
                <w:b/>
                <w:sz w:val="20"/>
                <w:szCs w:val="20"/>
              </w:rPr>
              <w:t>01.01.2023.</w:t>
            </w:r>
          </w:p>
        </w:tc>
      </w:tr>
      <w:tr w:rsidR="00BF4753" w:rsidRPr="00182E2D" w:rsidTr="002D7CA8">
        <w:trPr>
          <w:trHeight w:val="497"/>
        </w:trPr>
        <w:tc>
          <w:tcPr>
            <w:tcW w:w="4962" w:type="dxa"/>
            <w:shd w:val="clear" w:color="auto" w:fill="auto"/>
          </w:tcPr>
          <w:p w:rsidR="00BF4753" w:rsidRPr="00182E2D" w:rsidRDefault="00BF4753" w:rsidP="002D7CA8">
            <w:pPr>
              <w:ind w:firstLine="0"/>
              <w:jc w:val="left"/>
              <w:rPr>
                <w:rFonts w:eastAsia="Times New Roman" w:cs="Times New Roman"/>
                <w:sz w:val="20"/>
                <w:szCs w:val="20"/>
              </w:rPr>
            </w:pPr>
            <w:r w:rsidRPr="00182E2D">
              <w:rPr>
                <w:rFonts w:eastAsia="Times New Roman" w:cs="Times New Roman"/>
                <w:sz w:val="20"/>
                <w:szCs w:val="20"/>
              </w:rPr>
              <w:t>Fiksētais nodokļa maksājums par C kategorijas piesārņojošu darbību,</w:t>
            </w:r>
            <w:r w:rsidRPr="00182E2D">
              <w:rPr>
                <w:rFonts w:eastAsia="Times New Roman" w:cs="Times New Roman"/>
                <w:i/>
                <w:sz w:val="20"/>
                <w:szCs w:val="20"/>
              </w:rPr>
              <w:t xml:space="preserve"> euro</w:t>
            </w:r>
          </w:p>
        </w:tc>
        <w:tc>
          <w:tcPr>
            <w:tcW w:w="567" w:type="dxa"/>
            <w:shd w:val="clear" w:color="auto" w:fill="auto"/>
            <w:vAlign w:val="center"/>
          </w:tcPr>
          <w:p w:rsidR="00BF4753" w:rsidRPr="00182E2D" w:rsidRDefault="00BF4753" w:rsidP="002D7CA8">
            <w:pPr>
              <w:ind w:firstLine="0"/>
              <w:jc w:val="center"/>
              <w:rPr>
                <w:rFonts w:eastAsia="Times New Roman" w:cs="Times New Roman"/>
                <w:bCs/>
                <w:sz w:val="20"/>
                <w:szCs w:val="20"/>
              </w:rPr>
            </w:pPr>
            <w:r w:rsidRPr="00182E2D">
              <w:rPr>
                <w:rFonts w:eastAsia="Times New Roman" w:cs="Times New Roman"/>
                <w:bCs/>
                <w:sz w:val="20"/>
                <w:szCs w:val="20"/>
              </w:rPr>
              <w:t>71,14</w:t>
            </w:r>
          </w:p>
        </w:tc>
        <w:tc>
          <w:tcPr>
            <w:tcW w:w="1275" w:type="dxa"/>
            <w:shd w:val="clear" w:color="auto" w:fill="auto"/>
            <w:vAlign w:val="center"/>
          </w:tcPr>
          <w:p w:rsidR="00BF4753" w:rsidRPr="00182E2D" w:rsidRDefault="00BF4753" w:rsidP="002D7CA8">
            <w:pPr>
              <w:ind w:firstLine="0"/>
              <w:jc w:val="center"/>
              <w:rPr>
                <w:rFonts w:eastAsia="Times New Roman" w:cs="Times New Roman"/>
                <w:bCs/>
                <w:sz w:val="20"/>
                <w:szCs w:val="20"/>
              </w:rPr>
            </w:pPr>
            <w:r w:rsidRPr="00182E2D">
              <w:rPr>
                <w:rFonts w:eastAsia="Times New Roman" w:cs="Times New Roman"/>
                <w:bCs/>
                <w:sz w:val="20"/>
                <w:szCs w:val="20"/>
              </w:rPr>
              <w:t>178,0</w:t>
            </w:r>
          </w:p>
        </w:tc>
        <w:tc>
          <w:tcPr>
            <w:tcW w:w="1134" w:type="dxa"/>
            <w:shd w:val="clear" w:color="auto" w:fill="auto"/>
            <w:vAlign w:val="center"/>
          </w:tcPr>
          <w:p w:rsidR="00BF4753" w:rsidRPr="00182E2D" w:rsidRDefault="00BF4753" w:rsidP="002D7CA8">
            <w:pPr>
              <w:ind w:firstLine="0"/>
              <w:jc w:val="center"/>
              <w:rPr>
                <w:rFonts w:eastAsia="Times New Roman" w:cs="Times New Roman"/>
                <w:bCs/>
                <w:sz w:val="20"/>
                <w:szCs w:val="20"/>
              </w:rPr>
            </w:pPr>
            <w:r w:rsidRPr="00182E2D">
              <w:rPr>
                <w:rFonts w:eastAsia="Times New Roman" w:cs="Times New Roman"/>
                <w:bCs/>
                <w:sz w:val="20"/>
                <w:szCs w:val="20"/>
              </w:rPr>
              <w:t>200,0</w:t>
            </w:r>
          </w:p>
        </w:tc>
        <w:tc>
          <w:tcPr>
            <w:tcW w:w="1418" w:type="dxa"/>
            <w:shd w:val="clear" w:color="auto" w:fill="auto"/>
            <w:vAlign w:val="center"/>
          </w:tcPr>
          <w:p w:rsidR="00BF4753" w:rsidRPr="00182E2D" w:rsidRDefault="00BF4753" w:rsidP="002D7CA8">
            <w:pPr>
              <w:ind w:firstLine="0"/>
              <w:jc w:val="center"/>
              <w:rPr>
                <w:rFonts w:eastAsia="Times New Roman" w:cs="Times New Roman"/>
                <w:bCs/>
                <w:sz w:val="20"/>
                <w:szCs w:val="20"/>
              </w:rPr>
            </w:pPr>
            <w:r w:rsidRPr="00182E2D">
              <w:rPr>
                <w:rFonts w:eastAsia="Times New Roman" w:cs="Times New Roman"/>
                <w:bCs/>
                <w:sz w:val="20"/>
                <w:szCs w:val="20"/>
              </w:rPr>
              <w:t>250,0</w:t>
            </w:r>
          </w:p>
        </w:tc>
      </w:tr>
    </w:tbl>
    <w:p w:rsidR="00BF4753" w:rsidRPr="00182E2D" w:rsidRDefault="00BF4753" w:rsidP="00BF4753">
      <w:pPr>
        <w:keepNext/>
        <w:spacing w:before="120" w:after="120"/>
        <w:ind w:firstLine="0"/>
        <w:jc w:val="right"/>
        <w:rPr>
          <w:rFonts w:eastAsia="Times New Roman" w:cs="Times New Roman"/>
          <w:b/>
          <w:i/>
          <w:iCs/>
          <w:sz w:val="24"/>
          <w:szCs w:val="20"/>
        </w:rPr>
      </w:pPr>
      <w:r w:rsidRPr="00887A0A">
        <w:rPr>
          <w:rFonts w:eastAsia="Times New Roman" w:cs="Times New Roman"/>
          <w:b/>
          <w:i/>
          <w:iCs/>
          <w:sz w:val="24"/>
          <w:szCs w:val="20"/>
        </w:rPr>
        <w:t>5.14.</w:t>
      </w:r>
      <w:r>
        <w:rPr>
          <w:rFonts w:eastAsia="Times New Roman" w:cs="Times New Roman"/>
          <w:b/>
          <w:i/>
          <w:iCs/>
          <w:sz w:val="24"/>
          <w:szCs w:val="20"/>
        </w:rPr>
        <w:t xml:space="preserve"> </w:t>
      </w:r>
      <w:r w:rsidRPr="00887A0A">
        <w:rPr>
          <w:rFonts w:eastAsia="Times New Roman" w:cs="Times New Roman"/>
          <w:b/>
          <w:i/>
          <w:iCs/>
          <w:sz w:val="24"/>
          <w:szCs w:val="20"/>
        </w:rPr>
        <w:t>tabula. Nodokļu politikas izmaiņu ietekme uz dabas resursu</w:t>
      </w:r>
      <w:r w:rsidRPr="00182E2D">
        <w:rPr>
          <w:rFonts w:eastAsia="Times New Roman" w:cs="Times New Roman"/>
          <w:b/>
          <w:i/>
          <w:iCs/>
          <w:sz w:val="24"/>
          <w:szCs w:val="20"/>
        </w:rPr>
        <w:t xml:space="preserve"> nodokļa ieņēmumiem, milj. euro </w:t>
      </w:r>
    </w:p>
    <w:tbl>
      <w:tblPr>
        <w:tblStyle w:val="TableGrid11"/>
        <w:tblW w:w="9178" w:type="dxa"/>
        <w:jc w:val="center"/>
        <w:tblLayout w:type="fixed"/>
        <w:tblLook w:val="04A0" w:firstRow="1" w:lastRow="0" w:firstColumn="1" w:lastColumn="0" w:noHBand="0" w:noVBand="1"/>
      </w:tblPr>
      <w:tblGrid>
        <w:gridCol w:w="6232"/>
        <w:gridCol w:w="851"/>
        <w:gridCol w:w="709"/>
        <w:gridCol w:w="708"/>
        <w:gridCol w:w="678"/>
      </w:tblGrid>
      <w:tr w:rsidR="00BF4753" w:rsidRPr="00182E2D" w:rsidTr="002D7CA8">
        <w:trPr>
          <w:trHeight w:val="219"/>
          <w:jc w:val="center"/>
        </w:trPr>
        <w:tc>
          <w:tcPr>
            <w:tcW w:w="6232" w:type="dxa"/>
            <w:shd w:val="clear" w:color="auto" w:fill="9CC2E5"/>
          </w:tcPr>
          <w:p w:rsidR="00BF4753" w:rsidRPr="00182E2D" w:rsidRDefault="00BF4753" w:rsidP="002D7CA8">
            <w:pPr>
              <w:ind w:firstLine="0"/>
              <w:jc w:val="left"/>
              <w:rPr>
                <w:rFonts w:eastAsia="Times New Roman"/>
                <w:b/>
                <w:bCs/>
                <w:sz w:val="20"/>
              </w:rPr>
            </w:pPr>
          </w:p>
        </w:tc>
        <w:tc>
          <w:tcPr>
            <w:tcW w:w="851"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2021</w:t>
            </w:r>
          </w:p>
        </w:tc>
        <w:tc>
          <w:tcPr>
            <w:tcW w:w="709"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2022</w:t>
            </w:r>
          </w:p>
        </w:tc>
        <w:tc>
          <w:tcPr>
            <w:tcW w:w="708"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2023</w:t>
            </w:r>
          </w:p>
        </w:tc>
        <w:tc>
          <w:tcPr>
            <w:tcW w:w="678" w:type="dxa"/>
            <w:shd w:val="clear" w:color="auto" w:fill="9CC2E5"/>
          </w:tcPr>
          <w:p w:rsidR="00BF4753" w:rsidRPr="00182E2D" w:rsidRDefault="00BF4753" w:rsidP="002D7CA8">
            <w:pPr>
              <w:tabs>
                <w:tab w:val="decimal" w:pos="-12114"/>
              </w:tabs>
              <w:ind w:firstLine="0"/>
              <w:jc w:val="center"/>
              <w:rPr>
                <w:rFonts w:eastAsia="Times New Roman"/>
                <w:b/>
                <w:bCs/>
                <w:sz w:val="20"/>
              </w:rPr>
            </w:pPr>
            <w:r w:rsidRPr="00182E2D">
              <w:rPr>
                <w:rFonts w:eastAsia="Times New Roman"/>
                <w:b/>
                <w:bCs/>
                <w:sz w:val="20"/>
              </w:rPr>
              <w:t>2024</w:t>
            </w:r>
          </w:p>
        </w:tc>
      </w:tr>
      <w:tr w:rsidR="00BF4753" w:rsidRPr="00182E2D" w:rsidTr="002D7CA8">
        <w:trPr>
          <w:trHeight w:val="232"/>
          <w:jc w:val="center"/>
        </w:trPr>
        <w:tc>
          <w:tcPr>
            <w:tcW w:w="6232" w:type="dxa"/>
          </w:tcPr>
          <w:p w:rsidR="00BF4753" w:rsidRPr="00182E2D" w:rsidRDefault="00BF4753" w:rsidP="002D7CA8">
            <w:pPr>
              <w:ind w:firstLine="0"/>
              <w:jc w:val="left"/>
              <w:rPr>
                <w:rFonts w:eastAsia="Times New Roman"/>
                <w:sz w:val="20"/>
              </w:rPr>
            </w:pPr>
            <w:r w:rsidRPr="00182E2D">
              <w:rPr>
                <w:rFonts w:eastAsia="Times New Roman"/>
                <w:sz w:val="20"/>
              </w:rPr>
              <w:t>Dabas resursu nodokļa likmju paaugstināšana par CO</w:t>
            </w:r>
            <w:r w:rsidRPr="00182E2D">
              <w:rPr>
                <w:rFonts w:eastAsia="Times New Roman"/>
                <w:sz w:val="20"/>
                <w:vertAlign w:val="subscript"/>
              </w:rPr>
              <w:t>2</w:t>
            </w:r>
          </w:p>
        </w:tc>
        <w:tc>
          <w:tcPr>
            <w:tcW w:w="851" w:type="dxa"/>
          </w:tcPr>
          <w:p w:rsidR="00BF4753" w:rsidRPr="00182E2D" w:rsidRDefault="00BF4753" w:rsidP="002D7CA8">
            <w:pPr>
              <w:tabs>
                <w:tab w:val="decimal" w:pos="458"/>
              </w:tabs>
              <w:ind w:firstLine="0"/>
              <w:jc w:val="right"/>
              <w:rPr>
                <w:rFonts w:eastAsia="Times New Roman"/>
                <w:sz w:val="20"/>
              </w:rPr>
            </w:pPr>
            <w:r w:rsidRPr="00182E2D">
              <w:rPr>
                <w:rFonts w:eastAsia="Times New Roman"/>
                <w:sz w:val="20"/>
              </w:rPr>
              <w:t>+1,0</w:t>
            </w:r>
          </w:p>
        </w:tc>
        <w:tc>
          <w:tcPr>
            <w:tcW w:w="709" w:type="dxa"/>
          </w:tcPr>
          <w:p w:rsidR="00BF4753" w:rsidRPr="00182E2D" w:rsidRDefault="00BF4753" w:rsidP="002D7CA8">
            <w:pPr>
              <w:tabs>
                <w:tab w:val="decimal" w:pos="458"/>
              </w:tabs>
              <w:ind w:firstLine="0"/>
              <w:jc w:val="right"/>
              <w:rPr>
                <w:rFonts w:eastAsia="Times New Roman"/>
                <w:sz w:val="20"/>
              </w:rPr>
            </w:pPr>
            <w:r w:rsidRPr="00182E2D">
              <w:rPr>
                <w:rFonts w:eastAsia="Times New Roman"/>
                <w:sz w:val="20"/>
              </w:rPr>
              <w:t>+1,0</w:t>
            </w:r>
          </w:p>
        </w:tc>
        <w:tc>
          <w:tcPr>
            <w:tcW w:w="708" w:type="dxa"/>
          </w:tcPr>
          <w:p w:rsidR="00BF4753" w:rsidRPr="00182E2D" w:rsidRDefault="00BF4753" w:rsidP="002D7CA8">
            <w:pPr>
              <w:tabs>
                <w:tab w:val="decimal" w:pos="458"/>
              </w:tabs>
              <w:ind w:firstLine="0"/>
              <w:jc w:val="right"/>
              <w:rPr>
                <w:rFonts w:eastAsia="Times New Roman"/>
                <w:sz w:val="20"/>
              </w:rPr>
            </w:pPr>
          </w:p>
        </w:tc>
        <w:tc>
          <w:tcPr>
            <w:tcW w:w="678" w:type="dxa"/>
          </w:tcPr>
          <w:p w:rsidR="00BF4753" w:rsidRPr="00182E2D" w:rsidRDefault="00BF4753" w:rsidP="002D7CA8">
            <w:pPr>
              <w:tabs>
                <w:tab w:val="decimal" w:pos="458"/>
              </w:tabs>
              <w:ind w:firstLine="0"/>
              <w:jc w:val="right"/>
              <w:rPr>
                <w:rFonts w:eastAsia="Times New Roman"/>
                <w:b/>
                <w:bCs/>
                <w:sz w:val="20"/>
              </w:rPr>
            </w:pPr>
          </w:p>
        </w:tc>
      </w:tr>
      <w:tr w:rsidR="00BF4753" w:rsidRPr="00182E2D" w:rsidTr="002D7CA8">
        <w:trPr>
          <w:trHeight w:val="219"/>
          <w:jc w:val="center"/>
        </w:trPr>
        <w:tc>
          <w:tcPr>
            <w:tcW w:w="6232" w:type="dxa"/>
          </w:tcPr>
          <w:p w:rsidR="00BF4753" w:rsidRPr="00182E2D" w:rsidRDefault="00BF4753" w:rsidP="002D7CA8">
            <w:pPr>
              <w:ind w:firstLine="0"/>
              <w:jc w:val="left"/>
              <w:rPr>
                <w:rFonts w:eastAsia="Times New Roman"/>
                <w:sz w:val="20"/>
              </w:rPr>
            </w:pPr>
            <w:r w:rsidRPr="00182E2D">
              <w:rPr>
                <w:rFonts w:eastAsia="Times New Roman"/>
                <w:sz w:val="20"/>
              </w:rPr>
              <w:t>Dabas resursu nodokļa piemērošana par atkritumu sadedzināšanu</w:t>
            </w:r>
          </w:p>
        </w:tc>
        <w:tc>
          <w:tcPr>
            <w:tcW w:w="851" w:type="dxa"/>
          </w:tcPr>
          <w:p w:rsidR="00BF4753" w:rsidRPr="00182E2D" w:rsidRDefault="00BF4753" w:rsidP="002D7CA8">
            <w:pPr>
              <w:tabs>
                <w:tab w:val="decimal" w:pos="458"/>
              </w:tabs>
              <w:ind w:firstLine="0"/>
              <w:jc w:val="right"/>
              <w:rPr>
                <w:rFonts w:eastAsia="Times New Roman"/>
                <w:sz w:val="20"/>
              </w:rPr>
            </w:pPr>
            <w:r w:rsidRPr="00182E2D">
              <w:rPr>
                <w:rFonts w:eastAsia="Times New Roman"/>
                <w:sz w:val="20"/>
              </w:rPr>
              <w:t>+0,2</w:t>
            </w:r>
          </w:p>
        </w:tc>
        <w:tc>
          <w:tcPr>
            <w:tcW w:w="709" w:type="dxa"/>
          </w:tcPr>
          <w:p w:rsidR="00BF4753" w:rsidRPr="00182E2D" w:rsidRDefault="00BF4753" w:rsidP="002D7CA8">
            <w:pPr>
              <w:tabs>
                <w:tab w:val="decimal" w:pos="458"/>
              </w:tabs>
              <w:ind w:firstLine="0"/>
              <w:jc w:val="right"/>
              <w:rPr>
                <w:rFonts w:eastAsia="Times New Roman"/>
                <w:sz w:val="20"/>
              </w:rPr>
            </w:pPr>
          </w:p>
        </w:tc>
        <w:tc>
          <w:tcPr>
            <w:tcW w:w="708" w:type="dxa"/>
          </w:tcPr>
          <w:p w:rsidR="00BF4753" w:rsidRPr="00182E2D" w:rsidRDefault="00BF4753" w:rsidP="002D7CA8">
            <w:pPr>
              <w:tabs>
                <w:tab w:val="decimal" w:pos="458"/>
              </w:tabs>
              <w:ind w:firstLine="0"/>
              <w:jc w:val="right"/>
              <w:rPr>
                <w:rFonts w:eastAsia="Times New Roman"/>
                <w:sz w:val="20"/>
              </w:rPr>
            </w:pPr>
          </w:p>
        </w:tc>
        <w:tc>
          <w:tcPr>
            <w:tcW w:w="678" w:type="dxa"/>
          </w:tcPr>
          <w:p w:rsidR="00BF4753" w:rsidRPr="00182E2D" w:rsidRDefault="00BF4753" w:rsidP="002D7CA8">
            <w:pPr>
              <w:tabs>
                <w:tab w:val="decimal" w:pos="458"/>
              </w:tabs>
              <w:ind w:firstLine="0"/>
              <w:jc w:val="right"/>
              <w:rPr>
                <w:rFonts w:eastAsia="Times New Roman"/>
                <w:b/>
                <w:bCs/>
                <w:sz w:val="20"/>
              </w:rPr>
            </w:pPr>
          </w:p>
        </w:tc>
      </w:tr>
      <w:tr w:rsidR="00BF4753" w:rsidRPr="00182E2D" w:rsidTr="002D7CA8">
        <w:trPr>
          <w:trHeight w:val="451"/>
          <w:jc w:val="center"/>
        </w:trPr>
        <w:tc>
          <w:tcPr>
            <w:tcW w:w="6232" w:type="dxa"/>
          </w:tcPr>
          <w:p w:rsidR="00BF4753" w:rsidRPr="00182E2D" w:rsidRDefault="00BF4753" w:rsidP="002D7CA8">
            <w:pPr>
              <w:ind w:firstLine="0"/>
              <w:jc w:val="left"/>
              <w:rPr>
                <w:rFonts w:eastAsia="Times New Roman"/>
                <w:sz w:val="20"/>
              </w:rPr>
            </w:pPr>
            <w:r w:rsidRPr="00182E2D">
              <w:rPr>
                <w:rFonts w:eastAsia="Times New Roman"/>
                <w:sz w:val="20"/>
              </w:rPr>
              <w:t>Dabas resursu nodokļa likmju palielināšana sadzīves un bīstamajiem atkritumiem</w:t>
            </w:r>
          </w:p>
        </w:tc>
        <w:tc>
          <w:tcPr>
            <w:tcW w:w="851" w:type="dxa"/>
          </w:tcPr>
          <w:p w:rsidR="00BF4753" w:rsidRPr="00182E2D" w:rsidRDefault="00BF4753" w:rsidP="002D7CA8">
            <w:pPr>
              <w:tabs>
                <w:tab w:val="decimal" w:pos="458"/>
              </w:tabs>
              <w:ind w:firstLine="0"/>
              <w:jc w:val="right"/>
              <w:rPr>
                <w:rFonts w:eastAsia="Times New Roman"/>
                <w:sz w:val="20"/>
              </w:rPr>
            </w:pPr>
            <w:r w:rsidRPr="00182E2D">
              <w:rPr>
                <w:rFonts w:eastAsia="Times New Roman"/>
                <w:sz w:val="20"/>
              </w:rPr>
              <w:t>+2,6</w:t>
            </w:r>
          </w:p>
        </w:tc>
        <w:tc>
          <w:tcPr>
            <w:tcW w:w="709" w:type="dxa"/>
          </w:tcPr>
          <w:p w:rsidR="00BF4753" w:rsidRPr="00182E2D" w:rsidRDefault="00BF4753" w:rsidP="002D7CA8">
            <w:pPr>
              <w:tabs>
                <w:tab w:val="decimal" w:pos="458"/>
              </w:tabs>
              <w:ind w:firstLine="0"/>
              <w:jc w:val="right"/>
              <w:rPr>
                <w:rFonts w:eastAsia="Times New Roman"/>
                <w:sz w:val="20"/>
              </w:rPr>
            </w:pPr>
            <w:r w:rsidRPr="00182E2D">
              <w:rPr>
                <w:rFonts w:eastAsia="Times New Roman"/>
                <w:sz w:val="20"/>
              </w:rPr>
              <w:t>+1,9</w:t>
            </w:r>
          </w:p>
        </w:tc>
        <w:tc>
          <w:tcPr>
            <w:tcW w:w="708" w:type="dxa"/>
          </w:tcPr>
          <w:p w:rsidR="00BF4753" w:rsidRPr="00182E2D" w:rsidRDefault="00BF4753" w:rsidP="002D7CA8">
            <w:pPr>
              <w:tabs>
                <w:tab w:val="decimal" w:pos="458"/>
              </w:tabs>
              <w:ind w:firstLine="0"/>
              <w:jc w:val="right"/>
              <w:rPr>
                <w:rFonts w:eastAsia="Times New Roman"/>
                <w:sz w:val="20"/>
              </w:rPr>
            </w:pPr>
            <w:r w:rsidRPr="00182E2D">
              <w:rPr>
                <w:rFonts w:eastAsia="Times New Roman"/>
                <w:sz w:val="20"/>
              </w:rPr>
              <w:t>+1,7</w:t>
            </w:r>
          </w:p>
        </w:tc>
        <w:tc>
          <w:tcPr>
            <w:tcW w:w="678" w:type="dxa"/>
          </w:tcPr>
          <w:p w:rsidR="00BF4753" w:rsidRPr="00182E2D" w:rsidRDefault="00BF4753" w:rsidP="002D7CA8">
            <w:pPr>
              <w:tabs>
                <w:tab w:val="decimal" w:pos="458"/>
              </w:tabs>
              <w:ind w:firstLine="0"/>
              <w:jc w:val="right"/>
              <w:rPr>
                <w:rFonts w:eastAsia="Times New Roman"/>
                <w:b/>
                <w:bCs/>
                <w:sz w:val="20"/>
              </w:rPr>
            </w:pPr>
          </w:p>
        </w:tc>
      </w:tr>
      <w:tr w:rsidR="00BF4753" w:rsidRPr="00182E2D" w:rsidTr="002D7CA8">
        <w:trPr>
          <w:trHeight w:val="672"/>
          <w:jc w:val="center"/>
        </w:trPr>
        <w:tc>
          <w:tcPr>
            <w:tcW w:w="6232" w:type="dxa"/>
          </w:tcPr>
          <w:p w:rsidR="00BF4753" w:rsidRPr="00182E2D" w:rsidRDefault="00BF4753" w:rsidP="002D7CA8">
            <w:pPr>
              <w:ind w:firstLine="0"/>
              <w:jc w:val="left"/>
              <w:rPr>
                <w:rFonts w:eastAsia="Times New Roman"/>
                <w:sz w:val="20"/>
              </w:rPr>
            </w:pPr>
            <w:r w:rsidRPr="00182E2D">
              <w:rPr>
                <w:rFonts w:eastAsia="Times New Roman"/>
                <w:sz w:val="20"/>
              </w:rPr>
              <w:t>Atbrīvojumu par CO</w:t>
            </w:r>
            <w:r w:rsidRPr="00182E2D">
              <w:rPr>
                <w:rFonts w:eastAsia="Times New Roman"/>
                <w:sz w:val="20"/>
                <w:vertAlign w:val="subscript"/>
              </w:rPr>
              <w:t>2</w:t>
            </w:r>
            <w:r w:rsidRPr="00182E2D">
              <w:rPr>
                <w:rFonts w:eastAsia="Times New Roman"/>
                <w:sz w:val="20"/>
              </w:rPr>
              <w:t xml:space="preserve"> emisijām kūdras izmantošanai stacionārajās tehnoloģiskajās iekārtās atcelšana ar 01.01.2021. un likmes paaugstināšana 2022.gadā</w:t>
            </w:r>
          </w:p>
        </w:tc>
        <w:tc>
          <w:tcPr>
            <w:tcW w:w="851" w:type="dxa"/>
          </w:tcPr>
          <w:p w:rsidR="00BF4753" w:rsidRPr="00182E2D" w:rsidRDefault="00BF4753" w:rsidP="002D7CA8">
            <w:pPr>
              <w:ind w:firstLine="0"/>
              <w:jc w:val="right"/>
              <w:rPr>
                <w:sz w:val="20"/>
              </w:rPr>
            </w:pPr>
            <w:r w:rsidRPr="00182E2D">
              <w:rPr>
                <w:sz w:val="20"/>
              </w:rPr>
              <w:t>+0,05</w:t>
            </w:r>
          </w:p>
        </w:tc>
        <w:tc>
          <w:tcPr>
            <w:tcW w:w="709" w:type="dxa"/>
          </w:tcPr>
          <w:p w:rsidR="00BF4753" w:rsidRPr="00182E2D" w:rsidRDefault="00BF4753" w:rsidP="002D7CA8">
            <w:pPr>
              <w:ind w:firstLine="0"/>
              <w:jc w:val="right"/>
              <w:rPr>
                <w:sz w:val="20"/>
              </w:rPr>
            </w:pPr>
            <w:r w:rsidRPr="00182E2D">
              <w:rPr>
                <w:sz w:val="20"/>
              </w:rPr>
              <w:t>+0,01</w:t>
            </w:r>
          </w:p>
        </w:tc>
        <w:tc>
          <w:tcPr>
            <w:tcW w:w="708" w:type="dxa"/>
          </w:tcPr>
          <w:p w:rsidR="00BF4753" w:rsidRPr="00182E2D" w:rsidRDefault="00BF4753" w:rsidP="002D7CA8">
            <w:pPr>
              <w:tabs>
                <w:tab w:val="decimal" w:pos="458"/>
              </w:tabs>
              <w:ind w:firstLine="0"/>
              <w:jc w:val="right"/>
              <w:rPr>
                <w:rFonts w:eastAsia="Times New Roman"/>
                <w:sz w:val="20"/>
              </w:rPr>
            </w:pPr>
          </w:p>
        </w:tc>
        <w:tc>
          <w:tcPr>
            <w:tcW w:w="678" w:type="dxa"/>
          </w:tcPr>
          <w:p w:rsidR="00BF4753" w:rsidRPr="00182E2D" w:rsidRDefault="00BF4753" w:rsidP="002D7CA8">
            <w:pPr>
              <w:tabs>
                <w:tab w:val="decimal" w:pos="458"/>
              </w:tabs>
              <w:ind w:firstLine="0"/>
              <w:jc w:val="right"/>
              <w:rPr>
                <w:rFonts w:eastAsia="Times New Roman"/>
                <w:b/>
                <w:bCs/>
                <w:sz w:val="20"/>
              </w:rPr>
            </w:pPr>
          </w:p>
        </w:tc>
      </w:tr>
      <w:tr w:rsidR="00BF4753" w:rsidRPr="00182E2D" w:rsidTr="002D7CA8">
        <w:trPr>
          <w:trHeight w:val="440"/>
          <w:jc w:val="center"/>
        </w:trPr>
        <w:tc>
          <w:tcPr>
            <w:tcW w:w="6232" w:type="dxa"/>
          </w:tcPr>
          <w:p w:rsidR="00BF4753" w:rsidRPr="00182E2D" w:rsidRDefault="00BF4753" w:rsidP="002D7CA8">
            <w:pPr>
              <w:ind w:firstLine="0"/>
              <w:jc w:val="left"/>
              <w:rPr>
                <w:rFonts w:eastAsia="Times New Roman"/>
                <w:sz w:val="20"/>
              </w:rPr>
            </w:pPr>
            <w:r w:rsidRPr="00182E2D">
              <w:rPr>
                <w:rFonts w:eastAsia="Times New Roman"/>
                <w:sz w:val="20"/>
              </w:rPr>
              <w:t>Dabas resursu nodokļa likmju par gaisa piesārņošanu  (PM</w:t>
            </w:r>
            <w:r w:rsidRPr="00182E2D">
              <w:rPr>
                <w:rFonts w:eastAsia="Times New Roman"/>
                <w:sz w:val="20"/>
                <w:vertAlign w:val="subscript"/>
              </w:rPr>
              <w:t>10</w:t>
            </w:r>
            <w:r w:rsidRPr="00182E2D">
              <w:rPr>
                <w:rFonts w:eastAsia="Times New Roman"/>
                <w:sz w:val="20"/>
              </w:rPr>
              <w:t>, NX</w:t>
            </w:r>
            <w:r w:rsidRPr="00182E2D">
              <w:rPr>
                <w:rFonts w:eastAsia="Times New Roman"/>
                <w:sz w:val="20"/>
                <w:vertAlign w:val="subscript"/>
              </w:rPr>
              <w:t>3</w:t>
            </w:r>
            <w:r w:rsidRPr="00182E2D">
              <w:rPr>
                <w:rFonts w:eastAsia="Times New Roman"/>
                <w:sz w:val="20"/>
              </w:rPr>
              <w:t xml:space="preserve"> un NO</w:t>
            </w:r>
            <w:r w:rsidRPr="00182E2D">
              <w:rPr>
                <w:rFonts w:eastAsia="Times New Roman"/>
                <w:sz w:val="20"/>
                <w:vertAlign w:val="subscript"/>
              </w:rPr>
              <w:t>x</w:t>
            </w:r>
            <w:r w:rsidRPr="00182E2D">
              <w:rPr>
                <w:rFonts w:eastAsia="Times New Roman"/>
                <w:sz w:val="20"/>
              </w:rPr>
              <w:t>) paaugstināšana</w:t>
            </w:r>
          </w:p>
        </w:tc>
        <w:tc>
          <w:tcPr>
            <w:tcW w:w="851" w:type="dxa"/>
          </w:tcPr>
          <w:p w:rsidR="00BF4753" w:rsidRPr="00182E2D" w:rsidRDefault="00BF4753" w:rsidP="002D7CA8">
            <w:pPr>
              <w:ind w:firstLine="0"/>
              <w:jc w:val="right"/>
              <w:rPr>
                <w:sz w:val="20"/>
              </w:rPr>
            </w:pPr>
            <w:r w:rsidRPr="00182E2D">
              <w:rPr>
                <w:sz w:val="20"/>
              </w:rPr>
              <w:t>+0,6</w:t>
            </w:r>
          </w:p>
        </w:tc>
        <w:tc>
          <w:tcPr>
            <w:tcW w:w="709" w:type="dxa"/>
          </w:tcPr>
          <w:p w:rsidR="00BF4753" w:rsidRPr="00182E2D" w:rsidRDefault="00BF4753" w:rsidP="002D7CA8">
            <w:pPr>
              <w:ind w:firstLine="0"/>
              <w:jc w:val="right"/>
              <w:rPr>
                <w:sz w:val="20"/>
              </w:rPr>
            </w:pPr>
            <w:r w:rsidRPr="00182E2D">
              <w:rPr>
                <w:sz w:val="20"/>
              </w:rPr>
              <w:t>+0,3</w:t>
            </w:r>
          </w:p>
        </w:tc>
        <w:tc>
          <w:tcPr>
            <w:tcW w:w="708" w:type="dxa"/>
          </w:tcPr>
          <w:p w:rsidR="00BF4753" w:rsidRPr="00182E2D" w:rsidRDefault="00BF4753" w:rsidP="002D7CA8">
            <w:pPr>
              <w:tabs>
                <w:tab w:val="decimal" w:pos="458"/>
              </w:tabs>
              <w:ind w:firstLine="0"/>
              <w:jc w:val="right"/>
              <w:rPr>
                <w:rFonts w:eastAsia="Times New Roman"/>
                <w:sz w:val="20"/>
              </w:rPr>
            </w:pPr>
            <w:r w:rsidRPr="00182E2D">
              <w:rPr>
                <w:rFonts w:eastAsia="Times New Roman"/>
                <w:sz w:val="20"/>
              </w:rPr>
              <w:t>+0,3</w:t>
            </w:r>
          </w:p>
        </w:tc>
        <w:tc>
          <w:tcPr>
            <w:tcW w:w="678" w:type="dxa"/>
          </w:tcPr>
          <w:p w:rsidR="00BF4753" w:rsidRPr="00182E2D" w:rsidRDefault="00BF4753" w:rsidP="002D7CA8">
            <w:pPr>
              <w:tabs>
                <w:tab w:val="decimal" w:pos="458"/>
              </w:tabs>
              <w:ind w:firstLine="0"/>
              <w:jc w:val="right"/>
              <w:rPr>
                <w:rFonts w:eastAsia="Times New Roman"/>
                <w:b/>
                <w:bCs/>
                <w:sz w:val="20"/>
              </w:rPr>
            </w:pPr>
          </w:p>
        </w:tc>
      </w:tr>
      <w:tr w:rsidR="00BF4753" w:rsidRPr="00182E2D" w:rsidTr="002D7CA8">
        <w:trPr>
          <w:trHeight w:val="451"/>
          <w:jc w:val="center"/>
        </w:trPr>
        <w:tc>
          <w:tcPr>
            <w:tcW w:w="6232" w:type="dxa"/>
          </w:tcPr>
          <w:p w:rsidR="00BF4753" w:rsidRPr="00182E2D" w:rsidRDefault="00BF4753" w:rsidP="002D7CA8">
            <w:pPr>
              <w:ind w:firstLine="0"/>
              <w:jc w:val="left"/>
              <w:rPr>
                <w:rFonts w:eastAsia="Times New Roman"/>
                <w:sz w:val="20"/>
              </w:rPr>
            </w:pPr>
            <w:r w:rsidRPr="00182E2D">
              <w:rPr>
                <w:rFonts w:eastAsia="Times New Roman"/>
                <w:sz w:val="20"/>
              </w:rPr>
              <w:t>Fiksētā nodokļa maksājuma par C kategorijas piesārņojošu darbību paaugstināšana</w:t>
            </w:r>
          </w:p>
        </w:tc>
        <w:tc>
          <w:tcPr>
            <w:tcW w:w="851" w:type="dxa"/>
          </w:tcPr>
          <w:p w:rsidR="00BF4753" w:rsidRPr="00182E2D" w:rsidRDefault="00BF4753" w:rsidP="002D7CA8">
            <w:pPr>
              <w:tabs>
                <w:tab w:val="decimal" w:pos="458"/>
              </w:tabs>
              <w:ind w:firstLine="0"/>
              <w:jc w:val="right"/>
              <w:rPr>
                <w:rFonts w:eastAsia="Times New Roman"/>
                <w:sz w:val="20"/>
              </w:rPr>
            </w:pPr>
            <w:r w:rsidRPr="00182E2D">
              <w:rPr>
                <w:rFonts w:eastAsia="Times New Roman"/>
                <w:sz w:val="20"/>
              </w:rPr>
              <w:t>+0,2</w:t>
            </w:r>
          </w:p>
        </w:tc>
        <w:tc>
          <w:tcPr>
            <w:tcW w:w="709" w:type="dxa"/>
          </w:tcPr>
          <w:p w:rsidR="00BF4753" w:rsidRPr="00182E2D" w:rsidRDefault="00BF4753" w:rsidP="002D7CA8">
            <w:pPr>
              <w:tabs>
                <w:tab w:val="decimal" w:pos="458"/>
              </w:tabs>
              <w:ind w:firstLine="0"/>
              <w:jc w:val="right"/>
              <w:rPr>
                <w:rFonts w:eastAsia="Times New Roman"/>
                <w:sz w:val="20"/>
              </w:rPr>
            </w:pPr>
            <w:r w:rsidRPr="00182E2D">
              <w:rPr>
                <w:rFonts w:eastAsia="Times New Roman"/>
                <w:sz w:val="20"/>
              </w:rPr>
              <w:t>+0,1</w:t>
            </w:r>
          </w:p>
        </w:tc>
        <w:tc>
          <w:tcPr>
            <w:tcW w:w="708" w:type="dxa"/>
          </w:tcPr>
          <w:p w:rsidR="00BF4753" w:rsidRPr="00182E2D" w:rsidRDefault="00BF4753" w:rsidP="002D7CA8">
            <w:pPr>
              <w:tabs>
                <w:tab w:val="decimal" w:pos="458"/>
              </w:tabs>
              <w:ind w:firstLine="0"/>
              <w:jc w:val="right"/>
              <w:rPr>
                <w:rFonts w:eastAsia="Times New Roman"/>
                <w:sz w:val="20"/>
              </w:rPr>
            </w:pPr>
            <w:r w:rsidRPr="00182E2D">
              <w:rPr>
                <w:rFonts w:eastAsia="Times New Roman"/>
                <w:sz w:val="20"/>
              </w:rPr>
              <w:t>+0,1</w:t>
            </w:r>
          </w:p>
        </w:tc>
        <w:tc>
          <w:tcPr>
            <w:tcW w:w="678" w:type="dxa"/>
          </w:tcPr>
          <w:p w:rsidR="00BF4753" w:rsidRPr="00182E2D" w:rsidRDefault="00BF4753" w:rsidP="002D7CA8">
            <w:pPr>
              <w:tabs>
                <w:tab w:val="decimal" w:pos="458"/>
              </w:tabs>
              <w:ind w:firstLine="0"/>
              <w:jc w:val="right"/>
              <w:rPr>
                <w:rFonts w:eastAsia="Times New Roman"/>
                <w:b/>
                <w:bCs/>
                <w:sz w:val="20"/>
              </w:rPr>
            </w:pPr>
          </w:p>
        </w:tc>
      </w:tr>
      <w:tr w:rsidR="00BF4753" w:rsidRPr="00182E2D" w:rsidTr="002D7CA8">
        <w:trPr>
          <w:trHeight w:val="232"/>
          <w:jc w:val="center"/>
        </w:trPr>
        <w:tc>
          <w:tcPr>
            <w:tcW w:w="6232" w:type="dxa"/>
          </w:tcPr>
          <w:p w:rsidR="00BF4753" w:rsidRPr="00182E2D" w:rsidRDefault="00BF4753" w:rsidP="002D7CA8">
            <w:pPr>
              <w:ind w:firstLine="0"/>
              <w:jc w:val="right"/>
              <w:rPr>
                <w:rFonts w:eastAsia="Times New Roman"/>
                <w:b/>
                <w:bCs/>
                <w:sz w:val="20"/>
              </w:rPr>
            </w:pPr>
            <w:r w:rsidRPr="00182E2D">
              <w:rPr>
                <w:rFonts w:eastAsia="Times New Roman"/>
                <w:b/>
                <w:bCs/>
                <w:sz w:val="20"/>
              </w:rPr>
              <w:t>Izmaiņu ietekme kopā:</w:t>
            </w:r>
          </w:p>
        </w:tc>
        <w:tc>
          <w:tcPr>
            <w:tcW w:w="851" w:type="dxa"/>
          </w:tcPr>
          <w:p w:rsidR="00BF4753" w:rsidRPr="00182E2D" w:rsidRDefault="00BF4753" w:rsidP="002D7CA8">
            <w:pPr>
              <w:ind w:firstLine="0"/>
              <w:jc w:val="right"/>
              <w:rPr>
                <w:b/>
                <w:bCs/>
                <w:sz w:val="20"/>
              </w:rPr>
            </w:pPr>
            <w:r w:rsidRPr="00182E2D">
              <w:rPr>
                <w:b/>
                <w:bCs/>
                <w:sz w:val="20"/>
              </w:rPr>
              <w:t>+4,7</w:t>
            </w:r>
          </w:p>
        </w:tc>
        <w:tc>
          <w:tcPr>
            <w:tcW w:w="709" w:type="dxa"/>
          </w:tcPr>
          <w:p w:rsidR="00BF4753" w:rsidRPr="00182E2D" w:rsidRDefault="00BF4753" w:rsidP="002D7CA8">
            <w:pPr>
              <w:ind w:firstLine="0"/>
              <w:jc w:val="right"/>
              <w:rPr>
                <w:b/>
                <w:bCs/>
                <w:sz w:val="20"/>
              </w:rPr>
            </w:pPr>
            <w:r w:rsidRPr="00182E2D">
              <w:rPr>
                <w:b/>
                <w:bCs/>
                <w:sz w:val="20"/>
              </w:rPr>
              <w:t>+3,2</w:t>
            </w:r>
          </w:p>
        </w:tc>
        <w:tc>
          <w:tcPr>
            <w:tcW w:w="708" w:type="dxa"/>
          </w:tcPr>
          <w:p w:rsidR="00BF4753" w:rsidRPr="00182E2D" w:rsidRDefault="00BF4753" w:rsidP="002D7CA8">
            <w:pPr>
              <w:ind w:firstLine="0"/>
              <w:jc w:val="right"/>
              <w:rPr>
                <w:b/>
                <w:bCs/>
                <w:sz w:val="20"/>
              </w:rPr>
            </w:pPr>
            <w:r w:rsidRPr="00182E2D">
              <w:rPr>
                <w:b/>
                <w:bCs/>
                <w:sz w:val="20"/>
              </w:rPr>
              <w:t>+2,1</w:t>
            </w:r>
          </w:p>
        </w:tc>
        <w:tc>
          <w:tcPr>
            <w:tcW w:w="678" w:type="dxa"/>
          </w:tcPr>
          <w:p w:rsidR="00BF4753" w:rsidRPr="00182E2D" w:rsidRDefault="00BF4753" w:rsidP="002D7CA8">
            <w:pPr>
              <w:ind w:firstLine="0"/>
              <w:jc w:val="right"/>
              <w:rPr>
                <w:b/>
                <w:bCs/>
                <w:sz w:val="20"/>
              </w:rPr>
            </w:pPr>
          </w:p>
        </w:tc>
      </w:tr>
    </w:tbl>
    <w:p w:rsidR="00BF4753" w:rsidRDefault="00BF4753" w:rsidP="00BF4753">
      <w:pPr>
        <w:pStyle w:val="Heading1"/>
      </w:pPr>
      <w:bookmarkStart w:id="47" w:name="_Toc68335013"/>
      <w:r w:rsidRPr="00EB4E03">
        <w:rPr>
          <w:bCs w:val="0"/>
          <w:smallCaps w:val="0"/>
        </w:rPr>
        <w:lastRenderedPageBreak/>
        <w:t>6.</w:t>
      </w:r>
      <w:r>
        <w:t xml:space="preserve"> </w:t>
      </w:r>
      <w:r w:rsidRPr="007811D1">
        <w:t>Publisko finanšu ilgtspēja</w:t>
      </w:r>
      <w:bookmarkEnd w:id="47"/>
    </w:p>
    <w:p w:rsidR="00BF4753" w:rsidRDefault="00BF4753" w:rsidP="00BF4753">
      <w:pPr>
        <w:pStyle w:val="Heading2"/>
        <w:numPr>
          <w:ilvl w:val="0"/>
          <w:numId w:val="0"/>
        </w:numPr>
        <w:spacing w:before="240" w:after="240"/>
        <w:rPr>
          <w:rFonts w:eastAsia="Times New Roman"/>
          <w:lang w:eastAsia="lv-LV"/>
        </w:rPr>
      </w:pPr>
      <w:bookmarkStart w:id="48" w:name="_Toc68335014"/>
      <w:r w:rsidRPr="00896977">
        <w:rPr>
          <w:rFonts w:eastAsia="Times New Roman"/>
          <w:lang w:eastAsia="lv-LV"/>
        </w:rPr>
        <w:t>6.1. Publisko finanšu ilgtermiņa attīstības scenārijs</w:t>
      </w:r>
      <w:bookmarkEnd w:id="48"/>
    </w:p>
    <w:p w:rsidR="00BF4753" w:rsidRPr="000E7C35" w:rsidRDefault="00BF4753" w:rsidP="00BF4753">
      <w:pPr>
        <w:autoSpaceDE w:val="0"/>
        <w:autoSpaceDN w:val="0"/>
        <w:adjustRightInd w:val="0"/>
        <w:rPr>
          <w:rFonts w:eastAsia="Times New Roman" w:cs="Times New Roman"/>
          <w:szCs w:val="24"/>
        </w:rPr>
      </w:pPr>
      <w:r w:rsidRPr="000E7C35">
        <w:rPr>
          <w:rFonts w:eastAsia="Times New Roman" w:cs="Times New Roman"/>
          <w:szCs w:val="24"/>
        </w:rPr>
        <w:t>Reizi trijos gados Eiropas Komisija sadarbībā ar dalībvalstīm Ekonomiskās politikas komitejas Iedzīvotāju novecošanās darba grupas ietvaros izstrādā ilgtermiņa ar novecošanos saistītu budžeta izdevumu prognozes. Aktuālākās budžeta izdevumu prognozes, kuras darba grupa izstrādāja 2020. gada otrā pusē, tiks publicētas Novecošanās ziņojumā 2021 (</w:t>
      </w:r>
      <w:r w:rsidR="003F1C79">
        <w:rPr>
          <w:rFonts w:eastAsia="Times New Roman" w:cs="Times New Roman"/>
          <w:i/>
          <w:iCs/>
          <w:noProof/>
          <w:szCs w:val="24"/>
        </w:rPr>
        <w:t>Age</w:t>
      </w:r>
      <w:r w:rsidRPr="000E7C35">
        <w:rPr>
          <w:rFonts w:eastAsia="Times New Roman" w:cs="Times New Roman"/>
          <w:i/>
          <w:iCs/>
          <w:noProof/>
          <w:szCs w:val="24"/>
        </w:rPr>
        <w:t>ing Report 2021</w:t>
      </w:r>
      <w:r w:rsidRPr="000E7C35">
        <w:rPr>
          <w:rFonts w:eastAsia="Times New Roman" w:cs="Times New Roman"/>
          <w:szCs w:val="24"/>
        </w:rPr>
        <w:t>).</w:t>
      </w:r>
    </w:p>
    <w:p w:rsidR="00BF4753" w:rsidRPr="000E7C35" w:rsidRDefault="00BF4753" w:rsidP="00BF4753">
      <w:pPr>
        <w:autoSpaceDE w:val="0"/>
        <w:autoSpaceDN w:val="0"/>
        <w:adjustRightInd w:val="0"/>
        <w:rPr>
          <w:rFonts w:eastAsia="Times New Roman" w:cs="Times New Roman"/>
          <w:noProof/>
          <w:szCs w:val="24"/>
        </w:rPr>
      </w:pPr>
      <w:r w:rsidRPr="000E7C35">
        <w:rPr>
          <w:rFonts w:eastAsia="Times New Roman" w:cs="Times New Roman"/>
          <w:noProof/>
          <w:szCs w:val="24"/>
        </w:rPr>
        <w:t xml:space="preserve">Atjaunojot publisko izdevumu prognozes līdz 2070. gadam, tika ņemtas vērā </w:t>
      </w:r>
      <w:r>
        <w:rPr>
          <w:rFonts w:eastAsia="Times New Roman" w:cs="Times New Roman"/>
          <w:noProof/>
          <w:szCs w:val="24"/>
        </w:rPr>
        <w:t xml:space="preserve">Eiropas Savienības Statistikas biroja </w:t>
      </w:r>
      <w:r w:rsidRPr="000E7C35">
        <w:rPr>
          <w:rFonts w:eastAsia="Times New Roman" w:cs="Times New Roman"/>
          <w:i/>
          <w:iCs/>
          <w:noProof/>
          <w:szCs w:val="24"/>
        </w:rPr>
        <w:t>Eurostat</w:t>
      </w:r>
      <w:r w:rsidRPr="000E7C35">
        <w:rPr>
          <w:rFonts w:eastAsia="Times New Roman" w:cs="Times New Roman"/>
          <w:noProof/>
          <w:szCs w:val="24"/>
        </w:rPr>
        <w:t xml:space="preserve"> sagatavotās demogrāfiskās prognozes EUROPOP2019, kā arī Eiropas Komisijas sagatavotās makroekonomisko rādītāju prognozes ilgam termiņam. Prognozēšanas metodoloģija, kas ir vienota visām dalībvalstīm, ir izdiskutēta un apstiprināta </w:t>
      </w:r>
      <w:r w:rsidRPr="000E7C35">
        <w:rPr>
          <w:rFonts w:eastAsia="Times New Roman" w:cs="Times New Roman"/>
          <w:szCs w:val="24"/>
        </w:rPr>
        <w:t xml:space="preserve">Ekonomiskās politikas komitejas </w:t>
      </w:r>
      <w:r w:rsidRPr="000E7C35">
        <w:rPr>
          <w:rFonts w:eastAsia="Times New Roman" w:cs="Times New Roman"/>
          <w:noProof/>
          <w:szCs w:val="24"/>
        </w:rPr>
        <w:t xml:space="preserve">darba grupā, kā arī publicēta </w:t>
      </w:r>
      <w:r w:rsidRPr="000E7C35">
        <w:rPr>
          <w:rFonts w:eastAsia="Times New Roman" w:cs="Times New Roman"/>
          <w:i/>
          <w:iCs/>
          <w:noProof/>
          <w:szCs w:val="24"/>
        </w:rPr>
        <w:t>Ageing Report 2021: Underlying Assumptions and Projection Methodologies.</w:t>
      </w:r>
    </w:p>
    <w:p w:rsidR="00BF4753" w:rsidRPr="000E7C35" w:rsidRDefault="00BF4753" w:rsidP="00BF4753">
      <w:pPr>
        <w:rPr>
          <w:rFonts w:eastAsia="Times New Roman" w:cs="Times New Roman"/>
          <w:bCs/>
          <w:szCs w:val="20"/>
        </w:rPr>
      </w:pPr>
      <w:r w:rsidRPr="000E7C35">
        <w:rPr>
          <w:rFonts w:eastAsia="Times New Roman" w:cs="Times New Roman"/>
          <w:noProof/>
          <w:szCs w:val="20"/>
          <w:lang w:eastAsia="lv-LV"/>
        </w:rPr>
        <w:drawing>
          <wp:anchor distT="0" distB="0" distL="114300" distR="114300" simplePos="0" relativeHeight="251672576" behindDoc="0" locked="0" layoutInCell="1" allowOverlap="1" wp14:anchorId="06586BC7" wp14:editId="092B6A51">
            <wp:simplePos x="0" y="0"/>
            <wp:positionH relativeFrom="margin">
              <wp:posOffset>3126740</wp:posOffset>
            </wp:positionH>
            <wp:positionV relativeFrom="page">
              <wp:posOffset>5224780</wp:posOffset>
            </wp:positionV>
            <wp:extent cx="3111500" cy="217995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014" t="4187" r="7108"/>
                    <a:stretch/>
                  </pic:blipFill>
                  <pic:spPr bwMode="auto">
                    <a:xfrm>
                      <a:off x="0" y="0"/>
                      <a:ext cx="311150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7C35">
        <w:rPr>
          <w:rFonts w:eastAsia="Calibri" w:cs="Times New Roman"/>
          <w:b/>
          <w:noProof/>
          <w:szCs w:val="24"/>
          <w:lang w:eastAsia="lv-LV"/>
        </w:rPr>
        <w:drawing>
          <wp:anchor distT="0" distB="0" distL="114300" distR="114300" simplePos="0" relativeHeight="251671552" behindDoc="0" locked="0" layoutInCell="1" allowOverlap="1" wp14:anchorId="619A61AB" wp14:editId="7AA1B875">
            <wp:simplePos x="0" y="0"/>
            <wp:positionH relativeFrom="margin">
              <wp:posOffset>-34290</wp:posOffset>
            </wp:positionH>
            <wp:positionV relativeFrom="page">
              <wp:posOffset>5255260</wp:posOffset>
            </wp:positionV>
            <wp:extent cx="3117850" cy="2159635"/>
            <wp:effectExtent l="0" t="0" r="635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r="5846"/>
                    <a:stretch/>
                  </pic:blipFill>
                  <pic:spPr bwMode="auto">
                    <a:xfrm>
                      <a:off x="0" y="0"/>
                      <a:ext cx="311785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7C35">
        <w:rPr>
          <w:rFonts w:eastAsia="Times New Roman" w:cs="Times New Roman"/>
          <w:color w:val="000000"/>
          <w:szCs w:val="24"/>
        </w:rPr>
        <w:t xml:space="preserve">EUROPOP2019 prognozēs bāzes gads ir 2019. gads, un Latvijā 2019. gada sākumā iedzīvotāju skaits bija 1,92 milj. cilvēku, kas ir, piemēram, par 200 tūkst. mazāk nekā 2010. gadā. </w:t>
      </w:r>
      <w:r w:rsidRPr="000E7C35">
        <w:rPr>
          <w:rFonts w:eastAsia="Times New Roman" w:cs="Times New Roman"/>
          <w:bCs/>
          <w:szCs w:val="20"/>
        </w:rPr>
        <w:t xml:space="preserve">Atbilstoši demogrāfisko prognožu bāzes scenārijam tiek prognozēts, ka Latvijā iedzīvotāju skaits samazināsies līdz </w:t>
      </w:r>
      <w:r>
        <w:rPr>
          <w:rFonts w:eastAsia="Times New Roman" w:cs="Times New Roman"/>
          <w:bCs/>
          <w:szCs w:val="20"/>
        </w:rPr>
        <w:t>1,26 milj.</w:t>
      </w:r>
      <w:r w:rsidRPr="000E7C35">
        <w:rPr>
          <w:rFonts w:eastAsia="Times New Roman" w:cs="Times New Roman"/>
          <w:bCs/>
          <w:szCs w:val="20"/>
        </w:rPr>
        <w:t xml:space="preserve"> 2060. gadā un tālāk līdz 1,08 </w:t>
      </w:r>
      <w:r>
        <w:rPr>
          <w:rFonts w:eastAsia="Times New Roman" w:cs="Times New Roman"/>
          <w:bCs/>
          <w:szCs w:val="20"/>
        </w:rPr>
        <w:t>milj.</w:t>
      </w:r>
      <w:r w:rsidRPr="000E7C35">
        <w:rPr>
          <w:rFonts w:eastAsia="Times New Roman" w:cs="Times New Roman"/>
          <w:bCs/>
          <w:szCs w:val="20"/>
        </w:rPr>
        <w:t xml:space="preserve"> iedzīvotāju 2100. gadā. </w:t>
      </w:r>
    </w:p>
    <w:p w:rsidR="00BF4753" w:rsidRPr="000E7C35" w:rsidRDefault="00BF4753" w:rsidP="00BF4753">
      <w:pPr>
        <w:spacing w:after="120"/>
        <w:rPr>
          <w:rFonts w:eastAsia="Times New Roman" w:cs="Times New Roman"/>
          <w:bCs/>
          <w:sz w:val="24"/>
          <w:szCs w:val="20"/>
        </w:rPr>
        <w:sectPr w:rsidR="00BF4753" w:rsidRPr="000E7C35" w:rsidSect="00DF7465">
          <w:headerReference w:type="even" r:id="rId41"/>
          <w:headerReference w:type="default" r:id="rId42"/>
          <w:footerReference w:type="even" r:id="rId43"/>
          <w:footerReference w:type="default" r:id="rId44"/>
          <w:headerReference w:type="first" r:id="rId45"/>
          <w:type w:val="continuous"/>
          <w:pgSz w:w="11906" w:h="16838" w:code="9"/>
          <w:pgMar w:top="1418" w:right="1134" w:bottom="851" w:left="1418" w:header="709" w:footer="709" w:gutter="0"/>
          <w:cols w:space="709"/>
          <w:titlePg/>
          <w:docGrid w:linePitch="381"/>
        </w:sectPr>
      </w:pPr>
    </w:p>
    <w:p w:rsidR="00BF4753" w:rsidRPr="000E7C35" w:rsidRDefault="00BF4753" w:rsidP="00BF4753">
      <w:pPr>
        <w:spacing w:after="120"/>
        <w:ind w:left="720" w:firstLine="0"/>
        <w:jc w:val="center"/>
        <w:rPr>
          <w:rFonts w:eastAsia="Calibri" w:cs="Times New Roman"/>
          <w:b/>
          <w:i/>
          <w:sz w:val="24"/>
          <w:szCs w:val="24"/>
        </w:rPr>
      </w:pPr>
      <w:r w:rsidRPr="000E7C35">
        <w:rPr>
          <w:rFonts w:eastAsia="Calibri" w:cs="Times New Roman"/>
          <w:b/>
          <w:i/>
          <w:sz w:val="24"/>
          <w:szCs w:val="24"/>
        </w:rPr>
        <w:t>6.1.</w:t>
      </w:r>
      <w:r>
        <w:rPr>
          <w:rFonts w:eastAsia="Calibri" w:cs="Times New Roman"/>
          <w:b/>
          <w:i/>
          <w:sz w:val="24"/>
          <w:szCs w:val="24"/>
        </w:rPr>
        <w:t xml:space="preserve"> </w:t>
      </w:r>
      <w:r w:rsidRPr="000E7C35">
        <w:rPr>
          <w:rFonts w:eastAsia="Calibri" w:cs="Times New Roman"/>
          <w:b/>
          <w:i/>
          <w:sz w:val="24"/>
          <w:szCs w:val="24"/>
        </w:rPr>
        <w:t>att. Iedzīvotāju skaits</w:t>
      </w:r>
      <w:r w:rsidRPr="000E7C35">
        <w:rPr>
          <w:rFonts w:eastAsia="Calibri" w:cs="Times New Roman"/>
          <w:b/>
          <w:i/>
          <w:sz w:val="24"/>
          <w:szCs w:val="24"/>
        </w:rPr>
        <w:br/>
        <w:t xml:space="preserve">(Datu avots: </w:t>
      </w:r>
      <w:r w:rsidRPr="000E7C35">
        <w:rPr>
          <w:rFonts w:eastAsia="Calibri" w:cs="Times New Roman"/>
          <w:b/>
          <w:i/>
          <w:noProof/>
          <w:sz w:val="24"/>
          <w:szCs w:val="24"/>
        </w:rPr>
        <w:t>Eurostat</w:t>
      </w:r>
      <w:r w:rsidRPr="000E7C35">
        <w:rPr>
          <w:rFonts w:eastAsia="Calibri" w:cs="Times New Roman"/>
          <w:b/>
          <w:i/>
          <w:sz w:val="24"/>
          <w:szCs w:val="24"/>
        </w:rPr>
        <w:t>)</w:t>
      </w:r>
    </w:p>
    <w:p w:rsidR="00BF4753" w:rsidRPr="000E7C35" w:rsidRDefault="00BF4753" w:rsidP="00BF4753">
      <w:pPr>
        <w:spacing w:after="120"/>
        <w:rPr>
          <w:rFonts w:eastAsia="Times New Roman" w:cs="Times New Roman"/>
          <w:bCs/>
          <w:i/>
          <w:sz w:val="24"/>
          <w:szCs w:val="20"/>
        </w:rPr>
      </w:pPr>
    </w:p>
    <w:p w:rsidR="00BF4753" w:rsidRPr="000E7C35" w:rsidRDefault="00BF4753" w:rsidP="00BF4753">
      <w:pPr>
        <w:spacing w:after="120"/>
        <w:ind w:firstLine="0"/>
        <w:jc w:val="center"/>
        <w:rPr>
          <w:rFonts w:eastAsia="Calibri" w:cs="Times New Roman"/>
          <w:b/>
          <w:i/>
          <w:sz w:val="24"/>
          <w:szCs w:val="24"/>
        </w:rPr>
      </w:pPr>
      <w:r w:rsidRPr="000E7C35">
        <w:rPr>
          <w:rFonts w:eastAsia="Calibri" w:cs="Times New Roman"/>
          <w:b/>
          <w:i/>
          <w:sz w:val="24"/>
          <w:szCs w:val="24"/>
        </w:rPr>
        <w:t>6.2.</w:t>
      </w:r>
      <w:r>
        <w:rPr>
          <w:rFonts w:eastAsia="Calibri" w:cs="Times New Roman"/>
          <w:b/>
          <w:i/>
          <w:sz w:val="24"/>
          <w:szCs w:val="24"/>
        </w:rPr>
        <w:t xml:space="preserve"> </w:t>
      </w:r>
      <w:r w:rsidRPr="000E7C35">
        <w:rPr>
          <w:rFonts w:eastAsia="Calibri" w:cs="Times New Roman"/>
          <w:b/>
          <w:i/>
          <w:sz w:val="24"/>
          <w:szCs w:val="24"/>
        </w:rPr>
        <w:t>att. 65+ iedzīvotāju īpatsvars, 15-64 iedzīvotāju skaitā, %</w:t>
      </w:r>
      <w:r w:rsidRPr="000E7C35">
        <w:rPr>
          <w:rFonts w:eastAsia="Calibri" w:cs="Times New Roman"/>
          <w:b/>
          <w:i/>
          <w:sz w:val="24"/>
          <w:szCs w:val="24"/>
        </w:rPr>
        <w:br/>
        <w:t xml:space="preserve">(Datu avots: </w:t>
      </w:r>
      <w:r w:rsidRPr="000E7C35">
        <w:rPr>
          <w:rFonts w:eastAsia="Calibri" w:cs="Times New Roman"/>
          <w:b/>
          <w:i/>
          <w:noProof/>
          <w:sz w:val="24"/>
          <w:szCs w:val="24"/>
        </w:rPr>
        <w:t>Eurostat</w:t>
      </w:r>
      <w:r w:rsidRPr="000E7C35">
        <w:rPr>
          <w:rFonts w:eastAsia="Calibri" w:cs="Times New Roman"/>
          <w:b/>
          <w:i/>
          <w:sz w:val="24"/>
          <w:szCs w:val="24"/>
        </w:rPr>
        <w:t>)</w:t>
      </w:r>
    </w:p>
    <w:p w:rsidR="00BF4753" w:rsidRPr="000E7C35" w:rsidRDefault="00BF4753" w:rsidP="00BF4753">
      <w:pPr>
        <w:spacing w:after="120"/>
        <w:ind w:firstLine="0"/>
        <w:rPr>
          <w:rFonts w:eastAsia="Calibri" w:cs="Times New Roman"/>
          <w:b/>
          <w:sz w:val="24"/>
          <w:szCs w:val="24"/>
        </w:rPr>
        <w:sectPr w:rsidR="00BF4753" w:rsidRPr="000E7C35" w:rsidSect="002D7CA8">
          <w:type w:val="continuous"/>
          <w:pgSz w:w="11906" w:h="16838" w:code="9"/>
          <w:pgMar w:top="1418" w:right="1134" w:bottom="709" w:left="1418" w:header="709" w:footer="709" w:gutter="0"/>
          <w:cols w:num="2" w:space="709"/>
          <w:titlePg/>
          <w:docGrid w:linePitch="381"/>
        </w:sectPr>
      </w:pPr>
    </w:p>
    <w:p w:rsidR="00BF4753" w:rsidRPr="000E7C35" w:rsidRDefault="00BF4753" w:rsidP="00BF4753">
      <w:pPr>
        <w:rPr>
          <w:rFonts w:eastAsia="Times New Roman" w:cs="Times New Roman"/>
          <w:bCs/>
          <w:szCs w:val="20"/>
        </w:rPr>
      </w:pPr>
      <w:r w:rsidRPr="000E7C35">
        <w:rPr>
          <w:rFonts w:eastAsia="Times New Roman" w:cs="Times New Roman"/>
          <w:bCs/>
          <w:szCs w:val="20"/>
        </w:rPr>
        <w:t>Jāatzīmē, ka salīdzinājumā ar iepriek</w:t>
      </w:r>
      <w:r>
        <w:rPr>
          <w:rFonts w:eastAsia="Times New Roman" w:cs="Times New Roman"/>
          <w:bCs/>
          <w:szCs w:val="20"/>
        </w:rPr>
        <w:t>šējo prognozi (skat. 6.1. att.</w:t>
      </w:r>
      <w:r w:rsidRPr="000E7C35">
        <w:rPr>
          <w:rFonts w:eastAsia="Times New Roman" w:cs="Times New Roman"/>
          <w:bCs/>
          <w:szCs w:val="20"/>
        </w:rPr>
        <w:t>), aktualizētā iedzīvotāju skaita prognoze ir pesimistiskāka, un to nosaka:</w:t>
      </w:r>
    </w:p>
    <w:p w:rsidR="00BF4753" w:rsidRPr="000E7C35" w:rsidRDefault="00BF4753" w:rsidP="00BF4753">
      <w:pPr>
        <w:numPr>
          <w:ilvl w:val="0"/>
          <w:numId w:val="39"/>
        </w:numPr>
        <w:ind w:left="709" w:hanging="425"/>
        <w:rPr>
          <w:rFonts w:eastAsia="Times New Roman" w:cs="Times New Roman"/>
          <w:szCs w:val="24"/>
          <w:lang w:eastAsia="lv-LV"/>
        </w:rPr>
      </w:pPr>
      <w:r w:rsidRPr="000E7C35">
        <w:rPr>
          <w:rFonts w:eastAsia="Times New Roman" w:cs="Times New Roman"/>
          <w:bCs/>
          <w:szCs w:val="20"/>
        </w:rPr>
        <w:t>Zemāka dzimstība nekā prognozēts iepriekš.</w:t>
      </w:r>
      <w:r w:rsidRPr="000E7C35">
        <w:rPr>
          <w:rFonts w:eastAsia="Times New Roman" w:cs="Times New Roman"/>
          <w:szCs w:val="24"/>
          <w:lang w:eastAsia="lv-LV"/>
        </w:rPr>
        <w:t xml:space="preserve"> Lai gan summārais dzimstības koeficients tiek prognozēts zemāks, ilgtermiņā tas pieaugs no 1,58 2019. gadā līdz 1,73 2100. gadā. Aktuālie statistikas dati liecina, ka 2020. gadā jaundzimušo skaits bija 17,5 tūkst., un salīdzinājumā ar 2019. gadu tas bija par 1,3 tūkst. jeb 6,9% mazāk.</w:t>
      </w:r>
    </w:p>
    <w:p w:rsidR="00BF4753" w:rsidRPr="000E7C35" w:rsidRDefault="00BF4753" w:rsidP="00BF4753">
      <w:pPr>
        <w:numPr>
          <w:ilvl w:val="0"/>
          <w:numId w:val="39"/>
        </w:numPr>
        <w:ind w:left="709" w:hanging="425"/>
        <w:rPr>
          <w:rFonts w:eastAsia="Times New Roman" w:cs="Times New Roman"/>
          <w:szCs w:val="24"/>
          <w:lang w:eastAsia="lv-LV"/>
        </w:rPr>
      </w:pPr>
      <w:r w:rsidRPr="000E7C35">
        <w:rPr>
          <w:rFonts w:eastAsia="Times New Roman" w:cs="Times New Roman"/>
          <w:szCs w:val="24"/>
          <w:lang w:eastAsia="lv-LV"/>
        </w:rPr>
        <w:t xml:space="preserve">Lai gan mirstība tiek prognozēta nedaudz zemāka kā iepriekš, </w:t>
      </w:r>
      <w:r w:rsidRPr="000E7C35">
        <w:rPr>
          <w:rFonts w:eastAsia="Times New Roman" w:cs="Times New Roman"/>
          <w:i/>
          <w:iCs/>
          <w:noProof/>
          <w:szCs w:val="24"/>
          <w:lang w:eastAsia="lv-LV"/>
        </w:rPr>
        <w:t>Eurostat</w:t>
      </w:r>
      <w:r w:rsidRPr="000E7C35">
        <w:rPr>
          <w:rFonts w:eastAsia="Times New Roman" w:cs="Times New Roman"/>
          <w:szCs w:val="24"/>
          <w:lang w:eastAsia="lv-LV"/>
        </w:rPr>
        <w:t xml:space="preserve"> prognozē, ka dabiskais pieaugums Latvijā ilgstoši saglabāsies negatīvs - līdz </w:t>
      </w:r>
      <w:r w:rsidRPr="000E7C35">
        <w:rPr>
          <w:rFonts w:eastAsia="Times New Roman" w:cs="Times New Roman"/>
          <w:szCs w:val="24"/>
          <w:lang w:eastAsia="lv-LV"/>
        </w:rPr>
        <w:lastRenderedPageBreak/>
        <w:t xml:space="preserve">pat 2100. gadam. Aktuālie statistikas dati liecina, ka 2020. gadā mirušo skaits salīdzinājumā ar 2019. gadu pieauga no 27,7 tūkst. līdz 28,5 tūkst., ņemot vērā gada pēdējos mēnešos pieaugošo mirstību no Covid-19 infekcijas. Atbilstoši </w:t>
      </w:r>
      <w:r w:rsidRPr="000E7C35">
        <w:rPr>
          <w:rFonts w:eastAsia="Times New Roman" w:cs="Times New Roman"/>
          <w:i/>
          <w:iCs/>
          <w:noProof/>
          <w:szCs w:val="24"/>
          <w:lang w:eastAsia="lv-LV"/>
        </w:rPr>
        <w:t>Eurostat</w:t>
      </w:r>
      <w:r w:rsidRPr="000E7C35">
        <w:rPr>
          <w:rFonts w:eastAsia="Times New Roman" w:cs="Times New Roman"/>
          <w:noProof/>
          <w:szCs w:val="24"/>
          <w:lang w:eastAsia="lv-LV"/>
        </w:rPr>
        <w:t xml:space="preserve"> </w:t>
      </w:r>
      <w:r w:rsidRPr="000E7C35">
        <w:rPr>
          <w:rFonts w:eastAsia="Times New Roman" w:cs="Times New Roman"/>
          <w:szCs w:val="24"/>
          <w:lang w:eastAsia="lv-LV"/>
        </w:rPr>
        <w:t xml:space="preserve">prognozēm Covid-19 ietekmei uz mirstību būs īstermiņa (1-2 gadu) efekts. </w:t>
      </w:r>
    </w:p>
    <w:p w:rsidR="00BF4753" w:rsidRPr="000E7C35" w:rsidRDefault="00BF4753" w:rsidP="00BF4753">
      <w:pPr>
        <w:numPr>
          <w:ilvl w:val="0"/>
          <w:numId w:val="39"/>
        </w:numPr>
        <w:ind w:left="709" w:hanging="425"/>
        <w:rPr>
          <w:rFonts w:eastAsia="Times New Roman" w:cs="Times New Roman"/>
          <w:szCs w:val="24"/>
          <w:lang w:eastAsia="lv-LV"/>
        </w:rPr>
      </w:pPr>
      <w:r w:rsidRPr="000E7C35">
        <w:rPr>
          <w:rFonts w:eastAsia="Times New Roman" w:cs="Times New Roman"/>
          <w:szCs w:val="24"/>
          <w:lang w:eastAsia="lv-LV"/>
        </w:rPr>
        <w:t>Lielāks 65+ iedzīvotāju īpatsvars iedzīvotāju skaitā darbspējas vecumā (15-64)  (skat. 6.2. </w:t>
      </w:r>
      <w:r>
        <w:rPr>
          <w:rFonts w:eastAsia="Times New Roman" w:cs="Times New Roman"/>
          <w:szCs w:val="24"/>
          <w:lang w:eastAsia="lv-LV"/>
        </w:rPr>
        <w:t>att.</w:t>
      </w:r>
      <w:r w:rsidRPr="000E7C35">
        <w:rPr>
          <w:rFonts w:eastAsia="Times New Roman" w:cs="Times New Roman"/>
          <w:szCs w:val="24"/>
          <w:lang w:eastAsia="lv-LV"/>
        </w:rPr>
        <w:t xml:space="preserve">) nekā prognozēts iepriekš, augstāko īpatsvaru </w:t>
      </w:r>
      <w:r w:rsidRPr="000E7C35">
        <w:rPr>
          <w:rFonts w:eastAsia="Times New Roman" w:cs="Times New Roman"/>
          <w:szCs w:val="24"/>
          <w:lang w:eastAsia="lv-LV"/>
        </w:rPr>
        <w:softHyphen/>
        <w:t xml:space="preserve">- 63,2% no darbspējas vecuma iedzīvotājiem sasniedzot 2060. gadā. Ilgtermiņā vecāka gadagājuma iedzīvotāju īpatsvara palielināšanos 15-64 iedzīvotāju skaitā ietekmēs mūža ilguma palielināšanās, kas saskaņā ar </w:t>
      </w:r>
      <w:r w:rsidRPr="000E7C35">
        <w:rPr>
          <w:rFonts w:eastAsia="Times New Roman" w:cs="Times New Roman"/>
          <w:i/>
          <w:iCs/>
          <w:noProof/>
          <w:szCs w:val="24"/>
          <w:lang w:eastAsia="lv-LV"/>
        </w:rPr>
        <w:t>Eurostat</w:t>
      </w:r>
      <w:r w:rsidRPr="000E7C35">
        <w:rPr>
          <w:rFonts w:eastAsia="Times New Roman" w:cs="Times New Roman"/>
          <w:szCs w:val="24"/>
          <w:lang w:eastAsia="lv-LV"/>
        </w:rPr>
        <w:t xml:space="preserve"> prognozēm vīriešiem pieaugs no vidēji 70,6 gadiem 2019. gadā līdz 87,6 gadiem 2100. gadā, savukārt sievietēm palielināsies no vidēji 80,2 gadiem 2019. gadā līdz 92,1 gadam 2100. gadā. Tāpat arī 65+ attiecības palielināšanos pret 15-64 iedzīvotājiem ilgtermiņā ietekmēs iedzīvotāju darbspējas vecumā skaita samazināšanās atbilstoši </w:t>
      </w:r>
      <w:r w:rsidRPr="000E7C35">
        <w:rPr>
          <w:rFonts w:eastAsia="Times New Roman" w:cs="Times New Roman"/>
          <w:i/>
          <w:iCs/>
          <w:noProof/>
          <w:szCs w:val="24"/>
          <w:lang w:eastAsia="lv-LV"/>
        </w:rPr>
        <w:t xml:space="preserve">Eurostat </w:t>
      </w:r>
      <w:r w:rsidRPr="000E7C35">
        <w:rPr>
          <w:rFonts w:eastAsia="Times New Roman" w:cs="Times New Roman"/>
          <w:szCs w:val="24"/>
          <w:lang w:eastAsia="lv-LV"/>
        </w:rPr>
        <w:t>prognozēm.</w:t>
      </w:r>
    </w:p>
    <w:p w:rsidR="00BF4753" w:rsidRDefault="00BF4753" w:rsidP="00BF4753">
      <w:pPr>
        <w:numPr>
          <w:ilvl w:val="0"/>
          <w:numId w:val="39"/>
        </w:numPr>
        <w:ind w:left="709" w:hanging="425"/>
        <w:rPr>
          <w:rFonts w:eastAsia="Times New Roman" w:cs="Times New Roman"/>
          <w:szCs w:val="24"/>
          <w:lang w:eastAsia="lv-LV"/>
        </w:rPr>
      </w:pPr>
      <w:r w:rsidRPr="000E7C35">
        <w:rPr>
          <w:rFonts w:eastAsia="Times New Roman" w:cs="Times New Roman"/>
          <w:szCs w:val="24"/>
          <w:lang w:eastAsia="lv-LV"/>
        </w:rPr>
        <w:t xml:space="preserve">Izmaiņas migrācijas modelī. Piemērojot jaunu metodoloģiju migrācijai, visām dalībvalstīm ir negatīvāks migrācijas saldo nekā prognozēts iepriekš. Latvijai līdz 2065. gadam </w:t>
      </w:r>
      <w:r w:rsidRPr="000E7C35">
        <w:rPr>
          <w:rFonts w:eastAsia="Times New Roman" w:cs="Times New Roman"/>
          <w:i/>
          <w:iCs/>
          <w:noProof/>
          <w:szCs w:val="24"/>
          <w:lang w:eastAsia="lv-LV"/>
        </w:rPr>
        <w:t>Eurostat</w:t>
      </w:r>
      <w:r w:rsidRPr="000E7C35">
        <w:rPr>
          <w:rFonts w:eastAsia="Times New Roman" w:cs="Times New Roman"/>
          <w:szCs w:val="24"/>
          <w:lang w:eastAsia="lv-LV"/>
        </w:rPr>
        <w:t xml:space="preserve"> prognozē, ka no valsts izbrauks vairāk iedzīvotāju nekā iebrauks, taču laika periodā no 2065. gada līdz 2100. gadam migrācijas </w:t>
      </w:r>
      <w:r>
        <w:rPr>
          <w:rFonts w:eastAsia="Times New Roman" w:cs="Times New Roman"/>
          <w:szCs w:val="24"/>
          <w:lang w:eastAsia="lv-LV"/>
        </w:rPr>
        <w:t>saldo tiek prognozēts pozitīvs.</w:t>
      </w:r>
    </w:p>
    <w:p w:rsidR="00BF4753" w:rsidRPr="000E7C35" w:rsidRDefault="00BF4753" w:rsidP="00BF4753">
      <w:pPr>
        <w:ind w:firstLine="0"/>
        <w:rPr>
          <w:rFonts w:eastAsia="Times New Roman" w:cs="Times New Roman"/>
          <w:szCs w:val="24"/>
          <w:lang w:eastAsia="lv-LV"/>
        </w:rPr>
        <w:sectPr w:rsidR="00BF4753" w:rsidRPr="000E7C35" w:rsidSect="002D7CA8">
          <w:type w:val="continuous"/>
          <w:pgSz w:w="11906" w:h="16838" w:code="9"/>
          <w:pgMar w:top="1418" w:right="1134" w:bottom="709" w:left="1418" w:header="709" w:footer="709" w:gutter="0"/>
          <w:cols w:space="709"/>
          <w:titlePg/>
          <w:docGrid w:linePitch="381"/>
        </w:sectPr>
      </w:pPr>
    </w:p>
    <w:p w:rsidR="00BF4753" w:rsidRDefault="00BF4753" w:rsidP="00BF4753">
      <w:pPr>
        <w:spacing w:after="120"/>
        <w:ind w:firstLine="0"/>
        <w:rPr>
          <w:rFonts w:eastAsia="Times New Roman" w:cs="Times New Roman"/>
          <w:szCs w:val="24"/>
          <w:lang w:eastAsia="lv-LV"/>
        </w:rPr>
      </w:pPr>
      <w:r>
        <w:rPr>
          <w:rFonts w:eastAsia="Times New Roman" w:cs="Times New Roman"/>
          <w:noProof/>
          <w:szCs w:val="24"/>
        </w:rPr>
        <w:tab/>
      </w:r>
      <w:r w:rsidRPr="000E7C35">
        <w:rPr>
          <w:rFonts w:eastAsia="Times New Roman" w:cs="Times New Roman"/>
          <w:noProof/>
          <w:szCs w:val="24"/>
        </w:rPr>
        <w:t xml:space="preserve">Sagatavojot makroekonomisko rādītāju prognozes ilgam termiņam un izmantojot </w:t>
      </w:r>
      <w:r w:rsidRPr="000E7C35">
        <w:rPr>
          <w:rFonts w:eastAsia="Times New Roman" w:cs="Times New Roman"/>
          <w:szCs w:val="24"/>
        </w:rPr>
        <w:t>Ekonomiskās politikas komitejas</w:t>
      </w:r>
      <w:r w:rsidRPr="000E7C35">
        <w:rPr>
          <w:rFonts w:eastAsia="Times New Roman" w:cs="Times New Roman"/>
          <w:noProof/>
          <w:szCs w:val="24"/>
        </w:rPr>
        <w:t xml:space="preserve"> darba grupā apstiprinātos pieņēmumus, Eiropas Komisija prognozē, ka Latvijas iekšzemes kopprodukts turpinās augt vidēji par 1,2% laika periodā no 2019. līdz 2070. gadam. Salīdzinot ar iepriekšējām prognozēm, izaugsme tiek prognozēta nedaudz lēnāka (skat</w:t>
      </w:r>
      <w:r>
        <w:rPr>
          <w:rFonts w:eastAsia="Times New Roman" w:cs="Times New Roman"/>
          <w:noProof/>
          <w:szCs w:val="24"/>
        </w:rPr>
        <w:t>. 6.3. att.</w:t>
      </w:r>
      <w:r w:rsidRPr="000E7C35">
        <w:rPr>
          <w:rFonts w:eastAsia="Times New Roman" w:cs="Times New Roman"/>
          <w:noProof/>
          <w:szCs w:val="24"/>
        </w:rPr>
        <w:t xml:space="preserve">), galvenokārt ņemot vērā </w:t>
      </w:r>
      <w:r w:rsidRPr="000E7C35">
        <w:rPr>
          <w:rFonts w:eastAsia="Times New Roman" w:cs="Times New Roman"/>
          <w:szCs w:val="24"/>
          <w:lang w:eastAsia="lv-LV"/>
        </w:rPr>
        <w:t>Covid-19 izraisītās ekonomiskās krīzes ietekmi, kā arī prognozēto ekonomikā kopējo nostrādāto stundu skaita samazināšanos vidēji par 1,1% 2019.-2070.</w:t>
      </w:r>
      <w:r>
        <w:rPr>
          <w:rFonts w:eastAsia="Times New Roman" w:cs="Times New Roman"/>
          <w:szCs w:val="24"/>
          <w:lang w:eastAsia="lv-LV"/>
        </w:rPr>
        <w:t xml:space="preserve"> </w:t>
      </w:r>
      <w:r w:rsidRPr="000E7C35">
        <w:rPr>
          <w:rFonts w:eastAsia="Times New Roman" w:cs="Times New Roman"/>
          <w:szCs w:val="24"/>
          <w:lang w:eastAsia="lv-LV"/>
        </w:rPr>
        <w:t xml:space="preserve">gadā, straujāk sarūkot iedzīvotāju skaitam darbspējas vecumā nekā prognozēts iepriekš. Jāatzīmē, ka </w:t>
      </w:r>
      <w:r>
        <w:rPr>
          <w:rFonts w:eastAsia="Times New Roman" w:cs="Times New Roman"/>
          <w:szCs w:val="24"/>
          <w:lang w:eastAsia="lv-LV"/>
        </w:rPr>
        <w:t>Eiropas Komisija</w:t>
      </w:r>
      <w:r w:rsidRPr="000E7C35">
        <w:rPr>
          <w:rFonts w:eastAsia="Times New Roman" w:cs="Times New Roman"/>
          <w:szCs w:val="24"/>
          <w:lang w:eastAsia="lv-LV"/>
        </w:rPr>
        <w:t xml:space="preserve"> prognozē, ka nodarbinātības līmenis laika periodā no 2019. līdz 2032. gadam samazināsies no 72,5% līdz 68,2%, taču pēc tam pakāpeniski augs līdz sasniegs 71,3% 2070. gadā. Neskatoties uz nodarbinātības līmeņa pieaugumu, tiek prognozēts, ka kopumā nodarbināto skaits ilgtermiņā saruks līdz ar iedzīvotāju skaitu darbspējas vecumā</w:t>
      </w:r>
      <w:r>
        <w:rPr>
          <w:rFonts w:eastAsia="Times New Roman" w:cs="Times New Roman"/>
          <w:szCs w:val="24"/>
          <w:lang w:eastAsia="lv-LV"/>
        </w:rPr>
        <w:t xml:space="preserve"> (skat. 6.4. att.</w:t>
      </w:r>
      <w:r w:rsidRPr="000E7C35">
        <w:rPr>
          <w:rFonts w:eastAsia="Times New Roman" w:cs="Times New Roman"/>
          <w:szCs w:val="24"/>
          <w:lang w:eastAsia="lv-LV"/>
        </w:rPr>
        <w:t>).</w:t>
      </w:r>
    </w:p>
    <w:p w:rsidR="00BF4753" w:rsidRDefault="00BF4753" w:rsidP="00BF4753">
      <w:pPr>
        <w:spacing w:after="120"/>
        <w:ind w:firstLine="0"/>
        <w:rPr>
          <w:rFonts w:eastAsia="Times New Roman" w:cs="Times New Roman"/>
          <w:szCs w:val="24"/>
          <w:lang w:eastAsia="lv-LV"/>
        </w:rPr>
        <w:sectPr w:rsidR="00BF4753" w:rsidSect="002D7CA8">
          <w:type w:val="continuous"/>
          <w:pgSz w:w="11906" w:h="16838" w:code="9"/>
          <w:pgMar w:top="1418" w:right="1134" w:bottom="709" w:left="1418" w:header="709" w:footer="709" w:gutter="0"/>
          <w:cols w:space="709"/>
          <w:titlePg/>
          <w:docGrid w:linePitch="381"/>
        </w:sectPr>
      </w:pPr>
    </w:p>
    <w:p w:rsidR="00BF4753" w:rsidRPr="000E7C35" w:rsidRDefault="00BF4753" w:rsidP="00BF4753">
      <w:pPr>
        <w:rPr>
          <w:rFonts w:eastAsia="Times New Roman"/>
          <w:lang w:eastAsia="lv-LV"/>
        </w:rPr>
        <w:sectPr w:rsidR="00BF4753" w:rsidRPr="000E7C35" w:rsidSect="002D7CA8">
          <w:type w:val="continuous"/>
          <w:pgSz w:w="11906" w:h="16838" w:code="9"/>
          <w:pgMar w:top="1418" w:right="1134" w:bottom="709" w:left="1418" w:header="709" w:footer="709" w:gutter="0"/>
          <w:cols w:space="709"/>
          <w:titlePg/>
          <w:docGrid w:linePitch="381"/>
        </w:sectPr>
      </w:pPr>
    </w:p>
    <w:p w:rsidR="00BF4753" w:rsidRPr="000E7C35" w:rsidRDefault="00BF4753" w:rsidP="00BF4753">
      <w:pPr>
        <w:rPr>
          <w:rFonts w:eastAsia="Times New Roman"/>
          <w:sz w:val="24"/>
          <w:highlight w:val="yellow"/>
        </w:rPr>
        <w:sectPr w:rsidR="00BF4753" w:rsidRPr="000E7C35" w:rsidSect="002D7CA8">
          <w:type w:val="continuous"/>
          <w:pgSz w:w="11906" w:h="16838" w:code="9"/>
          <w:pgMar w:top="1418" w:right="1134" w:bottom="709" w:left="1418" w:header="709" w:footer="709" w:gutter="0"/>
          <w:cols w:space="709"/>
          <w:titlePg/>
          <w:docGrid w:linePitch="381"/>
        </w:sectPr>
      </w:pPr>
    </w:p>
    <w:p w:rsidR="00BF4753" w:rsidRDefault="00BF4753" w:rsidP="00BF4753">
      <w:pPr>
        <w:spacing w:after="120"/>
        <w:ind w:firstLine="0"/>
        <w:jc w:val="center"/>
        <w:rPr>
          <w:rFonts w:eastAsia="Calibri" w:cs="Times New Roman"/>
          <w:b/>
          <w:sz w:val="24"/>
          <w:szCs w:val="24"/>
        </w:rPr>
        <w:sectPr w:rsidR="00BF4753" w:rsidSect="002D7CA8">
          <w:pgSz w:w="11906" w:h="16838" w:code="9"/>
          <w:pgMar w:top="1418" w:right="1134" w:bottom="709" w:left="1418" w:header="709" w:footer="709" w:gutter="0"/>
          <w:cols w:num="2" w:space="709"/>
          <w:titlePg/>
          <w:docGrid w:linePitch="381"/>
        </w:sectPr>
      </w:pPr>
      <w:r w:rsidRPr="000E7C35">
        <w:rPr>
          <w:rFonts w:eastAsia="Calibri" w:cs="Times New Roman"/>
          <w:noProof/>
          <w:sz w:val="32"/>
          <w:szCs w:val="20"/>
          <w:lang w:eastAsia="lv-LV"/>
        </w:rPr>
        <w:lastRenderedPageBreak/>
        <w:drawing>
          <wp:anchor distT="0" distB="0" distL="114300" distR="114300" simplePos="0" relativeHeight="251670528" behindDoc="0" locked="0" layoutInCell="1" allowOverlap="1" wp14:anchorId="292E4A74" wp14:editId="6FEB17FC">
            <wp:simplePos x="0" y="0"/>
            <wp:positionH relativeFrom="column">
              <wp:posOffset>2740660</wp:posOffset>
            </wp:positionH>
            <wp:positionV relativeFrom="page">
              <wp:posOffset>488950</wp:posOffset>
            </wp:positionV>
            <wp:extent cx="3322320" cy="215963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2232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753" w:rsidRPr="000E7C35" w:rsidRDefault="00BF4753" w:rsidP="00BF4753">
      <w:pPr>
        <w:spacing w:after="120"/>
        <w:ind w:firstLine="0"/>
        <w:jc w:val="center"/>
        <w:rPr>
          <w:rFonts w:eastAsia="Calibri" w:cs="Times New Roman"/>
          <w:b/>
          <w:sz w:val="24"/>
          <w:szCs w:val="24"/>
        </w:rPr>
      </w:pPr>
      <w:r w:rsidRPr="000E7C35">
        <w:rPr>
          <w:rFonts w:eastAsia="Times New Roman" w:cs="Times New Roman"/>
          <w:noProof/>
          <w:sz w:val="32"/>
          <w:szCs w:val="20"/>
          <w:lang w:eastAsia="lv-LV"/>
        </w:rPr>
        <w:drawing>
          <wp:anchor distT="0" distB="0" distL="114300" distR="114300" simplePos="0" relativeHeight="251669504" behindDoc="0" locked="0" layoutInCell="1" allowOverlap="1" wp14:anchorId="29040234" wp14:editId="19D54ED9">
            <wp:simplePos x="0" y="0"/>
            <wp:positionH relativeFrom="margin">
              <wp:posOffset>-137160</wp:posOffset>
            </wp:positionH>
            <wp:positionV relativeFrom="page">
              <wp:posOffset>551180</wp:posOffset>
            </wp:positionV>
            <wp:extent cx="2984500" cy="21596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925" r="4225"/>
                    <a:stretch/>
                  </pic:blipFill>
                  <pic:spPr bwMode="auto">
                    <a:xfrm>
                      <a:off x="0" y="0"/>
                      <a:ext cx="298450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7C35">
        <w:rPr>
          <w:rFonts w:eastAsia="Calibri" w:cs="Times New Roman"/>
          <w:b/>
          <w:sz w:val="24"/>
          <w:szCs w:val="24"/>
        </w:rPr>
        <w:t xml:space="preserve">6.3. att. </w:t>
      </w:r>
      <w:r>
        <w:rPr>
          <w:rFonts w:eastAsia="Calibri" w:cs="Times New Roman"/>
          <w:b/>
          <w:sz w:val="24"/>
          <w:szCs w:val="24"/>
        </w:rPr>
        <w:t xml:space="preserve">Reālā iekšzemes kopprodukta pieaugums, % </w:t>
      </w:r>
      <w:r w:rsidRPr="000E7C35">
        <w:rPr>
          <w:rFonts w:eastAsia="Calibri" w:cs="Times New Roman"/>
          <w:b/>
          <w:sz w:val="24"/>
          <w:szCs w:val="24"/>
        </w:rPr>
        <w:t>(Datu avots:</w:t>
      </w:r>
      <w:r>
        <w:rPr>
          <w:rFonts w:eastAsia="Calibri" w:cs="Times New Roman"/>
          <w:b/>
          <w:sz w:val="24"/>
          <w:szCs w:val="24"/>
        </w:rPr>
        <w:t xml:space="preserve"> </w:t>
      </w:r>
      <w:r>
        <w:rPr>
          <w:rFonts w:eastAsia="Calibri" w:cs="Times New Roman"/>
          <w:b/>
          <w:i/>
          <w:noProof/>
          <w:sz w:val="24"/>
          <w:szCs w:val="24"/>
        </w:rPr>
        <w:t xml:space="preserve">Ageing Report </w:t>
      </w:r>
      <w:r w:rsidRPr="000E7C35">
        <w:rPr>
          <w:rFonts w:eastAsia="Calibri" w:cs="Times New Roman"/>
          <w:b/>
          <w:i/>
          <w:noProof/>
          <w:sz w:val="24"/>
          <w:szCs w:val="24"/>
        </w:rPr>
        <w:t>2021, Part I</w:t>
      </w:r>
      <w:r w:rsidRPr="000E7C35">
        <w:rPr>
          <w:rFonts w:eastAsia="Calibri" w:cs="Times New Roman"/>
          <w:b/>
          <w:sz w:val="24"/>
          <w:szCs w:val="24"/>
        </w:rPr>
        <w:t>)</w:t>
      </w:r>
    </w:p>
    <w:p w:rsidR="00BF4753" w:rsidRPr="000E7C35" w:rsidRDefault="00BF4753" w:rsidP="00BF4753">
      <w:pPr>
        <w:spacing w:after="120"/>
        <w:ind w:firstLine="0"/>
        <w:jc w:val="center"/>
        <w:rPr>
          <w:rFonts w:eastAsia="Calibri" w:cs="Times New Roman"/>
          <w:b/>
          <w:sz w:val="24"/>
          <w:szCs w:val="24"/>
        </w:rPr>
      </w:pPr>
      <w:r w:rsidRPr="000E7C35">
        <w:rPr>
          <w:rFonts w:eastAsia="Calibri" w:cs="Times New Roman"/>
          <w:b/>
          <w:sz w:val="24"/>
          <w:szCs w:val="24"/>
        </w:rPr>
        <w:t xml:space="preserve">6.4. att. </w:t>
      </w:r>
      <w:r>
        <w:rPr>
          <w:rFonts w:eastAsia="Calibri" w:cs="Times New Roman"/>
          <w:b/>
          <w:sz w:val="24"/>
          <w:szCs w:val="24"/>
        </w:rPr>
        <w:t xml:space="preserve">Darbspējīgo iedzīvotāju un </w:t>
      </w:r>
      <w:r w:rsidRPr="000E7C35">
        <w:rPr>
          <w:rFonts w:eastAsia="Calibri" w:cs="Times New Roman"/>
          <w:b/>
          <w:sz w:val="24"/>
          <w:szCs w:val="24"/>
        </w:rPr>
        <w:t>nodarbinātības</w:t>
      </w:r>
      <w:r>
        <w:rPr>
          <w:rFonts w:eastAsia="Calibri" w:cs="Times New Roman"/>
          <w:b/>
          <w:sz w:val="24"/>
          <w:szCs w:val="24"/>
        </w:rPr>
        <w:t xml:space="preserve"> pieaugums, % (Datu </w:t>
      </w:r>
      <w:r w:rsidRPr="000E7C35">
        <w:rPr>
          <w:rFonts w:eastAsia="Calibri" w:cs="Times New Roman"/>
          <w:b/>
          <w:sz w:val="24"/>
          <w:szCs w:val="24"/>
        </w:rPr>
        <w:t>avots:</w:t>
      </w:r>
      <w:r>
        <w:rPr>
          <w:rFonts w:eastAsia="Calibri" w:cs="Times New Roman"/>
          <w:b/>
          <w:sz w:val="24"/>
          <w:szCs w:val="24"/>
        </w:rPr>
        <w:t xml:space="preserve"> </w:t>
      </w:r>
      <w:r w:rsidRPr="000E7C35">
        <w:rPr>
          <w:rFonts w:eastAsia="Calibri" w:cs="Times New Roman"/>
          <w:b/>
          <w:i/>
          <w:noProof/>
          <w:sz w:val="24"/>
          <w:szCs w:val="24"/>
        </w:rPr>
        <w:t>Ageing Report 2021, Part I</w:t>
      </w:r>
      <w:r w:rsidRPr="000E7C35">
        <w:rPr>
          <w:rFonts w:eastAsia="Calibri" w:cs="Times New Roman"/>
          <w:b/>
          <w:sz w:val="24"/>
          <w:szCs w:val="24"/>
        </w:rPr>
        <w:t>)</w:t>
      </w:r>
    </w:p>
    <w:p w:rsidR="00BF4753" w:rsidRDefault="00BF4753" w:rsidP="00BF4753">
      <w:pPr>
        <w:autoSpaceDE w:val="0"/>
        <w:autoSpaceDN w:val="0"/>
        <w:adjustRightInd w:val="0"/>
        <w:ind w:firstLine="567"/>
        <w:rPr>
          <w:rFonts w:eastAsia="Times New Roman" w:cs="Times New Roman"/>
          <w:color w:val="000000"/>
          <w:szCs w:val="24"/>
        </w:rPr>
        <w:sectPr w:rsidR="00BF4753" w:rsidSect="002D7CA8">
          <w:type w:val="continuous"/>
          <w:pgSz w:w="11906" w:h="16838" w:code="9"/>
          <w:pgMar w:top="1418" w:right="1134" w:bottom="709" w:left="1418" w:header="709" w:footer="709" w:gutter="0"/>
          <w:cols w:num="2" w:space="709"/>
          <w:titlePg/>
          <w:docGrid w:linePitch="381"/>
        </w:sectPr>
      </w:pPr>
    </w:p>
    <w:p w:rsidR="00BF4753" w:rsidRDefault="00BF4753" w:rsidP="00BF4753">
      <w:pPr>
        <w:autoSpaceDE w:val="0"/>
        <w:autoSpaceDN w:val="0"/>
        <w:adjustRightInd w:val="0"/>
        <w:rPr>
          <w:rFonts w:eastAsia="Times New Roman" w:cs="Times New Roman"/>
          <w:color w:val="000000"/>
          <w:szCs w:val="20"/>
        </w:rPr>
      </w:pPr>
      <w:r w:rsidRPr="007E1F33">
        <w:rPr>
          <w:rFonts w:eastAsia="Times New Roman" w:cs="Times New Roman"/>
          <w:color w:val="000000"/>
          <w:szCs w:val="24"/>
        </w:rPr>
        <w:t>Demogrāfiskā un ekonomiskā, it īpaši darba tirgus situācija ilgtermiņā ietekmēs valsts finanšu ilgtspēju, radot ietekmi gan uz nodokļu ieņēmumiem, gan budžeta izdevumiem. Iekasēto nodokļu apjoms lielā mērā būs atkarīgs no nodarbināto skaita tendencēm ilgtermiņā, tāpat</w:t>
      </w:r>
      <w:r w:rsidRPr="007E1F33">
        <w:rPr>
          <w:rFonts w:eastAsia="Times New Roman" w:cs="Times New Roman"/>
          <w:szCs w:val="24"/>
        </w:rPr>
        <w:t xml:space="preserve"> </w:t>
      </w:r>
      <w:r w:rsidRPr="007E1F33">
        <w:rPr>
          <w:rFonts w:eastAsia="Times New Roman" w:cs="Times New Roman"/>
          <w:color w:val="000000"/>
          <w:szCs w:val="20"/>
        </w:rPr>
        <w:t>budžeta izdevumu pieaugumu ilgtermiņā ietekmēs jau iepriekš uzņemtās saistības pensiju un pabalstu izmaksai, parāda apkalpošanas izdevumi, kā arī ar iedzīvotāju novecošanos saistītu izdevumu pieaugums.</w:t>
      </w:r>
    </w:p>
    <w:p w:rsidR="00BF4753" w:rsidRPr="00CD2492" w:rsidRDefault="00BF4753" w:rsidP="00BF4753">
      <w:pPr>
        <w:autoSpaceDE w:val="0"/>
        <w:autoSpaceDN w:val="0"/>
        <w:adjustRightInd w:val="0"/>
        <w:rPr>
          <w:rFonts w:eastAsia="Times New Roman" w:cs="Times New Roman"/>
          <w:color w:val="000000"/>
          <w:szCs w:val="28"/>
        </w:rPr>
      </w:pPr>
      <w:r w:rsidRPr="000E7C35">
        <w:rPr>
          <w:rFonts w:eastAsia="Times New Roman" w:cs="Times New Roman"/>
          <w:szCs w:val="24"/>
        </w:rPr>
        <w:t>Ekonomiskās politikas komitejas Iedzī</w:t>
      </w:r>
      <w:r>
        <w:rPr>
          <w:rFonts w:eastAsia="Times New Roman" w:cs="Times New Roman"/>
          <w:szCs w:val="24"/>
        </w:rPr>
        <w:t xml:space="preserve">votāju novecošanās </w:t>
      </w:r>
      <w:r w:rsidRPr="00CD2492">
        <w:rPr>
          <w:rFonts w:eastAsia="Times New Roman" w:cs="Times New Roman"/>
          <w:color w:val="000000"/>
          <w:szCs w:val="28"/>
        </w:rPr>
        <w:t>darba grupa, ņemot vērā aktualizētās ilgtermiņa demogrāfiskās un makroekonomiskās prognozes, ir aktualizējusi ar iedzīvotāju novecošanos saistīto izdevumu prognozes līdz 2070. gadam. Tuvākajā laikā tās tiks publicētas 2021. gada Novecošanās ziņojum</w:t>
      </w:r>
      <w:r>
        <w:rPr>
          <w:rFonts w:eastAsia="Times New Roman" w:cs="Times New Roman"/>
          <w:color w:val="000000"/>
          <w:szCs w:val="28"/>
        </w:rPr>
        <w:t>a o</w:t>
      </w:r>
      <w:r w:rsidRPr="00CD2492">
        <w:rPr>
          <w:rFonts w:eastAsia="Times New Roman" w:cs="Times New Roman"/>
          <w:color w:val="000000"/>
          <w:szCs w:val="28"/>
        </w:rPr>
        <w:t xml:space="preserve">trajā daļā. </w:t>
      </w:r>
    </w:p>
    <w:p w:rsidR="00BF4753" w:rsidRDefault="00BF4753" w:rsidP="00BF4753">
      <w:pPr>
        <w:autoSpaceDE w:val="0"/>
        <w:autoSpaceDN w:val="0"/>
        <w:adjustRightInd w:val="0"/>
        <w:rPr>
          <w:rFonts w:eastAsia="Times New Roman" w:cs="Times New Roman"/>
          <w:color w:val="000000"/>
          <w:szCs w:val="28"/>
        </w:rPr>
      </w:pPr>
      <w:r w:rsidRPr="00CD2492">
        <w:rPr>
          <w:rFonts w:eastAsia="Times New Roman" w:cs="Times New Roman"/>
          <w:color w:val="000000"/>
          <w:szCs w:val="28"/>
        </w:rPr>
        <w:t>Atbilstoši bāzes scenārijam ar novecošanos saistītie publiskie izdevumi 2070. gadā salīdzinājumā ar 2019. gadu samazināsies par 0,6 procentpunktiem un būs 15,2</w:t>
      </w:r>
      <w:r>
        <w:rPr>
          <w:rFonts w:eastAsia="Times New Roman" w:cs="Times New Roman"/>
          <w:color w:val="000000"/>
          <w:szCs w:val="28"/>
        </w:rPr>
        <w:t>% no iekšzemes kopprodukta</w:t>
      </w:r>
      <w:r w:rsidRPr="00CD2492">
        <w:rPr>
          <w:rFonts w:eastAsia="Times New Roman" w:cs="Times New Roman"/>
          <w:color w:val="000000"/>
          <w:szCs w:val="28"/>
        </w:rPr>
        <w:t xml:space="preserve"> </w:t>
      </w:r>
      <w:r>
        <w:rPr>
          <w:rFonts w:eastAsia="Times New Roman" w:cs="Times New Roman"/>
          <w:color w:val="000000"/>
          <w:szCs w:val="28"/>
        </w:rPr>
        <w:t>(skat. 6.5. att.</w:t>
      </w:r>
      <w:r w:rsidRPr="00CD2492">
        <w:rPr>
          <w:rFonts w:eastAsia="Times New Roman" w:cs="Times New Roman"/>
          <w:color w:val="000000"/>
          <w:szCs w:val="28"/>
        </w:rPr>
        <w:t>). Tendence izdevumiem ilgtermiņā samazināties kopumā saglabājas līdzīgi kā iepriekšējās prognozēs. Jāatzīmē, ka prognozes sagatavotas pie nemainīgas politikas scenārija, t.i., ņemot vērā tās likumdošanas izmaiņas, kas ir pieņemtas līdz 2020. gada oktobrim</w:t>
      </w:r>
      <w:r>
        <w:rPr>
          <w:rFonts w:eastAsia="Times New Roman" w:cs="Times New Roman"/>
          <w:color w:val="000000"/>
          <w:szCs w:val="28"/>
        </w:rPr>
        <w:t xml:space="preserve">. </w:t>
      </w:r>
    </w:p>
    <w:p w:rsidR="00BF4753" w:rsidRPr="00CD2492" w:rsidRDefault="00BF4753" w:rsidP="00BF4753">
      <w:pPr>
        <w:autoSpaceDE w:val="0"/>
        <w:autoSpaceDN w:val="0"/>
        <w:adjustRightInd w:val="0"/>
        <w:rPr>
          <w:rFonts w:eastAsia="Times New Roman" w:cs="Times New Roman"/>
          <w:color w:val="000000"/>
          <w:szCs w:val="28"/>
        </w:rPr>
        <w:sectPr w:rsidR="00BF4753" w:rsidRPr="00CD2492" w:rsidSect="002D7CA8">
          <w:type w:val="continuous"/>
          <w:pgSz w:w="11906" w:h="16838" w:code="9"/>
          <w:pgMar w:top="1418" w:right="1134" w:bottom="709" w:left="1418" w:header="709" w:footer="709" w:gutter="0"/>
          <w:cols w:space="709"/>
          <w:titlePg/>
          <w:docGrid w:linePitch="381"/>
        </w:sectPr>
      </w:pPr>
      <w:r w:rsidRPr="00CD2492">
        <w:rPr>
          <w:rFonts w:eastAsia="Times New Roman" w:cs="Times New Roman"/>
          <w:color w:val="000000"/>
          <w:szCs w:val="28"/>
        </w:rPr>
        <w:t>Pensiju izdevumu pr</w:t>
      </w:r>
      <w:r>
        <w:rPr>
          <w:rFonts w:eastAsia="Times New Roman" w:cs="Times New Roman"/>
          <w:color w:val="000000"/>
          <w:szCs w:val="28"/>
        </w:rPr>
        <w:t>ognožu pamatā (skat. 6.6. att.</w:t>
      </w:r>
      <w:r w:rsidRPr="00CD2492">
        <w:rPr>
          <w:rFonts w:eastAsia="Times New Roman" w:cs="Times New Roman"/>
          <w:color w:val="000000"/>
          <w:szCs w:val="28"/>
        </w:rPr>
        <w:t xml:space="preserve">) ir Labklājības ministrijas sagatavotās prognozes, kas paredz pensiju izdevumu īpatsvara iekšzemes kopproduktā samazināšanos no </w:t>
      </w:r>
      <w:r>
        <w:rPr>
          <w:rFonts w:eastAsia="Times New Roman" w:cs="Times New Roman"/>
          <w:color w:val="000000"/>
          <w:szCs w:val="28"/>
        </w:rPr>
        <w:t>7,1% no iekšzemes kopprodukta</w:t>
      </w:r>
      <w:r w:rsidRPr="00CD2492">
        <w:rPr>
          <w:rFonts w:eastAsia="Times New Roman" w:cs="Times New Roman"/>
          <w:color w:val="000000"/>
          <w:szCs w:val="28"/>
        </w:rPr>
        <w:t xml:space="preserve"> 2019. gadā līdz 5,8% no </w:t>
      </w:r>
      <w:r>
        <w:rPr>
          <w:rFonts w:eastAsia="Times New Roman" w:cs="Times New Roman"/>
          <w:color w:val="000000"/>
          <w:szCs w:val="28"/>
        </w:rPr>
        <w:t>iekšzemes kopprodukta</w:t>
      </w:r>
      <w:r w:rsidRPr="00CD2492">
        <w:rPr>
          <w:rFonts w:eastAsia="Times New Roman" w:cs="Times New Roman"/>
          <w:color w:val="000000"/>
          <w:szCs w:val="28"/>
        </w:rPr>
        <w:t xml:space="preserve"> 2070. gadā. Izdevumu samazināšanos, it īpaši līdz 2025. gadam veicina pensionēšanās vecuma palielināšana, kā rezultātā samazinās pensiju saņēmēju skaits un pirmspensijas vecuma iedzīvotāji ilgāk atrodas darba tirgū</w:t>
      </w:r>
      <w:r>
        <w:rPr>
          <w:rFonts w:eastAsia="Times New Roman" w:cs="Times New Roman"/>
          <w:color w:val="000000"/>
          <w:szCs w:val="28"/>
        </w:rPr>
        <w:t>.</w:t>
      </w:r>
    </w:p>
    <w:p w:rsidR="00BF4753" w:rsidRPr="000E7C35" w:rsidRDefault="00BF4753" w:rsidP="00BF4753">
      <w:pPr>
        <w:spacing w:after="120"/>
        <w:ind w:firstLine="0"/>
        <w:rPr>
          <w:rFonts w:eastAsia="Times New Roman" w:cs="Times New Roman"/>
          <w:sz w:val="24"/>
          <w:szCs w:val="24"/>
          <w:highlight w:val="yellow"/>
        </w:rPr>
        <w:sectPr w:rsidR="00BF4753" w:rsidRPr="000E7C35" w:rsidSect="002D7CA8">
          <w:type w:val="continuous"/>
          <w:pgSz w:w="11906" w:h="16838" w:code="9"/>
          <w:pgMar w:top="1418" w:right="1134" w:bottom="709" w:left="1418" w:header="709" w:footer="709" w:gutter="0"/>
          <w:cols w:num="2" w:space="709"/>
          <w:titlePg/>
          <w:docGrid w:linePitch="381"/>
        </w:sectPr>
      </w:pPr>
    </w:p>
    <w:p w:rsidR="00BF4753" w:rsidRDefault="00BF4753" w:rsidP="00BF4753">
      <w:pPr>
        <w:autoSpaceDE w:val="0"/>
        <w:autoSpaceDN w:val="0"/>
        <w:adjustRightInd w:val="0"/>
        <w:ind w:firstLine="0"/>
        <w:rPr>
          <w:rFonts w:eastAsia="Times New Roman" w:cs="Times New Roman"/>
          <w:color w:val="000000"/>
          <w:szCs w:val="28"/>
        </w:rPr>
      </w:pPr>
      <w:r w:rsidRPr="000E7C35">
        <w:rPr>
          <w:rFonts w:eastAsia="Calibri" w:cs="Times New Roman"/>
          <w:noProof/>
          <w:szCs w:val="28"/>
          <w:lang w:eastAsia="lv-LV"/>
        </w:rPr>
        <w:lastRenderedPageBreak/>
        <w:drawing>
          <wp:anchor distT="0" distB="0" distL="114300" distR="114300" simplePos="0" relativeHeight="251674624" behindDoc="0" locked="0" layoutInCell="1" allowOverlap="1" wp14:anchorId="273E9906" wp14:editId="27814BE1">
            <wp:simplePos x="0" y="0"/>
            <wp:positionH relativeFrom="margin">
              <wp:posOffset>2760980</wp:posOffset>
            </wp:positionH>
            <wp:positionV relativeFrom="page">
              <wp:posOffset>539750</wp:posOffset>
            </wp:positionV>
            <wp:extent cx="2991485" cy="215963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9995"/>
                    <a:stretch/>
                  </pic:blipFill>
                  <pic:spPr bwMode="auto">
                    <a:xfrm>
                      <a:off x="0" y="0"/>
                      <a:ext cx="2991485"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7C35">
        <w:rPr>
          <w:rFonts w:eastAsia="Calibri" w:cs="Times New Roman"/>
          <w:noProof/>
          <w:szCs w:val="28"/>
          <w:lang w:eastAsia="lv-LV"/>
        </w:rPr>
        <w:drawing>
          <wp:anchor distT="0" distB="0" distL="114300" distR="114300" simplePos="0" relativeHeight="251673600" behindDoc="0" locked="0" layoutInCell="1" allowOverlap="1" wp14:anchorId="2648C245" wp14:editId="50518823">
            <wp:simplePos x="0" y="0"/>
            <wp:positionH relativeFrom="margin">
              <wp:posOffset>-390525</wp:posOffset>
            </wp:positionH>
            <wp:positionV relativeFrom="page">
              <wp:posOffset>647700</wp:posOffset>
            </wp:positionV>
            <wp:extent cx="3121025" cy="215963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6062"/>
                    <a:stretch/>
                  </pic:blipFill>
                  <pic:spPr bwMode="auto">
                    <a:xfrm>
                      <a:off x="0" y="0"/>
                      <a:ext cx="3121025" cy="2159635"/>
                    </a:xfrm>
                    <a:prstGeom prst="rect">
                      <a:avLst/>
                    </a:prstGeom>
                    <a:noFill/>
                    <a:ln>
                      <a:noFill/>
                    </a:ln>
                    <a:extLst>
                      <a:ext uri="{53640926-AAD7-44D8-BBD7-CCE9431645EC}">
                        <a14:shadowObscured xmlns:a14="http://schemas.microsoft.com/office/drawing/2010/main"/>
                      </a:ext>
                    </a:extLst>
                  </pic:spPr>
                </pic:pic>
              </a:graphicData>
            </a:graphic>
          </wp:anchor>
        </w:drawing>
      </w:r>
    </w:p>
    <w:p w:rsidR="00BF4753" w:rsidRDefault="00BF4753" w:rsidP="00BF4753">
      <w:pPr>
        <w:spacing w:after="120"/>
        <w:ind w:firstLine="0"/>
        <w:rPr>
          <w:rFonts w:eastAsia="Calibri" w:cs="Times New Roman"/>
          <w:b/>
          <w:sz w:val="24"/>
          <w:szCs w:val="24"/>
        </w:rPr>
        <w:sectPr w:rsidR="00BF4753" w:rsidSect="002D7CA8">
          <w:footerReference w:type="default" r:id="rId50"/>
          <w:pgSz w:w="11906" w:h="16838" w:code="9"/>
          <w:pgMar w:top="1418" w:right="1134" w:bottom="709" w:left="1701" w:header="1418" w:footer="1134" w:gutter="0"/>
          <w:cols w:space="708"/>
          <w:titlePg/>
          <w:docGrid w:linePitch="360"/>
        </w:sectPr>
      </w:pPr>
    </w:p>
    <w:p w:rsidR="00BF4753" w:rsidRPr="001D3EFD" w:rsidRDefault="00BF4753" w:rsidP="00BF4753">
      <w:pPr>
        <w:spacing w:after="120"/>
        <w:ind w:firstLine="0"/>
        <w:jc w:val="center"/>
        <w:rPr>
          <w:rFonts w:eastAsia="Calibri" w:cs="Times New Roman"/>
          <w:b/>
          <w:i/>
          <w:iCs/>
          <w:color w:val="000000"/>
          <w:sz w:val="24"/>
          <w:szCs w:val="24"/>
        </w:rPr>
      </w:pPr>
      <w:r w:rsidRPr="000E7C35">
        <w:rPr>
          <w:rFonts w:eastAsia="Calibri" w:cs="Times New Roman"/>
          <w:b/>
          <w:i/>
          <w:sz w:val="24"/>
          <w:szCs w:val="24"/>
        </w:rPr>
        <w:t xml:space="preserve">6.5. attēls. Ar novecošanos saistītie publiskie izdevumi bāzes un riska scenārijā, </w:t>
      </w:r>
      <w:r w:rsidRPr="001D3EFD">
        <w:rPr>
          <w:rFonts w:eastAsia="Calibri" w:cs="Times New Roman"/>
          <w:b/>
          <w:i/>
          <w:sz w:val="24"/>
          <w:szCs w:val="24"/>
        </w:rPr>
        <w:t>% no iekšzemes kopprodukta</w:t>
      </w:r>
      <w:r w:rsidRPr="000E7C35">
        <w:rPr>
          <w:rFonts w:eastAsia="Calibri" w:cs="Times New Roman"/>
          <w:b/>
          <w:i/>
          <w:sz w:val="24"/>
          <w:szCs w:val="24"/>
        </w:rPr>
        <w:br/>
      </w:r>
      <w:r w:rsidRPr="000E7C35">
        <w:rPr>
          <w:rFonts w:eastAsia="Calibri" w:cs="Times New Roman"/>
          <w:b/>
          <w:i/>
          <w:color w:val="000000"/>
          <w:sz w:val="24"/>
          <w:szCs w:val="24"/>
        </w:rPr>
        <w:t xml:space="preserve">(Datu avots: </w:t>
      </w:r>
      <w:r w:rsidRPr="001D3EFD">
        <w:rPr>
          <w:rFonts w:eastAsia="Calibri" w:cs="Times New Roman"/>
          <w:b/>
          <w:i/>
          <w:iCs/>
          <w:color w:val="000000"/>
          <w:sz w:val="24"/>
          <w:szCs w:val="24"/>
        </w:rPr>
        <w:t>Ekonomiskās politikas komitejas Iedzīvotāju novecošanās darba grupa</w:t>
      </w:r>
      <w:r w:rsidRPr="000E7C35">
        <w:rPr>
          <w:rFonts w:eastAsia="Calibri" w:cs="Times New Roman"/>
          <w:b/>
          <w:i/>
          <w:iCs/>
          <w:color w:val="000000"/>
          <w:sz w:val="24"/>
          <w:szCs w:val="24"/>
        </w:rPr>
        <w:t>)</w:t>
      </w:r>
    </w:p>
    <w:p w:rsidR="00BF4753" w:rsidRPr="001D3EFD" w:rsidRDefault="00BF4753" w:rsidP="00BF4753">
      <w:pPr>
        <w:spacing w:after="120"/>
        <w:ind w:firstLine="0"/>
        <w:jc w:val="center"/>
        <w:rPr>
          <w:rFonts w:eastAsia="Calibri" w:cs="Times New Roman"/>
          <w:b/>
          <w:i/>
          <w:iCs/>
          <w:color w:val="000000"/>
          <w:sz w:val="24"/>
          <w:szCs w:val="24"/>
        </w:rPr>
        <w:sectPr w:rsidR="00BF4753" w:rsidRPr="001D3EFD" w:rsidSect="002D7CA8">
          <w:type w:val="continuous"/>
          <w:pgSz w:w="11906" w:h="16838" w:code="9"/>
          <w:pgMar w:top="1418" w:right="1134" w:bottom="709" w:left="1701" w:header="1418" w:footer="1134" w:gutter="0"/>
          <w:cols w:num="2" w:space="708"/>
          <w:titlePg/>
          <w:docGrid w:linePitch="360"/>
        </w:sectPr>
      </w:pPr>
      <w:r w:rsidRPr="000E7C35">
        <w:rPr>
          <w:rFonts w:eastAsia="Calibri" w:cs="Times New Roman"/>
          <w:b/>
          <w:i/>
          <w:sz w:val="24"/>
          <w:szCs w:val="24"/>
        </w:rPr>
        <w:t>6.6. attēls. Ar novecošanos saistītie publiskie izdevumi pa pozīcijām,</w:t>
      </w:r>
      <w:r w:rsidRPr="000E7C35">
        <w:rPr>
          <w:rFonts w:eastAsia="Calibri" w:cs="Times New Roman"/>
          <w:b/>
          <w:i/>
          <w:sz w:val="24"/>
          <w:szCs w:val="24"/>
        </w:rPr>
        <w:br/>
        <w:t xml:space="preserve">% no </w:t>
      </w:r>
      <w:r w:rsidRPr="001D3EFD">
        <w:rPr>
          <w:rFonts w:eastAsia="Calibri" w:cs="Times New Roman"/>
          <w:b/>
          <w:i/>
          <w:sz w:val="24"/>
          <w:szCs w:val="24"/>
        </w:rPr>
        <w:t>iekšzemes kopprodukta</w:t>
      </w:r>
      <w:r w:rsidRPr="000E7C35">
        <w:rPr>
          <w:rFonts w:eastAsia="Calibri" w:cs="Times New Roman"/>
          <w:b/>
          <w:i/>
          <w:sz w:val="24"/>
          <w:szCs w:val="24"/>
        </w:rPr>
        <w:t xml:space="preserve"> </w:t>
      </w:r>
      <w:r w:rsidRPr="000E7C35">
        <w:rPr>
          <w:rFonts w:eastAsia="Calibri" w:cs="Times New Roman"/>
          <w:b/>
          <w:i/>
          <w:color w:val="000000"/>
          <w:sz w:val="24"/>
          <w:szCs w:val="24"/>
        </w:rPr>
        <w:t xml:space="preserve">(Datu avots: </w:t>
      </w:r>
      <w:r w:rsidRPr="001D3EFD">
        <w:rPr>
          <w:rFonts w:eastAsia="Calibri" w:cs="Times New Roman"/>
          <w:b/>
          <w:i/>
          <w:iCs/>
          <w:color w:val="000000"/>
          <w:sz w:val="24"/>
          <w:szCs w:val="24"/>
        </w:rPr>
        <w:t>Ekonomiskās politikas komitejas Iedzīvotāju novecošanās darba grupa</w:t>
      </w:r>
      <w:r w:rsidRPr="001D3EFD">
        <w:rPr>
          <w:rFonts w:eastAsia="Calibri" w:cs="Times New Roman"/>
          <w:b/>
          <w:i/>
          <w:noProof/>
          <w:color w:val="000000"/>
          <w:sz w:val="24"/>
          <w:szCs w:val="24"/>
        </w:rPr>
        <w:t>)</w:t>
      </w:r>
    </w:p>
    <w:p w:rsidR="00BF4753" w:rsidRDefault="00BF4753" w:rsidP="00BF4753">
      <w:pPr>
        <w:autoSpaceDE w:val="0"/>
        <w:autoSpaceDN w:val="0"/>
        <w:adjustRightInd w:val="0"/>
        <w:ind w:firstLine="0"/>
        <w:rPr>
          <w:rFonts w:eastAsia="Times New Roman" w:cs="Times New Roman"/>
          <w:color w:val="000000"/>
          <w:szCs w:val="28"/>
        </w:rPr>
      </w:pPr>
    </w:p>
    <w:p w:rsidR="00BF4753" w:rsidRPr="00CD2492" w:rsidRDefault="00BF4753" w:rsidP="00BF4753">
      <w:pPr>
        <w:autoSpaceDE w:val="0"/>
        <w:autoSpaceDN w:val="0"/>
        <w:adjustRightInd w:val="0"/>
        <w:rPr>
          <w:rFonts w:eastAsia="Times New Roman" w:cs="Times New Roman"/>
          <w:color w:val="000000"/>
          <w:szCs w:val="28"/>
        </w:rPr>
      </w:pPr>
      <w:r w:rsidRPr="00CD2492">
        <w:rPr>
          <w:rFonts w:eastAsia="Times New Roman" w:cs="Times New Roman"/>
          <w:color w:val="000000"/>
          <w:szCs w:val="28"/>
        </w:rPr>
        <w:t xml:space="preserve">Jāatzīmē, ka pensiju izdevumu īpatsvara </w:t>
      </w:r>
      <w:r>
        <w:rPr>
          <w:rFonts w:eastAsia="Times New Roman" w:cs="Times New Roman"/>
          <w:color w:val="000000"/>
          <w:szCs w:val="28"/>
        </w:rPr>
        <w:t>iekšzemes kopproduktā</w:t>
      </w:r>
      <w:r w:rsidRPr="00CD2492">
        <w:rPr>
          <w:rFonts w:eastAsia="Times New Roman" w:cs="Times New Roman"/>
          <w:color w:val="000000"/>
          <w:szCs w:val="28"/>
        </w:rPr>
        <w:t xml:space="preserve"> samazināšanās ilgtermiņā visticamāk uzlabos fiskāl</w:t>
      </w:r>
      <w:r>
        <w:rPr>
          <w:rFonts w:eastAsia="Times New Roman" w:cs="Times New Roman"/>
          <w:color w:val="000000"/>
          <w:szCs w:val="28"/>
        </w:rPr>
        <w:t>ās ilgtspējas novērtējumu, ko Eiropas Komisija</w:t>
      </w:r>
      <w:r w:rsidRPr="00CD2492">
        <w:rPr>
          <w:rFonts w:eastAsia="Times New Roman" w:cs="Times New Roman"/>
          <w:color w:val="000000"/>
          <w:szCs w:val="28"/>
        </w:rPr>
        <w:t xml:space="preserve"> vēl gatavos šā gada otrā pusē, taču vienlaicīgi paliek aktuāls jautājums par pensiju pietiekamību. </w:t>
      </w:r>
    </w:p>
    <w:p w:rsidR="00BF4753" w:rsidRPr="00CD2492" w:rsidRDefault="00BF4753" w:rsidP="00BF4753">
      <w:pPr>
        <w:autoSpaceDE w:val="0"/>
        <w:autoSpaceDN w:val="0"/>
        <w:adjustRightInd w:val="0"/>
        <w:rPr>
          <w:rFonts w:eastAsia="Times New Roman" w:cs="Times New Roman"/>
          <w:color w:val="000000"/>
          <w:szCs w:val="28"/>
        </w:rPr>
      </w:pPr>
      <w:r w:rsidRPr="00CD2492">
        <w:rPr>
          <w:rFonts w:eastAsia="Times New Roman" w:cs="Times New Roman"/>
          <w:color w:val="000000"/>
          <w:szCs w:val="28"/>
        </w:rPr>
        <w:t xml:space="preserve"> Sagatavojot prognozes, galvenokārt tika ņemtas vērā šādas likumdošanas izmaiņas: </w:t>
      </w:r>
    </w:p>
    <w:p w:rsidR="00BF4753" w:rsidRPr="000E7C35" w:rsidRDefault="00BF4753" w:rsidP="00BF4753">
      <w:pPr>
        <w:numPr>
          <w:ilvl w:val="0"/>
          <w:numId w:val="39"/>
        </w:numPr>
        <w:ind w:left="1276" w:hanging="567"/>
        <w:rPr>
          <w:rFonts w:eastAsia="Times New Roman" w:cs="Times New Roman"/>
          <w:szCs w:val="28"/>
          <w:lang w:eastAsia="lv-LV"/>
        </w:rPr>
      </w:pPr>
      <w:r w:rsidRPr="000E7C35">
        <w:rPr>
          <w:rFonts w:eastAsia="Times New Roman" w:cs="Times New Roman"/>
          <w:szCs w:val="28"/>
          <w:lang w:eastAsia="lv-LV"/>
        </w:rPr>
        <w:t>No 2014. gada pakāpeniski tiek palielināts pensionēšanās vecums – ik gadu par trim mēnešiem, līdz 2025. gadā tiks sasniegts 65 gadu vecums. Personām, kuru apdrošināšanas stāžs nav mazāks par 30 gadiem, ir tiesības pensionēties priekšlaicīgi – divus gadus pirms vispārējā pensionēšanās vecuma sasniegšanas.</w:t>
      </w:r>
    </w:p>
    <w:p w:rsidR="00BF4753" w:rsidRPr="000E7C35" w:rsidRDefault="00BF4753" w:rsidP="00BF4753">
      <w:pPr>
        <w:numPr>
          <w:ilvl w:val="0"/>
          <w:numId w:val="39"/>
        </w:numPr>
        <w:ind w:left="1276" w:hanging="567"/>
        <w:rPr>
          <w:rFonts w:eastAsia="Times New Roman" w:cs="Times New Roman"/>
          <w:szCs w:val="28"/>
          <w:lang w:eastAsia="lv-LV"/>
        </w:rPr>
      </w:pPr>
      <w:r w:rsidRPr="000E7C35">
        <w:rPr>
          <w:rFonts w:eastAsia="Times New Roman" w:cs="Times New Roman"/>
          <w:szCs w:val="28"/>
          <w:lang w:eastAsia="lv-LV"/>
        </w:rPr>
        <w:t xml:space="preserve">No 2018. gada personām, kuru apdrošināšanas stāžs ir mazāks par 15 gadiem un kurām nav tiesību uz valsts vecuma pensiju, saskaņā ar Valsts sociālo pabalstu likumu, sasniedzot noteikto pensionēšanās vecumu, tiek piešķirts un no valsts pamatbudžeta līdzekļiem izmaksāts valsts sociālā nodrošinājuma pabalsts. No 2025. gada nepieciešamais apdrošināšanas stāžs – 20 gadi. </w:t>
      </w:r>
    </w:p>
    <w:p w:rsidR="00BF4753" w:rsidRPr="000E7C35" w:rsidRDefault="00BF4753" w:rsidP="00BF4753">
      <w:pPr>
        <w:numPr>
          <w:ilvl w:val="0"/>
          <w:numId w:val="39"/>
        </w:numPr>
        <w:ind w:left="1276" w:hanging="567"/>
        <w:rPr>
          <w:rFonts w:eastAsia="Times New Roman" w:cs="Times New Roman"/>
          <w:szCs w:val="28"/>
          <w:lang w:eastAsia="lv-LV"/>
        </w:rPr>
      </w:pPr>
      <w:r w:rsidRPr="000E7C35">
        <w:rPr>
          <w:rFonts w:eastAsia="Times New Roman" w:cs="Times New Roman"/>
          <w:szCs w:val="28"/>
          <w:lang w:eastAsia="lv-LV"/>
        </w:rPr>
        <w:t>No 2019. gada 1. oktobra vecuma pensijām, kas aprēķinātas par 45 un vairāk gadu apdrošināšanas stāžu, pensiju indeksācijā piemēros faktisko patēriņa cenu indeksu un 80% (iepriekš 70%) no apdrošināšanas iemaksu algu summas reālā pieauguma procentiem.</w:t>
      </w:r>
    </w:p>
    <w:p w:rsidR="00BF4753" w:rsidRPr="000E7C35" w:rsidRDefault="00BF4753" w:rsidP="00BF4753">
      <w:pPr>
        <w:numPr>
          <w:ilvl w:val="0"/>
          <w:numId w:val="39"/>
        </w:numPr>
        <w:ind w:left="1276" w:hanging="567"/>
        <w:rPr>
          <w:rFonts w:eastAsia="Times New Roman" w:cs="Times New Roman"/>
          <w:szCs w:val="28"/>
          <w:lang w:eastAsia="lv-LV"/>
        </w:rPr>
      </w:pPr>
      <w:r w:rsidRPr="000E7C35">
        <w:rPr>
          <w:rFonts w:eastAsia="Times New Roman" w:cs="Times New Roman"/>
          <w:szCs w:val="28"/>
          <w:lang w:eastAsia="lv-LV"/>
        </w:rPr>
        <w:t xml:space="preserve">No 2019. gada 1. oktobra piemaksas apmērs par vienu apdrošināšanas stāža gadu, kas uzkrāts līdz 1995. gada 31. decembrim (1,50 </w:t>
      </w:r>
      <w:r w:rsidRPr="000E7C35">
        <w:rPr>
          <w:rFonts w:eastAsia="Times New Roman" w:cs="Times New Roman"/>
          <w:i/>
          <w:iCs/>
          <w:noProof/>
          <w:szCs w:val="28"/>
          <w:lang w:eastAsia="lv-LV"/>
        </w:rPr>
        <w:t>euro</w:t>
      </w:r>
      <w:r w:rsidRPr="000E7C35">
        <w:rPr>
          <w:rFonts w:eastAsia="Times New Roman" w:cs="Times New Roman"/>
          <w:noProof/>
          <w:szCs w:val="28"/>
          <w:lang w:eastAsia="lv-LV"/>
        </w:rPr>
        <w:t xml:space="preserve"> pensijām, kas piešķirtas līdz 1996. gadam, un 1 </w:t>
      </w:r>
      <w:r w:rsidRPr="000E7C35">
        <w:rPr>
          <w:rFonts w:eastAsia="Times New Roman" w:cs="Times New Roman"/>
          <w:i/>
          <w:iCs/>
          <w:noProof/>
          <w:szCs w:val="28"/>
          <w:lang w:eastAsia="lv-LV"/>
        </w:rPr>
        <w:t>euro</w:t>
      </w:r>
      <w:r w:rsidRPr="000E7C35">
        <w:rPr>
          <w:rFonts w:eastAsia="Times New Roman" w:cs="Times New Roman"/>
          <w:szCs w:val="28"/>
          <w:lang w:eastAsia="lv-LV"/>
        </w:rPr>
        <w:t xml:space="preserve"> pensijām, kas piešķirtas no 1997. gada), tiek pārskatīts, ņemot vērā faktisko patēriņa </w:t>
      </w:r>
      <w:r w:rsidRPr="000E7C35">
        <w:rPr>
          <w:rFonts w:eastAsia="Times New Roman" w:cs="Times New Roman"/>
          <w:szCs w:val="28"/>
          <w:lang w:eastAsia="lv-LV"/>
        </w:rPr>
        <w:lastRenderedPageBreak/>
        <w:t>cenu indeksu un 50% no apdrošināšanas iemaksu algu summas reālā pieauguma procentiem.</w:t>
      </w:r>
    </w:p>
    <w:p w:rsidR="00BF4753" w:rsidRPr="000E7C35" w:rsidRDefault="00BF4753" w:rsidP="00BF4753">
      <w:pPr>
        <w:numPr>
          <w:ilvl w:val="0"/>
          <w:numId w:val="39"/>
        </w:numPr>
        <w:ind w:left="1276" w:hanging="567"/>
        <w:rPr>
          <w:rFonts w:eastAsia="Times New Roman" w:cs="Times New Roman"/>
          <w:szCs w:val="28"/>
          <w:lang w:eastAsia="lv-LV"/>
        </w:rPr>
      </w:pPr>
      <w:r w:rsidRPr="000E7C35">
        <w:rPr>
          <w:rFonts w:eastAsia="Times New Roman" w:cs="Times New Roman"/>
          <w:szCs w:val="28"/>
          <w:lang w:eastAsia="lv-LV"/>
        </w:rPr>
        <w:t xml:space="preserve">Sākot ar 2020. gadu valsts </w:t>
      </w:r>
      <w:r w:rsidRPr="000E7C35">
        <w:rPr>
          <w:rFonts w:eastAsia="Times New Roman" w:cs="Times New Roman"/>
          <w:noProof/>
          <w:szCs w:val="28"/>
          <w:lang w:eastAsia="lv-LV"/>
        </w:rPr>
        <w:t xml:space="preserve">fondētās pensijas kapitālu ir iespēja atstāt mantojumā vai pievienot norādītas personas </w:t>
      </w:r>
      <w:r w:rsidRPr="000E7C35">
        <w:rPr>
          <w:rFonts w:eastAsia="Times New Roman" w:cs="Times New Roman"/>
          <w:szCs w:val="28"/>
          <w:lang w:eastAsia="lv-LV"/>
        </w:rPr>
        <w:t>pensijas kapitālam, gadījumā, ja cilvēks nomirst pirms pensijas vecuma.</w:t>
      </w:r>
    </w:p>
    <w:p w:rsidR="00BF4753" w:rsidRPr="000E7C35" w:rsidRDefault="00BF4753" w:rsidP="00BF4753">
      <w:pPr>
        <w:numPr>
          <w:ilvl w:val="0"/>
          <w:numId w:val="39"/>
        </w:numPr>
        <w:ind w:left="1276" w:hanging="567"/>
        <w:rPr>
          <w:rFonts w:eastAsia="Times New Roman" w:cs="Times New Roman"/>
          <w:szCs w:val="28"/>
          <w:lang w:eastAsia="lv-LV"/>
        </w:rPr>
      </w:pPr>
      <w:r w:rsidRPr="000E7C35">
        <w:rPr>
          <w:rFonts w:eastAsia="Times New Roman" w:cs="Times New Roman"/>
          <w:szCs w:val="28"/>
          <w:lang w:eastAsia="lv-LV"/>
        </w:rPr>
        <w:t>2020. gada 1. oktobrī tika indeksētas pensijas un atlīdzības vai to daļu apmērs, kas nepārsniedz 454 eiro mēnesī. Indeksētas tiek vecuma, invaliditātes, izdienas un apgādnieku zaudējuma pensijas un atlīdzības, kuras piešķirtas vai pārrēķinātas līdz 2020. gada 30. septembrim.</w:t>
      </w:r>
    </w:p>
    <w:p w:rsidR="00BF4753" w:rsidRPr="000E7C35" w:rsidRDefault="00BF4753" w:rsidP="00BF4753">
      <w:pPr>
        <w:rPr>
          <w:rFonts w:eastAsia="Times New Roman" w:cs="Times New Roman"/>
          <w:noProof/>
          <w:szCs w:val="28"/>
        </w:rPr>
      </w:pPr>
      <w:r w:rsidRPr="000E7C35">
        <w:rPr>
          <w:rFonts w:eastAsia="Times New Roman" w:cs="Times New Roman"/>
          <w:noProof/>
          <w:szCs w:val="28"/>
        </w:rPr>
        <w:t>Tiek prognozēts, ka izdevumi veselības aprūpei ilgtermiņā pal</w:t>
      </w:r>
      <w:r>
        <w:rPr>
          <w:rFonts w:eastAsia="Times New Roman" w:cs="Times New Roman"/>
          <w:noProof/>
          <w:szCs w:val="28"/>
        </w:rPr>
        <w:t>ielināsies no 4,6% no iekšzemes kopprodukta</w:t>
      </w:r>
      <w:r w:rsidRPr="000E7C35">
        <w:rPr>
          <w:rFonts w:eastAsia="Times New Roman" w:cs="Times New Roman"/>
          <w:noProof/>
          <w:szCs w:val="28"/>
        </w:rPr>
        <w:t xml:space="preserve"> 2019. gadā līdz 5,1% no </w:t>
      </w:r>
      <w:r>
        <w:rPr>
          <w:rFonts w:eastAsia="Times New Roman" w:cs="Times New Roman"/>
          <w:noProof/>
          <w:szCs w:val="28"/>
        </w:rPr>
        <w:t>iekšzemes kopprodukta</w:t>
      </w:r>
      <w:r w:rsidRPr="000E7C35">
        <w:rPr>
          <w:rFonts w:eastAsia="Times New Roman" w:cs="Times New Roman"/>
          <w:noProof/>
          <w:szCs w:val="28"/>
        </w:rPr>
        <w:t xml:space="preserve"> 2070. gadā, pamatā ņemot vērā iedzīvotāju novecošanos, palielinoties mūža ilgumam un nepieciešamībai pēc veselības aprūpes pakalpojumiem. 2020.-2021. gadā veselības izdevumu īpatsvars iekšzemes kopproduktā, ņemot vērā gan </w:t>
      </w:r>
      <w:r>
        <w:rPr>
          <w:rFonts w:eastAsia="Times New Roman" w:cs="Times New Roman"/>
          <w:noProof/>
          <w:szCs w:val="28"/>
        </w:rPr>
        <w:t>iekšzemes kopprodukta</w:t>
      </w:r>
      <w:r w:rsidRPr="000E7C35">
        <w:rPr>
          <w:rFonts w:eastAsia="Times New Roman" w:cs="Times New Roman"/>
          <w:noProof/>
          <w:szCs w:val="28"/>
        </w:rPr>
        <w:t xml:space="preserve"> kritumu, gan papildus finansējumu cīņai ar Covid-19 – medicīnas aprīkojumam, individuālajiem aizsardzības līdzekļiem, infrastruktūras uzlabošanai – īslaicīgi pieaugs līdz 5,0-5,3% no </w:t>
      </w:r>
      <w:r>
        <w:rPr>
          <w:rFonts w:eastAsia="Times New Roman" w:cs="Times New Roman"/>
          <w:noProof/>
          <w:szCs w:val="28"/>
        </w:rPr>
        <w:t>iekšzemes kopprodukta</w:t>
      </w:r>
      <w:r w:rsidRPr="000E7C35">
        <w:rPr>
          <w:rFonts w:eastAsia="Times New Roman" w:cs="Times New Roman"/>
          <w:noProof/>
          <w:szCs w:val="28"/>
        </w:rPr>
        <w:t>.</w:t>
      </w:r>
    </w:p>
    <w:p w:rsidR="00BF4753" w:rsidRPr="001D3EFD" w:rsidRDefault="00BF4753" w:rsidP="00BF4753">
      <w:pPr>
        <w:rPr>
          <w:rFonts w:eastAsia="Times New Roman" w:cs="Times New Roman"/>
          <w:noProof/>
          <w:szCs w:val="28"/>
        </w:rPr>
      </w:pPr>
      <w:r w:rsidRPr="000E7C35">
        <w:rPr>
          <w:rFonts w:eastAsia="Times New Roman" w:cs="Times New Roman"/>
          <w:noProof/>
          <w:szCs w:val="28"/>
        </w:rPr>
        <w:t xml:space="preserve">Darba grupa papildus bāzes scenārijam izstrādāja arī vairākus alternatīvos scenārijus pie dažādiem pieņēmumiem, un riska scenārijā tiek prognozēts, ka publiskie izdevumi, kas ir saistīti ar iedzīvotāju novecošanos, pretēji bāzes scenārijam salīdzinājumā ar 2019. gadu varētu palielināties par 4,4 procentpunktiem un 2070. gadā sasniegt 20,2% no </w:t>
      </w:r>
      <w:r>
        <w:rPr>
          <w:rFonts w:eastAsia="Times New Roman" w:cs="Times New Roman"/>
          <w:noProof/>
          <w:szCs w:val="28"/>
        </w:rPr>
        <w:t>iekšzemes kopprodukta</w:t>
      </w:r>
      <w:r w:rsidRPr="000E7C35">
        <w:rPr>
          <w:rFonts w:eastAsia="Times New Roman" w:cs="Times New Roman"/>
          <w:noProof/>
          <w:szCs w:val="28"/>
        </w:rPr>
        <w:t>. Riska scenārijā galvenokārt palielinātos izdevumi veselības aprūpei un ilgstošajai aprūpei, ņemot vērā gan iespējamo izmaksu sadārdzināšanos, attīstoties tehnoloģijām, gan izmaksām uz 1 saņēmēju konverģējot</w:t>
      </w:r>
      <w:r>
        <w:rPr>
          <w:rFonts w:eastAsia="Times New Roman" w:cs="Times New Roman"/>
          <w:noProof/>
          <w:szCs w:val="28"/>
        </w:rPr>
        <w:t xml:space="preserve"> ar Eiropas Savienības</w:t>
      </w:r>
      <w:r w:rsidRPr="000E7C35">
        <w:rPr>
          <w:rFonts w:eastAsia="Times New Roman" w:cs="Times New Roman"/>
          <w:noProof/>
          <w:szCs w:val="28"/>
        </w:rPr>
        <w:t xml:space="preserve"> vidējiem rādītājiem. </w:t>
      </w:r>
    </w:p>
    <w:p w:rsidR="00BF4753" w:rsidRDefault="00BF4753" w:rsidP="00BF4753">
      <w:pPr>
        <w:pStyle w:val="Heading2"/>
        <w:numPr>
          <w:ilvl w:val="0"/>
          <w:numId w:val="0"/>
        </w:numPr>
        <w:spacing w:before="240" w:after="240"/>
        <w:rPr>
          <w:rFonts w:eastAsia="Times New Roman" w:cs="Times New Roman"/>
          <w:sz w:val="24"/>
          <w:szCs w:val="20"/>
        </w:rPr>
      </w:pPr>
      <w:bookmarkStart w:id="49" w:name="_Toc68335015"/>
      <w:r w:rsidRPr="00896977">
        <w:rPr>
          <w:rFonts w:eastAsia="Times New Roman"/>
          <w:lang w:eastAsia="lv-LV"/>
        </w:rPr>
        <w:t>6.2. Valsts sniegtie galvojumi</w:t>
      </w:r>
      <w:bookmarkEnd w:id="49"/>
      <w:r w:rsidRPr="000E7C35">
        <w:rPr>
          <w:rFonts w:eastAsia="Times New Roman" w:cs="Times New Roman"/>
          <w:sz w:val="24"/>
          <w:szCs w:val="20"/>
        </w:rPr>
        <w:t xml:space="preserve"> </w:t>
      </w:r>
    </w:p>
    <w:p w:rsidR="00BF4753" w:rsidRPr="00CD2492" w:rsidRDefault="00BF4753" w:rsidP="00BF4753">
      <w:pPr>
        <w:pStyle w:val="BodyText"/>
        <w:spacing w:after="0"/>
        <w:ind w:firstLine="720"/>
        <w:rPr>
          <w:sz w:val="28"/>
          <w:szCs w:val="28"/>
        </w:rPr>
      </w:pPr>
      <w:r w:rsidRPr="00CD2492">
        <w:rPr>
          <w:sz w:val="28"/>
          <w:szCs w:val="28"/>
        </w:rPr>
        <w:t xml:space="preserve">Likums “Par valsts budžetu 2020. gadam” jaunus valsts galvojumus neparedzēja, taču noteica, ka saskaņā ar </w:t>
      </w:r>
      <w:hyperlink r:id="rId51" w:tgtFrame="_blank" w:history="1">
        <w:r w:rsidRPr="00CD2492">
          <w:rPr>
            <w:sz w:val="28"/>
            <w:szCs w:val="28"/>
          </w:rPr>
          <w:t>Lauksaimniecības un lauku attīstības likumu</w:t>
        </w:r>
      </w:hyperlink>
      <w:r w:rsidRPr="00CD2492">
        <w:rPr>
          <w:sz w:val="28"/>
          <w:szCs w:val="28"/>
        </w:rPr>
        <w:t xml:space="preserve"> un </w:t>
      </w:r>
      <w:hyperlink r:id="rId52" w:tgtFrame="_blank" w:history="1">
        <w:r w:rsidRPr="00CD2492">
          <w:rPr>
            <w:sz w:val="28"/>
            <w:szCs w:val="28"/>
          </w:rPr>
          <w:t>Attīstības finanšu institūcijas likumu</w:t>
        </w:r>
      </w:hyperlink>
      <w:r w:rsidRPr="00CD2492">
        <w:rPr>
          <w:sz w:val="28"/>
          <w:szCs w:val="28"/>
        </w:rPr>
        <w:t xml:space="preserve"> valsts 270,0 milj. </w:t>
      </w:r>
      <w:r w:rsidRPr="00CD2492">
        <w:rPr>
          <w:i/>
          <w:sz w:val="28"/>
          <w:szCs w:val="28"/>
        </w:rPr>
        <w:t>euro</w:t>
      </w:r>
      <w:r w:rsidRPr="00CD2492">
        <w:rPr>
          <w:sz w:val="28"/>
          <w:szCs w:val="28"/>
        </w:rPr>
        <w:t xml:space="preserve"> apmērā atbild par akciju sabiedrības "Attīstības finanšu institūcija Altum"</w:t>
      </w:r>
      <w:r>
        <w:rPr>
          <w:sz w:val="28"/>
          <w:szCs w:val="28"/>
        </w:rPr>
        <w:t xml:space="preserve"> </w:t>
      </w:r>
      <w:r w:rsidRPr="00CD2492">
        <w:rPr>
          <w:sz w:val="28"/>
          <w:szCs w:val="28"/>
        </w:rPr>
        <w:t>izsniegtajām garantijām.</w:t>
      </w:r>
      <w:r>
        <w:rPr>
          <w:sz w:val="28"/>
          <w:szCs w:val="28"/>
        </w:rPr>
        <w:t xml:space="preserve"> </w:t>
      </w:r>
      <w:r w:rsidRPr="00CD2492">
        <w:rPr>
          <w:sz w:val="28"/>
          <w:szCs w:val="28"/>
        </w:rPr>
        <w:t xml:space="preserve">Kā arī, lai Covid-19 izraisītajā ārkārtas situācijā nodrošinātu iedzīvotājiem iespējas saglabāt darbavietas un darba devējiem noturēt darbā savus profesionāļus, pamatojoties uz Likumu par valsts apdraudējuma un tā seku novēršanas un pārvarēšanas pasākumiem sakarā ar Covid-19 izplatību, izsniegts </w:t>
      </w:r>
      <w:r w:rsidRPr="001D3EFD">
        <w:rPr>
          <w:sz w:val="28"/>
          <w:szCs w:val="28"/>
        </w:rPr>
        <w:t>Latvijas Republikas galvojums Eiropas Komisijai par dalību Eiropas Savienības atbalsta</w:t>
      </w:r>
      <w:r w:rsidRPr="00CD2492">
        <w:rPr>
          <w:sz w:val="28"/>
          <w:szCs w:val="28"/>
        </w:rPr>
        <w:t xml:space="preserve"> instrumentā </w:t>
      </w:r>
      <w:r w:rsidRPr="00CD2492">
        <w:rPr>
          <w:bCs/>
          <w:iCs/>
          <w:spacing w:val="-2"/>
          <w:sz w:val="28"/>
          <w:szCs w:val="28"/>
        </w:rPr>
        <w:t xml:space="preserve">"Bezdarba risku mazināšanai ārkārtas situācijā (SURE)" </w:t>
      </w:r>
      <w:r w:rsidRPr="00CD2492">
        <w:rPr>
          <w:sz w:val="28"/>
          <w:szCs w:val="28"/>
        </w:rPr>
        <w:t xml:space="preserve">par 57,07 milj. </w:t>
      </w:r>
      <w:r w:rsidRPr="00CD2492">
        <w:rPr>
          <w:i/>
          <w:sz w:val="28"/>
          <w:szCs w:val="28"/>
        </w:rPr>
        <w:t>euro</w:t>
      </w:r>
      <w:r w:rsidRPr="00CD2492">
        <w:rPr>
          <w:sz w:val="28"/>
          <w:szCs w:val="28"/>
        </w:rPr>
        <w:t>.</w:t>
      </w:r>
    </w:p>
    <w:p w:rsidR="00BF4753" w:rsidRPr="00CD2492" w:rsidRDefault="00BF4753" w:rsidP="00BF4753">
      <w:pPr>
        <w:ind w:firstLine="709"/>
        <w:rPr>
          <w:bCs/>
          <w:szCs w:val="28"/>
          <w:lang w:eastAsia="lv-LV"/>
        </w:rPr>
      </w:pPr>
      <w:r w:rsidRPr="00CD2492">
        <w:rPr>
          <w:szCs w:val="28"/>
          <w:lang w:eastAsia="lv-LV"/>
        </w:rPr>
        <w:t>V</w:t>
      </w:r>
      <w:r w:rsidRPr="00CD2492">
        <w:rPr>
          <w:szCs w:val="28"/>
        </w:rPr>
        <w:t>alsts galvojumu apmērs 2020.</w:t>
      </w:r>
      <w:r>
        <w:rPr>
          <w:szCs w:val="28"/>
        </w:rPr>
        <w:t xml:space="preserve"> </w:t>
      </w:r>
      <w:r w:rsidRPr="00CD2492">
        <w:rPr>
          <w:szCs w:val="28"/>
        </w:rPr>
        <w:t xml:space="preserve">gada beigās bija 728,7 milj. </w:t>
      </w:r>
      <w:r w:rsidRPr="00CD2492">
        <w:rPr>
          <w:i/>
          <w:szCs w:val="28"/>
        </w:rPr>
        <w:t>euro</w:t>
      </w:r>
      <w:r w:rsidRPr="00CD2492">
        <w:rPr>
          <w:szCs w:val="28"/>
        </w:rPr>
        <w:t xml:space="preserve">, ko veidoja izmaksātā, bet vēl neatmaksātā valsts galvotā aizdevuma daļa 484,4 milj. </w:t>
      </w:r>
      <w:r w:rsidRPr="00CD2492">
        <w:rPr>
          <w:i/>
          <w:szCs w:val="28"/>
        </w:rPr>
        <w:t>euro</w:t>
      </w:r>
      <w:r w:rsidRPr="00CD2492">
        <w:rPr>
          <w:szCs w:val="28"/>
          <w:lang w:eastAsia="lv-LV"/>
        </w:rPr>
        <w:t xml:space="preserve"> </w:t>
      </w:r>
      <w:r w:rsidRPr="00CD2492">
        <w:rPr>
          <w:szCs w:val="28"/>
        </w:rPr>
        <w:t>un neizmaksātā valsts galvotā aizdevuma daļa 244,3 milj. </w:t>
      </w:r>
      <w:r w:rsidRPr="00CD2492">
        <w:rPr>
          <w:bCs/>
          <w:i/>
          <w:szCs w:val="28"/>
          <w:lang w:eastAsia="lv-LV"/>
        </w:rPr>
        <w:t>euro</w:t>
      </w:r>
      <w:r w:rsidRPr="00CD2492">
        <w:rPr>
          <w:bCs/>
          <w:szCs w:val="28"/>
          <w:lang w:eastAsia="lv-LV"/>
        </w:rPr>
        <w:t>.</w:t>
      </w:r>
      <w:r>
        <w:rPr>
          <w:bCs/>
          <w:szCs w:val="28"/>
          <w:lang w:eastAsia="lv-LV"/>
        </w:rPr>
        <w:t xml:space="preserve"> </w:t>
      </w:r>
      <w:r w:rsidRPr="00CD2492">
        <w:rPr>
          <w:bCs/>
          <w:szCs w:val="28"/>
          <w:lang w:eastAsia="lv-LV"/>
        </w:rPr>
        <w:t xml:space="preserve">Kopējais </w:t>
      </w:r>
      <w:r w:rsidRPr="00CD2492">
        <w:rPr>
          <w:bCs/>
          <w:szCs w:val="28"/>
          <w:lang w:eastAsia="lv-LV"/>
        </w:rPr>
        <w:lastRenderedPageBreak/>
        <w:t>valsts galvoto aizdevumu atlikums 2020.</w:t>
      </w:r>
      <w:r>
        <w:rPr>
          <w:bCs/>
          <w:szCs w:val="28"/>
          <w:lang w:eastAsia="lv-LV"/>
        </w:rPr>
        <w:t xml:space="preserve"> </w:t>
      </w:r>
      <w:r w:rsidRPr="00CD2492">
        <w:rPr>
          <w:bCs/>
          <w:szCs w:val="28"/>
          <w:lang w:eastAsia="lv-LV"/>
        </w:rPr>
        <w:t xml:space="preserve">gada beigās bija 484,4 milj. </w:t>
      </w:r>
      <w:r w:rsidRPr="00CD2492">
        <w:rPr>
          <w:bCs/>
          <w:i/>
          <w:szCs w:val="28"/>
          <w:lang w:eastAsia="lv-LV"/>
        </w:rPr>
        <w:t>euro</w:t>
      </w:r>
      <w:r w:rsidRPr="00CD2492">
        <w:rPr>
          <w:bCs/>
          <w:szCs w:val="28"/>
          <w:lang w:eastAsia="lv-LV"/>
        </w:rPr>
        <w:t xml:space="preserve"> jeb 1,6</w:t>
      </w:r>
      <w:r>
        <w:rPr>
          <w:bCs/>
          <w:szCs w:val="28"/>
          <w:lang w:eastAsia="lv-LV"/>
        </w:rPr>
        <w:t>% no iekšzemes kopprodukta</w:t>
      </w:r>
      <w:r w:rsidRPr="00CD2492">
        <w:rPr>
          <w:bCs/>
          <w:szCs w:val="28"/>
          <w:lang w:eastAsia="lv-LV"/>
        </w:rPr>
        <w:t xml:space="preserve"> (sk</w:t>
      </w:r>
      <w:r>
        <w:rPr>
          <w:bCs/>
          <w:szCs w:val="28"/>
          <w:lang w:eastAsia="lv-LV"/>
        </w:rPr>
        <w:t>at. 6.7</w:t>
      </w:r>
      <w:r w:rsidRPr="00CD2492">
        <w:rPr>
          <w:bCs/>
          <w:szCs w:val="28"/>
          <w:lang w:eastAsia="lv-LV"/>
        </w:rPr>
        <w:t>.</w:t>
      </w:r>
      <w:r>
        <w:rPr>
          <w:bCs/>
          <w:szCs w:val="28"/>
          <w:lang w:eastAsia="lv-LV"/>
        </w:rPr>
        <w:t xml:space="preserve"> att.</w:t>
      </w:r>
      <w:r w:rsidRPr="00CD2492">
        <w:rPr>
          <w:bCs/>
          <w:szCs w:val="28"/>
          <w:lang w:eastAsia="lv-LV"/>
        </w:rPr>
        <w:t xml:space="preserve">), kas ir par 31,3 milj. </w:t>
      </w:r>
      <w:r w:rsidRPr="00CD2492">
        <w:rPr>
          <w:bCs/>
          <w:i/>
          <w:szCs w:val="28"/>
          <w:lang w:eastAsia="lv-LV"/>
        </w:rPr>
        <w:t>euro</w:t>
      </w:r>
      <w:r w:rsidRPr="00CD2492">
        <w:rPr>
          <w:bCs/>
          <w:szCs w:val="28"/>
          <w:lang w:eastAsia="lv-LV"/>
        </w:rPr>
        <w:t xml:space="preserve"> mazāk nekā 2019.</w:t>
      </w:r>
      <w:r>
        <w:rPr>
          <w:bCs/>
          <w:szCs w:val="28"/>
          <w:lang w:eastAsia="lv-LV"/>
        </w:rPr>
        <w:t xml:space="preserve"> </w:t>
      </w:r>
      <w:r w:rsidRPr="00CD2492">
        <w:rPr>
          <w:bCs/>
          <w:szCs w:val="28"/>
          <w:lang w:eastAsia="lv-LV"/>
        </w:rPr>
        <w:t xml:space="preserve">gada beigās. </w:t>
      </w:r>
    </w:p>
    <w:p w:rsidR="00BF4753" w:rsidRPr="00CD2492" w:rsidRDefault="00BF4753" w:rsidP="00BF4753">
      <w:pPr>
        <w:pStyle w:val="BodyText"/>
        <w:spacing w:after="0"/>
        <w:ind w:firstLine="720"/>
        <w:rPr>
          <w:sz w:val="28"/>
          <w:szCs w:val="28"/>
        </w:rPr>
      </w:pPr>
    </w:p>
    <w:p w:rsidR="00BF4753" w:rsidRPr="00CD2492" w:rsidRDefault="00BF4753" w:rsidP="00BF4753">
      <w:pPr>
        <w:pStyle w:val="BodyText"/>
        <w:spacing w:after="0"/>
        <w:ind w:firstLine="0"/>
        <w:jc w:val="center"/>
        <w:rPr>
          <w:sz w:val="28"/>
          <w:szCs w:val="28"/>
        </w:rPr>
      </w:pPr>
      <w:r w:rsidRPr="00CD2492">
        <w:rPr>
          <w:noProof/>
          <w:sz w:val="28"/>
          <w:szCs w:val="28"/>
          <w:lang w:eastAsia="lv-LV"/>
        </w:rPr>
        <w:drawing>
          <wp:inline distT="0" distB="0" distL="0" distR="0" wp14:anchorId="62E093F5" wp14:editId="5C9917C3">
            <wp:extent cx="4427220" cy="24386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10103" cy="2484312"/>
                    </a:xfrm>
                    <a:prstGeom prst="rect">
                      <a:avLst/>
                    </a:prstGeom>
                    <a:noFill/>
                  </pic:spPr>
                </pic:pic>
              </a:graphicData>
            </a:graphic>
          </wp:inline>
        </w:drawing>
      </w:r>
    </w:p>
    <w:p w:rsidR="00BF4753" w:rsidRPr="001D3EFD" w:rsidRDefault="00BF4753" w:rsidP="00BF4753">
      <w:pPr>
        <w:spacing w:after="120"/>
        <w:jc w:val="center"/>
        <w:rPr>
          <w:b/>
          <w:i/>
          <w:sz w:val="24"/>
          <w:szCs w:val="24"/>
          <w:lang w:eastAsia="lv-LV"/>
        </w:rPr>
      </w:pPr>
      <w:r>
        <w:rPr>
          <w:b/>
          <w:bCs/>
          <w:i/>
          <w:sz w:val="24"/>
          <w:szCs w:val="24"/>
        </w:rPr>
        <w:t>6.7</w:t>
      </w:r>
      <w:r w:rsidRPr="00CD2492">
        <w:rPr>
          <w:b/>
          <w:bCs/>
          <w:i/>
          <w:sz w:val="24"/>
          <w:szCs w:val="24"/>
        </w:rPr>
        <w:t>. att. Valsts galvoto aizdevumu atlikums attiecīgā gada beigās (milj. euro)</w:t>
      </w:r>
    </w:p>
    <w:p w:rsidR="00BF4753" w:rsidRPr="00CD2492" w:rsidRDefault="00BF4753" w:rsidP="00BF4753">
      <w:pPr>
        <w:ind w:firstLine="567"/>
        <w:rPr>
          <w:szCs w:val="28"/>
        </w:rPr>
      </w:pPr>
      <w:r w:rsidRPr="00CD2492">
        <w:rPr>
          <w:szCs w:val="28"/>
        </w:rPr>
        <w:t>Valsts galvoto aizdevumu portfelī lielāko apjomu veido valsts galvojumi par akciju sabiedrības "Attīstības finanšu institūcija Altum"</w:t>
      </w:r>
      <w:r>
        <w:rPr>
          <w:szCs w:val="28"/>
        </w:rPr>
        <w:t xml:space="preserve"> </w:t>
      </w:r>
      <w:r w:rsidRPr="00CD2492">
        <w:rPr>
          <w:szCs w:val="28"/>
        </w:rPr>
        <w:t xml:space="preserve">saistībām valsts atbalsta programmu īstenošanai (272,5 milj. </w:t>
      </w:r>
      <w:r w:rsidRPr="00CD2492">
        <w:rPr>
          <w:i/>
          <w:szCs w:val="28"/>
        </w:rPr>
        <w:t>euro</w:t>
      </w:r>
      <w:r w:rsidRPr="00CD2492">
        <w:rPr>
          <w:szCs w:val="28"/>
        </w:rPr>
        <w:t xml:space="preserve">), ārstniecības iestāžu galvoto aizdevumu saistības (128,7  milj. </w:t>
      </w:r>
      <w:r w:rsidRPr="00CD2492">
        <w:rPr>
          <w:i/>
          <w:szCs w:val="28"/>
        </w:rPr>
        <w:t>euro</w:t>
      </w:r>
      <w:r w:rsidRPr="00CD2492">
        <w:rPr>
          <w:szCs w:val="28"/>
        </w:rPr>
        <w:t xml:space="preserve">) un valsts galvojumi studējošo un studiju kreditēšanai (66,8  milj. </w:t>
      </w:r>
      <w:r w:rsidRPr="00CD2492">
        <w:rPr>
          <w:i/>
          <w:szCs w:val="28"/>
        </w:rPr>
        <w:t>euro</w:t>
      </w:r>
      <w:r w:rsidRPr="00CD2492">
        <w:rPr>
          <w:szCs w:val="28"/>
        </w:rPr>
        <w:t>). Turpmāk paredzams, ka arvien lielāks īpatsvars galvoto aizdevumu portfelī būs mazo un vidējo uzņēmumu atbalstam un citu valsts atbalsta programmu īstenošanai.</w:t>
      </w:r>
    </w:p>
    <w:p w:rsidR="00BF4753" w:rsidRPr="00CD2492" w:rsidRDefault="00BF4753" w:rsidP="00BF4753">
      <w:pPr>
        <w:ind w:firstLine="567"/>
        <w:rPr>
          <w:szCs w:val="28"/>
        </w:rPr>
      </w:pPr>
      <w:r w:rsidRPr="00CD2492">
        <w:rPr>
          <w:szCs w:val="28"/>
        </w:rPr>
        <w:t>Pastāvot varbūtībai, ka riskantāko valsts galvoto aizdevumu saistības vai to daļa varētu netikt izpildītas noteiktajā termiņā, likumā “Par valsts budžetu 2021.</w:t>
      </w:r>
      <w:r>
        <w:rPr>
          <w:szCs w:val="28"/>
        </w:rPr>
        <w:t xml:space="preserve"> </w:t>
      </w:r>
      <w:r w:rsidRPr="00CD2492">
        <w:rPr>
          <w:szCs w:val="28"/>
        </w:rPr>
        <w:t>gadam” noteiktas valdības rīcības pieļaujamās robežas, lai segtu izdevumus, kas var rasties, pildot uz valsts budžetu attiecināmās valsts galvotā parāda saistības. Izvērtējot aizņēmēju finansiālo stāvokli, līdzšinējo kredītvēsturi, nodrošinājuma likviditāti un apjomu, kā arī citu pieejamo informāciju, valdības rīcības pieļaujamās robežas riskanto valsts galvoto aizdevumu saistību izpildei 2021.</w:t>
      </w:r>
      <w:r>
        <w:rPr>
          <w:szCs w:val="28"/>
        </w:rPr>
        <w:t xml:space="preserve"> </w:t>
      </w:r>
      <w:r w:rsidRPr="00CD2492">
        <w:rPr>
          <w:szCs w:val="28"/>
        </w:rPr>
        <w:t xml:space="preserve">gadā ir noteiktas 0,05  milj. </w:t>
      </w:r>
      <w:r w:rsidRPr="00CD2492">
        <w:rPr>
          <w:i/>
          <w:szCs w:val="28"/>
        </w:rPr>
        <w:t>euro</w:t>
      </w:r>
      <w:r w:rsidRPr="00CD2492">
        <w:rPr>
          <w:szCs w:val="28"/>
        </w:rPr>
        <w:t xml:space="preserve"> apmērā. </w:t>
      </w:r>
    </w:p>
    <w:p w:rsidR="00BF4753" w:rsidRPr="00CD2492" w:rsidRDefault="00BF4753" w:rsidP="00BF4753">
      <w:pPr>
        <w:ind w:firstLine="567"/>
        <w:rPr>
          <w:szCs w:val="28"/>
        </w:rPr>
      </w:pPr>
      <w:r w:rsidRPr="00CD2492">
        <w:rPr>
          <w:szCs w:val="28"/>
        </w:rPr>
        <w:t xml:space="preserve">Neskatoties uz Covid-19 izraisīto ekonomikas kritumu, Covid-19 pirmais vilnis neradīja būtisku ietekmi uz valsts galvojuma saistību izpildi. Šobrīd nav iespējams novērtēt, kādu ietekmi šī vīrusa izplatība atstās uz valsts izsniegtajiem galvojumiem, turpinoties </w:t>
      </w:r>
      <w:r>
        <w:rPr>
          <w:szCs w:val="28"/>
        </w:rPr>
        <w:t>Covid-19</w:t>
      </w:r>
      <w:r w:rsidRPr="00CD2492">
        <w:rPr>
          <w:szCs w:val="28"/>
        </w:rPr>
        <w:t xml:space="preserve"> izplatībai.</w:t>
      </w:r>
    </w:p>
    <w:p w:rsidR="00BF4753" w:rsidRPr="000E7C35" w:rsidRDefault="00BF4753" w:rsidP="00BF4753">
      <w:pPr>
        <w:pStyle w:val="Heading2"/>
        <w:numPr>
          <w:ilvl w:val="0"/>
          <w:numId w:val="0"/>
        </w:numPr>
        <w:rPr>
          <w:rFonts w:eastAsia="Times New Roman" w:cs="Times New Roman"/>
          <w:sz w:val="24"/>
          <w:szCs w:val="20"/>
        </w:rPr>
      </w:pPr>
      <w:r w:rsidRPr="000E7C35">
        <w:rPr>
          <w:rFonts w:eastAsia="Times New Roman" w:cs="Times New Roman"/>
          <w:sz w:val="24"/>
          <w:szCs w:val="20"/>
        </w:rPr>
        <w:br w:type="page"/>
      </w:r>
    </w:p>
    <w:p w:rsidR="00BF4753" w:rsidRDefault="00BF4753" w:rsidP="00BF4753">
      <w:pPr>
        <w:pStyle w:val="Heading1"/>
      </w:pPr>
      <w:bookmarkStart w:id="50" w:name="_Toc68335016"/>
      <w:r>
        <w:lastRenderedPageBreak/>
        <w:t xml:space="preserve">7. </w:t>
      </w:r>
      <w:r w:rsidRPr="00833725">
        <w:t>Valsts finanšu institucionālās iezīmes</w:t>
      </w:r>
      <w:bookmarkEnd w:id="50"/>
    </w:p>
    <w:p w:rsidR="00BF4753" w:rsidRDefault="00BF4753" w:rsidP="00BF4753">
      <w:pPr>
        <w:pStyle w:val="Heading2"/>
        <w:numPr>
          <w:ilvl w:val="0"/>
          <w:numId w:val="0"/>
        </w:numPr>
        <w:rPr>
          <w:lang w:eastAsia="lv-LV"/>
        </w:rPr>
      </w:pPr>
      <w:bookmarkStart w:id="51" w:name="_Toc68335017"/>
      <w:r>
        <w:rPr>
          <w:lang w:eastAsia="lv-LV"/>
        </w:rPr>
        <w:t xml:space="preserve">7.1. </w:t>
      </w:r>
      <w:r w:rsidRPr="00190CDB">
        <w:rPr>
          <w:lang w:eastAsia="lv-LV"/>
        </w:rPr>
        <w:t>Vidējā termiņa budžeta plānošana</w:t>
      </w:r>
      <w:bookmarkEnd w:id="51"/>
    </w:p>
    <w:p w:rsidR="00BF4753" w:rsidRPr="00190CDB" w:rsidRDefault="00BF4753" w:rsidP="00BF4753">
      <w:pPr>
        <w:rPr>
          <w:lang w:eastAsia="lv-LV"/>
        </w:rPr>
      </w:pPr>
    </w:p>
    <w:p w:rsidR="00BF4753" w:rsidRDefault="00BF4753" w:rsidP="00BF4753">
      <w:pPr>
        <w:rPr>
          <w:lang w:eastAsia="lv-LV"/>
        </w:rPr>
      </w:pPr>
      <w:r>
        <w:rPr>
          <w:lang w:eastAsia="lv-LV"/>
        </w:rPr>
        <w:t xml:space="preserve">Atbilstoši </w:t>
      </w:r>
      <w:r>
        <w:rPr>
          <w:szCs w:val="28"/>
        </w:rPr>
        <w:t>likumam “</w:t>
      </w:r>
      <w:r w:rsidRPr="007076E5">
        <w:rPr>
          <w:szCs w:val="28"/>
        </w:rPr>
        <w:t>Likums par budžetu un finanšu vadību</w:t>
      </w:r>
      <w:r>
        <w:rPr>
          <w:szCs w:val="28"/>
        </w:rPr>
        <w:t>”</w:t>
      </w:r>
      <w:r>
        <w:rPr>
          <w:lang w:eastAsia="lv-LV"/>
        </w:rPr>
        <w:t xml:space="preserve"> vidēja termiņa valsts budžeta plānošana ir process, kurā tiek noteikti pieejamie resursi vidējam termiņam un nodrošināta šo resursu izlietošana atbilstoši valdības noteiktajām prioritātēm. Ar vidēju termiņu saprotams triju gadu periods, ko veido saimnieciskais gads, kuram plāno valsts budžetu, un tam sekojošie divi saimnieciskie gadi. </w:t>
      </w:r>
    </w:p>
    <w:p w:rsidR="00BF4753" w:rsidRDefault="00BF4753" w:rsidP="00BF4753">
      <w:pPr>
        <w:rPr>
          <w:lang w:eastAsia="lv-LV"/>
        </w:rPr>
      </w:pPr>
      <w:r>
        <w:rPr>
          <w:lang w:eastAsia="lv-LV"/>
        </w:rPr>
        <w:t xml:space="preserve">Kopš 2007.gada valstī tika sagatavots </w:t>
      </w:r>
      <w:r w:rsidRPr="007566D6">
        <w:rPr>
          <w:lang w:eastAsia="lv-LV"/>
        </w:rPr>
        <w:t xml:space="preserve">vidēja termiņa makroekonomiskās attīstības un fiskālās politikas ietvars </w:t>
      </w:r>
      <w:r>
        <w:rPr>
          <w:lang w:eastAsia="lv-LV"/>
        </w:rPr>
        <w:t xml:space="preserve">(turpmāk - vidēja termiņa ietvars) nākamajiem trijiem saimnieciskajiem gadiem, iekļaujot tajā vidēja termiņa valsts makroekonomiskās situācijas analīzi, valdības fiskālās politikas mērķus vidējam termiņam, valsts budžeta ieņēmumu prognozes un maksimāli pieļaujamo valsts budžeta kopējo izdevumu apjomu katrai ministrijai un citām centrālajām valsts iestādēm vidējam termiņam. Ņemot vērā, ka vidēja termiņa ietvaram nebija juridiski saistošs raksturs un tas tikai indikatīvi norādīja maksimāli pieļaujamo valsts budžeta kopējo izdevumu apjomu vidējam termiņam, radās nepieciešamība nostiprināt vidējā termiņa budžeta plānošanas sistēmu. Līdz ar to tika veikti attiecīgi grozījumi </w:t>
      </w:r>
      <w:r>
        <w:rPr>
          <w:szCs w:val="28"/>
        </w:rPr>
        <w:t>likumā “</w:t>
      </w:r>
      <w:r w:rsidRPr="007076E5">
        <w:rPr>
          <w:szCs w:val="28"/>
        </w:rPr>
        <w:t>Likums par budžetu un finanšu vadību</w:t>
      </w:r>
      <w:r>
        <w:rPr>
          <w:szCs w:val="28"/>
        </w:rPr>
        <w:t>”</w:t>
      </w:r>
      <w:r>
        <w:rPr>
          <w:lang w:eastAsia="lv-LV"/>
        </w:rPr>
        <w:t xml:space="preserve"> un, sākot ar 2012. gada 1. janvāri, vidēja termiņa budžeta ietvaru, ko kopš 2007.gada apstiprināja Ministru kabinetā, sāka izstrādāt likuma formā kā vidēja termiņa budžeta ietvara likumu attiecīgajiem gadiem, ko apstiprina Saeima. Tādējādi vidēja termiņa budžeta ietvara likumā iekļautajiem sasniedzamajiem finanšu rādītājiem ir juridiski saistošs spēks un uz tiem ir jābalstās gadskārtējā valsts budžeta likuma izstrādāšanā, kā arī turpmāko vidēja termiņa budžeta ietvara likumu izstrādāšanā. </w:t>
      </w:r>
    </w:p>
    <w:p w:rsidR="00BF4753" w:rsidRDefault="00BF4753" w:rsidP="00BF4753">
      <w:pPr>
        <w:rPr>
          <w:lang w:eastAsia="lv-LV"/>
        </w:rPr>
      </w:pPr>
      <w:r w:rsidRPr="00CB3E5C">
        <w:rPr>
          <w:lang w:eastAsia="lv-LV"/>
        </w:rPr>
        <w:t>Vidēj</w:t>
      </w:r>
      <w:r>
        <w:rPr>
          <w:lang w:eastAsia="lv-LV"/>
        </w:rPr>
        <w:t>a termiņa budžeta ietvara likumu izstrādā katru gadu nākamo triju gadu periodam. Turklāt katra nākamā vidēja termiņa budžeta ietvara likuma perioda pirmajam un otrajam gadam tiek izmantoti iepriekšējā vidēja termiņa budžeta ietvara likumā noteiktie rādītāji, kas precizēti atbilstoši normatīvajos aktos noteiktajiem gadījumiem, savukārt trešajā gadā plānotie rādītāji ir jauni. Vienlaikus vidēja</w:t>
      </w:r>
      <w:r w:rsidRPr="00CB3E5C">
        <w:rPr>
          <w:lang w:eastAsia="lv-LV"/>
        </w:rPr>
        <w:t xml:space="preserve"> termiņa budžeta ietvara likums </w:t>
      </w:r>
      <w:r>
        <w:rPr>
          <w:lang w:eastAsia="lv-LV"/>
        </w:rPr>
        <w:t>tiek sasaistīts ar attīstības plānošanas dokumentiem, nodrošinot pieejamo resursu sasaisti ar valdības politikas prioritātēm vidējā termiņā un tas pakļaujas Fiskālās disciplīnas likumā noteiktajiem fiskālajiem nosacījumiem, nodrošinot pārredzamu un atbildīgu fiskālo politiku. Tādējādi vidēja</w:t>
      </w:r>
      <w:r w:rsidRPr="00CB3E5C">
        <w:rPr>
          <w:lang w:eastAsia="lv-LV"/>
        </w:rPr>
        <w:t xml:space="preserve"> termiņa budžeta ietvara likums </w:t>
      </w:r>
      <w:r>
        <w:rPr>
          <w:lang w:eastAsia="lv-LV"/>
        </w:rPr>
        <w:t xml:space="preserve">ir galvenais instruments fiskālās disciplīnas ievērošanā. </w:t>
      </w:r>
    </w:p>
    <w:p w:rsidR="00BF4753" w:rsidRDefault="00BF4753" w:rsidP="00BF4753">
      <w:pPr>
        <w:rPr>
          <w:lang w:eastAsia="lv-LV"/>
        </w:rPr>
      </w:pPr>
      <w:r w:rsidRPr="00CB3E5C">
        <w:rPr>
          <w:lang w:eastAsia="lv-LV"/>
        </w:rPr>
        <w:t>Vi</w:t>
      </w:r>
      <w:r>
        <w:rPr>
          <w:lang w:eastAsia="lv-LV"/>
        </w:rPr>
        <w:t xml:space="preserve">dēja termiņa budžeta ietvara likuma darbības perioda pirmais gads tiek detalizēti izvērsts gadskārtējā valsts budžeta likumā. </w:t>
      </w:r>
      <w:r w:rsidRPr="00CB3E5C">
        <w:rPr>
          <w:lang w:eastAsia="lv-LV"/>
        </w:rPr>
        <w:t>Vidēj</w:t>
      </w:r>
      <w:r>
        <w:rPr>
          <w:lang w:eastAsia="lv-LV"/>
        </w:rPr>
        <w:t xml:space="preserve">a termiņa budžeta ietvara likumā katram likuma perioda gadam tiek norādīti vidēja termiņa budžeta mērķi un Nacionālajā attīstības plānā noteiktie prioritārie attīstības virzieni, </w:t>
      </w:r>
      <w:r>
        <w:rPr>
          <w:lang w:eastAsia="lv-LV"/>
        </w:rPr>
        <w:lastRenderedPageBreak/>
        <w:t xml:space="preserve">valdības fiskālās politikas mērķu formulējums, maksimāli pieļaujamais valsts budžeta izdevumu kopapjoms (arī izdevumu kopapjoms katram budžeta resoram), iekšzemes kopprodukta prognozes, valsts budžeta ieņēmumu prognozes, valsts budžeta finansiālās bilances apjoms (maksimālais deficīta līmenis un vai minimālais pārpalikuma līmenis). Atbilstoši Fiskālās disciplīnas likuma nosacījumiem vienlaikus ar vidēja termiņa budžeta ietvara likumu 2015., 2016. un 2017. gadam tika pirmo reizi izstrādāta fiskālo risku deklarācija, kuras mērķis ir nodrošināt fiskālo risku vispārēju vadību, kā arī fiskālo rādītāju stabilitāti vidējā termiņā. Lai gan </w:t>
      </w:r>
      <w:r>
        <w:rPr>
          <w:szCs w:val="28"/>
        </w:rPr>
        <w:t>likums “</w:t>
      </w:r>
      <w:r w:rsidRPr="007076E5">
        <w:rPr>
          <w:szCs w:val="28"/>
        </w:rPr>
        <w:t>Likums par budžetu un finanšu vadību</w:t>
      </w:r>
      <w:r>
        <w:rPr>
          <w:szCs w:val="28"/>
        </w:rPr>
        <w:t>”</w:t>
      </w:r>
      <w:r>
        <w:rPr>
          <w:lang w:eastAsia="lv-LV"/>
        </w:rPr>
        <w:t xml:space="preserve"> nosaka, ka vidēja termiņa budžeta ietvara likums tiek izstrādāts pavasarī un tiek iesniegts Saeimā līdz attiecīgā gada 15. maijam, faktiski, saskaņā ar pārejas noteikumiem, vidēja</w:t>
      </w:r>
      <w:r w:rsidRPr="00CB3E5C">
        <w:rPr>
          <w:lang w:eastAsia="lv-LV"/>
        </w:rPr>
        <w:t xml:space="preserve"> termiņa budžeta ietvara likums </w:t>
      </w:r>
      <w:r>
        <w:rPr>
          <w:lang w:eastAsia="lv-LV"/>
        </w:rPr>
        <w:t>tiek sagatavots rudenī un iesniegts Saeimā vienlaicīgi ar valsts budžeta likumu līdz attiecīgā gada 15. oktobrim.</w:t>
      </w:r>
    </w:p>
    <w:p w:rsidR="00BF4753" w:rsidRDefault="00BF4753" w:rsidP="00BF4753">
      <w:pPr>
        <w:rPr>
          <w:lang w:eastAsia="lv-LV"/>
        </w:rPr>
      </w:pPr>
      <w:r>
        <w:rPr>
          <w:lang w:eastAsia="lv-LV"/>
        </w:rPr>
        <w:t xml:space="preserve">Latvija kā Eiropas Savienības dalībvalsts iesniedz Eiropas Komisijā Stabilitātes programmu. Latvija kā  eirozonas dalībvalsts sagatavo arī Vispārējās valdības budžeta plāna projektu, kurā tiek norādītas galveno nākamā gada budžeta rādītāju prognozes – ieņēmumi, izdevumi, deficīts un valsts parāds, ietverot valsts budžetu, pašvaldību budžetu, no valsts budžeta daļēji finansēto atvasināto publisko personu budžetu un vispārējā valdības sektorā ieskaitītās komercsabiedrības. Minētā plāna mērķis ir iesniegt Eiropas Komisijai informāciju, kas ļautu tai novērtēt plānotā budžeta atbilstību Eiropas Savienības tiesību normām fiskālās disciplīnas jomā. Ja Eiropas Komisija konstatē, ka budžeta plāns būtiski pārkāpj Eiropas Savienības fiskālās disciplīnas noteikumus, tā var noraidīt budžeta plānu un pieprasīt dalībvalstij veikt izmaiņas un iesniegt to atkārtoti. Tāpat Eiropas Komisija savā atzinumā var sniegt rekomendācijas plāna uzlabošanai. Procedūra paredz, ka nacionālie parlamenti ņem vērā Eiropas Komisijas atzinumu, pieņemot galīgajā lasījumā valsts budžetu. </w:t>
      </w:r>
    </w:p>
    <w:p w:rsidR="00BF4753" w:rsidRPr="00B81B74" w:rsidRDefault="00BF4753" w:rsidP="00BF4753">
      <w:pPr>
        <w:pStyle w:val="Heading2"/>
        <w:numPr>
          <w:ilvl w:val="1"/>
          <w:numId w:val="38"/>
        </w:numPr>
        <w:ind w:left="0" w:firstLine="0"/>
        <w:rPr>
          <w:rFonts w:eastAsia="Times New Roman"/>
          <w:color w:val="000000"/>
          <w:lang w:eastAsia="lv-LV"/>
        </w:rPr>
      </w:pPr>
      <w:bookmarkStart w:id="52" w:name="_Toc68335018"/>
      <w:r w:rsidRPr="00896977">
        <w:rPr>
          <w:rFonts w:eastAsia="Times New Roman"/>
          <w:color w:val="000000"/>
          <w:lang w:eastAsia="lv-LV"/>
        </w:rPr>
        <w:t>Budžeta procedūras, t.sk. valsts finanšu statistikas pārvalde</w:t>
      </w:r>
      <w:bookmarkEnd w:id="52"/>
    </w:p>
    <w:p w:rsidR="00BF4753" w:rsidRDefault="00BF4753" w:rsidP="00BF4753">
      <w:pPr>
        <w:pStyle w:val="Heading3"/>
        <w:numPr>
          <w:ilvl w:val="2"/>
          <w:numId w:val="38"/>
        </w:numPr>
        <w:jc w:val="center"/>
        <w:rPr>
          <w:lang w:eastAsia="lv-LV"/>
        </w:rPr>
      </w:pPr>
      <w:bookmarkStart w:id="53" w:name="_Toc68335019"/>
      <w:r w:rsidRPr="00EB7B77">
        <w:t>Budžeta</w:t>
      </w:r>
      <w:r w:rsidRPr="00B81B74">
        <w:rPr>
          <w:lang w:eastAsia="lv-LV"/>
        </w:rPr>
        <w:t xml:space="preserve"> procedūras</w:t>
      </w:r>
      <w:bookmarkEnd w:id="53"/>
    </w:p>
    <w:p w:rsidR="00BF4753" w:rsidRPr="00B81B74" w:rsidRDefault="00BF4753" w:rsidP="00BF4753">
      <w:pPr>
        <w:rPr>
          <w:lang w:eastAsia="lv-LV"/>
        </w:rPr>
      </w:pPr>
    </w:p>
    <w:p w:rsidR="00BF4753" w:rsidRPr="00312522" w:rsidRDefault="00BF4753" w:rsidP="00BF4753">
      <w:r w:rsidRPr="00312522">
        <w:t>Latvijas Republikas Satversme nosaka, ka Saeima ik gadu pirms saimnieciskā gada sākšanās lemj par valsts ienākumu un izdevumu budžet</w:t>
      </w:r>
      <w:r>
        <w:t>u, kura projektu tai iesniedz Ministru Kabinetā</w:t>
      </w:r>
      <w:r w:rsidRPr="00312522">
        <w:t xml:space="preserve">. </w:t>
      </w:r>
      <w:r w:rsidRPr="00312522">
        <w:rPr>
          <w:bCs/>
        </w:rPr>
        <w:t xml:space="preserve">Gadskārtējo valsts budžeta likumu apstiprina Saeima. </w:t>
      </w:r>
    </w:p>
    <w:p w:rsidR="00BF4753" w:rsidRPr="00312522" w:rsidRDefault="00BF4753" w:rsidP="00BF4753">
      <w:r w:rsidRPr="00312522">
        <w:t xml:space="preserve">Valsts budžeta līdzekļu izdevumu plānošanā sākotnēji tiek aprēķināti un saskaņoti bāzes izdevumi. Bāzes izdevumu aprēķinu un to sasaistes principus ar </w:t>
      </w:r>
      <w:r>
        <w:t>vidēja termiņa budžeta ietvara likumu nosaka Ministru kabineta</w:t>
      </w:r>
      <w:r w:rsidRPr="00312522">
        <w:t xml:space="preserve"> 2012.</w:t>
      </w:r>
      <w:r>
        <w:t xml:space="preserve"> </w:t>
      </w:r>
      <w:r w:rsidRPr="00312522">
        <w:t>gada 11.</w:t>
      </w:r>
      <w:r>
        <w:t xml:space="preserve"> </w:t>
      </w:r>
      <w:r w:rsidRPr="00312522">
        <w:t>decembra noteikumi Nr.</w:t>
      </w:r>
      <w:r>
        <w:t xml:space="preserve"> </w:t>
      </w:r>
      <w:r w:rsidRPr="00312522">
        <w:t xml:space="preserve">867 „Kārtība, kādā nosakāms maksimāli pieļaujamais valsts budžeta izdevumu kopapjoms un maksimāli pieļaujamais valsts budžeta izdevumu kopējais apjoms katrai ministrijai un citām centrālajām valsts iestādēm vidējam termiņam”. Tādējādi tiek noteikts nepieciešamais izdevumu apjoms, lai </w:t>
      </w:r>
      <w:r w:rsidRPr="00312522">
        <w:lastRenderedPageBreak/>
        <w:t>nodrošinātu valsts funkciju izpildi nemainīgā līmenī</w:t>
      </w:r>
      <w:r>
        <w:t>. Bāzes izdevumus apstiprina Ministru kabinets</w:t>
      </w:r>
      <w:r w:rsidRPr="00312522">
        <w:t>.</w:t>
      </w:r>
    </w:p>
    <w:p w:rsidR="00BF4753" w:rsidRPr="00312522" w:rsidRDefault="00BF4753" w:rsidP="00BF4753">
      <w:r w:rsidRPr="00312522">
        <w:t>Kopš 2016</w:t>
      </w:r>
      <w:r>
        <w:t xml:space="preserve"> </w:t>
      </w:r>
      <w:r w:rsidRPr="00312522">
        <w:t xml:space="preserve">.gada kā budžeta procesa sastāvdaļa ir ieviesta pastāvīga un sistemātiska valsts budžeta izdevumu pārskatīšana, par kuru plašāka informācija ir sniegta </w:t>
      </w:r>
      <w:r>
        <w:t>5</w:t>
      </w:r>
      <w:r w:rsidRPr="00312522">
        <w:t>.1.</w:t>
      </w:r>
      <w:r>
        <w:t xml:space="preserve"> </w:t>
      </w:r>
      <w:r w:rsidRPr="00312522">
        <w:t>sadaļā.</w:t>
      </w:r>
    </w:p>
    <w:p w:rsidR="00BF4753" w:rsidRPr="00312522" w:rsidRDefault="00BF4753" w:rsidP="00BF4753">
      <w:r w:rsidRPr="00312522">
        <w:t>Ja attiecīgajos nākamajos saimnieciskajos gados atbilstoši aktuālākajām makroekonomiskās attīstības prognozēm būs pieejami līdzekļi attīstības izdevumiem, ministrijas un citas centrālās valsts iestādes sagatavo priekšlikumus atbalstāmajiem prioritārajiem pasākumiem. Priekšlikumus pasākumiem gatavo, pamatojoties uz Nacionālajā attīstības plānā, Valsts aizsardzības koncepcijā un citos attīstības plānošanas dokumentos noteiktajām prioritātēm un mērķiem. Tādējādi tiek nodrošināta valstī noteikto prioritāšu sasaiste ar valsts budžetā pieejamajiem resursiem vidējam termiņam.</w:t>
      </w:r>
    </w:p>
    <w:p w:rsidR="00BF4753" w:rsidRPr="00312522" w:rsidRDefault="00BF4753" w:rsidP="00BF4753">
      <w:r w:rsidRPr="00312522">
        <w:t>Aprēķinot maksimāli pieļaujamo valsts budžeta izdevumu kopapjomu, kas sastāv no valsts pamatbudžeta un valsts speciālā budžeta bāzes izdevumiem un valsts pamatbudžeta un valsts speciālā b</w:t>
      </w:r>
      <w:r>
        <w:t>udžeta attīstības izdevumiem, Finanšu ministrija</w:t>
      </w:r>
      <w:r w:rsidRPr="00312522">
        <w:t xml:space="preserve"> pamatojas uz </w:t>
      </w:r>
      <w:r>
        <w:t>vidēja termiņa budžeta ietvara</w:t>
      </w:r>
      <w:r w:rsidRPr="00312522">
        <w:t xml:space="preserve"> likumu, prognozēm par makroekonomisko attīstību, kā arī ievēro valstī noteiktos fiskālos</w:t>
      </w:r>
      <w:r>
        <w:t xml:space="preserve"> nosacījumus. Pamatojoties uz Ministru kabineta</w:t>
      </w:r>
      <w:r w:rsidRPr="00312522">
        <w:t xml:space="preserve"> apstiprinātiem lēmumiem par bāzes izdevumiem un prioritāro pasākumu finansēšanu, ministrijas un citas centrālās valsts iestādes izstrādā</w:t>
      </w:r>
      <w:r>
        <w:t xml:space="preserve"> un iesniedz Finanšu ministrijā budžeta pieprasījumus. Finanšu ministrija</w:t>
      </w:r>
      <w:r w:rsidRPr="00312522">
        <w:t xml:space="preserve"> sagatavo un iesniedz </w:t>
      </w:r>
      <w:r>
        <w:t>vidēja termiņa budžeta ietvara</w:t>
      </w:r>
      <w:r w:rsidRPr="00312522">
        <w:t xml:space="preserve"> likuma projektu (ar paskaidrojumiem, fiskālo risku deklarāciju, Fiskālās disciplīnas padomes fiskālās disciplīnas uzraudzības ziņojumu) un gadskārtējā valsts budžeta likuma projektu (ar </w:t>
      </w:r>
      <w:r>
        <w:t>paskaidrojumiem) izskatīšanai Ministru kabinetā</w:t>
      </w:r>
      <w:r w:rsidRPr="00312522">
        <w:t>.</w:t>
      </w:r>
    </w:p>
    <w:p w:rsidR="00BF4753" w:rsidRPr="00312522" w:rsidRDefault="00BF4753" w:rsidP="00BF4753">
      <w:r w:rsidRPr="00312522">
        <w:t>Lai nodrošinātu sabiedrībai uzskatāmu priekšstatu par resursiem, kādi ir iesaistīti valst</w:t>
      </w:r>
      <w:r>
        <w:t>s pamatfunkciju īstenošanā un Eiropas Savienības,</w:t>
      </w:r>
      <w:r w:rsidRPr="00312522">
        <w:t xml:space="preserve"> un citu ārvalstu politiku instrumentu pasākumu ieviešanā, budžets tiek sagatavots šādās sadaļās: </w:t>
      </w:r>
    </w:p>
    <w:p w:rsidR="00BF4753" w:rsidRPr="00312522" w:rsidRDefault="00BF4753" w:rsidP="00BF4753">
      <w:pPr>
        <w:pStyle w:val="ListParagraph"/>
        <w:numPr>
          <w:ilvl w:val="0"/>
          <w:numId w:val="4"/>
        </w:numPr>
      </w:pPr>
      <w:r w:rsidRPr="00312522">
        <w:t>valsts pama</w:t>
      </w:r>
      <w:r>
        <w:t>tfunkciju īstenošana (izņemot Eiropas Savienības</w:t>
      </w:r>
      <w:r w:rsidRPr="00312522">
        <w:t xml:space="preserve"> politiku instrumentu un pārējās ārvalstu finanšu palīdzības līdzfinansētos un finansētos projektus un pasākumus);</w:t>
      </w:r>
    </w:p>
    <w:p w:rsidR="00BF4753" w:rsidRPr="00312522" w:rsidRDefault="00BF4753" w:rsidP="00BF4753">
      <w:pPr>
        <w:pStyle w:val="ListParagraph"/>
        <w:numPr>
          <w:ilvl w:val="0"/>
          <w:numId w:val="4"/>
        </w:numPr>
      </w:pPr>
      <w:r>
        <w:t>Eiropas Savienības politikas</w:t>
      </w:r>
      <w:r w:rsidRPr="00312522">
        <w:t xml:space="preserve"> instrumentu un pārējās ārvalstu finanšu palīdzības līdzfinansēto un finansēto projektu un pasākumu īstenošana.</w:t>
      </w:r>
    </w:p>
    <w:p w:rsidR="00BF4753" w:rsidRPr="00312522" w:rsidRDefault="00BF4753" w:rsidP="00BF4753">
      <w:r w:rsidRPr="00312522">
        <w:t xml:space="preserve">Gadskārtējā valsts budžeta likumprojekta sagatavošanas procesā tiek kompleksi vērtēti un pēc tam valsts budžeta likumā atspoguļoti šādi rādītāji: </w:t>
      </w:r>
    </w:p>
    <w:p w:rsidR="00BF4753" w:rsidRPr="00312522" w:rsidRDefault="00BF4753" w:rsidP="00BF4753">
      <w:pPr>
        <w:pStyle w:val="ListParagraph"/>
        <w:numPr>
          <w:ilvl w:val="0"/>
          <w:numId w:val="4"/>
        </w:numPr>
      </w:pPr>
      <w:r w:rsidRPr="00312522">
        <w:t>valsts budžeta ieņēmumi sadalījumā pa ieņēmumu veidiem (sadalījumā pa atbildīgajām ministrijām);</w:t>
      </w:r>
    </w:p>
    <w:p w:rsidR="00BF4753" w:rsidRPr="00312522" w:rsidRDefault="00BF4753" w:rsidP="00BF4753">
      <w:pPr>
        <w:pStyle w:val="ListParagraph"/>
        <w:numPr>
          <w:ilvl w:val="0"/>
          <w:numId w:val="4"/>
        </w:numPr>
      </w:pPr>
      <w:r w:rsidRPr="00312522">
        <w:t xml:space="preserve">valsts budžeta izdevumi sadalījumā pa programmām (apakšprogrammām) un izdevumu veidiem atbilstoši ekonomiskajai būtībai; </w:t>
      </w:r>
    </w:p>
    <w:p w:rsidR="00BF4753" w:rsidRPr="00312522" w:rsidRDefault="00BF4753" w:rsidP="00BF4753">
      <w:pPr>
        <w:pStyle w:val="ListParagraph"/>
        <w:numPr>
          <w:ilvl w:val="0"/>
          <w:numId w:val="4"/>
        </w:numPr>
      </w:pPr>
      <w:r w:rsidRPr="00312522">
        <w:t xml:space="preserve">valsts budžeta finansiālā bilance; </w:t>
      </w:r>
    </w:p>
    <w:p w:rsidR="00BF4753" w:rsidRPr="00312522" w:rsidRDefault="00BF4753" w:rsidP="00BF4753">
      <w:pPr>
        <w:pStyle w:val="ListParagraph"/>
        <w:numPr>
          <w:ilvl w:val="0"/>
          <w:numId w:val="4"/>
        </w:numPr>
      </w:pPr>
      <w:r w:rsidRPr="00312522">
        <w:t xml:space="preserve">valsts parāda maksimāli pieļaujamais apjoms saimnieciskā gada beigās; </w:t>
      </w:r>
    </w:p>
    <w:p w:rsidR="00BF4753" w:rsidRPr="00312522" w:rsidRDefault="00BF4753" w:rsidP="00BF4753">
      <w:pPr>
        <w:pStyle w:val="ListParagraph"/>
        <w:numPr>
          <w:ilvl w:val="0"/>
          <w:numId w:val="4"/>
        </w:numPr>
      </w:pPr>
      <w:r w:rsidRPr="00312522">
        <w:t xml:space="preserve">valsts vārdā izsniedzamo galvojumu apmērs; </w:t>
      </w:r>
    </w:p>
    <w:p w:rsidR="00BF4753" w:rsidRPr="00312522" w:rsidRDefault="00BF4753" w:rsidP="00BF4753">
      <w:pPr>
        <w:pStyle w:val="ListParagraph"/>
        <w:numPr>
          <w:ilvl w:val="0"/>
          <w:numId w:val="4"/>
        </w:numPr>
      </w:pPr>
      <w:r w:rsidRPr="00312522">
        <w:t xml:space="preserve">valsts budžeta aizdevumu kopējais palielinājums; </w:t>
      </w:r>
    </w:p>
    <w:p w:rsidR="00BF4753" w:rsidRPr="00312522" w:rsidRDefault="00BF4753" w:rsidP="00BF4753">
      <w:pPr>
        <w:pStyle w:val="ListParagraph"/>
        <w:numPr>
          <w:ilvl w:val="0"/>
          <w:numId w:val="4"/>
        </w:numPr>
      </w:pPr>
      <w:r w:rsidRPr="00312522">
        <w:lastRenderedPageBreak/>
        <w:t xml:space="preserve">valsts budžeta mērķdotāciju apmērs pašvaldībām, kā arī valsts budžeta dotācijas apmērs pašvaldību finanšu izlīdzināšanas fondam; </w:t>
      </w:r>
    </w:p>
    <w:p w:rsidR="00BF4753" w:rsidRPr="00312522" w:rsidRDefault="00BF4753" w:rsidP="00BF4753">
      <w:pPr>
        <w:pStyle w:val="ListParagraph"/>
        <w:numPr>
          <w:ilvl w:val="0"/>
          <w:numId w:val="4"/>
        </w:numPr>
      </w:pPr>
      <w:r w:rsidRPr="00312522">
        <w:t xml:space="preserve">pašvaldību aizņēmumu kopējais palielinājums un pašvaldību sniegto galvojumu kopējais palielinājums; </w:t>
      </w:r>
    </w:p>
    <w:p w:rsidR="00BF4753" w:rsidRPr="00312522" w:rsidRDefault="00BF4753" w:rsidP="00BF4753">
      <w:pPr>
        <w:pStyle w:val="ListParagraph"/>
        <w:numPr>
          <w:ilvl w:val="0"/>
          <w:numId w:val="4"/>
        </w:numPr>
      </w:pPr>
      <w:r w:rsidRPr="00312522">
        <w:t xml:space="preserve">citi nosacījumi, piemēram, valsts fondēto pensiju shēmas iemaksu likme un iemaksu summa. </w:t>
      </w:r>
    </w:p>
    <w:p w:rsidR="00BF4753" w:rsidRPr="00312522" w:rsidRDefault="00BF4753" w:rsidP="00BF4753">
      <w:pPr>
        <w:rPr>
          <w:b/>
          <w:bCs/>
        </w:rPr>
      </w:pPr>
      <w:r w:rsidRPr="00312522">
        <w:t xml:space="preserve">Gadskārtējā valsts budžeta likumprojekta paskaidrojumos tiek ietverts makroekonomiskās attīstības scenārija apraksts, fiskālais apskats, ieņēmumu prognožu analīze, valsts budžeta izdevumu plānošanas būtiskākie elementi, ministriju izdevumu paskaidrojumi, valsts budžeta izdevumi funkcionālajā, administratīvajā un ekonomisko kategoriju sadalījumā, kā arī informācija par plānotajiem investīciju projektiem, informācija par valsts finansiālajām saistībām (kopsavilkums), kā arī informācija par budžeta likumprojektu paketes ietvaros veiktajiem grozījumiem normatīvajos aktos. Ministrijas un citas centrālās valsts iestādes paskaidrojumos iekļauj Politikas un resursu vadības kartes, prioritāros pasākumus un to īstenošanas rezultātā sagaidāmos darbības rezultātus un to rezultatīvos rādītājus, optimizācijas pasākumus, kā arī katrai pamatbudžeta vai speciālā budžeta programmai (apakšprogrammai) norāda mērķi, galvenās aktivitātes un izpildītājus, darbības rezultātus un to rezultatīvos rādītājus, finansiālos rādītājus un kopējo izdevumu izmaiņas. </w:t>
      </w:r>
    </w:p>
    <w:p w:rsidR="00BF4753" w:rsidRPr="00312522" w:rsidRDefault="00BF4753" w:rsidP="00BF4753">
      <w:r w:rsidRPr="00312522">
        <w:t>Neatkarīgo iestāžu (tiesas, Valsts kontroles, Tiesībsarga un citas) budžeta pieprasījumiem ir īpaša loma bud</w:t>
      </w:r>
      <w:r>
        <w:t xml:space="preserve">žeta procesā. </w:t>
      </w:r>
      <w:r>
        <w:rPr>
          <w:szCs w:val="28"/>
        </w:rPr>
        <w:t>Likums “</w:t>
      </w:r>
      <w:r w:rsidRPr="007076E5">
        <w:rPr>
          <w:szCs w:val="28"/>
        </w:rPr>
        <w:t>Likums par budžetu un finanšu vadību</w:t>
      </w:r>
      <w:r>
        <w:rPr>
          <w:szCs w:val="28"/>
        </w:rPr>
        <w:t>”</w:t>
      </w:r>
      <w:r>
        <w:t xml:space="preserve"> nosaka, ka Ministru kabinetam</w:t>
      </w:r>
      <w:r w:rsidRPr="00312522">
        <w:t xml:space="preserve">, sagatavojot </w:t>
      </w:r>
      <w:r>
        <w:t>vidēja termiņa budžeta ietvara</w:t>
      </w:r>
      <w:r w:rsidRPr="00312522">
        <w:t xml:space="preserve"> likuma projektu un gadskārtējā valsts budžeta likuma projektu, ir jāuzklausa neatkarīgo iestāžu viedoklis par attiecīgo iestāžu </w:t>
      </w:r>
      <w:r>
        <w:t>finansējuma sadaļām, jāpamato Ministru kabineta</w:t>
      </w:r>
      <w:r w:rsidRPr="00312522">
        <w:t xml:space="preserve"> viedoklis finansējuma samazinājuma gadījumā, kā arī minēto sarunu rezultāti protokola veidā ir jādara zināmi likumdevējam, pievienojot tos attiecīgajiem likumprojektiem.</w:t>
      </w:r>
    </w:p>
    <w:p w:rsidR="00BF4753" w:rsidRPr="00312522" w:rsidRDefault="00BF4753" w:rsidP="00BF4753">
      <w:r w:rsidRPr="00312522">
        <w:t xml:space="preserve">Valsts budžeta likumprojekta un </w:t>
      </w:r>
      <w:r>
        <w:rPr>
          <w:color w:val="000000" w:themeColor="text1"/>
        </w:rPr>
        <w:t>vidēja</w:t>
      </w:r>
      <w:r w:rsidRPr="003F64CB">
        <w:rPr>
          <w:color w:val="000000" w:themeColor="text1"/>
        </w:rPr>
        <w:t xml:space="preserve"> termiņa budžeta ietvara </w:t>
      </w:r>
      <w:r w:rsidRPr="00312522">
        <w:t>likumpro</w:t>
      </w:r>
      <w:r>
        <w:t>jekta izstrādes gaitā notiek Latvijas Pašvaldību savienības un Finanšu ministrijas</w:t>
      </w:r>
      <w:r w:rsidRPr="00312522">
        <w:t xml:space="preserve"> sarunas, kuru rezul</w:t>
      </w:r>
      <w:r>
        <w:t>tātā tiek sagatavots Ministru kabineta</w:t>
      </w:r>
      <w:r w:rsidRPr="00312522">
        <w:t xml:space="preserve"> un </w:t>
      </w:r>
      <w:r>
        <w:t>vidēja</w:t>
      </w:r>
      <w:r w:rsidRPr="003F64CB">
        <w:t xml:space="preserve"> termiņa budžeta ietvara likums</w:t>
      </w:r>
      <w:r w:rsidRPr="00312522">
        <w:t xml:space="preserve"> protokola projekts, ka</w:t>
      </w:r>
      <w:r>
        <w:t>s tiek iesniegts izskatīšanai Ministru kabineta</w:t>
      </w:r>
      <w:r w:rsidRPr="00312522">
        <w:t xml:space="preserve"> sēdē. Protokola projektā tiek iekļauti jautājumi par pašvaldību nodokļu ieņēmumu, nenodokļu ieņēmumu un citu ieņēmumu prognozēm, valsts budžeta transfertiem pašvaldībām, pašvaldību aizņēmumiem, galvojumiem, ilgtermiņa saistību apmēru un nosacījumiem, pašvaldību finanšu izlīdzināšanu, kā arī citi ar pašvaldību darbību un finansēm saistīti jautājumi. Protoko</w:t>
      </w:r>
      <w:r>
        <w:t>ls tiek pievienots gadskārtējā v</w:t>
      </w:r>
      <w:r w:rsidRPr="00312522">
        <w:t xml:space="preserve">alsts budžeta likumprojektam un </w:t>
      </w:r>
      <w:r>
        <w:rPr>
          <w:color w:val="000000" w:themeColor="text1"/>
        </w:rPr>
        <w:t>v</w:t>
      </w:r>
      <w:r w:rsidRPr="003F64CB">
        <w:rPr>
          <w:color w:val="000000" w:themeColor="text1"/>
        </w:rPr>
        <w:t>idēj</w:t>
      </w:r>
      <w:r>
        <w:rPr>
          <w:color w:val="000000" w:themeColor="text1"/>
        </w:rPr>
        <w:t>a termiņa budžeta ietvara</w:t>
      </w:r>
      <w:r>
        <w:t xml:space="preserve"> likumprojektam, Ministru kabinetam</w:t>
      </w:r>
      <w:r w:rsidRPr="00312522">
        <w:t xml:space="preserve"> to iesniedzot Saeimā. </w:t>
      </w:r>
    </w:p>
    <w:p w:rsidR="00BF4753" w:rsidRPr="00312522" w:rsidRDefault="00BF4753" w:rsidP="00BF4753">
      <w:r w:rsidRPr="00312522">
        <w:t xml:space="preserve">Ja, sākoties saimnieciskajam gadam, nav stājies spēkā gadskārtējais valsts budžeta likums, finanšu ministrs apstiprina valsts darbībai nepieciešamos valsts budžeta izdevumus, aizdevumu un aizņēmumu limitus ar noteikumu, ka izdevumi nepārsniedz </w:t>
      </w:r>
      <w:r w:rsidRPr="003C7327">
        <w:rPr>
          <w:color w:val="000000" w:themeColor="text1"/>
        </w:rPr>
        <w:t>Ietvara</w:t>
      </w:r>
      <w:r w:rsidRPr="00312522">
        <w:t xml:space="preserve"> likumā attiecīgajam gadam noteikto maksimāli pieļaujamo </w:t>
      </w:r>
      <w:r w:rsidRPr="00312522">
        <w:lastRenderedPageBreak/>
        <w:t xml:space="preserve">valsts budžeta kopējo izdevumu apjomu katrai ministrijai un citai centrālajai valsts iestādei, veicot </w:t>
      </w:r>
      <w:r>
        <w:rPr>
          <w:szCs w:val="28"/>
        </w:rPr>
        <w:t>likumā “</w:t>
      </w:r>
      <w:r w:rsidRPr="007076E5">
        <w:rPr>
          <w:szCs w:val="28"/>
        </w:rPr>
        <w:t>Likums par budžetu un finanšu vadību</w:t>
      </w:r>
      <w:r>
        <w:rPr>
          <w:szCs w:val="28"/>
        </w:rPr>
        <w:t>”</w:t>
      </w:r>
      <w:r w:rsidRPr="00312522">
        <w:t xml:space="preserve"> noteiktās korekcijas.</w:t>
      </w:r>
    </w:p>
    <w:p w:rsidR="00BF4753" w:rsidRPr="00312522" w:rsidRDefault="00BF4753" w:rsidP="00BF4753">
      <w:r w:rsidRPr="00312522">
        <w:t xml:space="preserve">Atbilstoši likumam „Par pašvaldību budžetiem”, pašvaldības izstrādā savus budžetus ne vēlāk kā divu mēnešu laikā pēc gadskārtējā valsts budžeta likuma izsludināšanas. </w:t>
      </w:r>
    </w:p>
    <w:p w:rsidR="00BF4753" w:rsidRPr="00312522" w:rsidRDefault="00BF4753" w:rsidP="00BF4753">
      <w:r w:rsidRPr="00312522">
        <w:t xml:space="preserve">Ja līdz saimnieciskā gada sākumam pašvaldības budžets nav apstiprināts, pašvaldības izdevumi mēnesī nedrīkst pārsniegt divpadsmito daļu no iepriekšējā gada izdevumiem ar noteikumu, ka salīdzinājumā ar iepriekšējo gadu pašvaldībai nesamazinās izpildāmo funkciju apjoms. </w:t>
      </w:r>
    </w:p>
    <w:p w:rsidR="00BF4753" w:rsidRPr="00312522" w:rsidRDefault="00BF4753" w:rsidP="00BF4753">
      <w:r w:rsidRPr="00312522">
        <w:t>Pašvaldībām likumā “Par pašvaldību budžetiem” ir noteikti stingri nosacījumi budžeta plānošanas un izpildes jomā – pašvaldību budžeta asignējumi nedrīkst pārsniegt budžetā plānotos apjomus.</w:t>
      </w:r>
    </w:p>
    <w:p w:rsidR="00BF4753" w:rsidRDefault="00BF4753" w:rsidP="00BF4753">
      <w:r>
        <w:t>Ministru kabinetam</w:t>
      </w:r>
      <w:r w:rsidRPr="00312522">
        <w:t xml:space="preserve"> ir tiesības noteikt valsts un pašvaldību budžeta plānošanas un izpildes papildu nosacījumus, lai nodrošinātu makroekonomisko procesu izraisīto paaugstināto fiskālo, ekonomisko un sociālo risku ietekmes mazināšanas un novēršanas pasākumus un nodrošinātu starptautiskajās saistībās noteikto fiskālo kritēriju izpildi. </w:t>
      </w:r>
    </w:p>
    <w:p w:rsidR="00BF4753" w:rsidRDefault="00BF4753" w:rsidP="00BF4753">
      <w:pPr>
        <w:pStyle w:val="Heading3"/>
        <w:numPr>
          <w:ilvl w:val="2"/>
          <w:numId w:val="38"/>
        </w:numPr>
        <w:ind w:left="0" w:firstLine="0"/>
        <w:jc w:val="center"/>
        <w:rPr>
          <w:lang w:eastAsia="lv-LV"/>
        </w:rPr>
      </w:pPr>
      <w:bookmarkStart w:id="54" w:name="_Toc68335020"/>
      <w:r w:rsidRPr="00896977">
        <w:rPr>
          <w:rFonts w:eastAsia="Times New Roman"/>
          <w:color w:val="000000"/>
          <w:lang w:eastAsia="lv-LV"/>
        </w:rPr>
        <w:t>Valsts finanšu statistikas pārvaldība</w:t>
      </w:r>
      <w:bookmarkEnd w:id="54"/>
    </w:p>
    <w:p w:rsidR="00BF4753" w:rsidRPr="00B81B74" w:rsidRDefault="00BF4753" w:rsidP="00BF4753">
      <w:pPr>
        <w:rPr>
          <w:lang w:eastAsia="lv-LV"/>
        </w:rPr>
      </w:pPr>
    </w:p>
    <w:p w:rsidR="00BF4753" w:rsidRDefault="00BF4753" w:rsidP="00BF4753">
      <w:pPr>
        <w:rPr>
          <w:lang w:eastAsia="lv-LV"/>
        </w:rPr>
      </w:pPr>
      <w:r>
        <w:rPr>
          <w:lang w:eastAsia="lv-LV"/>
        </w:rPr>
        <w:t>Centrālā statistikas pārvalde apkopo valdības finanšu statistiku atbilstoši Eiropas Parlamenta un Padomes Regulas (ES) Nr. 549/2013 (2013. gada 21. maijs) par Eiropas nacionālo un reģionālo kontu sistēmu Eiropas Savienībā prasībām.</w:t>
      </w:r>
    </w:p>
    <w:p w:rsidR="00BF4753" w:rsidRDefault="00BF4753" w:rsidP="00BF4753">
      <w:pPr>
        <w:rPr>
          <w:lang w:eastAsia="lv-LV"/>
        </w:rPr>
      </w:pPr>
      <w:r>
        <w:rPr>
          <w:lang w:eastAsia="lv-LV"/>
        </w:rPr>
        <w:t>Vispārējās valdības sektora (S.13) ietvars Latvijā atbilstoši Eiropas nacionālo un reģionālo kontu sistēmas Eiropas Savienībā metodoloģijai sastāv no trim apakšsektoriem: centrālās valdības apakšsektora (S.1311), pašvaldību apakšsektora (S.1313) un sociālās apdrošināšanas apakšsektora (S.1314).</w:t>
      </w:r>
    </w:p>
    <w:p w:rsidR="00BF4753" w:rsidRDefault="00BF4753" w:rsidP="00BF4753">
      <w:pPr>
        <w:rPr>
          <w:lang w:eastAsia="lv-LV"/>
        </w:rPr>
      </w:pPr>
      <w:r>
        <w:rPr>
          <w:lang w:eastAsia="lv-LV"/>
        </w:rPr>
        <w:t xml:space="preserve">Atbilstoši Ministru kabineta 2013. gada 10. decembra noteikumu Nr. 1456 “Noteikumi par institucionālo sektoru klasifikāciju” 6. punktam, Centrālā statistikas pārvalde sagatavo un uztur vispārējās valdības sektora sarakstu. Lai sagatavotu sarakstu un lemtu par tajā iekļaujamajām vienībām, Centrālā statistikas pārvalde ievēro Eiropas nacionālo un reģionālo kontu sistēmas Eiropas Savienībā prasības, kā arī Eiropas Savienības Statistikas biroja </w:t>
      </w:r>
      <w:r w:rsidRPr="00834918">
        <w:rPr>
          <w:i/>
          <w:lang w:eastAsia="lv-LV"/>
        </w:rPr>
        <w:t>Eurostat</w:t>
      </w:r>
      <w:r>
        <w:rPr>
          <w:lang w:eastAsia="lv-LV"/>
        </w:rPr>
        <w:t xml:space="preserve"> rokasgrāmatā par valdības deficītu un valsts parādu definētos principus, kas paredz uz vispārējās valdības sektoru attiecināt valsts un pašvaldību kontrolētas un pārsvarā finansētas kapitālsabiedrības.</w:t>
      </w:r>
    </w:p>
    <w:p w:rsidR="00BF4753" w:rsidRDefault="00BF4753" w:rsidP="00BF4753">
      <w:pPr>
        <w:rPr>
          <w:lang w:eastAsia="lv-LV"/>
        </w:rPr>
      </w:pPr>
      <w:r>
        <w:rPr>
          <w:lang w:eastAsia="lv-LV"/>
        </w:rPr>
        <w:t>Vispārējās valdības sektorā uz 2020. gada 31. decembri bija 850 neatkarīgas budžeta iestādes, no tām centrālās valdības apakšsektorā – 224 iestādes, pašvaldību apakšsektorā – 625 iestādes un sociālās apdrošināšanas fonda apakšsektorā – viena iestāde, bez tam – 147 valsts un pašvaldību kontrolētas un finansētas kapitālsabiedrības, no tām valsts kontrolētas – 57 kapitālsabiedrības, pašvaldību kontrolētas – 90 kapitālsabiedrības.</w:t>
      </w:r>
    </w:p>
    <w:p w:rsidR="00BF4753" w:rsidRDefault="00BF4753" w:rsidP="00BF4753">
      <w:pPr>
        <w:rPr>
          <w:lang w:eastAsia="lv-LV"/>
        </w:rPr>
      </w:pPr>
      <w:r>
        <w:rPr>
          <w:lang w:eastAsia="lv-LV"/>
        </w:rPr>
        <w:lastRenderedPageBreak/>
        <w:t xml:space="preserve">Centrālā statistikas pārvalde katru ceturksni aprēķina šādus vispārējās valdības sektora rādītājus – ieņēmumus, izdevumus, deficītu, parādu un sagatavo vispārējās valdības ceturkšņa finanšu kontus. Informācija tiek publicēta Centrālā statistikas pārvaldes mājaslapā un nosūtīta uz Eiropas Savienības Statistikas biroju </w:t>
      </w:r>
      <w:r w:rsidRPr="0084222A">
        <w:rPr>
          <w:i/>
          <w:lang w:eastAsia="lv-LV"/>
        </w:rPr>
        <w:t>Eurostat</w:t>
      </w:r>
      <w:r>
        <w:rPr>
          <w:lang w:eastAsia="lv-LV"/>
        </w:rPr>
        <w:t xml:space="preserve">  trīs mēnešus pēc pārskata perioda beigām.</w:t>
      </w:r>
    </w:p>
    <w:p w:rsidR="00BF4753" w:rsidRDefault="00BF4753" w:rsidP="00BF4753">
      <w:pPr>
        <w:rPr>
          <w:lang w:eastAsia="lv-LV"/>
        </w:rPr>
      </w:pPr>
      <w:r>
        <w:rPr>
          <w:lang w:eastAsia="lv-LV"/>
        </w:rPr>
        <w:t xml:space="preserve">Bez tam Centrālā statistikas pārvalde katru gadu noteiktajos termiņos līdz 1. aprīlim (operatīvie dati) un līdz 1. oktobrim (gala dati) - sagatavo un iesniedz vispārējās valdības budžeta deficīta un parāda notifikāciju Eiropas Savienības Statistikas birojam </w:t>
      </w:r>
      <w:r w:rsidRPr="0084222A">
        <w:rPr>
          <w:i/>
          <w:lang w:eastAsia="lv-LV"/>
        </w:rPr>
        <w:t>Eurostat</w:t>
      </w:r>
      <w:r>
        <w:rPr>
          <w:lang w:eastAsia="lv-LV"/>
        </w:rPr>
        <w:t>.</w:t>
      </w:r>
    </w:p>
    <w:p w:rsidR="00BF4753" w:rsidRDefault="00BF4753" w:rsidP="00BF4753">
      <w:pPr>
        <w:rPr>
          <w:lang w:eastAsia="lv-LV"/>
        </w:rPr>
      </w:pPr>
      <w:r>
        <w:rPr>
          <w:lang w:eastAsia="lv-LV"/>
        </w:rPr>
        <w:t xml:space="preserve">Vispārējās valdības budžeta deficīta un parāda notifikācija tiek sagatavota atbilstoši Ministru kabineta 2015. gada 22. decembra noteikumu Nr. 756 “Kārtība kādā sagatavo vispārējās valdības budžeta deficīta un parāda notifikāciju” prasībām. Par vispārējās valdības budžeta deficīta un parāda notifikācijas sagatavošanu un iesniegšanu Eiropas Savienības Statistikas birojs </w:t>
      </w:r>
      <w:r w:rsidRPr="0084222A">
        <w:rPr>
          <w:i/>
          <w:lang w:eastAsia="lv-LV"/>
        </w:rPr>
        <w:t>Eurostat</w:t>
      </w:r>
      <w:r>
        <w:rPr>
          <w:lang w:eastAsia="lv-LV"/>
        </w:rPr>
        <w:t xml:space="preserve"> atbildīgā iestāde ir Centrālā statistikas pārvalde, kura vada regulāras starpinstitūciju darba grupas sanāksmes. Vispārējās valdības budžeta deficīta un parāda notifikācijas sagatavošanā ir iesaistīti speciālisti no Finanšu ministrijas, Valsts kases, Centrālās finanšu un līgumu aģentūras, Aizsardzības ministrijas un Valsts sociālās apdrošināšanas aģentūras. Vajadzības gadījumā tiek piesaistīti speciālisti no citām institūcijām (Ekonomikas ministrijas, Labklājības ministrijas, Rīgas Domes u.c).</w:t>
      </w:r>
    </w:p>
    <w:p w:rsidR="00BF4753" w:rsidRDefault="00BF4753" w:rsidP="00BF4753">
      <w:pPr>
        <w:rPr>
          <w:lang w:eastAsia="lv-LV"/>
        </w:rPr>
      </w:pPr>
      <w:r>
        <w:rPr>
          <w:lang w:eastAsia="lv-LV"/>
        </w:rPr>
        <w:t xml:space="preserve">Vispārējās valdības budžeta deficīta un parāda notifikāciju rezultāti tiek izmantoti valstu izvērtēšanai par to, kā tiek nodrošināta fiskālo rādītāju atbilstība Stabilitātes un izaugsmes pakta nosacījumiem ar mērķi īstenot ilgtspējīgas publiskās finanses un fiskālās politikas koordināciju starp dalībvalstīm.  </w:t>
      </w:r>
    </w:p>
    <w:p w:rsidR="00BF4753" w:rsidRDefault="00BF4753" w:rsidP="00BF4753">
      <w:pPr>
        <w:rPr>
          <w:lang w:eastAsia="lv-LV"/>
        </w:rPr>
      </w:pPr>
      <w:r>
        <w:rPr>
          <w:lang w:eastAsia="lv-LV"/>
        </w:rPr>
        <w:t>Eiropas Savienības Padomes direktīva 2011/85/ES (2011. gada 8. novembris) par prasībām dalībvalstu budžeta struktūrām nosaka detalizētus noteikumus Eiropas Savienības dalībvalstīm, lai stiprinātu Eiropas Savienības fiskālo un ekonomikas pārvaldību, neveidotu pārmērīgu budžeta deficītu. Finanšu ministrijas mājaslapā  tiek publicēti direktīvas 2011/85/ES ietvaros atrunātie fiskālie dati. Turklāt mājas lapā pieejama detalizēta pārejas tabula budžeta datiem no naudas plūsmas pēc nacionālās klasifikācijas uz vispārējās valdības sektora datiem pēc Eiropas nacionālo un reģionālo kontu sistēmas Eiropas Savienībā metodoloģijas. Regulāri tiek publiskota šāda informācija:</w:t>
      </w:r>
    </w:p>
    <w:p w:rsidR="00BF4753" w:rsidRDefault="00BF4753" w:rsidP="00BF4753">
      <w:pPr>
        <w:pStyle w:val="ListParagraph"/>
        <w:numPr>
          <w:ilvl w:val="0"/>
          <w:numId w:val="9"/>
        </w:numPr>
        <w:rPr>
          <w:lang w:eastAsia="lv-LV"/>
        </w:rPr>
      </w:pPr>
      <w:r>
        <w:rPr>
          <w:lang w:eastAsia="lv-LV"/>
        </w:rPr>
        <w:t>fiskālie dati (mēneša un ceturkšņa dati);</w:t>
      </w:r>
    </w:p>
    <w:p w:rsidR="00BF4753" w:rsidRDefault="00BF4753" w:rsidP="00BF4753">
      <w:pPr>
        <w:pStyle w:val="ListParagraph"/>
        <w:numPr>
          <w:ilvl w:val="0"/>
          <w:numId w:val="9"/>
        </w:numPr>
        <w:rPr>
          <w:lang w:eastAsia="lv-LV"/>
        </w:rPr>
      </w:pPr>
      <w:r>
        <w:rPr>
          <w:lang w:eastAsia="lv-LV"/>
        </w:rPr>
        <w:t>vispārējās valdības sektora galvojumi (gada dati);</w:t>
      </w:r>
    </w:p>
    <w:p w:rsidR="00BF4753" w:rsidRDefault="00BF4753" w:rsidP="00BF4753">
      <w:pPr>
        <w:pStyle w:val="ListParagraph"/>
        <w:numPr>
          <w:ilvl w:val="0"/>
          <w:numId w:val="9"/>
        </w:numPr>
        <w:rPr>
          <w:lang w:eastAsia="lv-LV"/>
        </w:rPr>
      </w:pPr>
      <w:r>
        <w:rPr>
          <w:lang w:eastAsia="lv-LV"/>
        </w:rPr>
        <w:t>vispārējās valdības sektora ienākumus nenesošie kredīti (gada dati);</w:t>
      </w:r>
    </w:p>
    <w:p w:rsidR="00BF4753" w:rsidRDefault="00BF4753" w:rsidP="00BF4753">
      <w:pPr>
        <w:pStyle w:val="ListParagraph"/>
        <w:numPr>
          <w:ilvl w:val="0"/>
          <w:numId w:val="9"/>
        </w:numPr>
        <w:rPr>
          <w:lang w:eastAsia="lv-LV"/>
        </w:rPr>
      </w:pPr>
      <w:r>
        <w:rPr>
          <w:lang w:eastAsia="lv-LV"/>
        </w:rPr>
        <w:t>ārpusbilances publisko un privāto partnerību koriģētā vērtība (gada dati);</w:t>
      </w:r>
    </w:p>
    <w:p w:rsidR="00BF4753" w:rsidRDefault="00BF4753" w:rsidP="00BF4753">
      <w:pPr>
        <w:pStyle w:val="ListParagraph"/>
        <w:numPr>
          <w:ilvl w:val="0"/>
          <w:numId w:val="9"/>
        </w:numPr>
        <w:rPr>
          <w:lang w:eastAsia="lv-LV"/>
        </w:rPr>
      </w:pPr>
      <w:r>
        <w:rPr>
          <w:lang w:eastAsia="lv-LV"/>
        </w:rPr>
        <w:t>publisko kapitālsabiedrību saistības (gada dati);</w:t>
      </w:r>
    </w:p>
    <w:p w:rsidR="00BF4753" w:rsidRPr="00190CDB" w:rsidRDefault="00BF4753" w:rsidP="00BF4753">
      <w:pPr>
        <w:pStyle w:val="ListParagraph"/>
        <w:numPr>
          <w:ilvl w:val="0"/>
          <w:numId w:val="9"/>
        </w:numPr>
        <w:rPr>
          <w:lang w:eastAsia="lv-LV"/>
        </w:rPr>
      </w:pPr>
      <w:r>
        <w:rPr>
          <w:lang w:eastAsia="lv-LV"/>
        </w:rPr>
        <w:t>vispārējās valdības sektora līdzdalības vērtība kapitālsabiedrību kapitālā (gada dati).</w:t>
      </w:r>
    </w:p>
    <w:p w:rsidR="00BF4753" w:rsidRPr="00D551C4" w:rsidRDefault="00BF4753" w:rsidP="00BF4753">
      <w:pPr>
        <w:ind w:left="720" w:firstLine="0"/>
        <w:rPr>
          <w:rFonts w:eastAsia="Times New Roman" w:cs="Times New Roman"/>
          <w:b/>
          <w:sz w:val="24"/>
          <w:szCs w:val="24"/>
          <w:highlight w:val="yellow"/>
        </w:rPr>
      </w:pPr>
    </w:p>
    <w:p w:rsidR="00BF4753" w:rsidRDefault="00BF4753" w:rsidP="00BF4753">
      <w:pPr>
        <w:rPr>
          <w:rFonts w:eastAsia="Times New Roman" w:cs="Times New Roman"/>
          <w:b/>
          <w:bCs/>
          <w:smallCaps/>
          <w:color w:val="000000"/>
          <w:sz w:val="36"/>
          <w:szCs w:val="36"/>
          <w:lang w:eastAsia="lv-LV"/>
        </w:rPr>
      </w:pPr>
      <w:bookmarkStart w:id="55" w:name="_Toc510790684"/>
      <w:bookmarkStart w:id="56" w:name="_Toc5627394"/>
      <w:bookmarkStart w:id="57" w:name="_Toc5798649"/>
    </w:p>
    <w:p w:rsidR="00BF4753" w:rsidRDefault="00BF4753" w:rsidP="00BF4753">
      <w:pPr>
        <w:rPr>
          <w:rFonts w:eastAsia="Times New Roman" w:cs="Times New Roman"/>
          <w:b/>
          <w:bCs/>
          <w:smallCaps/>
          <w:color w:val="000000"/>
          <w:sz w:val="36"/>
          <w:szCs w:val="36"/>
          <w:lang w:eastAsia="lv-LV"/>
        </w:rPr>
      </w:pPr>
    </w:p>
    <w:p w:rsidR="00BF4753" w:rsidRDefault="00BF4753" w:rsidP="00BF4753">
      <w:pPr>
        <w:rPr>
          <w:rFonts w:eastAsia="Times New Roman" w:cs="Times New Roman"/>
          <w:b/>
          <w:bCs/>
          <w:smallCaps/>
          <w:color w:val="000000"/>
          <w:sz w:val="36"/>
          <w:szCs w:val="36"/>
          <w:lang w:eastAsia="lv-LV"/>
        </w:rPr>
      </w:pPr>
    </w:p>
    <w:p w:rsidR="00BF4753" w:rsidRDefault="00BF4753" w:rsidP="00BF4753">
      <w:pPr>
        <w:rPr>
          <w:rFonts w:eastAsia="Times New Roman" w:cs="Times New Roman"/>
          <w:b/>
          <w:bCs/>
          <w:smallCaps/>
          <w:color w:val="000000"/>
          <w:sz w:val="36"/>
          <w:szCs w:val="36"/>
          <w:lang w:eastAsia="lv-LV"/>
        </w:rPr>
      </w:pPr>
    </w:p>
    <w:p w:rsidR="00BF4753" w:rsidRDefault="00BF4753" w:rsidP="00BF4753">
      <w:pPr>
        <w:ind w:firstLine="0"/>
        <w:rPr>
          <w:rFonts w:eastAsia="Times New Roman" w:cs="Times New Roman"/>
          <w:b/>
          <w:bCs/>
          <w:smallCaps/>
          <w:color w:val="000000"/>
          <w:sz w:val="36"/>
          <w:szCs w:val="36"/>
          <w:lang w:eastAsia="lv-LV"/>
        </w:rPr>
      </w:pPr>
    </w:p>
    <w:p w:rsidR="00BF4753" w:rsidRDefault="00BF4753" w:rsidP="00BF4753">
      <w:pPr>
        <w:rPr>
          <w:rFonts w:eastAsia="Times New Roman" w:cs="Times New Roman"/>
          <w:b/>
          <w:bCs/>
          <w:smallCaps/>
          <w:color w:val="000000"/>
          <w:sz w:val="36"/>
          <w:szCs w:val="36"/>
          <w:lang w:eastAsia="lv-LV"/>
        </w:rPr>
      </w:pPr>
    </w:p>
    <w:p w:rsidR="00BF4753" w:rsidRDefault="00BF4753" w:rsidP="00BF4753">
      <w:pPr>
        <w:rPr>
          <w:rFonts w:eastAsia="Times New Roman" w:cs="Times New Roman"/>
          <w:b/>
          <w:bCs/>
          <w:smallCaps/>
          <w:color w:val="000000"/>
          <w:sz w:val="36"/>
          <w:szCs w:val="36"/>
          <w:lang w:eastAsia="lv-LV"/>
        </w:rPr>
      </w:pPr>
    </w:p>
    <w:p w:rsidR="00BF4753" w:rsidRDefault="00BF4753" w:rsidP="00BF4753">
      <w:pPr>
        <w:rPr>
          <w:rFonts w:eastAsia="Times New Roman" w:cs="Times New Roman"/>
          <w:b/>
          <w:bCs/>
          <w:smallCaps/>
          <w:color w:val="000000"/>
          <w:sz w:val="36"/>
          <w:szCs w:val="36"/>
          <w:lang w:eastAsia="lv-LV"/>
        </w:rPr>
      </w:pPr>
    </w:p>
    <w:p w:rsidR="00BF4753" w:rsidRDefault="00BF4753" w:rsidP="00BF4753">
      <w:pPr>
        <w:rPr>
          <w:rFonts w:eastAsia="Times New Roman" w:cs="Times New Roman"/>
          <w:b/>
          <w:bCs/>
          <w:smallCaps/>
          <w:color w:val="000000"/>
          <w:sz w:val="36"/>
          <w:szCs w:val="36"/>
          <w:lang w:eastAsia="lv-LV"/>
        </w:rPr>
      </w:pPr>
    </w:p>
    <w:p w:rsidR="00BF4753" w:rsidRDefault="00BF4753" w:rsidP="00BF4753">
      <w:pPr>
        <w:rPr>
          <w:rFonts w:eastAsia="Times New Roman" w:cs="Times New Roman"/>
          <w:b/>
          <w:bCs/>
          <w:smallCaps/>
          <w:color w:val="000000"/>
          <w:sz w:val="36"/>
          <w:szCs w:val="36"/>
          <w:lang w:eastAsia="lv-LV"/>
        </w:rPr>
      </w:pPr>
    </w:p>
    <w:p w:rsidR="00BF4753" w:rsidRDefault="00BF4753" w:rsidP="00BF4753">
      <w:pPr>
        <w:rPr>
          <w:rFonts w:eastAsia="Times New Roman" w:cs="Times New Roman"/>
          <w:b/>
          <w:bCs/>
          <w:smallCaps/>
          <w:color w:val="000000"/>
          <w:sz w:val="36"/>
          <w:szCs w:val="36"/>
          <w:lang w:eastAsia="lv-LV"/>
        </w:rPr>
      </w:pPr>
    </w:p>
    <w:p w:rsidR="00BF4753" w:rsidRDefault="00BF4753" w:rsidP="00BF4753">
      <w:pPr>
        <w:rPr>
          <w:rFonts w:eastAsia="Times New Roman" w:cs="Times New Roman"/>
          <w:b/>
          <w:bCs/>
          <w:smallCaps/>
          <w:color w:val="000000"/>
          <w:sz w:val="36"/>
          <w:szCs w:val="36"/>
          <w:lang w:eastAsia="lv-LV"/>
        </w:rPr>
      </w:pPr>
    </w:p>
    <w:p w:rsidR="00BF4753" w:rsidRPr="00944794" w:rsidRDefault="00BF4753" w:rsidP="00BF4753">
      <w:pPr>
        <w:rPr>
          <w:lang w:eastAsia="lv-LV"/>
        </w:rPr>
      </w:pPr>
    </w:p>
    <w:p w:rsidR="00BF4753" w:rsidRDefault="00BF4753" w:rsidP="00BF4753">
      <w:pPr>
        <w:pStyle w:val="Heading1"/>
      </w:pPr>
      <w:bookmarkStart w:id="58" w:name="_Toc68335021"/>
      <w:r w:rsidRPr="00964C2D">
        <w:t>Pielikumi</w:t>
      </w:r>
      <w:bookmarkEnd w:id="55"/>
      <w:bookmarkEnd w:id="56"/>
      <w:bookmarkEnd w:id="57"/>
      <w:bookmarkEnd w:id="58"/>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Default="00BF4753" w:rsidP="00BF4753">
      <w:pPr>
        <w:rPr>
          <w:lang w:eastAsia="lv-LV"/>
        </w:rPr>
      </w:pPr>
    </w:p>
    <w:p w:rsidR="00BF4753" w:rsidRPr="00361832" w:rsidRDefault="00BF4753" w:rsidP="00BF4753">
      <w:pPr>
        <w:keepNext/>
        <w:spacing w:before="360" w:after="120"/>
        <w:ind w:firstLine="0"/>
        <w:jc w:val="left"/>
        <w:rPr>
          <w:rFonts w:eastAsia="Times New Roman" w:cs="Times New Roman"/>
          <w:b/>
          <w:color w:val="000000"/>
          <w:sz w:val="24"/>
          <w:szCs w:val="20"/>
        </w:rPr>
      </w:pPr>
      <w:r w:rsidRPr="00361832">
        <w:rPr>
          <w:rFonts w:eastAsia="Times New Roman" w:cs="Times New Roman"/>
          <w:b/>
          <w:color w:val="000000"/>
          <w:sz w:val="24"/>
          <w:szCs w:val="20"/>
        </w:rPr>
        <w:lastRenderedPageBreak/>
        <w:t>1a.</w:t>
      </w:r>
      <w:r>
        <w:rPr>
          <w:rFonts w:eastAsia="Times New Roman" w:cs="Times New Roman"/>
          <w:b/>
          <w:color w:val="000000"/>
          <w:sz w:val="24"/>
          <w:szCs w:val="20"/>
        </w:rPr>
        <w:t xml:space="preserve"> </w:t>
      </w:r>
      <w:r w:rsidRPr="00361832">
        <w:rPr>
          <w:rFonts w:eastAsia="Times New Roman" w:cs="Times New Roman"/>
          <w:b/>
          <w:color w:val="000000"/>
          <w:sz w:val="24"/>
          <w:szCs w:val="20"/>
        </w:rPr>
        <w:t>tabula. Izaugsme un ar to saistītie faktori</w:t>
      </w:r>
    </w:p>
    <w:tbl>
      <w:tblPr>
        <w:tblW w:w="8354" w:type="dxa"/>
        <w:tblLayout w:type="fixed"/>
        <w:tblLook w:val="04A0" w:firstRow="1" w:lastRow="0" w:firstColumn="1" w:lastColumn="0" w:noHBand="0" w:noVBand="1"/>
      </w:tblPr>
      <w:tblGrid>
        <w:gridCol w:w="2739"/>
        <w:gridCol w:w="992"/>
        <w:gridCol w:w="795"/>
        <w:gridCol w:w="765"/>
        <w:gridCol w:w="766"/>
        <w:gridCol w:w="765"/>
        <w:gridCol w:w="766"/>
        <w:gridCol w:w="766"/>
      </w:tblGrid>
      <w:tr w:rsidR="00BF4753" w:rsidRPr="0050594C" w:rsidTr="002D7CA8">
        <w:trPr>
          <w:trHeight w:val="315"/>
        </w:trPr>
        <w:tc>
          <w:tcPr>
            <w:tcW w:w="2739"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hideMark/>
          </w:tcPr>
          <w:p w:rsidR="00BF4753" w:rsidRPr="0050594C" w:rsidRDefault="00BF4753" w:rsidP="002D7CA8">
            <w:pPr>
              <w:ind w:firstLine="0"/>
              <w:jc w:val="left"/>
              <w:rPr>
                <w:rFonts w:ascii="Calibri" w:eastAsia="Times New Roman" w:hAnsi="Calibri" w:cs="Calibri"/>
                <w:sz w:val="22"/>
                <w:lang w:eastAsia="lv-LV"/>
              </w:rPr>
            </w:pPr>
            <w:r w:rsidRPr="0050594C">
              <w:rPr>
                <w:rFonts w:ascii="Calibri" w:eastAsia="Times New Roman" w:hAnsi="Calibri" w:cs="Calibri"/>
                <w:sz w:val="22"/>
                <w:lang w:eastAsia="lv-LV"/>
              </w:rPr>
              <w:t> </w:t>
            </w:r>
          </w:p>
        </w:tc>
        <w:tc>
          <w:tcPr>
            <w:tcW w:w="992" w:type="dxa"/>
            <w:vMerge w:val="restart"/>
            <w:tcBorders>
              <w:top w:val="single" w:sz="8" w:space="0" w:color="9CC2E5"/>
              <w:left w:val="single" w:sz="8" w:space="0" w:color="9CC2E5"/>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EKS kods</w:t>
            </w:r>
          </w:p>
        </w:tc>
        <w:tc>
          <w:tcPr>
            <w:tcW w:w="795" w:type="dxa"/>
            <w:tcBorders>
              <w:top w:val="single" w:sz="8" w:space="0" w:color="9CC2E5"/>
              <w:left w:val="nil"/>
              <w:bottom w:val="single" w:sz="12"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2020</w:t>
            </w:r>
          </w:p>
        </w:tc>
        <w:tc>
          <w:tcPr>
            <w:tcW w:w="765" w:type="dxa"/>
            <w:tcBorders>
              <w:top w:val="single" w:sz="8" w:space="0" w:color="9CC2E5"/>
              <w:left w:val="nil"/>
              <w:bottom w:val="single" w:sz="12"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2020</w:t>
            </w:r>
          </w:p>
        </w:tc>
        <w:tc>
          <w:tcPr>
            <w:tcW w:w="766" w:type="dxa"/>
            <w:tcBorders>
              <w:top w:val="single" w:sz="8" w:space="0" w:color="9CC2E5"/>
              <w:left w:val="nil"/>
              <w:bottom w:val="single" w:sz="12"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2021</w:t>
            </w:r>
          </w:p>
        </w:tc>
        <w:tc>
          <w:tcPr>
            <w:tcW w:w="765" w:type="dxa"/>
            <w:tcBorders>
              <w:top w:val="single" w:sz="8" w:space="0" w:color="9CC2E5"/>
              <w:left w:val="nil"/>
              <w:bottom w:val="single" w:sz="12"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2022</w:t>
            </w:r>
          </w:p>
        </w:tc>
        <w:tc>
          <w:tcPr>
            <w:tcW w:w="766" w:type="dxa"/>
            <w:tcBorders>
              <w:top w:val="single" w:sz="8" w:space="0" w:color="9CC2E5"/>
              <w:left w:val="nil"/>
              <w:bottom w:val="single" w:sz="12"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2023</w:t>
            </w:r>
          </w:p>
        </w:tc>
        <w:tc>
          <w:tcPr>
            <w:tcW w:w="766" w:type="dxa"/>
            <w:tcBorders>
              <w:top w:val="single" w:sz="8" w:space="0" w:color="9CC2E5"/>
              <w:left w:val="nil"/>
              <w:bottom w:val="single" w:sz="12"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b/>
                <w:bCs/>
                <w:color w:val="FF0000"/>
                <w:sz w:val="20"/>
                <w:szCs w:val="20"/>
                <w:lang w:eastAsia="lv-LV"/>
              </w:rPr>
            </w:pPr>
            <w:r w:rsidRPr="0050594C">
              <w:rPr>
                <w:rFonts w:eastAsia="Times New Roman" w:cs="Times New Roman"/>
                <w:b/>
                <w:bCs/>
                <w:sz w:val="20"/>
                <w:szCs w:val="20"/>
                <w:lang w:eastAsia="lv-LV"/>
              </w:rPr>
              <w:t>2024</w:t>
            </w:r>
          </w:p>
        </w:tc>
      </w:tr>
      <w:tr w:rsidR="00BF4753" w:rsidRPr="0050594C" w:rsidTr="002D7CA8">
        <w:trPr>
          <w:trHeight w:val="330"/>
        </w:trPr>
        <w:tc>
          <w:tcPr>
            <w:tcW w:w="2739" w:type="dxa"/>
            <w:vMerge/>
            <w:tcBorders>
              <w:top w:val="single" w:sz="8" w:space="0" w:color="9CC2E5"/>
              <w:left w:val="single" w:sz="8" w:space="0" w:color="9CC2E5"/>
              <w:bottom w:val="single" w:sz="8" w:space="0" w:color="9CC2E5"/>
              <w:right w:val="single" w:sz="8" w:space="0" w:color="9CC2E5"/>
            </w:tcBorders>
            <w:vAlign w:val="center"/>
            <w:hideMark/>
          </w:tcPr>
          <w:p w:rsidR="00BF4753" w:rsidRPr="0050594C" w:rsidRDefault="00BF4753" w:rsidP="002D7CA8">
            <w:pPr>
              <w:ind w:firstLine="0"/>
              <w:jc w:val="left"/>
              <w:rPr>
                <w:rFonts w:ascii="Calibri" w:eastAsia="Times New Roman" w:hAnsi="Calibri" w:cs="Calibri"/>
                <w:sz w:val="22"/>
                <w:lang w:eastAsia="lv-LV"/>
              </w:rPr>
            </w:pPr>
          </w:p>
        </w:tc>
        <w:tc>
          <w:tcPr>
            <w:tcW w:w="992" w:type="dxa"/>
            <w:vMerge/>
            <w:tcBorders>
              <w:top w:val="single" w:sz="8" w:space="0" w:color="9CC2E5"/>
              <w:left w:val="single" w:sz="8" w:space="0" w:color="9CC2E5"/>
              <w:bottom w:val="single" w:sz="8" w:space="0" w:color="9CC2E5"/>
              <w:right w:val="single" w:sz="8" w:space="0" w:color="9CC2E5"/>
            </w:tcBorders>
            <w:vAlign w:val="center"/>
            <w:hideMark/>
          </w:tcPr>
          <w:p w:rsidR="00BF4753" w:rsidRPr="0050594C" w:rsidRDefault="00BF4753" w:rsidP="002D7CA8">
            <w:pPr>
              <w:ind w:firstLine="0"/>
              <w:jc w:val="left"/>
              <w:rPr>
                <w:rFonts w:eastAsia="Times New Roman" w:cs="Times New Roman"/>
                <w:bCs/>
                <w:sz w:val="20"/>
                <w:szCs w:val="20"/>
                <w:lang w:eastAsia="lv-LV"/>
              </w:rPr>
            </w:pPr>
          </w:p>
        </w:tc>
        <w:tc>
          <w:tcPr>
            <w:tcW w:w="795"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 xml:space="preserve">milj. </w:t>
            </w:r>
            <w:r w:rsidRPr="0050594C">
              <w:rPr>
                <w:rFonts w:eastAsia="Times New Roman" w:cs="Times New Roman"/>
                <w:i/>
                <w:iCs/>
                <w:sz w:val="20"/>
                <w:szCs w:val="20"/>
                <w:lang w:eastAsia="lv-LV"/>
              </w:rPr>
              <w:t>euro</w:t>
            </w:r>
          </w:p>
        </w:tc>
        <w:tc>
          <w:tcPr>
            <w:tcW w:w="3828" w:type="dxa"/>
            <w:gridSpan w:val="5"/>
            <w:tcBorders>
              <w:top w:val="single" w:sz="12" w:space="0" w:color="9CC2E5"/>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Pieaugums %</w:t>
            </w:r>
          </w:p>
        </w:tc>
      </w:tr>
      <w:tr w:rsidR="00BF4753" w:rsidRPr="0050594C" w:rsidTr="002D7CA8">
        <w:trPr>
          <w:trHeight w:val="315"/>
        </w:trPr>
        <w:tc>
          <w:tcPr>
            <w:tcW w:w="2739" w:type="dxa"/>
            <w:tcBorders>
              <w:top w:val="nil"/>
              <w:left w:val="single" w:sz="8" w:space="0" w:color="9CC2E5"/>
              <w:bottom w:val="single" w:sz="8" w:space="0" w:color="9CC2E5"/>
              <w:right w:val="single" w:sz="8" w:space="0" w:color="9CC2E5"/>
            </w:tcBorders>
            <w:shd w:val="clear" w:color="auto" w:fill="auto"/>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1. IKP 2015.gada cenās</w:t>
            </w:r>
          </w:p>
        </w:tc>
        <w:tc>
          <w:tcPr>
            <w:tcW w:w="992"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B1*g</w:t>
            </w:r>
          </w:p>
        </w:tc>
        <w:tc>
          <w:tcPr>
            <w:tcW w:w="795"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26 555</w:t>
            </w:r>
          </w:p>
        </w:tc>
        <w:tc>
          <w:tcPr>
            <w:tcW w:w="765"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-3,6</w:t>
            </w:r>
          </w:p>
        </w:tc>
        <w:tc>
          <w:tcPr>
            <w:tcW w:w="766"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3,0</w:t>
            </w:r>
          </w:p>
        </w:tc>
        <w:tc>
          <w:tcPr>
            <w:tcW w:w="765"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4,5</w:t>
            </w:r>
          </w:p>
        </w:tc>
        <w:tc>
          <w:tcPr>
            <w:tcW w:w="766"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3,2</w:t>
            </w:r>
          </w:p>
        </w:tc>
        <w:tc>
          <w:tcPr>
            <w:tcW w:w="766"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2,8</w:t>
            </w:r>
          </w:p>
        </w:tc>
      </w:tr>
      <w:tr w:rsidR="00BF4753" w:rsidRPr="0050594C" w:rsidTr="002D7CA8">
        <w:trPr>
          <w:trHeight w:val="315"/>
        </w:trPr>
        <w:tc>
          <w:tcPr>
            <w:tcW w:w="2739" w:type="dxa"/>
            <w:tcBorders>
              <w:top w:val="nil"/>
              <w:left w:val="single" w:sz="8" w:space="0" w:color="9CC2E5"/>
              <w:bottom w:val="single" w:sz="8" w:space="0" w:color="9CC2E5"/>
              <w:right w:val="single" w:sz="8" w:space="0" w:color="9CC2E5"/>
            </w:tcBorders>
            <w:shd w:val="clear" w:color="000000" w:fill="DEEAF6"/>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2. IKP faktiskajās cenās</w:t>
            </w:r>
          </w:p>
        </w:tc>
        <w:tc>
          <w:tcPr>
            <w:tcW w:w="992"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B1*g</w:t>
            </w:r>
          </w:p>
        </w:tc>
        <w:tc>
          <w:tcPr>
            <w:tcW w:w="795"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29 334</w:t>
            </w:r>
          </w:p>
        </w:tc>
        <w:tc>
          <w:tcPr>
            <w:tcW w:w="765"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-3,6</w:t>
            </w:r>
          </w:p>
        </w:tc>
        <w:tc>
          <w:tcPr>
            <w:tcW w:w="766"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4,4</w:t>
            </w:r>
          </w:p>
        </w:tc>
        <w:tc>
          <w:tcPr>
            <w:tcW w:w="765"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6,4</w:t>
            </w:r>
          </w:p>
        </w:tc>
        <w:tc>
          <w:tcPr>
            <w:tcW w:w="766"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5,2</w:t>
            </w:r>
          </w:p>
        </w:tc>
        <w:tc>
          <w:tcPr>
            <w:tcW w:w="766"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5,0</w:t>
            </w:r>
          </w:p>
        </w:tc>
      </w:tr>
      <w:tr w:rsidR="00BF4753" w:rsidRPr="0050594C" w:rsidTr="002D7CA8">
        <w:trPr>
          <w:trHeight w:val="315"/>
        </w:trPr>
        <w:tc>
          <w:tcPr>
            <w:tcW w:w="8354" w:type="dxa"/>
            <w:gridSpan w:val="8"/>
            <w:tcBorders>
              <w:top w:val="single" w:sz="8" w:space="0" w:color="9CC2E5"/>
              <w:left w:val="single" w:sz="8" w:space="0" w:color="9CC2E5"/>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b/>
                <w:sz w:val="20"/>
                <w:szCs w:val="20"/>
                <w:lang w:eastAsia="lv-LV"/>
              </w:rPr>
            </w:pPr>
            <w:r w:rsidRPr="0050594C">
              <w:rPr>
                <w:rFonts w:eastAsia="Times New Roman" w:cs="Times New Roman"/>
                <w:b/>
                <w:sz w:val="20"/>
                <w:szCs w:val="20"/>
                <w:lang w:eastAsia="lv-LV"/>
              </w:rPr>
              <w:t>IKP pēc izlietojuma 2015.gada cenās</w:t>
            </w:r>
          </w:p>
        </w:tc>
      </w:tr>
      <w:tr w:rsidR="00BF4753" w:rsidRPr="0050594C" w:rsidTr="002D7CA8">
        <w:trPr>
          <w:trHeight w:val="315"/>
        </w:trPr>
        <w:tc>
          <w:tcPr>
            <w:tcW w:w="2739" w:type="dxa"/>
            <w:tcBorders>
              <w:top w:val="nil"/>
              <w:left w:val="single" w:sz="8" w:space="0" w:color="9CC2E5"/>
              <w:bottom w:val="single" w:sz="8" w:space="0" w:color="9CC2E5"/>
              <w:right w:val="single" w:sz="8" w:space="0" w:color="9CC2E5"/>
            </w:tcBorders>
            <w:shd w:val="clear" w:color="000000" w:fill="DEEAF6"/>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3. Privātais patēriņš</w:t>
            </w:r>
          </w:p>
        </w:tc>
        <w:tc>
          <w:tcPr>
            <w:tcW w:w="992"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P3</w:t>
            </w:r>
          </w:p>
        </w:tc>
        <w:tc>
          <w:tcPr>
            <w:tcW w:w="795"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14 740</w:t>
            </w:r>
          </w:p>
        </w:tc>
        <w:tc>
          <w:tcPr>
            <w:tcW w:w="765"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-10,0</w:t>
            </w:r>
          </w:p>
        </w:tc>
        <w:tc>
          <w:tcPr>
            <w:tcW w:w="766"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4,0</w:t>
            </w:r>
          </w:p>
        </w:tc>
        <w:tc>
          <w:tcPr>
            <w:tcW w:w="765"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10,1</w:t>
            </w:r>
          </w:p>
        </w:tc>
        <w:tc>
          <w:tcPr>
            <w:tcW w:w="766"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4,0</w:t>
            </w:r>
          </w:p>
        </w:tc>
        <w:tc>
          <w:tcPr>
            <w:tcW w:w="766"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2,6</w:t>
            </w:r>
          </w:p>
        </w:tc>
      </w:tr>
      <w:tr w:rsidR="00BF4753" w:rsidRPr="0050594C" w:rsidTr="002D7CA8">
        <w:trPr>
          <w:trHeight w:val="315"/>
        </w:trPr>
        <w:tc>
          <w:tcPr>
            <w:tcW w:w="2739" w:type="dxa"/>
            <w:tcBorders>
              <w:top w:val="nil"/>
              <w:left w:val="single" w:sz="8" w:space="0" w:color="9CC2E5"/>
              <w:bottom w:val="single" w:sz="8" w:space="0" w:color="9CC2E5"/>
              <w:right w:val="single" w:sz="8" w:space="0" w:color="9CC2E5"/>
            </w:tcBorders>
            <w:shd w:val="clear" w:color="auto" w:fill="auto"/>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4. Sabiedriskais patēriņš</w:t>
            </w:r>
          </w:p>
        </w:tc>
        <w:tc>
          <w:tcPr>
            <w:tcW w:w="992"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P3</w:t>
            </w:r>
          </w:p>
        </w:tc>
        <w:tc>
          <w:tcPr>
            <w:tcW w:w="795"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5 056</w:t>
            </w:r>
          </w:p>
        </w:tc>
        <w:tc>
          <w:tcPr>
            <w:tcW w:w="765"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2,6</w:t>
            </w:r>
          </w:p>
        </w:tc>
        <w:tc>
          <w:tcPr>
            <w:tcW w:w="766"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2,4</w:t>
            </w:r>
          </w:p>
        </w:tc>
        <w:tc>
          <w:tcPr>
            <w:tcW w:w="765"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2,4</w:t>
            </w:r>
          </w:p>
        </w:tc>
        <w:tc>
          <w:tcPr>
            <w:tcW w:w="766"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2,4</w:t>
            </w:r>
          </w:p>
        </w:tc>
        <w:tc>
          <w:tcPr>
            <w:tcW w:w="766"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2,4</w:t>
            </w:r>
          </w:p>
        </w:tc>
      </w:tr>
      <w:tr w:rsidR="00BF4753" w:rsidRPr="0050594C" w:rsidTr="002D7CA8">
        <w:trPr>
          <w:trHeight w:val="315"/>
        </w:trPr>
        <w:tc>
          <w:tcPr>
            <w:tcW w:w="2739" w:type="dxa"/>
            <w:tcBorders>
              <w:top w:val="nil"/>
              <w:left w:val="single" w:sz="8" w:space="0" w:color="9CC2E5"/>
              <w:bottom w:val="single" w:sz="8" w:space="0" w:color="9CC2E5"/>
              <w:right w:val="single" w:sz="8" w:space="0" w:color="9CC2E5"/>
            </w:tcBorders>
            <w:shd w:val="clear" w:color="000000" w:fill="DEEAF6"/>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5. Kopējā pamatkapitāla veidošana</w:t>
            </w:r>
          </w:p>
        </w:tc>
        <w:tc>
          <w:tcPr>
            <w:tcW w:w="992"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P51</w:t>
            </w:r>
          </w:p>
        </w:tc>
        <w:tc>
          <w:tcPr>
            <w:tcW w:w="795"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6 280</w:t>
            </w:r>
          </w:p>
        </w:tc>
        <w:tc>
          <w:tcPr>
            <w:tcW w:w="765"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0,2</w:t>
            </w:r>
          </w:p>
        </w:tc>
        <w:tc>
          <w:tcPr>
            <w:tcW w:w="766"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4,1</w:t>
            </w:r>
          </w:p>
        </w:tc>
        <w:tc>
          <w:tcPr>
            <w:tcW w:w="765"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7,6</w:t>
            </w:r>
          </w:p>
        </w:tc>
        <w:tc>
          <w:tcPr>
            <w:tcW w:w="766"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2,5</w:t>
            </w:r>
          </w:p>
        </w:tc>
        <w:tc>
          <w:tcPr>
            <w:tcW w:w="766"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2,5</w:t>
            </w:r>
          </w:p>
        </w:tc>
      </w:tr>
      <w:tr w:rsidR="00BF4753" w:rsidRPr="0050594C" w:rsidTr="002D7CA8">
        <w:trPr>
          <w:trHeight w:val="315"/>
        </w:trPr>
        <w:tc>
          <w:tcPr>
            <w:tcW w:w="2739" w:type="dxa"/>
            <w:tcBorders>
              <w:top w:val="nil"/>
              <w:left w:val="single" w:sz="8" w:space="0" w:color="9CC2E5"/>
              <w:bottom w:val="single" w:sz="8" w:space="0" w:color="9CC2E5"/>
              <w:right w:val="single" w:sz="8" w:space="0" w:color="9CC2E5"/>
            </w:tcBorders>
            <w:shd w:val="clear" w:color="auto" w:fill="auto"/>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6. Krājumu pārmaiņas un vērtslietu iegāde</w:t>
            </w:r>
          </w:p>
        </w:tc>
        <w:tc>
          <w:tcPr>
            <w:tcW w:w="992"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P52+P53</w:t>
            </w:r>
          </w:p>
        </w:tc>
        <w:tc>
          <w:tcPr>
            <w:tcW w:w="795"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1661</w:t>
            </w:r>
          </w:p>
        </w:tc>
        <w:tc>
          <w:tcPr>
            <w:tcW w:w="765"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w:t>
            </w:r>
          </w:p>
        </w:tc>
        <w:tc>
          <w:tcPr>
            <w:tcW w:w="766"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w:t>
            </w:r>
          </w:p>
        </w:tc>
        <w:tc>
          <w:tcPr>
            <w:tcW w:w="765"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w:t>
            </w:r>
          </w:p>
        </w:tc>
        <w:tc>
          <w:tcPr>
            <w:tcW w:w="766"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w:t>
            </w:r>
          </w:p>
        </w:tc>
        <w:tc>
          <w:tcPr>
            <w:tcW w:w="766"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w:t>
            </w:r>
          </w:p>
        </w:tc>
      </w:tr>
      <w:tr w:rsidR="00BF4753" w:rsidRPr="0050594C" w:rsidTr="002D7CA8">
        <w:trPr>
          <w:trHeight w:val="315"/>
        </w:trPr>
        <w:tc>
          <w:tcPr>
            <w:tcW w:w="2739" w:type="dxa"/>
            <w:tcBorders>
              <w:top w:val="nil"/>
              <w:left w:val="single" w:sz="8" w:space="0" w:color="9CC2E5"/>
              <w:bottom w:val="single" w:sz="8" w:space="0" w:color="9CC2E5"/>
              <w:right w:val="single" w:sz="8" w:space="0" w:color="9CC2E5"/>
            </w:tcBorders>
            <w:shd w:val="clear" w:color="000000" w:fill="DEEAF6"/>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7. Eksports</w:t>
            </w:r>
          </w:p>
        </w:tc>
        <w:tc>
          <w:tcPr>
            <w:tcW w:w="992"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P6</w:t>
            </w:r>
          </w:p>
        </w:tc>
        <w:tc>
          <w:tcPr>
            <w:tcW w:w="795"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16 967</w:t>
            </w:r>
          </w:p>
        </w:tc>
        <w:tc>
          <w:tcPr>
            <w:tcW w:w="765"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-2,7</w:t>
            </w:r>
          </w:p>
        </w:tc>
        <w:tc>
          <w:tcPr>
            <w:tcW w:w="766"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4,3</w:t>
            </w:r>
          </w:p>
        </w:tc>
        <w:tc>
          <w:tcPr>
            <w:tcW w:w="765"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4,7</w:t>
            </w:r>
          </w:p>
        </w:tc>
        <w:tc>
          <w:tcPr>
            <w:tcW w:w="766"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4,0</w:t>
            </w:r>
          </w:p>
        </w:tc>
        <w:tc>
          <w:tcPr>
            <w:tcW w:w="766"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4,0</w:t>
            </w:r>
          </w:p>
        </w:tc>
      </w:tr>
      <w:tr w:rsidR="00BF4753" w:rsidRPr="0050594C" w:rsidTr="002D7CA8">
        <w:trPr>
          <w:trHeight w:val="315"/>
        </w:trPr>
        <w:tc>
          <w:tcPr>
            <w:tcW w:w="2739" w:type="dxa"/>
            <w:tcBorders>
              <w:top w:val="nil"/>
              <w:left w:val="single" w:sz="8" w:space="0" w:color="9CC2E5"/>
              <w:bottom w:val="single" w:sz="8" w:space="0" w:color="9CC2E5"/>
              <w:right w:val="single" w:sz="8" w:space="0" w:color="9CC2E5"/>
            </w:tcBorders>
            <w:shd w:val="clear" w:color="auto" w:fill="auto"/>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8. Imports</w:t>
            </w:r>
          </w:p>
        </w:tc>
        <w:tc>
          <w:tcPr>
            <w:tcW w:w="992"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P7</w:t>
            </w:r>
          </w:p>
        </w:tc>
        <w:tc>
          <w:tcPr>
            <w:tcW w:w="795"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18 149</w:t>
            </w:r>
          </w:p>
        </w:tc>
        <w:tc>
          <w:tcPr>
            <w:tcW w:w="765"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-3,3</w:t>
            </w:r>
          </w:p>
        </w:tc>
        <w:tc>
          <w:tcPr>
            <w:tcW w:w="766"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4,9</w:t>
            </w:r>
          </w:p>
        </w:tc>
        <w:tc>
          <w:tcPr>
            <w:tcW w:w="765"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5,4</w:t>
            </w:r>
          </w:p>
        </w:tc>
        <w:tc>
          <w:tcPr>
            <w:tcW w:w="766"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4,0</w:t>
            </w:r>
          </w:p>
        </w:tc>
        <w:tc>
          <w:tcPr>
            <w:tcW w:w="766"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3,3</w:t>
            </w:r>
          </w:p>
        </w:tc>
      </w:tr>
      <w:tr w:rsidR="00BF4753" w:rsidRPr="0050594C" w:rsidTr="002D7CA8">
        <w:trPr>
          <w:trHeight w:val="315"/>
        </w:trPr>
        <w:tc>
          <w:tcPr>
            <w:tcW w:w="8354" w:type="dxa"/>
            <w:gridSpan w:val="8"/>
            <w:tcBorders>
              <w:top w:val="single" w:sz="8" w:space="0" w:color="9CC2E5"/>
              <w:left w:val="single" w:sz="8" w:space="0" w:color="9CC2E5"/>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b/>
                <w:sz w:val="20"/>
                <w:szCs w:val="20"/>
                <w:lang w:eastAsia="lv-LV"/>
              </w:rPr>
            </w:pPr>
            <w:r w:rsidRPr="0050594C">
              <w:rPr>
                <w:rFonts w:eastAsia="Times New Roman" w:cs="Times New Roman"/>
                <w:b/>
                <w:sz w:val="20"/>
                <w:szCs w:val="20"/>
                <w:lang w:eastAsia="lv-LV"/>
              </w:rPr>
              <w:t>Ieguldījums IKP izaugsmē</w:t>
            </w:r>
          </w:p>
        </w:tc>
      </w:tr>
      <w:tr w:rsidR="00BF4753" w:rsidRPr="0050594C" w:rsidTr="002D7CA8">
        <w:trPr>
          <w:trHeight w:val="315"/>
        </w:trPr>
        <w:tc>
          <w:tcPr>
            <w:tcW w:w="2739" w:type="dxa"/>
            <w:tcBorders>
              <w:top w:val="nil"/>
              <w:left w:val="single" w:sz="8" w:space="0" w:color="9CC2E5"/>
              <w:bottom w:val="single" w:sz="8" w:space="0" w:color="9CC2E5"/>
              <w:right w:val="single" w:sz="8" w:space="0" w:color="9CC2E5"/>
            </w:tcBorders>
            <w:shd w:val="clear" w:color="auto" w:fill="auto"/>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9. Kopējais iekšzemes pieprasījums</w:t>
            </w:r>
          </w:p>
        </w:tc>
        <w:tc>
          <w:tcPr>
            <w:tcW w:w="992"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left"/>
              <w:rPr>
                <w:rFonts w:ascii="Calibri" w:eastAsia="Times New Roman" w:hAnsi="Calibri" w:cs="Calibri"/>
                <w:sz w:val="22"/>
                <w:lang w:eastAsia="lv-LV"/>
              </w:rPr>
            </w:pPr>
            <w:r w:rsidRPr="0050594C">
              <w:rPr>
                <w:rFonts w:ascii="Calibri" w:eastAsia="Times New Roman" w:hAnsi="Calibri" w:cs="Calibri"/>
                <w:sz w:val="22"/>
                <w:lang w:eastAsia="lv-LV"/>
              </w:rPr>
              <w:t> </w:t>
            </w:r>
          </w:p>
        </w:tc>
        <w:tc>
          <w:tcPr>
            <w:tcW w:w="795"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left"/>
              <w:rPr>
                <w:rFonts w:ascii="Calibri" w:eastAsia="Times New Roman" w:hAnsi="Calibri" w:cs="Calibri"/>
                <w:sz w:val="22"/>
                <w:lang w:eastAsia="lv-LV"/>
              </w:rPr>
            </w:pPr>
            <w:r w:rsidRPr="0050594C">
              <w:rPr>
                <w:rFonts w:ascii="Calibri" w:eastAsia="Times New Roman" w:hAnsi="Calibri" w:cs="Calibri"/>
                <w:sz w:val="22"/>
                <w:lang w:eastAsia="lv-LV"/>
              </w:rPr>
              <w:t> </w:t>
            </w:r>
          </w:p>
        </w:tc>
        <w:tc>
          <w:tcPr>
            <w:tcW w:w="765"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-5,4</w:t>
            </w:r>
          </w:p>
        </w:tc>
        <w:tc>
          <w:tcPr>
            <w:tcW w:w="766"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3,7</w:t>
            </w:r>
          </w:p>
        </w:tc>
        <w:tc>
          <w:tcPr>
            <w:tcW w:w="765"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8,0</w:t>
            </w:r>
          </w:p>
        </w:tc>
        <w:tc>
          <w:tcPr>
            <w:tcW w:w="766"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3,4</w:t>
            </w:r>
          </w:p>
        </w:tc>
        <w:tc>
          <w:tcPr>
            <w:tcW w:w="766"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2,6</w:t>
            </w:r>
          </w:p>
        </w:tc>
      </w:tr>
      <w:tr w:rsidR="00BF4753" w:rsidRPr="0050594C" w:rsidTr="002D7CA8">
        <w:trPr>
          <w:trHeight w:val="315"/>
        </w:trPr>
        <w:tc>
          <w:tcPr>
            <w:tcW w:w="2739" w:type="dxa"/>
            <w:tcBorders>
              <w:top w:val="nil"/>
              <w:left w:val="single" w:sz="8" w:space="0" w:color="9CC2E5"/>
              <w:bottom w:val="single" w:sz="8" w:space="0" w:color="9CC2E5"/>
              <w:right w:val="single" w:sz="8" w:space="0" w:color="9CC2E5"/>
            </w:tcBorders>
            <w:shd w:val="clear" w:color="000000" w:fill="DEEAF6"/>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 xml:space="preserve">10. Krājumu pārmaiņas un vērtslietu iegāde </w:t>
            </w:r>
          </w:p>
        </w:tc>
        <w:tc>
          <w:tcPr>
            <w:tcW w:w="992"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P52+P53</w:t>
            </w:r>
          </w:p>
        </w:tc>
        <w:tc>
          <w:tcPr>
            <w:tcW w:w="795"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left"/>
              <w:rPr>
                <w:rFonts w:ascii="Calibri" w:eastAsia="Times New Roman" w:hAnsi="Calibri" w:cs="Calibri"/>
                <w:sz w:val="22"/>
                <w:lang w:eastAsia="lv-LV"/>
              </w:rPr>
            </w:pPr>
            <w:r w:rsidRPr="0050594C">
              <w:rPr>
                <w:rFonts w:ascii="Calibri" w:eastAsia="Times New Roman" w:hAnsi="Calibri" w:cs="Calibri"/>
                <w:sz w:val="22"/>
                <w:lang w:eastAsia="lv-LV"/>
              </w:rPr>
              <w:t> </w:t>
            </w:r>
          </w:p>
        </w:tc>
        <w:tc>
          <w:tcPr>
            <w:tcW w:w="765"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1,3</w:t>
            </w:r>
          </w:p>
        </w:tc>
        <w:tc>
          <w:tcPr>
            <w:tcW w:w="766"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-0,1</w:t>
            </w:r>
          </w:p>
        </w:tc>
        <w:tc>
          <w:tcPr>
            <w:tcW w:w="765"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-2,7</w:t>
            </w:r>
          </w:p>
        </w:tc>
        <w:tc>
          <w:tcPr>
            <w:tcW w:w="766"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-0,1</w:t>
            </w:r>
          </w:p>
        </w:tc>
        <w:tc>
          <w:tcPr>
            <w:tcW w:w="766" w:type="dxa"/>
            <w:tcBorders>
              <w:top w:val="nil"/>
              <w:left w:val="nil"/>
              <w:bottom w:val="single" w:sz="8" w:space="0" w:color="9CC2E5"/>
              <w:right w:val="single" w:sz="8" w:space="0" w:color="9CC2E5"/>
            </w:tcBorders>
            <w:shd w:val="clear" w:color="000000" w:fill="DEEAF6"/>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-0,1</w:t>
            </w:r>
          </w:p>
        </w:tc>
      </w:tr>
      <w:tr w:rsidR="00BF4753" w:rsidRPr="0050594C" w:rsidTr="002D7CA8">
        <w:trPr>
          <w:trHeight w:val="315"/>
        </w:trPr>
        <w:tc>
          <w:tcPr>
            <w:tcW w:w="2739" w:type="dxa"/>
            <w:tcBorders>
              <w:top w:val="nil"/>
              <w:left w:val="single" w:sz="8" w:space="0" w:color="9CC2E5"/>
              <w:bottom w:val="single" w:sz="8" w:space="0" w:color="9CC2E5"/>
              <w:right w:val="single" w:sz="8" w:space="0" w:color="9CC2E5"/>
            </w:tcBorders>
            <w:shd w:val="clear" w:color="auto" w:fill="auto"/>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11. Eksporta-importa bilance</w:t>
            </w:r>
          </w:p>
        </w:tc>
        <w:tc>
          <w:tcPr>
            <w:tcW w:w="992"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B11</w:t>
            </w:r>
          </w:p>
        </w:tc>
        <w:tc>
          <w:tcPr>
            <w:tcW w:w="795"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left"/>
              <w:rPr>
                <w:rFonts w:ascii="Calibri" w:eastAsia="Times New Roman" w:hAnsi="Calibri" w:cs="Calibri"/>
                <w:sz w:val="22"/>
                <w:lang w:eastAsia="lv-LV"/>
              </w:rPr>
            </w:pPr>
            <w:r w:rsidRPr="0050594C">
              <w:rPr>
                <w:rFonts w:ascii="Calibri" w:eastAsia="Times New Roman" w:hAnsi="Calibri" w:cs="Calibri"/>
                <w:sz w:val="22"/>
                <w:lang w:eastAsia="lv-LV"/>
              </w:rPr>
              <w:t> </w:t>
            </w:r>
          </w:p>
        </w:tc>
        <w:tc>
          <w:tcPr>
            <w:tcW w:w="765"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0,5</w:t>
            </w:r>
          </w:p>
        </w:tc>
        <w:tc>
          <w:tcPr>
            <w:tcW w:w="766"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-0,6</w:t>
            </w:r>
          </w:p>
        </w:tc>
        <w:tc>
          <w:tcPr>
            <w:tcW w:w="765"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-0,7</w:t>
            </w:r>
          </w:p>
        </w:tc>
        <w:tc>
          <w:tcPr>
            <w:tcW w:w="766"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-0,2</w:t>
            </w:r>
          </w:p>
        </w:tc>
        <w:tc>
          <w:tcPr>
            <w:tcW w:w="766" w:type="dxa"/>
            <w:tcBorders>
              <w:top w:val="nil"/>
              <w:left w:val="nil"/>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0,3</w:t>
            </w:r>
          </w:p>
        </w:tc>
      </w:tr>
    </w:tbl>
    <w:p w:rsidR="00BF4753" w:rsidRPr="00361832" w:rsidRDefault="00BF4753" w:rsidP="00BF4753">
      <w:pPr>
        <w:keepNext/>
        <w:ind w:firstLine="0"/>
        <w:jc w:val="left"/>
        <w:rPr>
          <w:rFonts w:eastAsia="Times New Roman" w:cs="Times New Roman"/>
          <w:b/>
          <w:color w:val="000000"/>
          <w:sz w:val="24"/>
          <w:szCs w:val="20"/>
        </w:rPr>
      </w:pPr>
    </w:p>
    <w:p w:rsidR="00BF4753" w:rsidRPr="00361832" w:rsidRDefault="00BF4753" w:rsidP="00BF4753">
      <w:pPr>
        <w:keepNext/>
        <w:spacing w:before="120" w:after="120"/>
        <w:ind w:firstLine="0"/>
        <w:jc w:val="left"/>
        <w:rPr>
          <w:rFonts w:eastAsia="Times New Roman" w:cs="Times New Roman"/>
          <w:b/>
          <w:color w:val="000000"/>
          <w:sz w:val="24"/>
          <w:szCs w:val="20"/>
        </w:rPr>
      </w:pPr>
      <w:r w:rsidRPr="00361832">
        <w:rPr>
          <w:rFonts w:eastAsia="Times New Roman" w:cs="Times New Roman"/>
          <w:b/>
          <w:color w:val="000000"/>
          <w:sz w:val="24"/>
          <w:szCs w:val="20"/>
        </w:rPr>
        <w:t>1b.</w:t>
      </w:r>
      <w:r>
        <w:rPr>
          <w:rFonts w:eastAsia="Times New Roman" w:cs="Times New Roman"/>
          <w:b/>
          <w:color w:val="000000"/>
          <w:sz w:val="24"/>
          <w:szCs w:val="20"/>
        </w:rPr>
        <w:t xml:space="preserve"> </w:t>
      </w:r>
      <w:r w:rsidRPr="00361832">
        <w:rPr>
          <w:rFonts w:eastAsia="Times New Roman" w:cs="Times New Roman"/>
          <w:b/>
          <w:color w:val="000000"/>
          <w:sz w:val="24"/>
          <w:szCs w:val="20"/>
        </w:rPr>
        <w:t>tabula. Patēriņa cenu izmaiņas</w:t>
      </w:r>
    </w:p>
    <w:tbl>
      <w:tblPr>
        <w:tblW w:w="8354" w:type="dxa"/>
        <w:tblLayout w:type="fixed"/>
        <w:tblLook w:val="04A0" w:firstRow="1" w:lastRow="0" w:firstColumn="1" w:lastColumn="0" w:noHBand="0" w:noVBand="1"/>
      </w:tblPr>
      <w:tblGrid>
        <w:gridCol w:w="2967"/>
        <w:gridCol w:w="709"/>
        <w:gridCol w:w="850"/>
        <w:gridCol w:w="765"/>
        <w:gridCol w:w="766"/>
        <w:gridCol w:w="765"/>
        <w:gridCol w:w="766"/>
        <w:gridCol w:w="766"/>
      </w:tblGrid>
      <w:tr w:rsidR="00BF4753" w:rsidRPr="0050594C" w:rsidTr="002D7CA8">
        <w:trPr>
          <w:trHeight w:val="315"/>
        </w:trPr>
        <w:tc>
          <w:tcPr>
            <w:tcW w:w="2967"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hideMark/>
          </w:tcPr>
          <w:p w:rsidR="00BF4753" w:rsidRPr="0050594C" w:rsidRDefault="00BF4753" w:rsidP="002D7CA8">
            <w:pPr>
              <w:ind w:firstLine="0"/>
              <w:jc w:val="left"/>
              <w:rPr>
                <w:rFonts w:ascii="Calibri" w:eastAsia="Times New Roman" w:hAnsi="Calibri" w:cs="Calibri"/>
                <w:sz w:val="22"/>
                <w:lang w:eastAsia="lv-LV"/>
              </w:rPr>
            </w:pPr>
            <w:r w:rsidRPr="0050594C">
              <w:rPr>
                <w:rFonts w:ascii="Calibri" w:eastAsia="Times New Roman" w:hAnsi="Calibri" w:cs="Calibri"/>
                <w:sz w:val="22"/>
                <w:lang w:eastAsia="lv-LV"/>
              </w:rPr>
              <w:t> </w:t>
            </w:r>
          </w:p>
        </w:tc>
        <w:tc>
          <w:tcPr>
            <w:tcW w:w="709" w:type="dxa"/>
            <w:vMerge w:val="restart"/>
            <w:tcBorders>
              <w:top w:val="single" w:sz="8" w:space="0" w:color="9CC2E5"/>
              <w:left w:val="single" w:sz="8" w:space="0" w:color="9CC2E5"/>
              <w:bottom w:val="single" w:sz="8"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EKS kods</w:t>
            </w:r>
          </w:p>
        </w:tc>
        <w:tc>
          <w:tcPr>
            <w:tcW w:w="850" w:type="dxa"/>
            <w:tcBorders>
              <w:top w:val="single" w:sz="8" w:space="0" w:color="9CC2E5"/>
              <w:left w:val="nil"/>
              <w:bottom w:val="single" w:sz="12"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2020</w:t>
            </w:r>
          </w:p>
        </w:tc>
        <w:tc>
          <w:tcPr>
            <w:tcW w:w="765" w:type="dxa"/>
            <w:tcBorders>
              <w:top w:val="single" w:sz="8" w:space="0" w:color="9CC2E5"/>
              <w:left w:val="nil"/>
              <w:bottom w:val="single" w:sz="12"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2020</w:t>
            </w:r>
          </w:p>
        </w:tc>
        <w:tc>
          <w:tcPr>
            <w:tcW w:w="766" w:type="dxa"/>
            <w:tcBorders>
              <w:top w:val="single" w:sz="8" w:space="0" w:color="9CC2E5"/>
              <w:left w:val="nil"/>
              <w:bottom w:val="single" w:sz="12"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2021</w:t>
            </w:r>
          </w:p>
        </w:tc>
        <w:tc>
          <w:tcPr>
            <w:tcW w:w="765" w:type="dxa"/>
            <w:tcBorders>
              <w:top w:val="single" w:sz="8" w:space="0" w:color="9CC2E5"/>
              <w:left w:val="nil"/>
              <w:bottom w:val="single" w:sz="12"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2022</w:t>
            </w:r>
          </w:p>
        </w:tc>
        <w:tc>
          <w:tcPr>
            <w:tcW w:w="766" w:type="dxa"/>
            <w:tcBorders>
              <w:top w:val="single" w:sz="8" w:space="0" w:color="9CC2E5"/>
              <w:left w:val="nil"/>
              <w:bottom w:val="single" w:sz="12"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2023</w:t>
            </w:r>
          </w:p>
        </w:tc>
        <w:tc>
          <w:tcPr>
            <w:tcW w:w="766" w:type="dxa"/>
            <w:tcBorders>
              <w:top w:val="single" w:sz="8" w:space="0" w:color="9CC2E5"/>
              <w:left w:val="nil"/>
              <w:bottom w:val="single" w:sz="12" w:space="0" w:color="9CC2E5"/>
              <w:right w:val="single" w:sz="8" w:space="0" w:color="9CC2E5"/>
            </w:tcBorders>
            <w:shd w:val="clear" w:color="auto" w:fill="auto"/>
            <w:noWrap/>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2024</w:t>
            </w:r>
          </w:p>
        </w:tc>
      </w:tr>
      <w:tr w:rsidR="00BF4753" w:rsidRPr="0050594C" w:rsidTr="002D7CA8">
        <w:trPr>
          <w:trHeight w:val="330"/>
        </w:trPr>
        <w:tc>
          <w:tcPr>
            <w:tcW w:w="2967" w:type="dxa"/>
            <w:vMerge/>
            <w:tcBorders>
              <w:top w:val="single" w:sz="8" w:space="0" w:color="9CC2E5"/>
              <w:left w:val="single" w:sz="8" w:space="0" w:color="9CC2E5"/>
              <w:bottom w:val="single" w:sz="8" w:space="0" w:color="9CC2E5"/>
              <w:right w:val="single" w:sz="8" w:space="0" w:color="9CC2E5"/>
            </w:tcBorders>
            <w:vAlign w:val="center"/>
            <w:hideMark/>
          </w:tcPr>
          <w:p w:rsidR="00BF4753" w:rsidRPr="0050594C" w:rsidRDefault="00BF4753" w:rsidP="002D7CA8">
            <w:pPr>
              <w:ind w:firstLine="0"/>
              <w:jc w:val="left"/>
              <w:rPr>
                <w:rFonts w:ascii="Calibri" w:eastAsia="Times New Roman" w:hAnsi="Calibri" w:cs="Calibri"/>
                <w:sz w:val="22"/>
                <w:lang w:eastAsia="lv-LV"/>
              </w:rPr>
            </w:pPr>
          </w:p>
        </w:tc>
        <w:tc>
          <w:tcPr>
            <w:tcW w:w="709" w:type="dxa"/>
            <w:vMerge/>
            <w:tcBorders>
              <w:top w:val="single" w:sz="8" w:space="0" w:color="9CC2E5"/>
              <w:left w:val="single" w:sz="8" w:space="0" w:color="9CC2E5"/>
              <w:bottom w:val="single" w:sz="8" w:space="0" w:color="9CC2E5"/>
              <w:right w:val="single" w:sz="8" w:space="0" w:color="9CC2E5"/>
            </w:tcBorders>
            <w:vAlign w:val="center"/>
            <w:hideMark/>
          </w:tcPr>
          <w:p w:rsidR="00BF4753" w:rsidRPr="0050594C" w:rsidRDefault="00BF4753" w:rsidP="002D7CA8">
            <w:pPr>
              <w:ind w:firstLine="0"/>
              <w:jc w:val="left"/>
              <w:rPr>
                <w:rFonts w:eastAsia="Times New Roman" w:cs="Times New Roman"/>
                <w:b/>
                <w:bCs/>
                <w:sz w:val="20"/>
                <w:szCs w:val="20"/>
                <w:lang w:eastAsia="lv-LV"/>
              </w:rPr>
            </w:pPr>
          </w:p>
        </w:tc>
        <w:tc>
          <w:tcPr>
            <w:tcW w:w="850"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līmenis</w:t>
            </w:r>
          </w:p>
        </w:tc>
        <w:tc>
          <w:tcPr>
            <w:tcW w:w="3828" w:type="dxa"/>
            <w:gridSpan w:val="5"/>
            <w:tcBorders>
              <w:top w:val="single" w:sz="12" w:space="0" w:color="9CC2E5"/>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Pieaugums %</w:t>
            </w:r>
          </w:p>
        </w:tc>
      </w:tr>
      <w:tr w:rsidR="00BF4753" w:rsidRPr="0050594C" w:rsidTr="002D7CA8">
        <w:trPr>
          <w:trHeight w:val="315"/>
        </w:trPr>
        <w:tc>
          <w:tcPr>
            <w:tcW w:w="2967" w:type="dxa"/>
            <w:tcBorders>
              <w:top w:val="nil"/>
              <w:left w:val="single" w:sz="8" w:space="0" w:color="9CC2E5"/>
              <w:bottom w:val="single" w:sz="8" w:space="0" w:color="9CC2E5"/>
              <w:right w:val="single" w:sz="8" w:space="0" w:color="9CC2E5"/>
            </w:tcBorders>
            <w:shd w:val="clear" w:color="auto" w:fill="auto"/>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1. IKP deflators</w:t>
            </w:r>
          </w:p>
        </w:tc>
        <w:tc>
          <w:tcPr>
            <w:tcW w:w="709"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 </w:t>
            </w:r>
          </w:p>
        </w:tc>
        <w:tc>
          <w:tcPr>
            <w:tcW w:w="850"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 </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0,1</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1,4</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1,8</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2,0</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2,1</w:t>
            </w:r>
          </w:p>
        </w:tc>
      </w:tr>
      <w:tr w:rsidR="00BF4753" w:rsidRPr="0050594C" w:rsidTr="002D7CA8">
        <w:trPr>
          <w:trHeight w:val="315"/>
        </w:trPr>
        <w:tc>
          <w:tcPr>
            <w:tcW w:w="2967" w:type="dxa"/>
            <w:tcBorders>
              <w:top w:val="nil"/>
              <w:left w:val="single" w:sz="8" w:space="0" w:color="9CC2E5"/>
              <w:bottom w:val="single" w:sz="8" w:space="0" w:color="9CC2E5"/>
              <w:right w:val="single" w:sz="8" w:space="0" w:color="9CC2E5"/>
            </w:tcBorders>
            <w:shd w:val="clear" w:color="000000" w:fill="DEEAF6"/>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2. Privātā patēriņa deflators</w:t>
            </w:r>
          </w:p>
        </w:tc>
        <w:tc>
          <w:tcPr>
            <w:tcW w:w="709"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 </w:t>
            </w:r>
          </w:p>
        </w:tc>
        <w:tc>
          <w:tcPr>
            <w:tcW w:w="850"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 </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0,8</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1,4</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2,0</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2,0</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2,0</w:t>
            </w:r>
          </w:p>
        </w:tc>
      </w:tr>
      <w:tr w:rsidR="00BF4753" w:rsidRPr="0050594C" w:rsidTr="002D7CA8">
        <w:trPr>
          <w:trHeight w:val="315"/>
        </w:trPr>
        <w:tc>
          <w:tcPr>
            <w:tcW w:w="2967" w:type="dxa"/>
            <w:tcBorders>
              <w:top w:val="nil"/>
              <w:left w:val="single" w:sz="8" w:space="0" w:color="9CC2E5"/>
              <w:bottom w:val="single" w:sz="8" w:space="0" w:color="9CC2E5"/>
              <w:right w:val="single" w:sz="8" w:space="0" w:color="9CC2E5"/>
            </w:tcBorders>
            <w:shd w:val="clear" w:color="auto" w:fill="auto"/>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3. SPCI izmaiņas (gads pret gadu)</w:t>
            </w:r>
          </w:p>
        </w:tc>
        <w:tc>
          <w:tcPr>
            <w:tcW w:w="709"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 </w:t>
            </w:r>
          </w:p>
        </w:tc>
        <w:tc>
          <w:tcPr>
            <w:tcW w:w="850"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 </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0,2</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1,4</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2,0</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2,0</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2,0</w:t>
            </w:r>
          </w:p>
        </w:tc>
      </w:tr>
      <w:tr w:rsidR="00BF4753" w:rsidRPr="0050594C" w:rsidTr="002D7CA8">
        <w:trPr>
          <w:trHeight w:val="315"/>
        </w:trPr>
        <w:tc>
          <w:tcPr>
            <w:tcW w:w="2967" w:type="dxa"/>
            <w:tcBorders>
              <w:top w:val="nil"/>
              <w:left w:val="single" w:sz="8" w:space="0" w:color="9CC2E5"/>
              <w:bottom w:val="single" w:sz="8" w:space="0" w:color="9CC2E5"/>
              <w:right w:val="single" w:sz="8" w:space="0" w:color="9CC2E5"/>
            </w:tcBorders>
            <w:shd w:val="clear" w:color="000000" w:fill="DEEAF6"/>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4. Sabiedriskā patēriņa deflators</w:t>
            </w:r>
          </w:p>
        </w:tc>
        <w:tc>
          <w:tcPr>
            <w:tcW w:w="709"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 </w:t>
            </w:r>
          </w:p>
        </w:tc>
        <w:tc>
          <w:tcPr>
            <w:tcW w:w="850"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 </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0,4</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-0,7</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2,2</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2,5</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2,7</w:t>
            </w:r>
          </w:p>
        </w:tc>
      </w:tr>
      <w:tr w:rsidR="00BF4753" w:rsidRPr="0050594C" w:rsidTr="002D7CA8">
        <w:trPr>
          <w:trHeight w:val="315"/>
        </w:trPr>
        <w:tc>
          <w:tcPr>
            <w:tcW w:w="2967" w:type="dxa"/>
            <w:tcBorders>
              <w:top w:val="nil"/>
              <w:left w:val="single" w:sz="8" w:space="0" w:color="9CC2E5"/>
              <w:bottom w:val="single" w:sz="8" w:space="0" w:color="9CC2E5"/>
              <w:right w:val="single" w:sz="8" w:space="0" w:color="9CC2E5"/>
            </w:tcBorders>
            <w:shd w:val="clear" w:color="auto" w:fill="auto"/>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5. Investīciju deflators</w:t>
            </w:r>
          </w:p>
        </w:tc>
        <w:tc>
          <w:tcPr>
            <w:tcW w:w="709"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 </w:t>
            </w:r>
          </w:p>
        </w:tc>
        <w:tc>
          <w:tcPr>
            <w:tcW w:w="850"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 </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1,2</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4,0</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5,0</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5,0</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3,6</w:t>
            </w:r>
          </w:p>
        </w:tc>
      </w:tr>
      <w:tr w:rsidR="00BF4753" w:rsidRPr="0050594C" w:rsidTr="002D7CA8">
        <w:trPr>
          <w:trHeight w:val="315"/>
        </w:trPr>
        <w:tc>
          <w:tcPr>
            <w:tcW w:w="2967" w:type="dxa"/>
            <w:tcBorders>
              <w:top w:val="nil"/>
              <w:left w:val="single" w:sz="8" w:space="0" w:color="9CC2E5"/>
              <w:bottom w:val="single" w:sz="8" w:space="0" w:color="9CC2E5"/>
              <w:right w:val="single" w:sz="8" w:space="0" w:color="9CC2E5"/>
            </w:tcBorders>
            <w:shd w:val="clear" w:color="000000" w:fill="DEEAF6"/>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6. Eksporta (preču un pakalpojumu) deflators</w:t>
            </w:r>
          </w:p>
        </w:tc>
        <w:tc>
          <w:tcPr>
            <w:tcW w:w="709"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 </w:t>
            </w:r>
          </w:p>
        </w:tc>
        <w:tc>
          <w:tcPr>
            <w:tcW w:w="850"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 </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-0,8</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1,6</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2,4</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3,0</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3,0</w:t>
            </w:r>
          </w:p>
        </w:tc>
      </w:tr>
      <w:tr w:rsidR="00BF4753" w:rsidRPr="0050594C" w:rsidTr="002D7CA8">
        <w:trPr>
          <w:trHeight w:val="315"/>
        </w:trPr>
        <w:tc>
          <w:tcPr>
            <w:tcW w:w="2967" w:type="dxa"/>
            <w:tcBorders>
              <w:top w:val="nil"/>
              <w:left w:val="single" w:sz="8" w:space="0" w:color="9CC2E5"/>
              <w:bottom w:val="single" w:sz="8" w:space="0" w:color="9CC2E5"/>
              <w:right w:val="single" w:sz="8" w:space="0" w:color="9CC2E5"/>
            </w:tcBorders>
            <w:shd w:val="clear" w:color="auto" w:fill="auto"/>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7. Importa (preču un pakalpojumu) deflators</w:t>
            </w:r>
          </w:p>
        </w:tc>
        <w:tc>
          <w:tcPr>
            <w:tcW w:w="709"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 </w:t>
            </w:r>
          </w:p>
        </w:tc>
        <w:tc>
          <w:tcPr>
            <w:tcW w:w="850"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 </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-3,5</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1,5</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3,0</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3,9</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4,0</w:t>
            </w:r>
          </w:p>
        </w:tc>
      </w:tr>
    </w:tbl>
    <w:p w:rsidR="00BF4753" w:rsidRPr="00361832" w:rsidRDefault="00BF4753" w:rsidP="00BF4753">
      <w:pPr>
        <w:ind w:firstLine="0"/>
        <w:jc w:val="left"/>
        <w:rPr>
          <w:rFonts w:eastAsia="Times New Roman" w:cs="Times New Roman"/>
          <w:b/>
          <w:color w:val="000000"/>
          <w:sz w:val="22"/>
        </w:rPr>
      </w:pPr>
    </w:p>
    <w:p w:rsidR="00BF4753" w:rsidRPr="00361832" w:rsidRDefault="00BF4753" w:rsidP="00BF4753">
      <w:pPr>
        <w:spacing w:after="160" w:line="259" w:lineRule="auto"/>
        <w:ind w:firstLine="0"/>
        <w:jc w:val="left"/>
        <w:rPr>
          <w:rFonts w:eastAsia="Times New Roman" w:cs="Times New Roman"/>
          <w:b/>
          <w:color w:val="000000"/>
          <w:sz w:val="24"/>
        </w:rPr>
      </w:pPr>
      <w:r w:rsidRPr="00361832">
        <w:rPr>
          <w:rFonts w:eastAsia="Times New Roman" w:cs="Times New Roman"/>
          <w:b/>
          <w:color w:val="000000"/>
          <w:sz w:val="24"/>
        </w:rPr>
        <w:br w:type="page"/>
      </w:r>
    </w:p>
    <w:p w:rsidR="00BF4753" w:rsidRPr="00361832" w:rsidRDefault="00BF4753" w:rsidP="00BF4753">
      <w:pPr>
        <w:spacing w:after="120"/>
        <w:ind w:firstLine="0"/>
        <w:jc w:val="left"/>
        <w:rPr>
          <w:rFonts w:eastAsia="Times New Roman" w:cs="Times New Roman"/>
          <w:b/>
          <w:color w:val="000000"/>
          <w:sz w:val="24"/>
        </w:rPr>
      </w:pPr>
      <w:r w:rsidRPr="00361832">
        <w:rPr>
          <w:rFonts w:eastAsia="Times New Roman" w:cs="Times New Roman"/>
          <w:b/>
          <w:color w:val="000000"/>
          <w:sz w:val="24"/>
        </w:rPr>
        <w:lastRenderedPageBreak/>
        <w:t>1c.</w:t>
      </w:r>
      <w:r>
        <w:rPr>
          <w:rFonts w:eastAsia="Times New Roman" w:cs="Times New Roman"/>
          <w:b/>
          <w:color w:val="000000"/>
          <w:sz w:val="24"/>
        </w:rPr>
        <w:t xml:space="preserve"> </w:t>
      </w:r>
      <w:r w:rsidRPr="00361832">
        <w:rPr>
          <w:rFonts w:eastAsia="Times New Roman" w:cs="Times New Roman"/>
          <w:b/>
          <w:color w:val="000000"/>
          <w:sz w:val="24"/>
        </w:rPr>
        <w:t>tabula. Darba tirgus attīstība</w:t>
      </w:r>
    </w:p>
    <w:tbl>
      <w:tblPr>
        <w:tblW w:w="8354" w:type="dxa"/>
        <w:tblLayout w:type="fixed"/>
        <w:tblLook w:val="04A0" w:firstRow="1" w:lastRow="0" w:firstColumn="1" w:lastColumn="0" w:noHBand="0" w:noVBand="1"/>
      </w:tblPr>
      <w:tblGrid>
        <w:gridCol w:w="2967"/>
        <w:gridCol w:w="709"/>
        <w:gridCol w:w="850"/>
        <w:gridCol w:w="765"/>
        <w:gridCol w:w="766"/>
        <w:gridCol w:w="765"/>
        <w:gridCol w:w="766"/>
        <w:gridCol w:w="766"/>
      </w:tblGrid>
      <w:tr w:rsidR="00BF4753" w:rsidRPr="0050594C" w:rsidTr="002D7CA8">
        <w:tc>
          <w:tcPr>
            <w:tcW w:w="2967" w:type="dxa"/>
            <w:vMerge w:val="restart"/>
            <w:tcBorders>
              <w:top w:val="single" w:sz="8" w:space="0" w:color="9CC2E5"/>
              <w:left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bCs/>
                <w:sz w:val="20"/>
                <w:szCs w:val="20"/>
                <w:lang w:eastAsia="lv-LV"/>
              </w:rPr>
            </w:pPr>
          </w:p>
        </w:tc>
        <w:tc>
          <w:tcPr>
            <w:tcW w:w="709" w:type="dxa"/>
            <w:vMerge w:val="restart"/>
            <w:tcBorders>
              <w:top w:val="single" w:sz="8" w:space="0" w:color="9CC2E5"/>
              <w:left w:val="nil"/>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EKS</w:t>
            </w:r>
            <w:r w:rsidRPr="0050594C">
              <w:rPr>
                <w:rFonts w:eastAsia="Times New Roman" w:cs="Times New Roman"/>
                <w:b/>
                <w:bCs/>
                <w:sz w:val="20"/>
                <w:szCs w:val="20"/>
                <w:lang w:eastAsia="lv-LV"/>
              </w:rPr>
              <w:br/>
              <w:t>kods</w:t>
            </w:r>
          </w:p>
        </w:tc>
        <w:tc>
          <w:tcPr>
            <w:tcW w:w="850" w:type="dxa"/>
            <w:tcBorders>
              <w:top w:val="single" w:sz="8" w:space="0" w:color="9CC2E5"/>
              <w:left w:val="single" w:sz="8" w:space="0" w:color="9CC2E5"/>
              <w:bottom w:val="single" w:sz="12"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2020</w:t>
            </w:r>
          </w:p>
        </w:tc>
        <w:tc>
          <w:tcPr>
            <w:tcW w:w="765" w:type="dxa"/>
            <w:tcBorders>
              <w:top w:val="single" w:sz="8" w:space="0" w:color="9CC2E5"/>
              <w:left w:val="single" w:sz="8" w:space="0" w:color="9CC2E5"/>
              <w:bottom w:val="single" w:sz="12"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2020</w:t>
            </w:r>
          </w:p>
        </w:tc>
        <w:tc>
          <w:tcPr>
            <w:tcW w:w="766" w:type="dxa"/>
            <w:tcBorders>
              <w:top w:val="single" w:sz="8" w:space="0" w:color="9CC2E5"/>
              <w:left w:val="single" w:sz="8" w:space="0" w:color="9CC2E5"/>
              <w:bottom w:val="single" w:sz="12"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2021</w:t>
            </w:r>
          </w:p>
        </w:tc>
        <w:tc>
          <w:tcPr>
            <w:tcW w:w="765" w:type="dxa"/>
            <w:tcBorders>
              <w:top w:val="single" w:sz="8" w:space="0" w:color="9CC2E5"/>
              <w:left w:val="single" w:sz="8" w:space="0" w:color="9CC2E5"/>
              <w:bottom w:val="single" w:sz="12"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2022</w:t>
            </w:r>
          </w:p>
        </w:tc>
        <w:tc>
          <w:tcPr>
            <w:tcW w:w="766" w:type="dxa"/>
            <w:tcBorders>
              <w:top w:val="single" w:sz="8" w:space="0" w:color="9CC2E5"/>
              <w:left w:val="single" w:sz="8" w:space="0" w:color="9CC2E5"/>
              <w:bottom w:val="single" w:sz="12"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2023</w:t>
            </w:r>
          </w:p>
        </w:tc>
        <w:tc>
          <w:tcPr>
            <w:tcW w:w="766" w:type="dxa"/>
            <w:tcBorders>
              <w:top w:val="single" w:sz="8" w:space="0" w:color="9CC2E5"/>
              <w:left w:val="single" w:sz="8" w:space="0" w:color="9CC2E5"/>
              <w:bottom w:val="single" w:sz="12"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b/>
                <w:bCs/>
                <w:sz w:val="20"/>
                <w:szCs w:val="20"/>
                <w:lang w:eastAsia="lv-LV"/>
              </w:rPr>
            </w:pPr>
            <w:r w:rsidRPr="0050594C">
              <w:rPr>
                <w:rFonts w:eastAsia="Times New Roman" w:cs="Times New Roman"/>
                <w:b/>
                <w:bCs/>
                <w:sz w:val="20"/>
                <w:szCs w:val="20"/>
                <w:lang w:eastAsia="lv-LV"/>
              </w:rPr>
              <w:t>2024</w:t>
            </w:r>
          </w:p>
        </w:tc>
      </w:tr>
      <w:tr w:rsidR="00BF4753" w:rsidRPr="0050594C" w:rsidTr="002D7CA8">
        <w:trPr>
          <w:trHeight w:val="330"/>
        </w:trPr>
        <w:tc>
          <w:tcPr>
            <w:tcW w:w="2967" w:type="dxa"/>
            <w:vMerge/>
            <w:tcBorders>
              <w:left w:val="single" w:sz="8" w:space="0" w:color="9CC2E5"/>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bCs/>
                <w:sz w:val="20"/>
                <w:szCs w:val="20"/>
                <w:lang w:eastAsia="lv-LV"/>
              </w:rPr>
            </w:pPr>
          </w:p>
        </w:tc>
        <w:tc>
          <w:tcPr>
            <w:tcW w:w="709" w:type="dxa"/>
            <w:vMerge/>
            <w:tcBorders>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b/>
                <w:sz w:val="20"/>
                <w:szCs w:val="20"/>
                <w:lang w:eastAsia="lv-LV"/>
              </w:rPr>
            </w:pPr>
          </w:p>
        </w:tc>
        <w:tc>
          <w:tcPr>
            <w:tcW w:w="850"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līmenis</w:t>
            </w:r>
          </w:p>
        </w:tc>
        <w:tc>
          <w:tcPr>
            <w:tcW w:w="3828" w:type="dxa"/>
            <w:gridSpan w:val="5"/>
            <w:tcBorders>
              <w:top w:val="single" w:sz="12" w:space="0" w:color="9CC2E5"/>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Pieaugums %</w:t>
            </w:r>
          </w:p>
        </w:tc>
      </w:tr>
      <w:tr w:rsidR="00BF4753" w:rsidRPr="0050594C" w:rsidTr="002D7CA8">
        <w:trPr>
          <w:trHeight w:val="315"/>
        </w:trPr>
        <w:tc>
          <w:tcPr>
            <w:tcW w:w="2967" w:type="dxa"/>
            <w:tcBorders>
              <w:top w:val="nil"/>
              <w:left w:val="single" w:sz="8" w:space="0" w:color="9CC2E5"/>
              <w:bottom w:val="single" w:sz="8" w:space="0" w:color="9CC2E5"/>
              <w:right w:val="single" w:sz="8" w:space="0" w:color="9CC2E5"/>
            </w:tcBorders>
            <w:shd w:val="clear" w:color="auto" w:fill="auto"/>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1. Nodarbinātība, cilvēki, tūkst</w:t>
            </w:r>
          </w:p>
        </w:tc>
        <w:tc>
          <w:tcPr>
            <w:tcW w:w="709"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p>
        </w:tc>
        <w:tc>
          <w:tcPr>
            <w:tcW w:w="850"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893</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-1,9</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-0,4</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1,0</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0,3</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0,0</w:t>
            </w:r>
          </w:p>
        </w:tc>
      </w:tr>
      <w:tr w:rsidR="00BF4753" w:rsidRPr="0050594C" w:rsidTr="002D7CA8">
        <w:trPr>
          <w:trHeight w:val="525"/>
        </w:trPr>
        <w:tc>
          <w:tcPr>
            <w:tcW w:w="2967" w:type="dxa"/>
            <w:tcBorders>
              <w:top w:val="nil"/>
              <w:left w:val="single" w:sz="8" w:space="0" w:color="9CC2E5"/>
              <w:bottom w:val="single" w:sz="8" w:space="0" w:color="9CC2E5"/>
              <w:right w:val="single" w:sz="8" w:space="0" w:color="9CC2E5"/>
            </w:tcBorders>
            <w:shd w:val="clear" w:color="000000" w:fill="DEEAF6"/>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2. Nodarbinātība, darba stundas uz vienu nodarbināto</w:t>
            </w:r>
          </w:p>
        </w:tc>
        <w:tc>
          <w:tcPr>
            <w:tcW w:w="709"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bCs/>
                <w:sz w:val="20"/>
                <w:szCs w:val="20"/>
                <w:lang w:eastAsia="lv-LV"/>
              </w:rPr>
            </w:pPr>
          </w:p>
        </w:tc>
        <w:tc>
          <w:tcPr>
            <w:tcW w:w="850"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1 441</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-2,4</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-0,4</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1,0</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0,3</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0,0</w:t>
            </w:r>
          </w:p>
        </w:tc>
      </w:tr>
      <w:tr w:rsidR="00BF4753" w:rsidRPr="0050594C" w:rsidTr="002D7CA8">
        <w:trPr>
          <w:trHeight w:val="315"/>
        </w:trPr>
        <w:tc>
          <w:tcPr>
            <w:tcW w:w="2967" w:type="dxa"/>
            <w:tcBorders>
              <w:top w:val="nil"/>
              <w:left w:val="single" w:sz="8" w:space="0" w:color="9CC2E5"/>
              <w:bottom w:val="single" w:sz="8" w:space="0" w:color="9CC2E5"/>
              <w:right w:val="single" w:sz="8" w:space="0" w:color="9CC2E5"/>
            </w:tcBorders>
            <w:shd w:val="clear" w:color="auto" w:fill="auto"/>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3. Bezdarba līmenis (%)</w:t>
            </w:r>
          </w:p>
        </w:tc>
        <w:tc>
          <w:tcPr>
            <w:tcW w:w="709"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p>
        </w:tc>
        <w:tc>
          <w:tcPr>
            <w:tcW w:w="850"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p>
        </w:tc>
        <w:tc>
          <w:tcPr>
            <w:tcW w:w="765"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8,1</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8,3</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7,1</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6,3</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5,9</w:t>
            </w:r>
          </w:p>
        </w:tc>
      </w:tr>
      <w:tr w:rsidR="00BF4753" w:rsidRPr="0050594C" w:rsidTr="002D7CA8">
        <w:trPr>
          <w:trHeight w:val="315"/>
        </w:trPr>
        <w:tc>
          <w:tcPr>
            <w:tcW w:w="2967" w:type="dxa"/>
            <w:tcBorders>
              <w:top w:val="nil"/>
              <w:left w:val="single" w:sz="8" w:space="0" w:color="9CC2E5"/>
              <w:bottom w:val="single" w:sz="8" w:space="0" w:color="9CC2E5"/>
              <w:right w:val="single" w:sz="8" w:space="0" w:color="9CC2E5"/>
            </w:tcBorders>
            <w:shd w:val="clear" w:color="000000" w:fill="DEEAF6"/>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4. Darba ražīgums, uz nodarbināto</w:t>
            </w:r>
          </w:p>
        </w:tc>
        <w:tc>
          <w:tcPr>
            <w:tcW w:w="709"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bCs/>
                <w:sz w:val="20"/>
                <w:szCs w:val="20"/>
                <w:lang w:eastAsia="lv-LV"/>
              </w:rPr>
            </w:pPr>
          </w:p>
        </w:tc>
        <w:tc>
          <w:tcPr>
            <w:tcW w:w="850"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Chars="100" w:firstLine="220"/>
              <w:jc w:val="center"/>
              <w:rPr>
                <w:rFonts w:ascii="Garamond" w:eastAsia="Times New Roman" w:hAnsi="Garamond" w:cs="Calibri"/>
                <w:bCs/>
                <w:sz w:val="22"/>
                <w:lang w:eastAsia="lv-LV"/>
              </w:rPr>
            </w:pP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-1,8</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3,4</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3,5</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2,8</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2,8</w:t>
            </w:r>
          </w:p>
        </w:tc>
      </w:tr>
      <w:tr w:rsidR="00BF4753" w:rsidRPr="0050594C" w:rsidTr="002D7CA8">
        <w:trPr>
          <w:trHeight w:val="315"/>
        </w:trPr>
        <w:tc>
          <w:tcPr>
            <w:tcW w:w="2967" w:type="dxa"/>
            <w:tcBorders>
              <w:top w:val="nil"/>
              <w:left w:val="single" w:sz="8" w:space="0" w:color="9CC2E5"/>
              <w:bottom w:val="single" w:sz="8" w:space="0" w:color="9CC2E5"/>
              <w:right w:val="single" w:sz="8" w:space="0" w:color="9CC2E5"/>
            </w:tcBorders>
            <w:shd w:val="clear" w:color="000000" w:fill="DEEAF6"/>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5. Darba ražīgums, uz darba stundu</w:t>
            </w:r>
          </w:p>
        </w:tc>
        <w:tc>
          <w:tcPr>
            <w:tcW w:w="709"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bCs/>
                <w:sz w:val="20"/>
                <w:szCs w:val="20"/>
                <w:lang w:eastAsia="lv-LV"/>
              </w:rPr>
            </w:pPr>
          </w:p>
        </w:tc>
        <w:tc>
          <w:tcPr>
            <w:tcW w:w="850"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bCs/>
                <w:sz w:val="20"/>
                <w:szCs w:val="20"/>
                <w:lang w:eastAsia="lv-LV"/>
              </w:rPr>
            </w:pPr>
          </w:p>
        </w:tc>
        <w:tc>
          <w:tcPr>
            <w:tcW w:w="765"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0,6</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3,4</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3,5</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2,8</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2,8</w:t>
            </w:r>
          </w:p>
        </w:tc>
      </w:tr>
      <w:tr w:rsidR="00BF4753" w:rsidRPr="0050594C" w:rsidTr="002D7CA8">
        <w:trPr>
          <w:trHeight w:val="525"/>
        </w:trPr>
        <w:tc>
          <w:tcPr>
            <w:tcW w:w="2967" w:type="dxa"/>
            <w:tcBorders>
              <w:top w:val="nil"/>
              <w:left w:val="single" w:sz="8" w:space="0" w:color="9CC2E5"/>
              <w:bottom w:val="single" w:sz="8" w:space="0" w:color="9CC2E5"/>
              <w:right w:val="single" w:sz="8" w:space="0" w:color="9CC2E5"/>
            </w:tcBorders>
            <w:shd w:val="clear" w:color="000000" w:fill="DEEAF6"/>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 xml:space="preserve">6. Atlīdzība nodarbinātajiem, milj. </w:t>
            </w:r>
            <w:r w:rsidRPr="0050594C">
              <w:rPr>
                <w:rFonts w:eastAsia="Times New Roman" w:cs="Times New Roman"/>
                <w:i/>
                <w:iCs/>
                <w:sz w:val="20"/>
                <w:szCs w:val="20"/>
                <w:lang w:eastAsia="lv-LV"/>
              </w:rPr>
              <w:t>euro</w:t>
            </w:r>
            <w:r w:rsidRPr="0050594C">
              <w:rPr>
                <w:rFonts w:eastAsia="Times New Roman" w:cs="Times New Roman"/>
                <w:sz w:val="20"/>
                <w:szCs w:val="20"/>
                <w:lang w:eastAsia="lv-LV"/>
              </w:rPr>
              <w:t>, faktiskās cenās</w:t>
            </w:r>
          </w:p>
        </w:tc>
        <w:tc>
          <w:tcPr>
            <w:tcW w:w="709"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D.1</w:t>
            </w:r>
          </w:p>
        </w:tc>
        <w:tc>
          <w:tcPr>
            <w:tcW w:w="850"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15 330</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1,5</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5,2</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6,1</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5,3</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5,0</w:t>
            </w:r>
          </w:p>
        </w:tc>
      </w:tr>
      <w:tr w:rsidR="00BF4753" w:rsidRPr="0050594C" w:rsidTr="002D7CA8">
        <w:trPr>
          <w:trHeight w:val="315"/>
        </w:trPr>
        <w:tc>
          <w:tcPr>
            <w:tcW w:w="2967" w:type="dxa"/>
            <w:tcBorders>
              <w:top w:val="nil"/>
              <w:left w:val="single" w:sz="8" w:space="0" w:color="9CC2E5"/>
              <w:bottom w:val="single" w:sz="8" w:space="0" w:color="9CC2E5"/>
              <w:right w:val="single" w:sz="8" w:space="0" w:color="9CC2E5"/>
            </w:tcBorders>
            <w:shd w:val="clear" w:color="auto" w:fill="auto"/>
            <w:vAlign w:val="center"/>
            <w:hideMark/>
          </w:tcPr>
          <w:p w:rsidR="00BF4753" w:rsidRPr="0050594C" w:rsidRDefault="00BF4753" w:rsidP="002D7CA8">
            <w:pPr>
              <w:ind w:firstLine="0"/>
              <w:jc w:val="left"/>
              <w:rPr>
                <w:rFonts w:eastAsia="Times New Roman" w:cs="Times New Roman"/>
                <w:sz w:val="20"/>
                <w:szCs w:val="20"/>
                <w:lang w:eastAsia="lv-LV"/>
              </w:rPr>
            </w:pPr>
            <w:r w:rsidRPr="0050594C">
              <w:rPr>
                <w:rFonts w:eastAsia="Times New Roman" w:cs="Times New Roman"/>
                <w:sz w:val="20"/>
                <w:szCs w:val="20"/>
                <w:lang w:eastAsia="lv-LV"/>
              </w:rPr>
              <w:t xml:space="preserve">7. Bruto darba samaksa, </w:t>
            </w:r>
            <w:r w:rsidRPr="0050594C">
              <w:rPr>
                <w:rFonts w:eastAsia="Times New Roman" w:cs="Times New Roman"/>
                <w:i/>
                <w:iCs/>
                <w:sz w:val="20"/>
                <w:szCs w:val="20"/>
                <w:lang w:eastAsia="lv-LV"/>
              </w:rPr>
              <w:t>euro</w:t>
            </w:r>
          </w:p>
        </w:tc>
        <w:tc>
          <w:tcPr>
            <w:tcW w:w="709"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p>
        </w:tc>
        <w:tc>
          <w:tcPr>
            <w:tcW w:w="850"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1143</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6,2</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4,0</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5,0</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5,0</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50594C" w:rsidRDefault="00BF4753" w:rsidP="002D7CA8">
            <w:pPr>
              <w:ind w:firstLine="0"/>
              <w:jc w:val="center"/>
              <w:rPr>
                <w:rFonts w:eastAsia="Times New Roman" w:cs="Times New Roman"/>
                <w:sz w:val="20"/>
                <w:szCs w:val="20"/>
                <w:lang w:eastAsia="lv-LV"/>
              </w:rPr>
            </w:pPr>
            <w:r w:rsidRPr="0050594C">
              <w:rPr>
                <w:rFonts w:eastAsia="Times New Roman" w:cs="Times New Roman"/>
                <w:sz w:val="20"/>
                <w:szCs w:val="20"/>
                <w:lang w:eastAsia="lv-LV"/>
              </w:rPr>
              <w:t>5,0</w:t>
            </w:r>
          </w:p>
        </w:tc>
      </w:tr>
    </w:tbl>
    <w:p w:rsidR="00BF4753" w:rsidRPr="00361832" w:rsidRDefault="00BF4753" w:rsidP="00BF4753">
      <w:pPr>
        <w:keepNext/>
        <w:ind w:firstLine="0"/>
        <w:jc w:val="left"/>
        <w:rPr>
          <w:rFonts w:eastAsia="Times New Roman" w:cs="Times New Roman"/>
          <w:b/>
          <w:color w:val="000000"/>
          <w:sz w:val="24"/>
          <w:szCs w:val="20"/>
        </w:rPr>
      </w:pPr>
    </w:p>
    <w:p w:rsidR="00BF4753" w:rsidRPr="00361832" w:rsidRDefault="00BF4753" w:rsidP="00BF4753">
      <w:pPr>
        <w:keepNext/>
        <w:spacing w:after="120"/>
        <w:ind w:firstLine="0"/>
        <w:jc w:val="left"/>
        <w:rPr>
          <w:rFonts w:eastAsia="Times New Roman" w:cs="Times New Roman"/>
          <w:b/>
          <w:color w:val="000000"/>
          <w:sz w:val="24"/>
          <w:szCs w:val="20"/>
        </w:rPr>
      </w:pPr>
      <w:r w:rsidRPr="00361832">
        <w:rPr>
          <w:rFonts w:eastAsia="Times New Roman" w:cs="Times New Roman"/>
          <w:b/>
          <w:color w:val="000000"/>
          <w:sz w:val="24"/>
          <w:szCs w:val="20"/>
        </w:rPr>
        <w:t>1d.</w:t>
      </w:r>
      <w:r>
        <w:rPr>
          <w:rFonts w:eastAsia="Times New Roman" w:cs="Times New Roman"/>
          <w:b/>
          <w:color w:val="000000"/>
          <w:sz w:val="24"/>
          <w:szCs w:val="20"/>
        </w:rPr>
        <w:t xml:space="preserve"> </w:t>
      </w:r>
      <w:r w:rsidRPr="00361832">
        <w:rPr>
          <w:rFonts w:eastAsia="Times New Roman" w:cs="Times New Roman"/>
          <w:b/>
          <w:color w:val="000000"/>
          <w:sz w:val="24"/>
          <w:szCs w:val="20"/>
        </w:rPr>
        <w:t>tabula. Sektoru bilances</w:t>
      </w:r>
    </w:p>
    <w:tbl>
      <w:tblPr>
        <w:tblW w:w="8354" w:type="dxa"/>
        <w:tblLayout w:type="fixed"/>
        <w:tblLook w:val="04A0" w:firstRow="1" w:lastRow="0" w:firstColumn="1" w:lastColumn="0" w:noHBand="0" w:noVBand="1"/>
      </w:tblPr>
      <w:tblGrid>
        <w:gridCol w:w="3676"/>
        <w:gridCol w:w="850"/>
        <w:gridCol w:w="765"/>
        <w:gridCol w:w="766"/>
        <w:gridCol w:w="765"/>
        <w:gridCol w:w="766"/>
        <w:gridCol w:w="766"/>
      </w:tblGrid>
      <w:tr w:rsidR="00BF4753" w:rsidRPr="00361832" w:rsidTr="002D7CA8">
        <w:trPr>
          <w:trHeight w:val="300"/>
        </w:trPr>
        <w:tc>
          <w:tcPr>
            <w:tcW w:w="3676"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b/>
                <w:bCs/>
                <w:sz w:val="20"/>
                <w:szCs w:val="20"/>
                <w:lang w:eastAsia="lv-LV"/>
              </w:rPr>
            </w:pPr>
            <w:r w:rsidRPr="00361832">
              <w:rPr>
                <w:rFonts w:eastAsia="Times New Roman" w:cs="Times New Roman"/>
                <w:b/>
                <w:bCs/>
                <w:sz w:val="20"/>
                <w:szCs w:val="20"/>
                <w:lang w:eastAsia="lv-LV"/>
              </w:rPr>
              <w:t>% no IKP</w:t>
            </w:r>
          </w:p>
        </w:tc>
        <w:tc>
          <w:tcPr>
            <w:tcW w:w="850"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b/>
                <w:bCs/>
                <w:sz w:val="20"/>
                <w:szCs w:val="20"/>
                <w:lang w:eastAsia="lv-LV"/>
              </w:rPr>
            </w:pPr>
            <w:r w:rsidRPr="00361832">
              <w:rPr>
                <w:rFonts w:eastAsia="Times New Roman" w:cs="Times New Roman"/>
                <w:b/>
                <w:bCs/>
                <w:sz w:val="20"/>
                <w:szCs w:val="20"/>
                <w:lang w:eastAsia="lv-LV"/>
              </w:rPr>
              <w:t>EKS kods</w:t>
            </w:r>
          </w:p>
        </w:tc>
        <w:tc>
          <w:tcPr>
            <w:tcW w:w="765"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b/>
                <w:bCs/>
                <w:sz w:val="20"/>
                <w:szCs w:val="20"/>
                <w:lang w:eastAsia="lv-LV"/>
              </w:rPr>
            </w:pPr>
            <w:r w:rsidRPr="00361832">
              <w:rPr>
                <w:rFonts w:eastAsia="Times New Roman" w:cs="Times New Roman"/>
                <w:b/>
                <w:bCs/>
                <w:sz w:val="20"/>
                <w:szCs w:val="20"/>
                <w:lang w:eastAsia="lv-LV"/>
              </w:rPr>
              <w:t>2020</w:t>
            </w:r>
          </w:p>
        </w:tc>
        <w:tc>
          <w:tcPr>
            <w:tcW w:w="766"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b/>
                <w:bCs/>
                <w:sz w:val="20"/>
                <w:szCs w:val="20"/>
                <w:lang w:eastAsia="lv-LV"/>
              </w:rPr>
            </w:pPr>
            <w:r w:rsidRPr="00361832">
              <w:rPr>
                <w:rFonts w:eastAsia="Times New Roman" w:cs="Times New Roman"/>
                <w:b/>
                <w:bCs/>
                <w:sz w:val="20"/>
                <w:szCs w:val="20"/>
                <w:lang w:eastAsia="lv-LV"/>
              </w:rPr>
              <w:t>2021</w:t>
            </w:r>
          </w:p>
        </w:tc>
        <w:tc>
          <w:tcPr>
            <w:tcW w:w="765"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b/>
                <w:bCs/>
                <w:sz w:val="20"/>
                <w:szCs w:val="20"/>
                <w:lang w:eastAsia="lv-LV"/>
              </w:rPr>
            </w:pPr>
            <w:r w:rsidRPr="00361832">
              <w:rPr>
                <w:rFonts w:eastAsia="Times New Roman" w:cs="Times New Roman"/>
                <w:b/>
                <w:bCs/>
                <w:sz w:val="20"/>
                <w:szCs w:val="20"/>
                <w:lang w:eastAsia="lv-LV"/>
              </w:rPr>
              <w:t>2022</w:t>
            </w:r>
          </w:p>
        </w:tc>
        <w:tc>
          <w:tcPr>
            <w:tcW w:w="766"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b/>
                <w:bCs/>
                <w:sz w:val="20"/>
                <w:szCs w:val="20"/>
                <w:lang w:eastAsia="lv-LV"/>
              </w:rPr>
            </w:pPr>
            <w:r w:rsidRPr="00361832">
              <w:rPr>
                <w:rFonts w:eastAsia="Times New Roman" w:cs="Times New Roman"/>
                <w:b/>
                <w:bCs/>
                <w:sz w:val="20"/>
                <w:szCs w:val="20"/>
                <w:lang w:eastAsia="lv-LV"/>
              </w:rPr>
              <w:t>2023</w:t>
            </w:r>
          </w:p>
        </w:tc>
        <w:tc>
          <w:tcPr>
            <w:tcW w:w="766"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b/>
                <w:bCs/>
                <w:sz w:val="20"/>
                <w:szCs w:val="20"/>
                <w:lang w:eastAsia="lv-LV"/>
              </w:rPr>
            </w:pPr>
            <w:r w:rsidRPr="00361832">
              <w:rPr>
                <w:rFonts w:eastAsia="Times New Roman" w:cs="Times New Roman"/>
                <w:b/>
                <w:bCs/>
                <w:sz w:val="20"/>
                <w:szCs w:val="20"/>
                <w:lang w:eastAsia="lv-LV"/>
              </w:rPr>
              <w:t>2024</w:t>
            </w:r>
          </w:p>
        </w:tc>
      </w:tr>
      <w:tr w:rsidR="00BF4753" w:rsidRPr="00361832" w:rsidTr="002D7CA8">
        <w:trPr>
          <w:trHeight w:val="507"/>
        </w:trPr>
        <w:tc>
          <w:tcPr>
            <w:tcW w:w="3676" w:type="dxa"/>
            <w:vMerge/>
            <w:tcBorders>
              <w:top w:val="single" w:sz="8" w:space="0" w:color="9CC2E5"/>
              <w:left w:val="single" w:sz="8" w:space="0" w:color="9CC2E5"/>
              <w:bottom w:val="single" w:sz="8" w:space="0" w:color="9CC2E5"/>
              <w:right w:val="single" w:sz="8" w:space="0" w:color="9CC2E5"/>
            </w:tcBorders>
            <w:vAlign w:val="center"/>
            <w:hideMark/>
          </w:tcPr>
          <w:p w:rsidR="00BF4753" w:rsidRPr="00361832" w:rsidRDefault="00BF4753" w:rsidP="002D7CA8">
            <w:pPr>
              <w:ind w:firstLine="0"/>
              <w:jc w:val="left"/>
              <w:rPr>
                <w:rFonts w:eastAsia="Times New Roman" w:cs="Times New Roman"/>
                <w:b/>
                <w:bCs/>
                <w:sz w:val="20"/>
                <w:szCs w:val="20"/>
                <w:lang w:eastAsia="lv-LV"/>
              </w:rPr>
            </w:pPr>
          </w:p>
        </w:tc>
        <w:tc>
          <w:tcPr>
            <w:tcW w:w="850" w:type="dxa"/>
            <w:vMerge/>
            <w:tcBorders>
              <w:top w:val="single" w:sz="8" w:space="0" w:color="9CC2E5"/>
              <w:left w:val="single" w:sz="8" w:space="0" w:color="9CC2E5"/>
              <w:bottom w:val="single" w:sz="8" w:space="0" w:color="9CC2E5"/>
              <w:right w:val="single" w:sz="8" w:space="0" w:color="9CC2E5"/>
            </w:tcBorders>
            <w:vAlign w:val="center"/>
            <w:hideMark/>
          </w:tcPr>
          <w:p w:rsidR="00BF4753" w:rsidRPr="00361832" w:rsidRDefault="00BF4753" w:rsidP="002D7CA8">
            <w:pPr>
              <w:ind w:firstLine="0"/>
              <w:jc w:val="left"/>
              <w:rPr>
                <w:rFonts w:eastAsia="Times New Roman" w:cs="Times New Roman"/>
                <w:b/>
                <w:bCs/>
                <w:sz w:val="20"/>
                <w:szCs w:val="20"/>
                <w:lang w:eastAsia="lv-LV"/>
              </w:rPr>
            </w:pPr>
          </w:p>
        </w:tc>
        <w:tc>
          <w:tcPr>
            <w:tcW w:w="765" w:type="dxa"/>
            <w:vMerge/>
            <w:tcBorders>
              <w:top w:val="single" w:sz="8" w:space="0" w:color="9CC2E5"/>
              <w:left w:val="single" w:sz="8" w:space="0" w:color="9CC2E5"/>
              <w:bottom w:val="single" w:sz="8" w:space="0" w:color="9CC2E5"/>
              <w:right w:val="single" w:sz="8" w:space="0" w:color="9CC2E5"/>
            </w:tcBorders>
            <w:vAlign w:val="center"/>
            <w:hideMark/>
          </w:tcPr>
          <w:p w:rsidR="00BF4753" w:rsidRPr="00361832" w:rsidRDefault="00BF4753" w:rsidP="002D7CA8">
            <w:pPr>
              <w:ind w:firstLine="0"/>
              <w:jc w:val="left"/>
              <w:rPr>
                <w:rFonts w:eastAsia="Times New Roman" w:cs="Times New Roman"/>
                <w:b/>
                <w:bCs/>
                <w:sz w:val="20"/>
                <w:szCs w:val="20"/>
                <w:lang w:eastAsia="lv-LV"/>
              </w:rPr>
            </w:pPr>
          </w:p>
        </w:tc>
        <w:tc>
          <w:tcPr>
            <w:tcW w:w="766" w:type="dxa"/>
            <w:vMerge/>
            <w:tcBorders>
              <w:top w:val="single" w:sz="8" w:space="0" w:color="9CC2E5"/>
              <w:left w:val="single" w:sz="8" w:space="0" w:color="9CC2E5"/>
              <w:bottom w:val="single" w:sz="8" w:space="0" w:color="9CC2E5"/>
              <w:right w:val="single" w:sz="8" w:space="0" w:color="9CC2E5"/>
            </w:tcBorders>
            <w:vAlign w:val="center"/>
            <w:hideMark/>
          </w:tcPr>
          <w:p w:rsidR="00BF4753" w:rsidRPr="00361832" w:rsidRDefault="00BF4753" w:rsidP="002D7CA8">
            <w:pPr>
              <w:ind w:firstLine="0"/>
              <w:jc w:val="left"/>
              <w:rPr>
                <w:rFonts w:eastAsia="Times New Roman" w:cs="Times New Roman"/>
                <w:b/>
                <w:bCs/>
                <w:sz w:val="20"/>
                <w:szCs w:val="20"/>
                <w:lang w:eastAsia="lv-LV"/>
              </w:rPr>
            </w:pPr>
          </w:p>
        </w:tc>
        <w:tc>
          <w:tcPr>
            <w:tcW w:w="765" w:type="dxa"/>
            <w:vMerge/>
            <w:tcBorders>
              <w:top w:val="single" w:sz="8" w:space="0" w:color="9CC2E5"/>
              <w:left w:val="single" w:sz="8" w:space="0" w:color="9CC2E5"/>
              <w:bottom w:val="single" w:sz="8" w:space="0" w:color="9CC2E5"/>
              <w:right w:val="single" w:sz="8" w:space="0" w:color="9CC2E5"/>
            </w:tcBorders>
            <w:vAlign w:val="center"/>
            <w:hideMark/>
          </w:tcPr>
          <w:p w:rsidR="00BF4753" w:rsidRPr="00361832" w:rsidRDefault="00BF4753" w:rsidP="002D7CA8">
            <w:pPr>
              <w:ind w:firstLine="0"/>
              <w:jc w:val="left"/>
              <w:rPr>
                <w:rFonts w:eastAsia="Times New Roman" w:cs="Times New Roman"/>
                <w:b/>
                <w:bCs/>
                <w:sz w:val="20"/>
                <w:szCs w:val="20"/>
                <w:lang w:eastAsia="lv-LV"/>
              </w:rPr>
            </w:pPr>
          </w:p>
        </w:tc>
        <w:tc>
          <w:tcPr>
            <w:tcW w:w="766" w:type="dxa"/>
            <w:vMerge/>
            <w:tcBorders>
              <w:top w:val="single" w:sz="8" w:space="0" w:color="9CC2E5"/>
              <w:left w:val="single" w:sz="8" w:space="0" w:color="9CC2E5"/>
              <w:bottom w:val="single" w:sz="8" w:space="0" w:color="9CC2E5"/>
              <w:right w:val="single" w:sz="8" w:space="0" w:color="9CC2E5"/>
            </w:tcBorders>
            <w:vAlign w:val="center"/>
            <w:hideMark/>
          </w:tcPr>
          <w:p w:rsidR="00BF4753" w:rsidRPr="00361832" w:rsidRDefault="00BF4753" w:rsidP="002D7CA8">
            <w:pPr>
              <w:ind w:firstLine="0"/>
              <w:jc w:val="left"/>
              <w:rPr>
                <w:rFonts w:eastAsia="Times New Roman" w:cs="Times New Roman"/>
                <w:b/>
                <w:bCs/>
                <w:sz w:val="20"/>
                <w:szCs w:val="20"/>
                <w:lang w:eastAsia="lv-LV"/>
              </w:rPr>
            </w:pPr>
          </w:p>
        </w:tc>
        <w:tc>
          <w:tcPr>
            <w:tcW w:w="766" w:type="dxa"/>
            <w:vMerge/>
            <w:tcBorders>
              <w:top w:val="single" w:sz="8" w:space="0" w:color="9CC2E5"/>
              <w:left w:val="single" w:sz="8" w:space="0" w:color="9CC2E5"/>
              <w:bottom w:val="single" w:sz="8" w:space="0" w:color="9CC2E5"/>
              <w:right w:val="single" w:sz="8" w:space="0" w:color="9CC2E5"/>
            </w:tcBorders>
            <w:vAlign w:val="center"/>
            <w:hideMark/>
          </w:tcPr>
          <w:p w:rsidR="00BF4753" w:rsidRPr="00361832" w:rsidRDefault="00BF4753" w:rsidP="002D7CA8">
            <w:pPr>
              <w:ind w:firstLine="0"/>
              <w:jc w:val="left"/>
              <w:rPr>
                <w:rFonts w:eastAsia="Times New Roman" w:cs="Times New Roman"/>
                <w:b/>
                <w:bCs/>
                <w:sz w:val="20"/>
                <w:szCs w:val="20"/>
                <w:lang w:eastAsia="lv-LV"/>
              </w:rPr>
            </w:pPr>
          </w:p>
        </w:tc>
      </w:tr>
      <w:tr w:rsidR="00BF4753" w:rsidRPr="00361832" w:rsidTr="002D7CA8">
        <w:trPr>
          <w:trHeight w:val="315"/>
        </w:trPr>
        <w:tc>
          <w:tcPr>
            <w:tcW w:w="3676" w:type="dxa"/>
            <w:tcBorders>
              <w:top w:val="nil"/>
              <w:left w:val="single" w:sz="8" w:space="0" w:color="9CC2E5"/>
              <w:bottom w:val="single" w:sz="8" w:space="0" w:color="9CC2E5"/>
              <w:right w:val="single" w:sz="8" w:space="0" w:color="9CC2E5"/>
            </w:tcBorders>
            <w:shd w:val="clear" w:color="auto" w:fill="auto"/>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1. Tekošais un kapitāla konts</w:t>
            </w:r>
          </w:p>
        </w:tc>
        <w:tc>
          <w:tcPr>
            <w:tcW w:w="850"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sz w:val="20"/>
                <w:szCs w:val="20"/>
                <w:lang w:eastAsia="lv-LV"/>
              </w:rPr>
            </w:pPr>
            <w:r w:rsidRPr="00361832">
              <w:rPr>
                <w:rFonts w:eastAsia="Times New Roman" w:cs="Times New Roman"/>
                <w:sz w:val="20"/>
                <w:szCs w:val="20"/>
                <w:lang w:eastAsia="lv-LV"/>
              </w:rPr>
              <w:t>B.9</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sz w:val="20"/>
                <w:szCs w:val="20"/>
                <w:lang w:eastAsia="lv-LV"/>
              </w:rPr>
            </w:pPr>
            <w:r w:rsidRPr="00361832">
              <w:rPr>
                <w:rFonts w:eastAsia="Times New Roman" w:cs="Times New Roman"/>
                <w:sz w:val="20"/>
                <w:szCs w:val="20"/>
                <w:lang w:eastAsia="lv-LV"/>
              </w:rPr>
              <w:t>4,7</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sz w:val="20"/>
                <w:szCs w:val="20"/>
                <w:lang w:eastAsia="lv-LV"/>
              </w:rPr>
            </w:pPr>
            <w:r w:rsidRPr="00361832">
              <w:rPr>
                <w:rFonts w:eastAsia="Times New Roman" w:cs="Times New Roman"/>
                <w:sz w:val="20"/>
                <w:szCs w:val="20"/>
                <w:lang w:eastAsia="lv-LV"/>
              </w:rPr>
              <w:t>4,5</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sz w:val="20"/>
                <w:szCs w:val="20"/>
                <w:lang w:eastAsia="lv-LV"/>
              </w:rPr>
            </w:pPr>
            <w:r w:rsidRPr="00361832">
              <w:rPr>
                <w:rFonts w:eastAsia="Times New Roman" w:cs="Times New Roman"/>
                <w:sz w:val="20"/>
                <w:szCs w:val="20"/>
                <w:lang w:eastAsia="lv-LV"/>
              </w:rPr>
              <w:t>4,4</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sz w:val="20"/>
                <w:szCs w:val="20"/>
                <w:lang w:eastAsia="lv-LV"/>
              </w:rPr>
            </w:pPr>
            <w:r w:rsidRPr="00361832">
              <w:rPr>
                <w:rFonts w:eastAsia="Times New Roman" w:cs="Times New Roman"/>
                <w:sz w:val="20"/>
                <w:szCs w:val="20"/>
                <w:lang w:eastAsia="lv-LV"/>
              </w:rPr>
              <w:t>2,8</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sz w:val="20"/>
                <w:szCs w:val="20"/>
                <w:lang w:eastAsia="lv-LV"/>
              </w:rPr>
            </w:pPr>
            <w:r w:rsidRPr="00361832">
              <w:rPr>
                <w:rFonts w:eastAsia="Times New Roman" w:cs="Times New Roman"/>
                <w:sz w:val="20"/>
                <w:szCs w:val="20"/>
                <w:lang w:eastAsia="lv-LV"/>
              </w:rPr>
              <w:t>2,8</w:t>
            </w:r>
          </w:p>
        </w:tc>
      </w:tr>
      <w:tr w:rsidR="00BF4753" w:rsidRPr="00361832" w:rsidTr="002D7CA8">
        <w:trPr>
          <w:trHeight w:val="315"/>
        </w:trPr>
        <w:tc>
          <w:tcPr>
            <w:tcW w:w="3676" w:type="dxa"/>
            <w:tcBorders>
              <w:top w:val="nil"/>
              <w:left w:val="single" w:sz="8" w:space="0" w:color="9CC2E5"/>
              <w:bottom w:val="single" w:sz="8" w:space="0" w:color="9CC2E5"/>
              <w:right w:val="single" w:sz="8" w:space="0" w:color="9CC2E5"/>
            </w:tcBorders>
            <w:shd w:val="clear" w:color="000000" w:fill="DEEAF6"/>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t.sk.:</w:t>
            </w:r>
          </w:p>
        </w:tc>
        <w:tc>
          <w:tcPr>
            <w:tcW w:w="850"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left"/>
              <w:rPr>
                <w:rFonts w:ascii="Calibri" w:eastAsia="Times New Roman" w:hAnsi="Calibri" w:cs="Calibri"/>
                <w:sz w:val="22"/>
                <w:lang w:eastAsia="lv-LV"/>
              </w:rPr>
            </w:pPr>
            <w:r w:rsidRPr="00361832">
              <w:rPr>
                <w:rFonts w:ascii="Calibri" w:eastAsia="Times New Roman" w:hAnsi="Calibri" w:cs="Calibri"/>
                <w:sz w:val="22"/>
                <w:lang w:eastAsia="lv-LV"/>
              </w:rPr>
              <w:t> </w:t>
            </w:r>
          </w:p>
        </w:tc>
        <w:tc>
          <w:tcPr>
            <w:tcW w:w="765" w:type="dxa"/>
            <w:tcBorders>
              <w:top w:val="nil"/>
              <w:left w:val="nil"/>
              <w:bottom w:val="single" w:sz="8" w:space="0" w:color="9CC2E5"/>
              <w:right w:val="single" w:sz="8" w:space="0" w:color="9CC2E5"/>
            </w:tcBorders>
            <w:shd w:val="clear" w:color="000000" w:fill="DEEAF6"/>
            <w:noWrap/>
            <w:vAlign w:val="center"/>
            <w:hideMark/>
          </w:tcPr>
          <w:p w:rsidR="00BF4753" w:rsidRPr="00361832" w:rsidRDefault="00BF4753" w:rsidP="002D7CA8">
            <w:pPr>
              <w:ind w:firstLine="0"/>
              <w:jc w:val="center"/>
              <w:rPr>
                <w:rFonts w:eastAsia="Times New Roman" w:cs="Times New Roman"/>
                <w:sz w:val="20"/>
                <w:szCs w:val="20"/>
                <w:lang w:eastAsia="lv-LV"/>
              </w:rPr>
            </w:pPr>
            <w:r w:rsidRPr="00361832">
              <w:rPr>
                <w:rFonts w:eastAsia="Times New Roman" w:cs="Times New Roman"/>
                <w:sz w:val="20"/>
                <w:szCs w:val="20"/>
                <w:lang w:eastAsia="lv-LV"/>
              </w:rPr>
              <w:t> </w:t>
            </w:r>
          </w:p>
        </w:tc>
        <w:tc>
          <w:tcPr>
            <w:tcW w:w="766" w:type="dxa"/>
            <w:tcBorders>
              <w:top w:val="nil"/>
              <w:left w:val="nil"/>
              <w:bottom w:val="single" w:sz="8" w:space="0" w:color="9CC2E5"/>
              <w:right w:val="single" w:sz="8" w:space="0" w:color="9CC2E5"/>
            </w:tcBorders>
            <w:shd w:val="clear" w:color="000000" w:fill="DEEAF6"/>
            <w:noWrap/>
            <w:vAlign w:val="center"/>
            <w:hideMark/>
          </w:tcPr>
          <w:p w:rsidR="00BF4753" w:rsidRPr="00361832" w:rsidRDefault="00BF4753" w:rsidP="002D7CA8">
            <w:pPr>
              <w:ind w:firstLine="0"/>
              <w:jc w:val="center"/>
              <w:rPr>
                <w:rFonts w:eastAsia="Times New Roman" w:cs="Times New Roman"/>
                <w:sz w:val="20"/>
                <w:szCs w:val="20"/>
                <w:lang w:eastAsia="lv-LV"/>
              </w:rPr>
            </w:pPr>
            <w:r w:rsidRPr="00361832">
              <w:rPr>
                <w:rFonts w:eastAsia="Times New Roman" w:cs="Times New Roman"/>
                <w:sz w:val="20"/>
                <w:szCs w:val="20"/>
                <w:lang w:eastAsia="lv-LV"/>
              </w:rPr>
              <w:t> </w:t>
            </w:r>
          </w:p>
        </w:tc>
        <w:tc>
          <w:tcPr>
            <w:tcW w:w="765" w:type="dxa"/>
            <w:tcBorders>
              <w:top w:val="nil"/>
              <w:left w:val="nil"/>
              <w:bottom w:val="single" w:sz="8" w:space="0" w:color="9CC2E5"/>
              <w:right w:val="single" w:sz="8" w:space="0" w:color="9CC2E5"/>
            </w:tcBorders>
            <w:shd w:val="clear" w:color="000000" w:fill="DEEAF6"/>
            <w:noWrap/>
            <w:vAlign w:val="center"/>
            <w:hideMark/>
          </w:tcPr>
          <w:p w:rsidR="00BF4753" w:rsidRPr="00361832" w:rsidRDefault="00BF4753" w:rsidP="002D7CA8">
            <w:pPr>
              <w:ind w:firstLine="0"/>
              <w:jc w:val="center"/>
              <w:rPr>
                <w:rFonts w:eastAsia="Times New Roman" w:cs="Times New Roman"/>
                <w:sz w:val="20"/>
                <w:szCs w:val="20"/>
                <w:lang w:eastAsia="lv-LV"/>
              </w:rPr>
            </w:pPr>
            <w:r w:rsidRPr="00361832">
              <w:rPr>
                <w:rFonts w:eastAsia="Times New Roman" w:cs="Times New Roman"/>
                <w:sz w:val="20"/>
                <w:szCs w:val="20"/>
                <w:lang w:eastAsia="lv-LV"/>
              </w:rPr>
              <w:t> </w:t>
            </w:r>
          </w:p>
        </w:tc>
        <w:tc>
          <w:tcPr>
            <w:tcW w:w="766" w:type="dxa"/>
            <w:tcBorders>
              <w:top w:val="nil"/>
              <w:left w:val="nil"/>
              <w:bottom w:val="single" w:sz="8" w:space="0" w:color="9CC2E5"/>
              <w:right w:val="single" w:sz="8" w:space="0" w:color="9CC2E5"/>
            </w:tcBorders>
            <w:shd w:val="clear" w:color="000000" w:fill="DEEAF6"/>
            <w:noWrap/>
            <w:vAlign w:val="center"/>
            <w:hideMark/>
          </w:tcPr>
          <w:p w:rsidR="00BF4753" w:rsidRPr="00361832" w:rsidRDefault="00BF4753" w:rsidP="002D7CA8">
            <w:pPr>
              <w:ind w:firstLine="0"/>
              <w:jc w:val="center"/>
              <w:rPr>
                <w:rFonts w:eastAsia="Times New Roman" w:cs="Times New Roman"/>
                <w:sz w:val="20"/>
                <w:szCs w:val="20"/>
                <w:lang w:eastAsia="lv-LV"/>
              </w:rPr>
            </w:pPr>
            <w:r w:rsidRPr="00361832">
              <w:rPr>
                <w:rFonts w:eastAsia="Times New Roman" w:cs="Times New Roman"/>
                <w:sz w:val="20"/>
                <w:szCs w:val="20"/>
                <w:lang w:eastAsia="lv-LV"/>
              </w:rPr>
              <w:t> </w:t>
            </w:r>
          </w:p>
        </w:tc>
        <w:tc>
          <w:tcPr>
            <w:tcW w:w="766" w:type="dxa"/>
            <w:tcBorders>
              <w:top w:val="nil"/>
              <w:left w:val="nil"/>
              <w:bottom w:val="single" w:sz="8" w:space="0" w:color="9CC2E5"/>
              <w:right w:val="single" w:sz="8" w:space="0" w:color="9CC2E5"/>
            </w:tcBorders>
            <w:shd w:val="clear" w:color="000000" w:fill="DEEAF6"/>
            <w:noWrap/>
            <w:vAlign w:val="center"/>
            <w:hideMark/>
          </w:tcPr>
          <w:p w:rsidR="00BF4753" w:rsidRPr="00361832" w:rsidRDefault="00BF4753" w:rsidP="002D7CA8">
            <w:pPr>
              <w:ind w:firstLine="0"/>
              <w:jc w:val="center"/>
              <w:rPr>
                <w:rFonts w:eastAsia="Times New Roman" w:cs="Times New Roman"/>
                <w:sz w:val="20"/>
                <w:szCs w:val="20"/>
                <w:lang w:eastAsia="lv-LV"/>
              </w:rPr>
            </w:pPr>
            <w:r w:rsidRPr="00361832">
              <w:rPr>
                <w:rFonts w:eastAsia="Times New Roman" w:cs="Times New Roman"/>
                <w:sz w:val="20"/>
                <w:szCs w:val="20"/>
                <w:lang w:eastAsia="lv-LV"/>
              </w:rPr>
              <w:t> </w:t>
            </w:r>
          </w:p>
        </w:tc>
      </w:tr>
      <w:tr w:rsidR="00BF4753" w:rsidRPr="00361832" w:rsidTr="002D7CA8">
        <w:trPr>
          <w:trHeight w:val="315"/>
        </w:trPr>
        <w:tc>
          <w:tcPr>
            <w:tcW w:w="3676" w:type="dxa"/>
            <w:tcBorders>
              <w:top w:val="nil"/>
              <w:left w:val="single" w:sz="8" w:space="0" w:color="9CC2E5"/>
              <w:bottom w:val="single" w:sz="8" w:space="0" w:color="9CC2E5"/>
              <w:right w:val="single" w:sz="8" w:space="0" w:color="9CC2E5"/>
            </w:tcBorders>
            <w:shd w:val="clear" w:color="auto" w:fill="auto"/>
            <w:vAlign w:val="center"/>
            <w:hideMark/>
          </w:tcPr>
          <w:p w:rsidR="00BF4753" w:rsidRPr="00361832" w:rsidRDefault="00BF4753" w:rsidP="002D7CA8">
            <w:pPr>
              <w:ind w:firstLine="0"/>
              <w:jc w:val="left"/>
              <w:rPr>
                <w:rFonts w:eastAsia="Times New Roman" w:cs="Times New Roman"/>
                <w:color w:val="000000"/>
                <w:sz w:val="20"/>
                <w:szCs w:val="20"/>
                <w:lang w:eastAsia="lv-LV"/>
              </w:rPr>
            </w:pPr>
            <w:r w:rsidRPr="00361832">
              <w:rPr>
                <w:rFonts w:eastAsia="Times New Roman" w:cs="Times New Roman"/>
                <w:color w:val="000000"/>
                <w:sz w:val="20"/>
                <w:szCs w:val="20"/>
                <w:lang w:eastAsia="lv-LV"/>
              </w:rPr>
              <w:t>- Preču un pakalpojumu bilance</w:t>
            </w:r>
          </w:p>
        </w:tc>
        <w:tc>
          <w:tcPr>
            <w:tcW w:w="850"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left"/>
              <w:rPr>
                <w:rFonts w:ascii="Calibri" w:eastAsia="Times New Roman" w:hAnsi="Calibri" w:cs="Calibri"/>
                <w:color w:val="000000"/>
                <w:sz w:val="22"/>
                <w:lang w:eastAsia="lv-LV"/>
              </w:rPr>
            </w:pPr>
            <w:r w:rsidRPr="00361832">
              <w:rPr>
                <w:rFonts w:ascii="Calibri" w:eastAsia="Times New Roman" w:hAnsi="Calibri" w:cs="Calibri"/>
                <w:color w:val="000000"/>
                <w:sz w:val="22"/>
                <w:lang w:eastAsia="lv-LV"/>
              </w:rPr>
              <w:t> </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1,2</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0,8</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0,1</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-0,5</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-0,6</w:t>
            </w:r>
          </w:p>
        </w:tc>
      </w:tr>
      <w:tr w:rsidR="00BF4753" w:rsidRPr="00361832" w:rsidTr="002D7CA8">
        <w:trPr>
          <w:trHeight w:val="315"/>
        </w:trPr>
        <w:tc>
          <w:tcPr>
            <w:tcW w:w="3676" w:type="dxa"/>
            <w:tcBorders>
              <w:top w:val="nil"/>
              <w:left w:val="single" w:sz="8" w:space="0" w:color="9CC2E5"/>
              <w:bottom w:val="single" w:sz="8" w:space="0" w:color="9CC2E5"/>
              <w:right w:val="single" w:sz="8" w:space="0" w:color="9CC2E5"/>
            </w:tcBorders>
            <w:shd w:val="clear" w:color="000000" w:fill="DEEAF6"/>
            <w:vAlign w:val="center"/>
            <w:hideMark/>
          </w:tcPr>
          <w:p w:rsidR="00BF4753" w:rsidRPr="00361832" w:rsidRDefault="00BF4753" w:rsidP="002D7CA8">
            <w:pPr>
              <w:ind w:firstLine="0"/>
              <w:jc w:val="left"/>
              <w:rPr>
                <w:rFonts w:eastAsia="Times New Roman" w:cs="Times New Roman"/>
                <w:color w:val="000000"/>
                <w:sz w:val="20"/>
                <w:szCs w:val="20"/>
                <w:lang w:eastAsia="lv-LV"/>
              </w:rPr>
            </w:pPr>
            <w:r w:rsidRPr="00361832">
              <w:rPr>
                <w:rFonts w:eastAsia="Times New Roman" w:cs="Times New Roman"/>
                <w:color w:val="000000"/>
                <w:sz w:val="20"/>
                <w:szCs w:val="20"/>
                <w:lang w:eastAsia="lv-LV"/>
              </w:rPr>
              <w:t>- Ienākumu un pārvedumu bilance</w:t>
            </w:r>
          </w:p>
        </w:tc>
        <w:tc>
          <w:tcPr>
            <w:tcW w:w="850"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left"/>
              <w:rPr>
                <w:rFonts w:ascii="Calibri" w:eastAsia="Times New Roman" w:hAnsi="Calibri" w:cs="Calibri"/>
                <w:color w:val="000000"/>
                <w:sz w:val="22"/>
                <w:lang w:eastAsia="lv-LV"/>
              </w:rPr>
            </w:pPr>
            <w:r w:rsidRPr="00361832">
              <w:rPr>
                <w:rFonts w:ascii="Calibri" w:eastAsia="Times New Roman" w:hAnsi="Calibri" w:cs="Calibri"/>
                <w:color w:val="000000"/>
                <w:sz w:val="22"/>
                <w:lang w:eastAsia="lv-LV"/>
              </w:rPr>
              <w:t> </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1,8</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1,6</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1,8</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0,9</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1,0</w:t>
            </w:r>
          </w:p>
        </w:tc>
      </w:tr>
      <w:tr w:rsidR="00BF4753" w:rsidRPr="00361832" w:rsidTr="002D7CA8">
        <w:trPr>
          <w:trHeight w:val="315"/>
        </w:trPr>
        <w:tc>
          <w:tcPr>
            <w:tcW w:w="3676" w:type="dxa"/>
            <w:tcBorders>
              <w:top w:val="nil"/>
              <w:left w:val="single" w:sz="8" w:space="0" w:color="9CC2E5"/>
              <w:bottom w:val="single" w:sz="8" w:space="0" w:color="9CC2E5"/>
              <w:right w:val="single" w:sz="8" w:space="0" w:color="9CC2E5"/>
            </w:tcBorders>
            <w:shd w:val="clear" w:color="auto" w:fill="auto"/>
            <w:vAlign w:val="center"/>
            <w:hideMark/>
          </w:tcPr>
          <w:p w:rsidR="00BF4753" w:rsidRPr="00361832" w:rsidRDefault="00BF4753" w:rsidP="002D7CA8">
            <w:pPr>
              <w:ind w:firstLine="0"/>
              <w:jc w:val="left"/>
              <w:rPr>
                <w:rFonts w:eastAsia="Times New Roman" w:cs="Times New Roman"/>
                <w:color w:val="000000"/>
                <w:sz w:val="20"/>
                <w:szCs w:val="20"/>
                <w:lang w:eastAsia="lv-LV"/>
              </w:rPr>
            </w:pPr>
            <w:r w:rsidRPr="00361832">
              <w:rPr>
                <w:rFonts w:eastAsia="Times New Roman" w:cs="Times New Roman"/>
                <w:color w:val="000000"/>
                <w:sz w:val="20"/>
                <w:szCs w:val="20"/>
                <w:lang w:eastAsia="lv-LV"/>
              </w:rPr>
              <w:t>- Kapitāla konts</w:t>
            </w:r>
          </w:p>
        </w:tc>
        <w:tc>
          <w:tcPr>
            <w:tcW w:w="850"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left"/>
              <w:rPr>
                <w:rFonts w:ascii="Calibri" w:eastAsia="Times New Roman" w:hAnsi="Calibri" w:cs="Calibri"/>
                <w:color w:val="000000"/>
                <w:sz w:val="22"/>
                <w:lang w:eastAsia="lv-LV"/>
              </w:rPr>
            </w:pPr>
            <w:r w:rsidRPr="00361832">
              <w:rPr>
                <w:rFonts w:ascii="Calibri" w:eastAsia="Times New Roman" w:hAnsi="Calibri" w:cs="Calibri"/>
                <w:color w:val="000000"/>
                <w:sz w:val="22"/>
                <w:lang w:eastAsia="lv-LV"/>
              </w:rPr>
              <w:t> </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1,7</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2,1</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2,5</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2,4</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2,4</w:t>
            </w:r>
          </w:p>
        </w:tc>
      </w:tr>
      <w:tr w:rsidR="00BF4753" w:rsidRPr="00361832" w:rsidTr="002D7CA8">
        <w:trPr>
          <w:trHeight w:val="525"/>
        </w:trPr>
        <w:tc>
          <w:tcPr>
            <w:tcW w:w="3676" w:type="dxa"/>
            <w:tcBorders>
              <w:top w:val="nil"/>
              <w:left w:val="single" w:sz="8" w:space="0" w:color="9CC2E5"/>
              <w:bottom w:val="single" w:sz="8" w:space="0" w:color="9CC2E5"/>
              <w:right w:val="single" w:sz="8" w:space="0" w:color="9CC2E5"/>
            </w:tcBorders>
            <w:shd w:val="clear" w:color="000000" w:fill="DEEAF6"/>
            <w:vAlign w:val="center"/>
            <w:hideMark/>
          </w:tcPr>
          <w:p w:rsidR="00BF4753" w:rsidRPr="00361832" w:rsidRDefault="00BF4753" w:rsidP="002D7CA8">
            <w:pPr>
              <w:ind w:firstLine="0"/>
              <w:jc w:val="left"/>
              <w:rPr>
                <w:rFonts w:eastAsia="Times New Roman" w:cs="Times New Roman"/>
                <w:color w:val="000000"/>
                <w:sz w:val="20"/>
                <w:szCs w:val="20"/>
                <w:lang w:eastAsia="lv-LV"/>
              </w:rPr>
            </w:pPr>
            <w:r w:rsidRPr="00361832">
              <w:rPr>
                <w:rFonts w:eastAsia="Times New Roman" w:cs="Times New Roman"/>
                <w:color w:val="000000"/>
                <w:sz w:val="20"/>
                <w:szCs w:val="20"/>
                <w:lang w:eastAsia="lv-LV"/>
              </w:rPr>
              <w:t>2. Neto aizdevumi/ aizņemšanās privātajā sektorā</w:t>
            </w:r>
          </w:p>
        </w:tc>
        <w:tc>
          <w:tcPr>
            <w:tcW w:w="850"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B.9</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10,0</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13,5</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7,1</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4,1</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3,1</w:t>
            </w:r>
          </w:p>
        </w:tc>
      </w:tr>
      <w:tr w:rsidR="00BF4753" w:rsidRPr="00361832" w:rsidTr="002D7CA8">
        <w:trPr>
          <w:trHeight w:val="525"/>
        </w:trPr>
        <w:tc>
          <w:tcPr>
            <w:tcW w:w="3676" w:type="dxa"/>
            <w:tcBorders>
              <w:top w:val="nil"/>
              <w:left w:val="single" w:sz="8" w:space="0" w:color="9CC2E5"/>
              <w:bottom w:val="single" w:sz="8" w:space="0" w:color="9CC2E5"/>
              <w:right w:val="single" w:sz="8" w:space="0" w:color="9CC2E5"/>
            </w:tcBorders>
            <w:shd w:val="clear" w:color="auto" w:fill="auto"/>
            <w:vAlign w:val="center"/>
            <w:hideMark/>
          </w:tcPr>
          <w:p w:rsidR="00BF4753" w:rsidRPr="00361832" w:rsidRDefault="00BF4753" w:rsidP="002D7CA8">
            <w:pPr>
              <w:ind w:firstLine="0"/>
              <w:jc w:val="left"/>
              <w:rPr>
                <w:rFonts w:eastAsia="Times New Roman" w:cs="Times New Roman"/>
                <w:color w:val="000000"/>
                <w:sz w:val="20"/>
                <w:szCs w:val="20"/>
                <w:lang w:eastAsia="lv-LV"/>
              </w:rPr>
            </w:pPr>
            <w:r w:rsidRPr="00361832">
              <w:rPr>
                <w:rFonts w:eastAsia="Times New Roman" w:cs="Times New Roman"/>
                <w:color w:val="000000"/>
                <w:sz w:val="20"/>
                <w:szCs w:val="20"/>
                <w:lang w:eastAsia="lv-LV"/>
              </w:rPr>
              <w:t>3. Neto aizdevumi/ aizņemšanās vispārējās valdības sektorā</w:t>
            </w:r>
          </w:p>
        </w:tc>
        <w:tc>
          <w:tcPr>
            <w:tcW w:w="850"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EDP B.9</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-5,4</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-9,</w:t>
            </w:r>
            <w:r>
              <w:rPr>
                <w:rFonts w:eastAsia="Times New Roman" w:cs="Times New Roman"/>
                <w:color w:val="000000"/>
                <w:sz w:val="20"/>
                <w:szCs w:val="20"/>
                <w:lang w:eastAsia="lv-LV"/>
              </w:rPr>
              <w:t>3</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-2,7</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-1,3</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361832" w:rsidRDefault="00BF4753" w:rsidP="002D7CA8">
            <w:pPr>
              <w:ind w:firstLine="0"/>
              <w:jc w:val="center"/>
              <w:rPr>
                <w:rFonts w:eastAsia="Times New Roman" w:cs="Times New Roman"/>
                <w:color w:val="000000"/>
                <w:sz w:val="20"/>
                <w:szCs w:val="20"/>
                <w:lang w:eastAsia="lv-LV"/>
              </w:rPr>
            </w:pPr>
            <w:r w:rsidRPr="00361832">
              <w:rPr>
                <w:rFonts w:eastAsia="Times New Roman" w:cs="Times New Roman"/>
                <w:color w:val="000000"/>
                <w:sz w:val="20"/>
                <w:szCs w:val="20"/>
                <w:lang w:eastAsia="lv-LV"/>
              </w:rPr>
              <w:t>-0,3</w:t>
            </w:r>
          </w:p>
        </w:tc>
      </w:tr>
      <w:tr w:rsidR="00BF4753" w:rsidRPr="00361832" w:rsidTr="002D7CA8">
        <w:trPr>
          <w:trHeight w:val="315"/>
        </w:trPr>
        <w:tc>
          <w:tcPr>
            <w:tcW w:w="3676" w:type="dxa"/>
            <w:tcBorders>
              <w:top w:val="nil"/>
              <w:left w:val="single" w:sz="8" w:space="0" w:color="9CC2E5"/>
              <w:bottom w:val="single" w:sz="8" w:space="0" w:color="9CC2E5"/>
              <w:right w:val="single" w:sz="8" w:space="0" w:color="9CC2E5"/>
            </w:tcBorders>
            <w:shd w:val="clear" w:color="000000" w:fill="DEEAF6"/>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4. Statistiskā novirze</w:t>
            </w:r>
          </w:p>
        </w:tc>
        <w:tc>
          <w:tcPr>
            <w:tcW w:w="850"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left"/>
              <w:rPr>
                <w:rFonts w:ascii="Calibri" w:eastAsia="Times New Roman" w:hAnsi="Calibri" w:cs="Calibri"/>
                <w:sz w:val="22"/>
                <w:lang w:eastAsia="lv-LV"/>
              </w:rPr>
            </w:pPr>
            <w:r w:rsidRPr="00361832">
              <w:rPr>
                <w:rFonts w:ascii="Calibri" w:eastAsia="Times New Roman" w:hAnsi="Calibri" w:cs="Calibri"/>
                <w:sz w:val="22"/>
                <w:lang w:eastAsia="lv-LV"/>
              </w:rPr>
              <w:t> </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center"/>
              <w:rPr>
                <w:rFonts w:eastAsia="Times New Roman" w:cs="Times New Roman"/>
                <w:i/>
                <w:iCs/>
                <w:sz w:val="20"/>
                <w:szCs w:val="20"/>
                <w:lang w:eastAsia="lv-LV"/>
              </w:rPr>
            </w:pPr>
            <w:r w:rsidRPr="00361832">
              <w:rPr>
                <w:rFonts w:eastAsia="Times New Roman" w:cs="Times New Roman"/>
                <w:i/>
                <w:iCs/>
                <w:sz w:val="20"/>
                <w:szCs w:val="20"/>
                <w:lang w:eastAsia="lv-LV"/>
              </w:rPr>
              <w:t>0</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center"/>
              <w:rPr>
                <w:rFonts w:eastAsia="Times New Roman" w:cs="Times New Roman"/>
                <w:i/>
                <w:iCs/>
                <w:sz w:val="20"/>
                <w:szCs w:val="20"/>
                <w:lang w:eastAsia="lv-LV"/>
              </w:rPr>
            </w:pPr>
            <w:r w:rsidRPr="00361832">
              <w:rPr>
                <w:rFonts w:eastAsia="Times New Roman" w:cs="Times New Roman"/>
                <w:i/>
                <w:iCs/>
                <w:sz w:val="20"/>
                <w:szCs w:val="20"/>
                <w:lang w:eastAsia="lv-LV"/>
              </w:rPr>
              <w:t>0</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center"/>
              <w:rPr>
                <w:rFonts w:eastAsia="Times New Roman" w:cs="Times New Roman"/>
                <w:i/>
                <w:iCs/>
                <w:sz w:val="20"/>
                <w:szCs w:val="20"/>
                <w:lang w:eastAsia="lv-LV"/>
              </w:rPr>
            </w:pPr>
            <w:r w:rsidRPr="00361832">
              <w:rPr>
                <w:rFonts w:eastAsia="Times New Roman" w:cs="Times New Roman"/>
                <w:i/>
                <w:iCs/>
                <w:sz w:val="20"/>
                <w:szCs w:val="20"/>
                <w:lang w:eastAsia="lv-LV"/>
              </w:rPr>
              <w:t>0</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center"/>
              <w:rPr>
                <w:rFonts w:eastAsia="Times New Roman" w:cs="Times New Roman"/>
                <w:i/>
                <w:iCs/>
                <w:sz w:val="20"/>
                <w:szCs w:val="20"/>
                <w:lang w:eastAsia="lv-LV"/>
              </w:rPr>
            </w:pPr>
            <w:r w:rsidRPr="00361832">
              <w:rPr>
                <w:rFonts w:eastAsia="Times New Roman" w:cs="Times New Roman"/>
                <w:i/>
                <w:iCs/>
                <w:sz w:val="20"/>
                <w:szCs w:val="20"/>
                <w:lang w:eastAsia="lv-LV"/>
              </w:rPr>
              <w:t>0</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361832" w:rsidRDefault="00BF4753" w:rsidP="002D7CA8">
            <w:pPr>
              <w:ind w:firstLine="0"/>
              <w:jc w:val="center"/>
              <w:rPr>
                <w:rFonts w:eastAsia="Times New Roman" w:cs="Times New Roman"/>
                <w:i/>
                <w:iCs/>
                <w:sz w:val="20"/>
                <w:szCs w:val="20"/>
                <w:lang w:eastAsia="lv-LV"/>
              </w:rPr>
            </w:pPr>
            <w:r w:rsidRPr="00361832">
              <w:rPr>
                <w:rFonts w:eastAsia="Times New Roman" w:cs="Times New Roman"/>
                <w:i/>
                <w:iCs/>
                <w:sz w:val="20"/>
                <w:szCs w:val="20"/>
                <w:lang w:eastAsia="lv-LV"/>
              </w:rPr>
              <w:t>0</w:t>
            </w:r>
          </w:p>
        </w:tc>
      </w:tr>
    </w:tbl>
    <w:p w:rsidR="00BF4753" w:rsidRPr="00361832" w:rsidRDefault="00BF4753" w:rsidP="00BF4753">
      <w:pPr>
        <w:rPr>
          <w:lang w:eastAsia="lv-LV"/>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Default="00BF4753" w:rsidP="00BF4753">
      <w:pPr>
        <w:ind w:firstLine="0"/>
        <w:rPr>
          <w:rFonts w:cs="Times New Roman"/>
          <w:sz w:val="20"/>
        </w:rPr>
      </w:pPr>
    </w:p>
    <w:p w:rsidR="00BF4753" w:rsidRPr="00361832" w:rsidRDefault="00BF4753" w:rsidP="00BF4753">
      <w:pPr>
        <w:spacing w:after="120"/>
        <w:ind w:firstLine="0"/>
        <w:rPr>
          <w:rFonts w:cs="Times New Roman"/>
          <w:b/>
          <w:color w:val="000000"/>
          <w:sz w:val="24"/>
          <w:szCs w:val="24"/>
        </w:rPr>
      </w:pPr>
      <w:r w:rsidRPr="00361832">
        <w:rPr>
          <w:rFonts w:cs="Times New Roman"/>
          <w:b/>
          <w:color w:val="000000"/>
          <w:sz w:val="24"/>
          <w:szCs w:val="24"/>
        </w:rPr>
        <w:lastRenderedPageBreak/>
        <w:t>2a.</w:t>
      </w:r>
      <w:r>
        <w:rPr>
          <w:rFonts w:cs="Times New Roman"/>
          <w:b/>
          <w:color w:val="000000"/>
          <w:sz w:val="24"/>
          <w:szCs w:val="24"/>
        </w:rPr>
        <w:t xml:space="preserve"> </w:t>
      </w:r>
      <w:r w:rsidRPr="00361832">
        <w:rPr>
          <w:rFonts w:cs="Times New Roman"/>
          <w:b/>
          <w:color w:val="000000"/>
          <w:sz w:val="24"/>
          <w:szCs w:val="24"/>
        </w:rPr>
        <w:t>tabula. Vispārējās valdības budžeta attīstība</w:t>
      </w:r>
      <w:r>
        <w:rPr>
          <w:rStyle w:val="FootnoteReference"/>
          <w:rFonts w:cs="Times New Roman"/>
          <w:b/>
          <w:color w:val="000000"/>
          <w:szCs w:val="24"/>
        </w:rPr>
        <w:footnoteReference w:id="17"/>
      </w:r>
      <w:r w:rsidRPr="00361832">
        <w:rPr>
          <w:rFonts w:cs="Times New Roman"/>
          <w:b/>
          <w:color w:val="000000"/>
          <w:sz w:val="24"/>
          <w:szCs w:val="24"/>
        </w:rPr>
        <w:t xml:space="preserve"> </w:t>
      </w:r>
    </w:p>
    <w:tbl>
      <w:tblPr>
        <w:tblStyle w:val="GridTable6Colorful-Accent1131"/>
        <w:tblW w:w="9645" w:type="dxa"/>
        <w:jc w:val="center"/>
        <w:tblLayout w:type="fixed"/>
        <w:tblLook w:val="04A0" w:firstRow="1" w:lastRow="0" w:firstColumn="1" w:lastColumn="0" w:noHBand="0" w:noVBand="1"/>
      </w:tblPr>
      <w:tblGrid>
        <w:gridCol w:w="3681"/>
        <w:gridCol w:w="1134"/>
        <w:gridCol w:w="1134"/>
        <w:gridCol w:w="861"/>
        <w:gridCol w:w="708"/>
        <w:gridCol w:w="709"/>
        <w:gridCol w:w="709"/>
        <w:gridCol w:w="709"/>
      </w:tblGrid>
      <w:tr w:rsidR="00BF4753" w:rsidRPr="00361832" w:rsidTr="002D7CA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361832" w:rsidRDefault="00BF4753" w:rsidP="002D7CA8">
            <w:pPr>
              <w:ind w:firstLine="0"/>
              <w:jc w:val="left"/>
              <w:rPr>
                <w:rFonts w:cs="Times New Roman"/>
                <w:color w:val="000000" w:themeColor="text1"/>
                <w:sz w:val="20"/>
                <w:szCs w:val="20"/>
                <w:lang w:eastAsia="lv-LV"/>
              </w:rPr>
            </w:pPr>
          </w:p>
        </w:tc>
        <w:tc>
          <w:tcPr>
            <w:tcW w:w="1134" w:type="dxa"/>
            <w:vAlign w:val="center"/>
            <w:hideMark/>
          </w:tcPr>
          <w:p w:rsidR="00BF4753" w:rsidRPr="00361832"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361832">
              <w:rPr>
                <w:rFonts w:cs="Times New Roman"/>
                <w:color w:val="000000" w:themeColor="text1"/>
                <w:sz w:val="20"/>
                <w:szCs w:val="20"/>
                <w:lang w:eastAsia="lv-LV"/>
              </w:rPr>
              <w:t>EKS kods</w:t>
            </w:r>
          </w:p>
        </w:tc>
        <w:tc>
          <w:tcPr>
            <w:tcW w:w="1134" w:type="dxa"/>
            <w:vAlign w:val="center"/>
            <w:hideMark/>
          </w:tcPr>
          <w:p w:rsidR="00BF4753" w:rsidRPr="00361832"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361832">
              <w:rPr>
                <w:rFonts w:cs="Times New Roman"/>
                <w:color w:val="000000" w:themeColor="text1"/>
                <w:sz w:val="20"/>
                <w:szCs w:val="20"/>
                <w:lang w:eastAsia="lv-LV"/>
              </w:rPr>
              <w:t>2020</w:t>
            </w:r>
            <w:r w:rsidRPr="00361832">
              <w:rPr>
                <w:rFonts w:ascii="Garamond" w:hAnsi="Garamond" w:cs="Times New Roman"/>
                <w:color w:val="000000" w:themeColor="text1"/>
                <w:sz w:val="20"/>
                <w:szCs w:val="20"/>
                <w:vertAlign w:val="superscript"/>
                <w:lang w:eastAsia="lv-LV"/>
              </w:rPr>
              <w:footnoteReference w:id="18"/>
            </w:r>
          </w:p>
        </w:tc>
        <w:tc>
          <w:tcPr>
            <w:tcW w:w="861" w:type="dxa"/>
            <w:vAlign w:val="center"/>
            <w:hideMark/>
          </w:tcPr>
          <w:p w:rsidR="00BF4753" w:rsidRPr="00361832"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361832">
              <w:rPr>
                <w:rFonts w:cs="Times New Roman"/>
                <w:color w:val="000000" w:themeColor="text1"/>
                <w:sz w:val="20"/>
                <w:szCs w:val="20"/>
                <w:lang w:eastAsia="lv-LV"/>
              </w:rPr>
              <w:t>2020</w:t>
            </w:r>
          </w:p>
        </w:tc>
        <w:tc>
          <w:tcPr>
            <w:tcW w:w="708" w:type="dxa"/>
            <w:vAlign w:val="center"/>
            <w:hideMark/>
          </w:tcPr>
          <w:p w:rsidR="00BF4753" w:rsidRPr="00361832"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361832">
              <w:rPr>
                <w:rFonts w:cs="Times New Roman"/>
                <w:color w:val="000000" w:themeColor="text1"/>
                <w:sz w:val="20"/>
                <w:szCs w:val="20"/>
                <w:lang w:eastAsia="lv-LV"/>
              </w:rPr>
              <w:t>2021</w:t>
            </w:r>
          </w:p>
        </w:tc>
        <w:tc>
          <w:tcPr>
            <w:tcW w:w="709" w:type="dxa"/>
            <w:vAlign w:val="center"/>
            <w:hideMark/>
          </w:tcPr>
          <w:p w:rsidR="00BF4753" w:rsidRPr="00361832"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361832">
              <w:rPr>
                <w:rFonts w:cs="Times New Roman"/>
                <w:color w:val="000000" w:themeColor="text1"/>
                <w:sz w:val="20"/>
                <w:szCs w:val="20"/>
                <w:lang w:eastAsia="lv-LV"/>
              </w:rPr>
              <w:t>2022</w:t>
            </w:r>
          </w:p>
        </w:tc>
        <w:tc>
          <w:tcPr>
            <w:tcW w:w="709" w:type="dxa"/>
            <w:vAlign w:val="center"/>
            <w:hideMark/>
          </w:tcPr>
          <w:p w:rsidR="00BF4753" w:rsidRPr="00361832"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361832">
              <w:rPr>
                <w:rFonts w:cs="Times New Roman"/>
                <w:color w:val="000000" w:themeColor="text1"/>
                <w:sz w:val="20"/>
                <w:szCs w:val="20"/>
                <w:lang w:eastAsia="lv-LV"/>
              </w:rPr>
              <w:t>2023</w:t>
            </w:r>
          </w:p>
        </w:tc>
        <w:tc>
          <w:tcPr>
            <w:tcW w:w="709" w:type="dxa"/>
            <w:vAlign w:val="center"/>
            <w:hideMark/>
          </w:tcPr>
          <w:p w:rsidR="00BF4753" w:rsidRPr="00361832"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361832">
              <w:rPr>
                <w:rFonts w:cs="Times New Roman"/>
                <w:color w:val="000000" w:themeColor="text1"/>
                <w:sz w:val="20"/>
                <w:szCs w:val="20"/>
                <w:lang w:eastAsia="lv-LV"/>
              </w:rPr>
              <w:t>2024</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361832" w:rsidRDefault="00BF4753" w:rsidP="002D7CA8">
            <w:pPr>
              <w:ind w:firstLine="0"/>
              <w:jc w:val="left"/>
              <w:rPr>
                <w:rFonts w:cs="Times New Roman"/>
                <w:color w:val="000000" w:themeColor="text1"/>
                <w:sz w:val="20"/>
                <w:szCs w:val="20"/>
                <w:lang w:eastAsia="lv-LV"/>
              </w:rPr>
            </w:pPr>
          </w:p>
        </w:tc>
        <w:tc>
          <w:tcPr>
            <w:tcW w:w="1134" w:type="dxa"/>
            <w:vAlign w:val="center"/>
            <w:hideMark/>
          </w:tcPr>
          <w:p w:rsidR="00BF4753" w:rsidRPr="00361832"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p>
        </w:tc>
        <w:tc>
          <w:tcPr>
            <w:tcW w:w="1134" w:type="dxa"/>
            <w:vAlign w:val="center"/>
            <w:hideMark/>
          </w:tcPr>
          <w:p w:rsidR="00BF4753" w:rsidRPr="00361832"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r w:rsidRPr="00361832">
              <w:rPr>
                <w:rFonts w:cs="Times New Roman"/>
                <w:bCs/>
                <w:color w:val="000000" w:themeColor="text1"/>
                <w:sz w:val="20"/>
                <w:szCs w:val="20"/>
                <w:lang w:eastAsia="lv-LV"/>
              </w:rPr>
              <w:t xml:space="preserve">milj. </w:t>
            </w:r>
            <w:r w:rsidRPr="00361832">
              <w:rPr>
                <w:rFonts w:cs="Times New Roman"/>
                <w:bCs/>
                <w:i/>
                <w:color w:val="000000" w:themeColor="text1"/>
                <w:sz w:val="20"/>
                <w:szCs w:val="20"/>
                <w:lang w:eastAsia="lv-LV"/>
              </w:rPr>
              <w:t>euro</w:t>
            </w:r>
          </w:p>
        </w:tc>
        <w:tc>
          <w:tcPr>
            <w:tcW w:w="3696" w:type="dxa"/>
            <w:gridSpan w:val="5"/>
            <w:vAlign w:val="center"/>
            <w:hideMark/>
          </w:tcPr>
          <w:p w:rsidR="00BF4753" w:rsidRPr="00361832"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r w:rsidRPr="00361832">
              <w:rPr>
                <w:rFonts w:cs="Times New Roman"/>
                <w:bCs/>
                <w:color w:val="000000" w:themeColor="text1"/>
                <w:sz w:val="20"/>
                <w:szCs w:val="20"/>
                <w:lang w:eastAsia="lv-LV"/>
              </w:rPr>
              <w:t>% no IKP</w:t>
            </w:r>
          </w:p>
        </w:tc>
      </w:tr>
      <w:tr w:rsidR="00BF4753" w:rsidRPr="00361832" w:rsidTr="002D7CA8">
        <w:trPr>
          <w:trHeight w:val="225"/>
          <w:jc w:val="center"/>
        </w:trPr>
        <w:tc>
          <w:tcPr>
            <w:cnfStyle w:val="001000000000" w:firstRow="0" w:lastRow="0" w:firstColumn="1" w:lastColumn="0" w:oddVBand="0" w:evenVBand="0" w:oddHBand="0" w:evenHBand="0" w:firstRowFirstColumn="0" w:firstRowLastColumn="0" w:lastRowFirstColumn="0" w:lastRowLastColumn="0"/>
            <w:tcW w:w="9645" w:type="dxa"/>
            <w:gridSpan w:val="8"/>
            <w:vAlign w:val="center"/>
            <w:hideMark/>
          </w:tcPr>
          <w:p w:rsidR="00BF4753" w:rsidRPr="00361832" w:rsidRDefault="00BF4753" w:rsidP="002D7CA8">
            <w:pPr>
              <w:ind w:firstLine="0"/>
              <w:jc w:val="center"/>
              <w:rPr>
                <w:rFonts w:cs="Times New Roman"/>
                <w:color w:val="000000" w:themeColor="text1"/>
                <w:sz w:val="20"/>
                <w:szCs w:val="20"/>
                <w:lang w:eastAsia="lv-LV"/>
              </w:rPr>
            </w:pPr>
            <w:r w:rsidRPr="00361832">
              <w:rPr>
                <w:rFonts w:cs="Times New Roman"/>
                <w:color w:val="000000" w:themeColor="text1"/>
                <w:sz w:val="20"/>
                <w:szCs w:val="20"/>
                <w:lang w:eastAsia="lv-LV"/>
              </w:rPr>
              <w:t>Neto aizdevumi (+) vai aizņēmumi (–) (B.9) pa apakšsektoriem</w:t>
            </w:r>
          </w:p>
        </w:tc>
      </w:tr>
    </w:tbl>
    <w:tbl>
      <w:tblPr>
        <w:tblStyle w:val="GridTable6Colorful-Accent1141"/>
        <w:tblW w:w="9645" w:type="dxa"/>
        <w:jc w:val="center"/>
        <w:tblLayout w:type="fixed"/>
        <w:tblLook w:val="04A0" w:firstRow="1" w:lastRow="0" w:firstColumn="1" w:lastColumn="0" w:noHBand="0" w:noVBand="1"/>
      </w:tblPr>
      <w:tblGrid>
        <w:gridCol w:w="3681"/>
        <w:gridCol w:w="1134"/>
        <w:gridCol w:w="1134"/>
        <w:gridCol w:w="861"/>
        <w:gridCol w:w="708"/>
        <w:gridCol w:w="709"/>
        <w:gridCol w:w="709"/>
        <w:gridCol w:w="709"/>
      </w:tblGrid>
      <w:tr w:rsidR="00BF4753" w:rsidRPr="00361832" w:rsidTr="002D7CA8">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1. Vispārējā valdība</w:t>
            </w:r>
          </w:p>
        </w:tc>
        <w:tc>
          <w:tcPr>
            <w:tcW w:w="1134" w:type="dxa"/>
            <w:vAlign w:val="center"/>
            <w:hideMark/>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S.13</w:t>
            </w:r>
          </w:p>
        </w:tc>
        <w:tc>
          <w:tcPr>
            <w:tcW w:w="1134"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-1 569,9</w:t>
            </w:r>
          </w:p>
        </w:tc>
        <w:tc>
          <w:tcPr>
            <w:tcW w:w="861"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-5,4</w:t>
            </w:r>
          </w:p>
        </w:tc>
        <w:tc>
          <w:tcPr>
            <w:tcW w:w="708"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-9,3</w:t>
            </w:r>
          </w:p>
        </w:tc>
        <w:tc>
          <w:tcPr>
            <w:tcW w:w="709"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-2,7</w:t>
            </w:r>
          </w:p>
        </w:tc>
        <w:tc>
          <w:tcPr>
            <w:tcW w:w="709"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-1,3</w:t>
            </w:r>
          </w:p>
        </w:tc>
        <w:tc>
          <w:tcPr>
            <w:tcW w:w="709"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-0,3</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2. Centrālā valdība</w:t>
            </w:r>
          </w:p>
        </w:tc>
        <w:tc>
          <w:tcPr>
            <w:tcW w:w="1134" w:type="dxa"/>
            <w:vAlign w:val="center"/>
            <w:hideMark/>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S.1311</w:t>
            </w:r>
          </w:p>
        </w:tc>
        <w:tc>
          <w:tcPr>
            <w:tcW w:w="1134"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-1 589,7</w:t>
            </w:r>
          </w:p>
        </w:tc>
        <w:tc>
          <w:tcPr>
            <w:tcW w:w="861"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-5,4</w:t>
            </w:r>
          </w:p>
        </w:tc>
        <w:tc>
          <w:tcPr>
            <w:tcW w:w="708"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-8,6</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-2,5</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-1,2</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-0,2</w:t>
            </w:r>
          </w:p>
        </w:tc>
      </w:tr>
      <w:tr w:rsidR="00BF4753" w:rsidRPr="00361832" w:rsidTr="002D7CA8">
        <w:trPr>
          <w:trHeight w:val="137"/>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3. Pavalsts valdība</w:t>
            </w:r>
          </w:p>
        </w:tc>
        <w:tc>
          <w:tcPr>
            <w:tcW w:w="1134" w:type="dxa"/>
            <w:vAlign w:val="center"/>
            <w:hideMark/>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S.1312</w:t>
            </w:r>
          </w:p>
        </w:tc>
        <w:tc>
          <w:tcPr>
            <w:tcW w:w="1134"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p>
        </w:tc>
        <w:tc>
          <w:tcPr>
            <w:tcW w:w="861"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p>
        </w:tc>
        <w:tc>
          <w:tcPr>
            <w:tcW w:w="708"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4. Vietējā valdība</w:t>
            </w:r>
          </w:p>
        </w:tc>
        <w:tc>
          <w:tcPr>
            <w:tcW w:w="1134" w:type="dxa"/>
            <w:vAlign w:val="center"/>
            <w:hideMark/>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S.1313</w:t>
            </w:r>
          </w:p>
        </w:tc>
        <w:tc>
          <w:tcPr>
            <w:tcW w:w="1134"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-104,4</w:t>
            </w:r>
          </w:p>
        </w:tc>
        <w:tc>
          <w:tcPr>
            <w:tcW w:w="861"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-0,4</w:t>
            </w:r>
          </w:p>
        </w:tc>
        <w:tc>
          <w:tcPr>
            <w:tcW w:w="708"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-0,4</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-0,1</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-0,1</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-0,1</w:t>
            </w:r>
          </w:p>
        </w:tc>
      </w:tr>
      <w:tr w:rsidR="00BF4753" w:rsidRPr="00361832" w:rsidTr="002D7CA8">
        <w:trPr>
          <w:trHeight w:val="229"/>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5. Sociālās nodrošināšanas fondi</w:t>
            </w:r>
          </w:p>
        </w:tc>
        <w:tc>
          <w:tcPr>
            <w:tcW w:w="1134" w:type="dxa"/>
            <w:vAlign w:val="center"/>
            <w:hideMark/>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S.1314</w:t>
            </w:r>
          </w:p>
        </w:tc>
        <w:tc>
          <w:tcPr>
            <w:tcW w:w="1134"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124,1</w:t>
            </w:r>
          </w:p>
        </w:tc>
        <w:tc>
          <w:tcPr>
            <w:tcW w:w="861"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0,4</w:t>
            </w:r>
          </w:p>
        </w:tc>
        <w:tc>
          <w:tcPr>
            <w:tcW w:w="708"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-0,3</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-0,1</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0,0</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0,0</w:t>
            </w:r>
          </w:p>
        </w:tc>
      </w:tr>
    </w:tbl>
    <w:tbl>
      <w:tblPr>
        <w:tblStyle w:val="GridTable6Colorful-Accent1131"/>
        <w:tblW w:w="9645" w:type="dxa"/>
        <w:jc w:val="center"/>
        <w:tblLayout w:type="fixed"/>
        <w:tblLook w:val="04A0" w:firstRow="1" w:lastRow="0" w:firstColumn="1" w:lastColumn="0" w:noHBand="0" w:noVBand="1"/>
      </w:tblPr>
      <w:tblGrid>
        <w:gridCol w:w="9645"/>
      </w:tblGrid>
      <w:tr w:rsidR="00BF4753" w:rsidRPr="00361832" w:rsidTr="002D7CA8">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9645" w:type="dxa"/>
            <w:vAlign w:val="center"/>
            <w:hideMark/>
          </w:tcPr>
          <w:p w:rsidR="00BF4753" w:rsidRPr="00361832" w:rsidRDefault="00BF4753" w:rsidP="002D7CA8">
            <w:pPr>
              <w:ind w:firstLine="0"/>
              <w:jc w:val="center"/>
              <w:rPr>
                <w:rFonts w:cs="Times New Roman"/>
                <w:color w:val="000000" w:themeColor="text1"/>
                <w:sz w:val="20"/>
                <w:szCs w:val="20"/>
                <w:lang w:eastAsia="lv-LV"/>
              </w:rPr>
            </w:pPr>
            <w:r w:rsidRPr="00361832">
              <w:rPr>
                <w:rFonts w:cs="Times New Roman"/>
                <w:color w:val="000000" w:themeColor="text1"/>
                <w:sz w:val="20"/>
                <w:szCs w:val="20"/>
                <w:lang w:eastAsia="lv-LV"/>
              </w:rPr>
              <w:t>Vispārējā valdība (S.13)</w:t>
            </w:r>
          </w:p>
        </w:tc>
      </w:tr>
    </w:tbl>
    <w:tbl>
      <w:tblPr>
        <w:tblStyle w:val="GridTable6Colorful-Accent1141"/>
        <w:tblW w:w="9645" w:type="dxa"/>
        <w:jc w:val="center"/>
        <w:tblLayout w:type="fixed"/>
        <w:tblLook w:val="04A0" w:firstRow="1" w:lastRow="0" w:firstColumn="1" w:lastColumn="0" w:noHBand="0" w:noVBand="1"/>
      </w:tblPr>
      <w:tblGrid>
        <w:gridCol w:w="3681"/>
        <w:gridCol w:w="1134"/>
        <w:gridCol w:w="1134"/>
        <w:gridCol w:w="861"/>
        <w:gridCol w:w="708"/>
        <w:gridCol w:w="709"/>
        <w:gridCol w:w="709"/>
        <w:gridCol w:w="709"/>
      </w:tblGrid>
      <w:tr w:rsidR="00BF4753" w:rsidRPr="00361832" w:rsidTr="002D7CA8">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6. Kopējie ieņēmumi</w:t>
            </w:r>
          </w:p>
        </w:tc>
        <w:tc>
          <w:tcPr>
            <w:tcW w:w="1134" w:type="dxa"/>
            <w:vAlign w:val="center"/>
            <w:hideMark/>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TR</w:t>
            </w:r>
          </w:p>
        </w:tc>
        <w:tc>
          <w:tcPr>
            <w:tcW w:w="1134"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11 545,2</w:t>
            </w:r>
          </w:p>
        </w:tc>
        <w:tc>
          <w:tcPr>
            <w:tcW w:w="861"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39,4</w:t>
            </w:r>
          </w:p>
        </w:tc>
        <w:tc>
          <w:tcPr>
            <w:tcW w:w="708"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39,3</w:t>
            </w:r>
          </w:p>
        </w:tc>
        <w:tc>
          <w:tcPr>
            <w:tcW w:w="709"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39,9</w:t>
            </w:r>
          </w:p>
        </w:tc>
        <w:tc>
          <w:tcPr>
            <w:tcW w:w="709"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39,0</w:t>
            </w:r>
          </w:p>
        </w:tc>
        <w:tc>
          <w:tcPr>
            <w:tcW w:w="709"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38,6</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7. Kopējie izdevumi</w:t>
            </w:r>
          </w:p>
        </w:tc>
        <w:tc>
          <w:tcPr>
            <w:tcW w:w="1134" w:type="dxa"/>
            <w:vAlign w:val="center"/>
            <w:hideMark/>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TE</w:t>
            </w:r>
          </w:p>
        </w:tc>
        <w:tc>
          <w:tcPr>
            <w:tcW w:w="1134"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13 115,2</w:t>
            </w:r>
          </w:p>
        </w:tc>
        <w:tc>
          <w:tcPr>
            <w:tcW w:w="861"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44,7</w:t>
            </w:r>
          </w:p>
        </w:tc>
        <w:tc>
          <w:tcPr>
            <w:tcW w:w="708"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48,6</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42,5</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40,3</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39,0</w:t>
            </w:r>
          </w:p>
        </w:tc>
      </w:tr>
      <w:tr w:rsidR="00BF4753" w:rsidRPr="00361832" w:rsidTr="002D7CA8">
        <w:trPr>
          <w:trHeight w:val="173"/>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8. Budžeta bilance</w:t>
            </w:r>
          </w:p>
        </w:tc>
        <w:tc>
          <w:tcPr>
            <w:tcW w:w="1134" w:type="dxa"/>
            <w:vAlign w:val="center"/>
            <w:hideMark/>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B.9</w:t>
            </w:r>
          </w:p>
        </w:tc>
        <w:tc>
          <w:tcPr>
            <w:tcW w:w="1134"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-1 569,9</w:t>
            </w:r>
          </w:p>
        </w:tc>
        <w:tc>
          <w:tcPr>
            <w:tcW w:w="861"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-5,4</w:t>
            </w:r>
          </w:p>
        </w:tc>
        <w:tc>
          <w:tcPr>
            <w:tcW w:w="708"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-9,3</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-2,7</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-1,3</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-0,3</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9. Procentu izdevumi</w:t>
            </w:r>
          </w:p>
        </w:tc>
        <w:tc>
          <w:tcPr>
            <w:tcW w:w="1134" w:type="dxa"/>
            <w:vAlign w:val="center"/>
            <w:hideMark/>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D.41</w:t>
            </w:r>
          </w:p>
        </w:tc>
        <w:tc>
          <w:tcPr>
            <w:tcW w:w="1134"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248,4</w:t>
            </w:r>
          </w:p>
        </w:tc>
        <w:tc>
          <w:tcPr>
            <w:tcW w:w="861"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0,8</w:t>
            </w:r>
          </w:p>
        </w:tc>
        <w:tc>
          <w:tcPr>
            <w:tcW w:w="708"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0,7</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0,8</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0,8</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0,7</w:t>
            </w:r>
          </w:p>
        </w:tc>
      </w:tr>
      <w:tr w:rsidR="00BF4753" w:rsidRPr="00361832" w:rsidTr="002D7CA8">
        <w:trPr>
          <w:trHeight w:val="25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10. Primārā bilance</w:t>
            </w:r>
          </w:p>
        </w:tc>
        <w:tc>
          <w:tcPr>
            <w:tcW w:w="1134" w:type="dxa"/>
            <w:vAlign w:val="center"/>
            <w:hideMark/>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 w:val="20"/>
                <w:szCs w:val="20"/>
                <w:lang w:eastAsia="lv-LV"/>
              </w:rPr>
            </w:pPr>
          </w:p>
        </w:tc>
        <w:tc>
          <w:tcPr>
            <w:tcW w:w="1134"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-1 321,5</w:t>
            </w:r>
          </w:p>
        </w:tc>
        <w:tc>
          <w:tcPr>
            <w:tcW w:w="861"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-4,5</w:t>
            </w:r>
          </w:p>
        </w:tc>
        <w:tc>
          <w:tcPr>
            <w:tcW w:w="708"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-8,6</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-1,9</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-0,6</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0,3</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11. Vienreizēji un citi īslaicīgi pasākumi</w:t>
            </w:r>
          </w:p>
        </w:tc>
        <w:tc>
          <w:tcPr>
            <w:tcW w:w="1134" w:type="dxa"/>
            <w:vAlign w:val="center"/>
            <w:hideMark/>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p>
        </w:tc>
        <w:tc>
          <w:tcPr>
            <w:tcW w:w="1134"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highlight w:val="yellow"/>
                <w:lang w:eastAsia="lv-LV"/>
              </w:rPr>
            </w:pPr>
            <w:r w:rsidRPr="0050594C">
              <w:rPr>
                <w:rFonts w:cs="Times New Roman"/>
                <w:bCs/>
                <w:color w:val="000000" w:themeColor="text1"/>
                <w:sz w:val="20"/>
                <w:szCs w:val="20"/>
                <w:lang w:eastAsia="lv-LV"/>
              </w:rPr>
              <w:t>-55,0</w:t>
            </w:r>
          </w:p>
        </w:tc>
        <w:tc>
          <w:tcPr>
            <w:tcW w:w="861"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highlight w:val="yellow"/>
                <w:lang w:eastAsia="lv-LV"/>
              </w:rPr>
            </w:pPr>
            <w:r w:rsidRPr="0050594C">
              <w:rPr>
                <w:rFonts w:cs="Times New Roman"/>
                <w:bCs/>
                <w:color w:val="000000" w:themeColor="text1"/>
                <w:sz w:val="20"/>
                <w:szCs w:val="20"/>
                <w:lang w:eastAsia="lv-LV"/>
              </w:rPr>
              <w:t>-0,2</w:t>
            </w:r>
          </w:p>
        </w:tc>
        <w:tc>
          <w:tcPr>
            <w:tcW w:w="708"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highlight w:val="yellow"/>
                <w:lang w:eastAsia="lv-LV"/>
              </w:rPr>
            </w:pP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highlight w:val="yellow"/>
                <w:lang w:eastAsia="lv-LV"/>
              </w:rPr>
            </w:pP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highlight w:val="yellow"/>
                <w:lang w:eastAsia="lv-LV"/>
              </w:rPr>
            </w:pP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highlight w:val="yellow"/>
                <w:lang w:eastAsia="lv-LV"/>
              </w:rPr>
            </w:pPr>
          </w:p>
        </w:tc>
      </w:tr>
    </w:tbl>
    <w:tbl>
      <w:tblPr>
        <w:tblStyle w:val="GridTable6Colorful-Accent1131"/>
        <w:tblW w:w="9645" w:type="dxa"/>
        <w:jc w:val="center"/>
        <w:tblLayout w:type="fixed"/>
        <w:tblLook w:val="04A0" w:firstRow="1" w:lastRow="0" w:firstColumn="1" w:lastColumn="0" w:noHBand="0" w:noVBand="1"/>
      </w:tblPr>
      <w:tblGrid>
        <w:gridCol w:w="9645"/>
      </w:tblGrid>
      <w:tr w:rsidR="00BF4753" w:rsidRPr="00361832" w:rsidTr="002D7CA8">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9645" w:type="dxa"/>
            <w:vAlign w:val="center"/>
            <w:hideMark/>
          </w:tcPr>
          <w:p w:rsidR="00BF4753" w:rsidRPr="00361832" w:rsidRDefault="00BF4753" w:rsidP="002D7CA8">
            <w:pPr>
              <w:ind w:firstLine="0"/>
              <w:jc w:val="center"/>
              <w:rPr>
                <w:rFonts w:cs="Times New Roman"/>
                <w:color w:val="000000" w:themeColor="text1"/>
                <w:sz w:val="20"/>
                <w:szCs w:val="20"/>
                <w:lang w:eastAsia="lv-LV"/>
              </w:rPr>
            </w:pPr>
            <w:r w:rsidRPr="00361832">
              <w:rPr>
                <w:rFonts w:cs="Times New Roman"/>
                <w:color w:val="000000" w:themeColor="text1"/>
                <w:sz w:val="20"/>
                <w:szCs w:val="20"/>
                <w:lang w:eastAsia="lv-LV"/>
              </w:rPr>
              <w:t>Ieņēmumu sadaļas</w:t>
            </w:r>
          </w:p>
        </w:tc>
      </w:tr>
    </w:tbl>
    <w:tbl>
      <w:tblPr>
        <w:tblStyle w:val="GridTable6Colorful-Accent1141"/>
        <w:tblW w:w="9645" w:type="dxa"/>
        <w:jc w:val="center"/>
        <w:tblLayout w:type="fixed"/>
        <w:tblLook w:val="04A0" w:firstRow="1" w:lastRow="0" w:firstColumn="1" w:lastColumn="0" w:noHBand="0" w:noVBand="1"/>
      </w:tblPr>
      <w:tblGrid>
        <w:gridCol w:w="3681"/>
        <w:gridCol w:w="992"/>
        <w:gridCol w:w="1276"/>
        <w:gridCol w:w="861"/>
        <w:gridCol w:w="708"/>
        <w:gridCol w:w="709"/>
        <w:gridCol w:w="709"/>
        <w:gridCol w:w="709"/>
      </w:tblGrid>
      <w:tr w:rsidR="00BF4753" w:rsidRPr="00361832" w:rsidTr="002D7CA8">
        <w:trPr>
          <w:cnfStyle w:val="100000000000" w:firstRow="1" w:lastRow="0" w:firstColumn="0" w:lastColumn="0" w:oddVBand="0" w:evenVBand="0" w:oddHBand="0"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12. Nodokļi kopā (12=12a+12b+12c)</w:t>
            </w:r>
          </w:p>
        </w:tc>
        <w:tc>
          <w:tcPr>
            <w:tcW w:w="992" w:type="dxa"/>
            <w:vAlign w:val="center"/>
            <w:hideMark/>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p>
        </w:tc>
        <w:tc>
          <w:tcPr>
            <w:tcW w:w="1276"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6 300,2</w:t>
            </w:r>
          </w:p>
        </w:tc>
        <w:tc>
          <w:tcPr>
            <w:tcW w:w="861"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21,5</w:t>
            </w:r>
          </w:p>
        </w:tc>
        <w:tc>
          <w:tcPr>
            <w:tcW w:w="708"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21,6</w:t>
            </w:r>
          </w:p>
        </w:tc>
        <w:tc>
          <w:tcPr>
            <w:tcW w:w="709"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21,8</w:t>
            </w:r>
          </w:p>
        </w:tc>
        <w:tc>
          <w:tcPr>
            <w:tcW w:w="709"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21,7</w:t>
            </w:r>
          </w:p>
        </w:tc>
        <w:tc>
          <w:tcPr>
            <w:tcW w:w="709"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21,6</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12a. Ražošanas un importa nodokļi</w:t>
            </w:r>
          </w:p>
        </w:tc>
        <w:tc>
          <w:tcPr>
            <w:tcW w:w="992" w:type="dxa"/>
            <w:vAlign w:val="center"/>
            <w:hideMark/>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D.2</w:t>
            </w:r>
          </w:p>
        </w:tc>
        <w:tc>
          <w:tcPr>
            <w:tcW w:w="1276"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4 180,3</w:t>
            </w:r>
          </w:p>
        </w:tc>
        <w:tc>
          <w:tcPr>
            <w:tcW w:w="861"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14,3</w:t>
            </w:r>
          </w:p>
        </w:tc>
        <w:tc>
          <w:tcPr>
            <w:tcW w:w="708"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14,5</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14,5</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14,4</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14,4</w:t>
            </w:r>
          </w:p>
        </w:tc>
      </w:tr>
      <w:tr w:rsidR="00BF4753" w:rsidRPr="00361832" w:rsidTr="002D7CA8">
        <w:trPr>
          <w:trHeight w:val="24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12b. Ienākuma un mantas kārtējie nodokļi</w:t>
            </w:r>
          </w:p>
        </w:tc>
        <w:tc>
          <w:tcPr>
            <w:tcW w:w="992" w:type="dxa"/>
            <w:vAlign w:val="center"/>
            <w:hideMark/>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D.5</w:t>
            </w:r>
          </w:p>
        </w:tc>
        <w:tc>
          <w:tcPr>
            <w:tcW w:w="1276"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2 108,5</w:t>
            </w:r>
          </w:p>
        </w:tc>
        <w:tc>
          <w:tcPr>
            <w:tcW w:w="861"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7,2</w:t>
            </w:r>
          </w:p>
        </w:tc>
        <w:tc>
          <w:tcPr>
            <w:tcW w:w="708"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7,1</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7,3</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7,2</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7,2</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12c. Kapitāla nodokļi</w:t>
            </w:r>
          </w:p>
        </w:tc>
        <w:tc>
          <w:tcPr>
            <w:tcW w:w="992" w:type="dxa"/>
            <w:vAlign w:val="center"/>
            <w:hideMark/>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D.91</w:t>
            </w:r>
          </w:p>
        </w:tc>
        <w:tc>
          <w:tcPr>
            <w:tcW w:w="1276"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11,5</w:t>
            </w:r>
          </w:p>
        </w:tc>
        <w:tc>
          <w:tcPr>
            <w:tcW w:w="861"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0,0</w:t>
            </w:r>
          </w:p>
        </w:tc>
        <w:tc>
          <w:tcPr>
            <w:tcW w:w="708"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0,0</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0,0</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0,0</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0,0</w:t>
            </w:r>
          </w:p>
        </w:tc>
      </w:tr>
      <w:tr w:rsidR="00BF4753" w:rsidRPr="00361832" w:rsidTr="002D7CA8">
        <w:trPr>
          <w:trHeight w:val="13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13. Sociālās iemaksas</w:t>
            </w:r>
          </w:p>
        </w:tc>
        <w:tc>
          <w:tcPr>
            <w:tcW w:w="992" w:type="dxa"/>
            <w:vAlign w:val="center"/>
            <w:hideMark/>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D.61</w:t>
            </w:r>
          </w:p>
        </w:tc>
        <w:tc>
          <w:tcPr>
            <w:tcW w:w="1276"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3 022,2</w:t>
            </w:r>
          </w:p>
        </w:tc>
        <w:tc>
          <w:tcPr>
            <w:tcW w:w="861"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10,3</w:t>
            </w:r>
          </w:p>
        </w:tc>
        <w:tc>
          <w:tcPr>
            <w:tcW w:w="708"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10,1</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10,1</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10,1</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10,1</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14. Īpašuma ienākumi</w:t>
            </w:r>
          </w:p>
        </w:tc>
        <w:tc>
          <w:tcPr>
            <w:tcW w:w="992" w:type="dxa"/>
            <w:vAlign w:val="center"/>
            <w:hideMark/>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D.4</w:t>
            </w:r>
          </w:p>
        </w:tc>
        <w:tc>
          <w:tcPr>
            <w:tcW w:w="1276"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218,4</w:t>
            </w:r>
          </w:p>
        </w:tc>
        <w:tc>
          <w:tcPr>
            <w:tcW w:w="861"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0,7</w:t>
            </w:r>
          </w:p>
        </w:tc>
        <w:tc>
          <w:tcPr>
            <w:tcW w:w="708"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0,7</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0,6</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0,5</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0,3</w:t>
            </w:r>
          </w:p>
        </w:tc>
      </w:tr>
      <w:tr w:rsidR="00BF4753" w:rsidRPr="00361832" w:rsidTr="002D7CA8">
        <w:trPr>
          <w:trHeight w:val="227"/>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15. Pārējie ieņēmumi</w:t>
            </w:r>
          </w:p>
        </w:tc>
        <w:tc>
          <w:tcPr>
            <w:tcW w:w="992" w:type="dxa"/>
            <w:vAlign w:val="center"/>
            <w:hideMark/>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 w:val="20"/>
                <w:szCs w:val="20"/>
                <w:lang w:eastAsia="lv-LV"/>
              </w:rPr>
            </w:pPr>
          </w:p>
        </w:tc>
        <w:tc>
          <w:tcPr>
            <w:tcW w:w="1276"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2 004,4</w:t>
            </w:r>
          </w:p>
        </w:tc>
        <w:tc>
          <w:tcPr>
            <w:tcW w:w="861"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6,8</w:t>
            </w:r>
          </w:p>
        </w:tc>
        <w:tc>
          <w:tcPr>
            <w:tcW w:w="708"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6,9</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7,5</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6,7</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6,6</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16. Kopējie ieņēmumi</w:t>
            </w:r>
          </w:p>
        </w:tc>
        <w:tc>
          <w:tcPr>
            <w:tcW w:w="992" w:type="dxa"/>
            <w:vAlign w:val="center"/>
            <w:hideMark/>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TR</w:t>
            </w:r>
          </w:p>
        </w:tc>
        <w:tc>
          <w:tcPr>
            <w:tcW w:w="1276"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11 545,2</w:t>
            </w:r>
          </w:p>
        </w:tc>
        <w:tc>
          <w:tcPr>
            <w:tcW w:w="861"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39,4</w:t>
            </w:r>
          </w:p>
        </w:tc>
        <w:tc>
          <w:tcPr>
            <w:tcW w:w="708"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39,3</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39,9</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39,0</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38,6</w:t>
            </w:r>
          </w:p>
        </w:tc>
      </w:tr>
      <w:tr w:rsidR="00BF4753" w:rsidRPr="00361832" w:rsidTr="002D7CA8">
        <w:trPr>
          <w:trHeight w:val="300"/>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Nodokļu slogs (D.2</w:t>
            </w:r>
            <w:r w:rsidRPr="0050594C">
              <w:rPr>
                <w:rFonts w:cs="Times New Roman"/>
                <w:b w:val="0"/>
                <w:color w:val="000000" w:themeColor="text1"/>
                <w:sz w:val="20"/>
                <w:szCs w:val="20"/>
                <w:vertAlign w:val="superscript"/>
                <w:lang w:eastAsia="lv-LV"/>
              </w:rPr>
              <w:footnoteReference w:id="19"/>
            </w:r>
            <w:r w:rsidRPr="0050594C">
              <w:rPr>
                <w:rFonts w:cs="Times New Roman"/>
                <w:b w:val="0"/>
                <w:color w:val="000000" w:themeColor="text1"/>
                <w:sz w:val="20"/>
                <w:szCs w:val="20"/>
                <w:lang w:eastAsia="lv-LV"/>
              </w:rPr>
              <w:t>+D.5+D.61+D.91-D.995)</w:t>
            </w:r>
          </w:p>
        </w:tc>
        <w:tc>
          <w:tcPr>
            <w:tcW w:w="992" w:type="dxa"/>
            <w:vAlign w:val="center"/>
            <w:hideMark/>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 w:val="20"/>
                <w:szCs w:val="20"/>
                <w:lang w:eastAsia="lv-LV"/>
              </w:rPr>
            </w:pPr>
          </w:p>
        </w:tc>
        <w:tc>
          <w:tcPr>
            <w:tcW w:w="1276"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9 365,4</w:t>
            </w:r>
          </w:p>
        </w:tc>
        <w:tc>
          <w:tcPr>
            <w:tcW w:w="861"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31,9</w:t>
            </w:r>
          </w:p>
        </w:tc>
        <w:tc>
          <w:tcPr>
            <w:tcW w:w="708"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31,9</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32,0</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32,0</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31,9</w:t>
            </w:r>
          </w:p>
        </w:tc>
      </w:tr>
    </w:tbl>
    <w:tbl>
      <w:tblPr>
        <w:tblStyle w:val="GridTable6Colorful-Accent1131"/>
        <w:tblW w:w="9645" w:type="dxa"/>
        <w:jc w:val="center"/>
        <w:tblLayout w:type="fixed"/>
        <w:tblLook w:val="04A0" w:firstRow="1" w:lastRow="0" w:firstColumn="1" w:lastColumn="0" w:noHBand="0" w:noVBand="1"/>
      </w:tblPr>
      <w:tblGrid>
        <w:gridCol w:w="9645"/>
      </w:tblGrid>
      <w:tr w:rsidR="00BF4753" w:rsidRPr="00361832" w:rsidTr="002D7CA8">
        <w:trPr>
          <w:cnfStyle w:val="100000000000" w:firstRow="1" w:lastRow="0" w:firstColumn="0" w:lastColumn="0" w:oddVBand="0" w:evenVBand="0" w:oddHBand="0"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9645" w:type="dxa"/>
            <w:vAlign w:val="center"/>
            <w:hideMark/>
          </w:tcPr>
          <w:p w:rsidR="00BF4753" w:rsidRPr="00361832" w:rsidRDefault="00BF4753" w:rsidP="002D7CA8">
            <w:pPr>
              <w:ind w:firstLine="0"/>
              <w:jc w:val="center"/>
              <w:rPr>
                <w:rFonts w:cs="Times New Roman"/>
                <w:color w:val="000000" w:themeColor="text1"/>
                <w:sz w:val="20"/>
                <w:szCs w:val="20"/>
                <w:lang w:eastAsia="lv-LV"/>
              </w:rPr>
            </w:pPr>
            <w:r w:rsidRPr="00361832">
              <w:rPr>
                <w:rFonts w:cs="Times New Roman"/>
                <w:color w:val="000000" w:themeColor="text1"/>
                <w:sz w:val="20"/>
                <w:szCs w:val="20"/>
                <w:lang w:eastAsia="lv-LV"/>
              </w:rPr>
              <w:t>Izdevumu sadaļas</w:t>
            </w:r>
          </w:p>
        </w:tc>
      </w:tr>
    </w:tbl>
    <w:tbl>
      <w:tblPr>
        <w:tblStyle w:val="GridTable6Colorful-Accent1141"/>
        <w:tblW w:w="9645" w:type="dxa"/>
        <w:jc w:val="center"/>
        <w:tblLayout w:type="fixed"/>
        <w:tblLook w:val="04A0" w:firstRow="1" w:lastRow="0" w:firstColumn="1" w:lastColumn="0" w:noHBand="0" w:noVBand="1"/>
      </w:tblPr>
      <w:tblGrid>
        <w:gridCol w:w="3681"/>
        <w:gridCol w:w="992"/>
        <w:gridCol w:w="1276"/>
        <w:gridCol w:w="861"/>
        <w:gridCol w:w="708"/>
        <w:gridCol w:w="709"/>
        <w:gridCol w:w="709"/>
        <w:gridCol w:w="709"/>
      </w:tblGrid>
      <w:tr w:rsidR="00BF4753" w:rsidRPr="00361832" w:rsidTr="002D7CA8">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17. Atlīdzība nodarbinātajiem un starppatēriņš</w:t>
            </w:r>
          </w:p>
        </w:tc>
        <w:tc>
          <w:tcPr>
            <w:tcW w:w="992" w:type="dxa"/>
            <w:vAlign w:val="center"/>
            <w:hideMark/>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D.1+P.2</w:t>
            </w:r>
          </w:p>
        </w:tc>
        <w:tc>
          <w:tcPr>
            <w:tcW w:w="1276"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5 318,1</w:t>
            </w:r>
          </w:p>
        </w:tc>
        <w:tc>
          <w:tcPr>
            <w:tcW w:w="861"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18,1</w:t>
            </w:r>
          </w:p>
        </w:tc>
        <w:tc>
          <w:tcPr>
            <w:tcW w:w="708"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18,3</w:t>
            </w:r>
          </w:p>
        </w:tc>
        <w:tc>
          <w:tcPr>
            <w:tcW w:w="709"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17,4</w:t>
            </w:r>
          </w:p>
        </w:tc>
        <w:tc>
          <w:tcPr>
            <w:tcW w:w="709"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16,6</w:t>
            </w:r>
          </w:p>
        </w:tc>
        <w:tc>
          <w:tcPr>
            <w:tcW w:w="709" w:type="dxa"/>
            <w:vAlign w:val="center"/>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50594C">
              <w:rPr>
                <w:rFonts w:cs="Times New Roman"/>
                <w:b w:val="0"/>
                <w:color w:val="000000" w:themeColor="text1"/>
                <w:sz w:val="20"/>
                <w:szCs w:val="20"/>
                <w:lang w:eastAsia="lv-LV"/>
              </w:rPr>
              <w:t>15,9</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17a. Atlīdzība nodarbinātajiem</w:t>
            </w:r>
          </w:p>
        </w:tc>
        <w:tc>
          <w:tcPr>
            <w:tcW w:w="992" w:type="dxa"/>
            <w:vAlign w:val="center"/>
            <w:hideMark/>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D.1</w:t>
            </w:r>
          </w:p>
        </w:tc>
        <w:tc>
          <w:tcPr>
            <w:tcW w:w="1276"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3 438,1</w:t>
            </w:r>
          </w:p>
        </w:tc>
        <w:tc>
          <w:tcPr>
            <w:tcW w:w="861"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11,7</w:t>
            </w:r>
          </w:p>
        </w:tc>
        <w:tc>
          <w:tcPr>
            <w:tcW w:w="708"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11,7</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11,1</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10,6</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10,2</w:t>
            </w:r>
          </w:p>
        </w:tc>
      </w:tr>
      <w:tr w:rsidR="00BF4753" w:rsidRPr="00361832" w:rsidTr="002D7CA8">
        <w:trPr>
          <w:trHeight w:val="18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17b. Starppatēriņš</w:t>
            </w:r>
          </w:p>
        </w:tc>
        <w:tc>
          <w:tcPr>
            <w:tcW w:w="992" w:type="dxa"/>
            <w:vAlign w:val="center"/>
            <w:hideMark/>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P.2</w:t>
            </w:r>
          </w:p>
        </w:tc>
        <w:tc>
          <w:tcPr>
            <w:tcW w:w="1276"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1 880,0</w:t>
            </w:r>
          </w:p>
        </w:tc>
        <w:tc>
          <w:tcPr>
            <w:tcW w:w="861"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6,4</w:t>
            </w:r>
          </w:p>
        </w:tc>
        <w:tc>
          <w:tcPr>
            <w:tcW w:w="708"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6,6</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6,3</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5,9</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5,7</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18. Sociālie maksājumi (18=18a+18b)</w:t>
            </w:r>
          </w:p>
        </w:tc>
        <w:tc>
          <w:tcPr>
            <w:tcW w:w="992" w:type="dxa"/>
            <w:vAlign w:val="center"/>
            <w:hideMark/>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p>
        </w:tc>
        <w:tc>
          <w:tcPr>
            <w:tcW w:w="1276"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3 975,5</w:t>
            </w:r>
          </w:p>
        </w:tc>
        <w:tc>
          <w:tcPr>
            <w:tcW w:w="861"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13,6</w:t>
            </w:r>
          </w:p>
        </w:tc>
        <w:tc>
          <w:tcPr>
            <w:tcW w:w="708"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14,0</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13,5</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13,3</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13,2</w:t>
            </w:r>
          </w:p>
        </w:tc>
      </w:tr>
      <w:tr w:rsidR="00BF4753" w:rsidRPr="00361832" w:rsidTr="002D7CA8">
        <w:trPr>
          <w:trHeight w:val="13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tai skaitā bezdarbnieku pabalsti</w:t>
            </w:r>
          </w:p>
        </w:tc>
        <w:tc>
          <w:tcPr>
            <w:tcW w:w="992" w:type="dxa"/>
            <w:vAlign w:val="center"/>
            <w:hideMark/>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 w:val="20"/>
                <w:szCs w:val="20"/>
                <w:lang w:eastAsia="lv-LV"/>
              </w:rPr>
            </w:pPr>
          </w:p>
        </w:tc>
        <w:tc>
          <w:tcPr>
            <w:tcW w:w="1276"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243,1</w:t>
            </w:r>
          </w:p>
        </w:tc>
        <w:tc>
          <w:tcPr>
            <w:tcW w:w="861"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0,8</w:t>
            </w:r>
          </w:p>
        </w:tc>
        <w:tc>
          <w:tcPr>
            <w:tcW w:w="708"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0,6</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0,5</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0,4</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0,4</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66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18a. Sociālie pārvedumi piegādāti caur tirgus ražotājiem</w:t>
            </w:r>
          </w:p>
        </w:tc>
        <w:tc>
          <w:tcPr>
            <w:tcW w:w="992" w:type="dxa"/>
            <w:vAlign w:val="center"/>
            <w:hideMark/>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D.6311, D.63121, D.63131</w:t>
            </w:r>
          </w:p>
        </w:tc>
        <w:tc>
          <w:tcPr>
            <w:tcW w:w="1276"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410,2</w:t>
            </w:r>
          </w:p>
        </w:tc>
        <w:tc>
          <w:tcPr>
            <w:tcW w:w="861"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1,4</w:t>
            </w:r>
          </w:p>
        </w:tc>
        <w:tc>
          <w:tcPr>
            <w:tcW w:w="708"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1,4</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1,4</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1,4</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1,3</w:t>
            </w:r>
          </w:p>
        </w:tc>
      </w:tr>
      <w:tr w:rsidR="00BF4753" w:rsidRPr="00361832" w:rsidTr="002D7CA8">
        <w:trPr>
          <w:trHeight w:val="333"/>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18b. Sociālie pārvedumi, kas nav sociālie pārvedumi natūrā</w:t>
            </w:r>
          </w:p>
        </w:tc>
        <w:tc>
          <w:tcPr>
            <w:tcW w:w="992" w:type="dxa"/>
            <w:vAlign w:val="center"/>
            <w:hideMark/>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D.62</w:t>
            </w:r>
          </w:p>
        </w:tc>
        <w:tc>
          <w:tcPr>
            <w:tcW w:w="1276"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3 565,3</w:t>
            </w:r>
          </w:p>
        </w:tc>
        <w:tc>
          <w:tcPr>
            <w:tcW w:w="861"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12,2</w:t>
            </w:r>
          </w:p>
        </w:tc>
        <w:tc>
          <w:tcPr>
            <w:tcW w:w="708"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12,6</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12,1</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11,9</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11,9</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19.=9. Procentu izdevumi</w:t>
            </w:r>
          </w:p>
        </w:tc>
        <w:tc>
          <w:tcPr>
            <w:tcW w:w="992" w:type="dxa"/>
            <w:vAlign w:val="center"/>
            <w:hideMark/>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D.41</w:t>
            </w:r>
          </w:p>
        </w:tc>
        <w:tc>
          <w:tcPr>
            <w:tcW w:w="1276"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248,4</w:t>
            </w:r>
          </w:p>
        </w:tc>
        <w:tc>
          <w:tcPr>
            <w:tcW w:w="861"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0,8</w:t>
            </w:r>
          </w:p>
        </w:tc>
        <w:tc>
          <w:tcPr>
            <w:tcW w:w="708"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0,7</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0,8</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0,8</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0,7</w:t>
            </w:r>
          </w:p>
        </w:tc>
      </w:tr>
      <w:tr w:rsidR="00BF4753" w:rsidRPr="00361832" w:rsidTr="002D7CA8">
        <w:trPr>
          <w:trHeight w:val="187"/>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20. Subsīdijas</w:t>
            </w:r>
          </w:p>
        </w:tc>
        <w:tc>
          <w:tcPr>
            <w:tcW w:w="992" w:type="dxa"/>
            <w:vAlign w:val="center"/>
            <w:hideMark/>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D.3</w:t>
            </w:r>
          </w:p>
        </w:tc>
        <w:tc>
          <w:tcPr>
            <w:tcW w:w="1276"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465,1</w:t>
            </w:r>
          </w:p>
        </w:tc>
        <w:tc>
          <w:tcPr>
            <w:tcW w:w="861"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1,6</w:t>
            </w:r>
          </w:p>
        </w:tc>
        <w:tc>
          <w:tcPr>
            <w:tcW w:w="708"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1,4</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1,2</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1,1</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1,0</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21. Bruto kopējā pamatkapitāla veidošana</w:t>
            </w:r>
          </w:p>
        </w:tc>
        <w:tc>
          <w:tcPr>
            <w:tcW w:w="992" w:type="dxa"/>
            <w:vAlign w:val="center"/>
            <w:hideMark/>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P.51</w:t>
            </w:r>
          </w:p>
        </w:tc>
        <w:tc>
          <w:tcPr>
            <w:tcW w:w="1276"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1 547,6</w:t>
            </w:r>
          </w:p>
        </w:tc>
        <w:tc>
          <w:tcPr>
            <w:tcW w:w="861"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5,3</w:t>
            </w:r>
          </w:p>
        </w:tc>
        <w:tc>
          <w:tcPr>
            <w:tcW w:w="708"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6,0</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6,4</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5,5</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5,8</w:t>
            </w:r>
          </w:p>
        </w:tc>
      </w:tr>
      <w:tr w:rsidR="00BF4753" w:rsidRPr="00361832" w:rsidTr="002D7CA8">
        <w:trPr>
          <w:trHeight w:val="123"/>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22. Kapitālo izdevumu transferti</w:t>
            </w:r>
          </w:p>
        </w:tc>
        <w:tc>
          <w:tcPr>
            <w:tcW w:w="992" w:type="dxa"/>
            <w:vAlign w:val="center"/>
            <w:hideMark/>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D.9</w:t>
            </w:r>
          </w:p>
        </w:tc>
        <w:tc>
          <w:tcPr>
            <w:tcW w:w="1276"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303,0</w:t>
            </w:r>
          </w:p>
        </w:tc>
        <w:tc>
          <w:tcPr>
            <w:tcW w:w="861"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1,0</w:t>
            </w:r>
          </w:p>
        </w:tc>
        <w:tc>
          <w:tcPr>
            <w:tcW w:w="708"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0,2</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0,1</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0,1</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0,0</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23. Pārējie izdevumi</w:t>
            </w:r>
          </w:p>
        </w:tc>
        <w:tc>
          <w:tcPr>
            <w:tcW w:w="992" w:type="dxa"/>
            <w:vAlign w:val="center"/>
            <w:hideMark/>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p>
        </w:tc>
        <w:tc>
          <w:tcPr>
            <w:tcW w:w="1276"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1 257,5</w:t>
            </w:r>
          </w:p>
        </w:tc>
        <w:tc>
          <w:tcPr>
            <w:tcW w:w="861"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4,3</w:t>
            </w:r>
          </w:p>
        </w:tc>
        <w:tc>
          <w:tcPr>
            <w:tcW w:w="708"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8,1</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3,3</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3,0</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2,4</w:t>
            </w:r>
          </w:p>
        </w:tc>
      </w:tr>
      <w:tr w:rsidR="00BF4753" w:rsidRPr="00361832" w:rsidTr="002D7CA8">
        <w:trPr>
          <w:trHeight w:val="21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24.=7. Kopējie izdevumi</w:t>
            </w:r>
          </w:p>
        </w:tc>
        <w:tc>
          <w:tcPr>
            <w:tcW w:w="992" w:type="dxa"/>
            <w:vAlign w:val="center"/>
            <w:hideMark/>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TE</w:t>
            </w:r>
          </w:p>
        </w:tc>
        <w:tc>
          <w:tcPr>
            <w:tcW w:w="1276"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13 115,2</w:t>
            </w:r>
          </w:p>
        </w:tc>
        <w:tc>
          <w:tcPr>
            <w:tcW w:w="861"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44,7</w:t>
            </w:r>
          </w:p>
        </w:tc>
        <w:tc>
          <w:tcPr>
            <w:tcW w:w="708"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48,6</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42,5</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40,3</w:t>
            </w:r>
          </w:p>
        </w:tc>
        <w:tc>
          <w:tcPr>
            <w:tcW w:w="709" w:type="dxa"/>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39,0</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BF4753" w:rsidRPr="0050594C" w:rsidRDefault="00BF4753" w:rsidP="002D7CA8">
            <w:pPr>
              <w:ind w:firstLine="0"/>
              <w:jc w:val="left"/>
              <w:rPr>
                <w:rFonts w:cs="Times New Roman"/>
                <w:b w:val="0"/>
                <w:color w:val="000000" w:themeColor="text1"/>
                <w:sz w:val="20"/>
                <w:szCs w:val="20"/>
                <w:lang w:eastAsia="lv-LV"/>
              </w:rPr>
            </w:pPr>
            <w:r w:rsidRPr="0050594C">
              <w:rPr>
                <w:rFonts w:cs="Times New Roman"/>
                <w:b w:val="0"/>
                <w:color w:val="000000" w:themeColor="text1"/>
                <w:sz w:val="20"/>
                <w:szCs w:val="20"/>
                <w:lang w:eastAsia="lv-LV"/>
              </w:rPr>
              <w:t>Valdības patēriņš</w:t>
            </w:r>
          </w:p>
        </w:tc>
        <w:tc>
          <w:tcPr>
            <w:tcW w:w="992" w:type="dxa"/>
            <w:vAlign w:val="center"/>
            <w:hideMark/>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r w:rsidRPr="0050594C">
              <w:rPr>
                <w:rFonts w:cs="Times New Roman"/>
                <w:bCs/>
                <w:color w:val="000000" w:themeColor="text1"/>
                <w:sz w:val="20"/>
                <w:szCs w:val="20"/>
                <w:lang w:eastAsia="lv-LV"/>
              </w:rPr>
              <w:t>P.3</w:t>
            </w:r>
          </w:p>
        </w:tc>
        <w:tc>
          <w:tcPr>
            <w:tcW w:w="1276"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5 773,8</w:t>
            </w:r>
          </w:p>
        </w:tc>
        <w:tc>
          <w:tcPr>
            <w:tcW w:w="861"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19,7</w:t>
            </w:r>
          </w:p>
        </w:tc>
        <w:tc>
          <w:tcPr>
            <w:tcW w:w="708"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20,0</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18,9</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18,1</w:t>
            </w:r>
          </w:p>
        </w:tc>
        <w:tc>
          <w:tcPr>
            <w:tcW w:w="709" w:type="dxa"/>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50594C">
              <w:rPr>
                <w:rFonts w:cs="Times New Roman"/>
                <w:color w:val="000000" w:themeColor="text1"/>
                <w:sz w:val="20"/>
                <w:szCs w:val="20"/>
                <w:lang w:eastAsia="lv-LV"/>
              </w:rPr>
              <w:t>17,3</w:t>
            </w:r>
          </w:p>
        </w:tc>
      </w:tr>
    </w:tbl>
    <w:p w:rsidR="00BF4753" w:rsidRPr="00361832" w:rsidRDefault="00BF4753" w:rsidP="00BF4753">
      <w:pPr>
        <w:ind w:firstLine="0"/>
        <w:jc w:val="left"/>
        <w:rPr>
          <w:rFonts w:cs="Times New Roman"/>
          <w:b/>
          <w:bCs/>
          <w:sz w:val="24"/>
          <w:szCs w:val="32"/>
          <w:lang w:eastAsia="lv-LV"/>
        </w:rPr>
      </w:pPr>
    </w:p>
    <w:p w:rsidR="00BF4753" w:rsidRDefault="00BF4753" w:rsidP="00BF4753">
      <w:pPr>
        <w:keepNext/>
        <w:spacing w:after="120"/>
        <w:ind w:firstLine="0"/>
        <w:jc w:val="left"/>
        <w:rPr>
          <w:rFonts w:eastAsia="Times New Roman" w:cs="Times New Roman"/>
          <w:b/>
          <w:color w:val="000000"/>
          <w:sz w:val="24"/>
          <w:szCs w:val="24"/>
        </w:rPr>
      </w:pPr>
    </w:p>
    <w:p w:rsidR="00BF4753" w:rsidRPr="00361832" w:rsidRDefault="00BF4753" w:rsidP="00BF4753">
      <w:pPr>
        <w:keepNext/>
        <w:spacing w:after="120"/>
        <w:ind w:firstLine="0"/>
        <w:jc w:val="left"/>
        <w:rPr>
          <w:rFonts w:eastAsia="Times New Roman" w:cs="Times New Roman"/>
          <w:b/>
          <w:color w:val="000000"/>
          <w:sz w:val="24"/>
          <w:szCs w:val="24"/>
        </w:rPr>
      </w:pPr>
      <w:r w:rsidRPr="00361832">
        <w:rPr>
          <w:rFonts w:eastAsia="Times New Roman" w:cs="Times New Roman"/>
          <w:b/>
          <w:color w:val="000000"/>
          <w:sz w:val="24"/>
          <w:szCs w:val="24"/>
        </w:rPr>
        <w:t>2b.</w:t>
      </w:r>
      <w:r>
        <w:rPr>
          <w:rFonts w:eastAsia="Times New Roman" w:cs="Times New Roman"/>
          <w:b/>
          <w:color w:val="000000"/>
          <w:sz w:val="24"/>
          <w:szCs w:val="24"/>
        </w:rPr>
        <w:t xml:space="preserve"> </w:t>
      </w:r>
      <w:r w:rsidRPr="00361832">
        <w:rPr>
          <w:rFonts w:eastAsia="Times New Roman" w:cs="Times New Roman"/>
          <w:b/>
          <w:color w:val="000000"/>
          <w:sz w:val="24"/>
          <w:szCs w:val="24"/>
        </w:rPr>
        <w:t>tabula. Prognozes pie nemainīgas politikas</w:t>
      </w:r>
    </w:p>
    <w:tbl>
      <w:tblPr>
        <w:tblStyle w:val="GridTable6Colorful-Accent1171"/>
        <w:tblW w:w="9646" w:type="dxa"/>
        <w:jc w:val="center"/>
        <w:tblLook w:val="04A0" w:firstRow="1" w:lastRow="0" w:firstColumn="1" w:lastColumn="0" w:noHBand="0" w:noVBand="1"/>
      </w:tblPr>
      <w:tblGrid>
        <w:gridCol w:w="4087"/>
        <w:gridCol w:w="1169"/>
        <w:gridCol w:w="878"/>
        <w:gridCol w:w="878"/>
        <w:gridCol w:w="878"/>
        <w:gridCol w:w="878"/>
        <w:gridCol w:w="878"/>
      </w:tblGrid>
      <w:tr w:rsidR="00BF4753" w:rsidRPr="00361832" w:rsidTr="002D7CA8">
        <w:trPr>
          <w:cnfStyle w:val="100000000000" w:firstRow="1" w:lastRow="0" w:firstColumn="0" w:lastColumn="0" w:oddVBand="0" w:evenVBand="0" w:oddHBand="0"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3964" w:type="dxa"/>
            <w:shd w:val="clear" w:color="auto" w:fill="DEEAF6"/>
            <w:noWrap/>
            <w:vAlign w:val="center"/>
            <w:hideMark/>
          </w:tcPr>
          <w:p w:rsidR="00BF4753" w:rsidRPr="00361832" w:rsidRDefault="00BF4753" w:rsidP="002D7CA8">
            <w:pPr>
              <w:ind w:firstLine="0"/>
              <w:jc w:val="center"/>
              <w:rPr>
                <w:rFonts w:cs="Times New Roman"/>
                <w:color w:val="000000"/>
                <w:sz w:val="20"/>
                <w:szCs w:val="20"/>
              </w:rPr>
            </w:pPr>
          </w:p>
        </w:tc>
        <w:tc>
          <w:tcPr>
            <w:tcW w:w="1134" w:type="dxa"/>
            <w:shd w:val="clear" w:color="auto" w:fill="DEEAF6"/>
            <w:vAlign w:val="center"/>
            <w:hideMark/>
          </w:tcPr>
          <w:p w:rsidR="00BF4753" w:rsidRPr="00361832"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rPr>
            </w:pPr>
            <w:r w:rsidRPr="00361832">
              <w:rPr>
                <w:rFonts w:cs="Times New Roman"/>
                <w:color w:val="000000"/>
                <w:sz w:val="20"/>
                <w:szCs w:val="20"/>
              </w:rPr>
              <w:t>2020</w:t>
            </w:r>
          </w:p>
        </w:tc>
        <w:tc>
          <w:tcPr>
            <w:tcW w:w="851" w:type="dxa"/>
            <w:shd w:val="clear" w:color="auto" w:fill="DEEAF6"/>
            <w:noWrap/>
            <w:vAlign w:val="center"/>
            <w:hideMark/>
          </w:tcPr>
          <w:p w:rsidR="00BF4753" w:rsidRPr="00361832"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sz w:val="20"/>
                <w:szCs w:val="20"/>
              </w:rPr>
            </w:pPr>
            <w:r w:rsidRPr="00361832">
              <w:rPr>
                <w:rFonts w:cs="Times New Roman"/>
                <w:bCs w:val="0"/>
                <w:color w:val="000000"/>
                <w:sz w:val="20"/>
                <w:szCs w:val="20"/>
              </w:rPr>
              <w:t>2020</w:t>
            </w:r>
          </w:p>
        </w:tc>
        <w:tc>
          <w:tcPr>
            <w:tcW w:w="851" w:type="dxa"/>
            <w:shd w:val="clear" w:color="auto" w:fill="DEEAF6"/>
            <w:noWrap/>
            <w:vAlign w:val="center"/>
            <w:hideMark/>
          </w:tcPr>
          <w:p w:rsidR="00BF4753" w:rsidRPr="00361832"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sz w:val="20"/>
                <w:szCs w:val="20"/>
              </w:rPr>
            </w:pPr>
            <w:r w:rsidRPr="00361832">
              <w:rPr>
                <w:rFonts w:cs="Times New Roman"/>
                <w:bCs w:val="0"/>
                <w:color w:val="000000"/>
                <w:sz w:val="20"/>
                <w:szCs w:val="20"/>
              </w:rPr>
              <w:t>2021</w:t>
            </w:r>
          </w:p>
        </w:tc>
        <w:tc>
          <w:tcPr>
            <w:tcW w:w="851" w:type="dxa"/>
            <w:shd w:val="clear" w:color="auto" w:fill="DEEAF6"/>
            <w:noWrap/>
            <w:vAlign w:val="center"/>
            <w:hideMark/>
          </w:tcPr>
          <w:p w:rsidR="00BF4753" w:rsidRPr="00361832"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sz w:val="20"/>
                <w:szCs w:val="20"/>
              </w:rPr>
            </w:pPr>
            <w:r w:rsidRPr="00361832">
              <w:rPr>
                <w:rFonts w:cs="Times New Roman"/>
                <w:bCs w:val="0"/>
                <w:color w:val="000000"/>
                <w:sz w:val="20"/>
                <w:szCs w:val="20"/>
              </w:rPr>
              <w:t>2022</w:t>
            </w:r>
          </w:p>
        </w:tc>
        <w:tc>
          <w:tcPr>
            <w:tcW w:w="851" w:type="dxa"/>
            <w:shd w:val="clear" w:color="auto" w:fill="DEEAF6"/>
            <w:noWrap/>
            <w:vAlign w:val="center"/>
            <w:hideMark/>
          </w:tcPr>
          <w:p w:rsidR="00BF4753" w:rsidRPr="00361832"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sz w:val="20"/>
                <w:szCs w:val="20"/>
              </w:rPr>
            </w:pPr>
            <w:r w:rsidRPr="00361832">
              <w:rPr>
                <w:rFonts w:cs="Times New Roman"/>
                <w:bCs w:val="0"/>
                <w:color w:val="000000"/>
                <w:sz w:val="20"/>
                <w:szCs w:val="20"/>
              </w:rPr>
              <w:t>2023</w:t>
            </w:r>
          </w:p>
        </w:tc>
        <w:tc>
          <w:tcPr>
            <w:tcW w:w="851" w:type="dxa"/>
            <w:shd w:val="clear" w:color="auto" w:fill="DEEAF6"/>
            <w:noWrap/>
            <w:vAlign w:val="center"/>
            <w:hideMark/>
          </w:tcPr>
          <w:p w:rsidR="00BF4753" w:rsidRPr="00361832"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sz w:val="20"/>
                <w:szCs w:val="20"/>
              </w:rPr>
            </w:pPr>
            <w:r w:rsidRPr="00361832">
              <w:rPr>
                <w:rFonts w:cs="Times New Roman"/>
                <w:bCs w:val="0"/>
                <w:color w:val="000000"/>
                <w:sz w:val="20"/>
                <w:szCs w:val="20"/>
              </w:rPr>
              <w:t>2024</w:t>
            </w:r>
          </w:p>
        </w:tc>
      </w:tr>
    </w:tbl>
    <w:tbl>
      <w:tblPr>
        <w:tblStyle w:val="GridTable6Colorful-Accent1181"/>
        <w:tblW w:w="9641" w:type="dxa"/>
        <w:jc w:val="center"/>
        <w:tblLook w:val="04A0" w:firstRow="1" w:lastRow="0" w:firstColumn="1" w:lastColumn="0" w:noHBand="0" w:noVBand="1"/>
      </w:tblPr>
      <w:tblGrid>
        <w:gridCol w:w="4087"/>
        <w:gridCol w:w="1169"/>
        <w:gridCol w:w="877"/>
        <w:gridCol w:w="877"/>
        <w:gridCol w:w="877"/>
        <w:gridCol w:w="877"/>
        <w:gridCol w:w="877"/>
      </w:tblGrid>
      <w:tr w:rsidR="00BF4753" w:rsidRPr="00361832" w:rsidTr="002D7CA8">
        <w:trPr>
          <w:cnfStyle w:val="100000000000" w:firstRow="1" w:lastRow="0" w:firstColumn="0" w:lastColumn="0" w:oddVBand="0" w:evenVBand="0" w:oddHBand="0"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4087" w:type="dxa"/>
            <w:noWrap/>
            <w:vAlign w:val="bottom"/>
          </w:tcPr>
          <w:p w:rsidR="00BF4753" w:rsidRPr="00361832" w:rsidRDefault="00BF4753" w:rsidP="002D7CA8">
            <w:pPr>
              <w:ind w:firstLine="0"/>
              <w:jc w:val="left"/>
              <w:rPr>
                <w:rFonts w:cs="Times New Roman"/>
                <w:b w:val="0"/>
                <w:color w:val="000000"/>
                <w:sz w:val="20"/>
                <w:szCs w:val="20"/>
              </w:rPr>
            </w:pPr>
          </w:p>
        </w:tc>
        <w:tc>
          <w:tcPr>
            <w:tcW w:w="1169" w:type="dxa"/>
            <w:noWrap/>
            <w:vAlign w:val="center"/>
          </w:tcPr>
          <w:p w:rsidR="00BF4753" w:rsidRPr="00361832"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themeColor="text1"/>
                <w:sz w:val="20"/>
                <w:szCs w:val="20"/>
                <w:lang w:eastAsia="lv-LV"/>
              </w:rPr>
            </w:pPr>
            <w:r w:rsidRPr="00361832">
              <w:rPr>
                <w:rFonts w:cs="Times New Roman"/>
                <w:b w:val="0"/>
                <w:color w:val="000000" w:themeColor="text1"/>
                <w:sz w:val="20"/>
                <w:szCs w:val="20"/>
                <w:lang w:eastAsia="lv-LV"/>
              </w:rPr>
              <w:t xml:space="preserve">milj. </w:t>
            </w:r>
            <w:r w:rsidRPr="00361832">
              <w:rPr>
                <w:rFonts w:cs="Times New Roman"/>
                <w:b w:val="0"/>
                <w:i/>
                <w:iCs/>
                <w:color w:val="000000" w:themeColor="text1"/>
                <w:sz w:val="20"/>
                <w:szCs w:val="20"/>
                <w:lang w:eastAsia="lv-LV"/>
              </w:rPr>
              <w:t>euro</w:t>
            </w:r>
          </w:p>
        </w:tc>
        <w:tc>
          <w:tcPr>
            <w:tcW w:w="4385" w:type="dxa"/>
            <w:gridSpan w:val="5"/>
            <w:noWrap/>
          </w:tcPr>
          <w:p w:rsidR="00BF4753" w:rsidRPr="00361832"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lang w:eastAsia="lv-LV"/>
              </w:rPr>
            </w:pPr>
            <w:r w:rsidRPr="00361832">
              <w:rPr>
                <w:rFonts w:cs="Times New Roman"/>
                <w:b w:val="0"/>
                <w:color w:val="000000" w:themeColor="text1"/>
                <w:sz w:val="20"/>
                <w:szCs w:val="20"/>
                <w:lang w:eastAsia="lv-LV"/>
              </w:rPr>
              <w:t>% no IKP</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4087" w:type="dxa"/>
            <w:noWrap/>
            <w:vAlign w:val="bottom"/>
          </w:tcPr>
          <w:p w:rsidR="00BF4753" w:rsidRPr="0050594C" w:rsidRDefault="00BF4753" w:rsidP="002D7CA8">
            <w:pPr>
              <w:ind w:firstLine="0"/>
              <w:jc w:val="left"/>
              <w:rPr>
                <w:rFonts w:cs="Times New Roman"/>
                <w:b w:val="0"/>
                <w:bCs w:val="0"/>
                <w:color w:val="000000"/>
                <w:sz w:val="20"/>
                <w:szCs w:val="20"/>
              </w:rPr>
            </w:pPr>
            <w:r w:rsidRPr="0050594C">
              <w:rPr>
                <w:rFonts w:cs="Times New Roman"/>
                <w:b w:val="0"/>
                <w:bCs w:val="0"/>
                <w:color w:val="000000"/>
                <w:sz w:val="20"/>
                <w:szCs w:val="20"/>
              </w:rPr>
              <w:t>1. Kopējie ieņēmumi pie nemainīgas politikas</w:t>
            </w:r>
          </w:p>
        </w:tc>
        <w:tc>
          <w:tcPr>
            <w:tcW w:w="1169" w:type="dxa"/>
            <w:noWrap/>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11 545,2</w:t>
            </w:r>
          </w:p>
        </w:tc>
        <w:tc>
          <w:tcPr>
            <w:tcW w:w="877" w:type="dxa"/>
            <w:noWrap/>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39,4</w:t>
            </w:r>
          </w:p>
        </w:tc>
        <w:tc>
          <w:tcPr>
            <w:tcW w:w="877" w:type="dxa"/>
            <w:noWrap/>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39,3</w:t>
            </w:r>
          </w:p>
        </w:tc>
        <w:tc>
          <w:tcPr>
            <w:tcW w:w="877" w:type="dxa"/>
            <w:noWrap/>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39,9</w:t>
            </w:r>
          </w:p>
        </w:tc>
        <w:tc>
          <w:tcPr>
            <w:tcW w:w="877" w:type="dxa"/>
            <w:noWrap/>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39,0</w:t>
            </w:r>
          </w:p>
        </w:tc>
        <w:tc>
          <w:tcPr>
            <w:tcW w:w="877" w:type="dxa"/>
            <w:noWrap/>
            <w:vAlign w:val="center"/>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38,6</w:t>
            </w:r>
          </w:p>
        </w:tc>
      </w:tr>
      <w:tr w:rsidR="00BF4753" w:rsidRPr="00361832" w:rsidTr="002D7CA8">
        <w:trPr>
          <w:trHeight w:val="63"/>
          <w:jc w:val="center"/>
        </w:trPr>
        <w:tc>
          <w:tcPr>
            <w:cnfStyle w:val="001000000000" w:firstRow="0" w:lastRow="0" w:firstColumn="1" w:lastColumn="0" w:oddVBand="0" w:evenVBand="0" w:oddHBand="0" w:evenHBand="0" w:firstRowFirstColumn="0" w:firstRowLastColumn="0" w:lastRowFirstColumn="0" w:lastRowLastColumn="0"/>
            <w:tcW w:w="4087" w:type="dxa"/>
            <w:noWrap/>
            <w:vAlign w:val="bottom"/>
          </w:tcPr>
          <w:p w:rsidR="00BF4753" w:rsidRPr="0050594C" w:rsidRDefault="00BF4753" w:rsidP="002D7CA8">
            <w:pPr>
              <w:ind w:firstLine="0"/>
              <w:jc w:val="left"/>
              <w:rPr>
                <w:rFonts w:cs="Times New Roman"/>
                <w:b w:val="0"/>
                <w:bCs w:val="0"/>
                <w:color w:val="000000"/>
                <w:sz w:val="20"/>
                <w:szCs w:val="20"/>
              </w:rPr>
            </w:pPr>
            <w:r w:rsidRPr="0050594C">
              <w:rPr>
                <w:rFonts w:cs="Times New Roman"/>
                <w:b w:val="0"/>
                <w:bCs w:val="0"/>
                <w:color w:val="000000"/>
                <w:sz w:val="20"/>
                <w:szCs w:val="20"/>
              </w:rPr>
              <w:t>2. Kopējie izdevumi pie nemainīgas politikas</w:t>
            </w:r>
          </w:p>
        </w:tc>
        <w:tc>
          <w:tcPr>
            <w:tcW w:w="1169" w:type="dxa"/>
            <w:noWrap/>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13 115,2</w:t>
            </w:r>
          </w:p>
        </w:tc>
        <w:tc>
          <w:tcPr>
            <w:tcW w:w="877" w:type="dxa"/>
            <w:noWrap/>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44,7</w:t>
            </w:r>
          </w:p>
        </w:tc>
        <w:tc>
          <w:tcPr>
            <w:tcW w:w="877" w:type="dxa"/>
            <w:noWrap/>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48,6</w:t>
            </w:r>
          </w:p>
        </w:tc>
        <w:tc>
          <w:tcPr>
            <w:tcW w:w="877" w:type="dxa"/>
            <w:noWrap/>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42,5</w:t>
            </w:r>
          </w:p>
        </w:tc>
        <w:tc>
          <w:tcPr>
            <w:tcW w:w="877" w:type="dxa"/>
            <w:noWrap/>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40,3</w:t>
            </w:r>
          </w:p>
        </w:tc>
        <w:tc>
          <w:tcPr>
            <w:tcW w:w="877" w:type="dxa"/>
            <w:noWrap/>
            <w:vAlign w:val="center"/>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39,0</w:t>
            </w:r>
          </w:p>
        </w:tc>
      </w:tr>
    </w:tbl>
    <w:p w:rsidR="00BF4753" w:rsidRPr="00361832" w:rsidRDefault="00BF4753" w:rsidP="00BF4753">
      <w:pPr>
        <w:keepNext/>
        <w:ind w:firstLine="0"/>
        <w:rPr>
          <w:rFonts w:eastAsia="Times New Roman" w:cs="Times New Roman"/>
          <w:b/>
          <w:color w:val="000000"/>
          <w:sz w:val="24"/>
          <w:szCs w:val="24"/>
        </w:rPr>
      </w:pPr>
    </w:p>
    <w:p w:rsidR="00BF4753" w:rsidRPr="00361832" w:rsidRDefault="00BF4753" w:rsidP="00BF4753">
      <w:pPr>
        <w:keepNext/>
        <w:ind w:firstLine="0"/>
        <w:rPr>
          <w:rFonts w:eastAsia="Times New Roman" w:cs="Times New Roman"/>
          <w:b/>
          <w:color w:val="000000"/>
          <w:sz w:val="24"/>
          <w:szCs w:val="24"/>
        </w:rPr>
      </w:pPr>
    </w:p>
    <w:p w:rsidR="00BF4753" w:rsidRPr="00361832" w:rsidRDefault="00BF4753" w:rsidP="00BF4753">
      <w:pPr>
        <w:keepNext/>
        <w:spacing w:after="120"/>
        <w:ind w:firstLine="0"/>
        <w:jc w:val="left"/>
        <w:rPr>
          <w:rFonts w:eastAsia="Times New Roman" w:cs="Times New Roman"/>
          <w:b/>
          <w:color w:val="000000"/>
          <w:sz w:val="24"/>
          <w:szCs w:val="24"/>
        </w:rPr>
      </w:pPr>
      <w:r w:rsidRPr="00361832">
        <w:rPr>
          <w:rFonts w:eastAsia="Times New Roman" w:cs="Times New Roman"/>
          <w:b/>
          <w:color w:val="000000"/>
          <w:sz w:val="24"/>
          <w:szCs w:val="24"/>
        </w:rPr>
        <w:t>3.</w:t>
      </w:r>
      <w:r>
        <w:rPr>
          <w:rFonts w:eastAsia="Times New Roman" w:cs="Times New Roman"/>
          <w:b/>
          <w:color w:val="000000"/>
          <w:sz w:val="24"/>
          <w:szCs w:val="24"/>
        </w:rPr>
        <w:t xml:space="preserve"> </w:t>
      </w:r>
      <w:r w:rsidRPr="00361832">
        <w:rPr>
          <w:rFonts w:eastAsia="Times New Roman" w:cs="Times New Roman"/>
          <w:b/>
          <w:color w:val="000000"/>
          <w:sz w:val="24"/>
          <w:szCs w:val="24"/>
        </w:rPr>
        <w:t>tabula. Vispārējās valdības izdevumi funkciju sadalījumā</w:t>
      </w:r>
    </w:p>
    <w:tbl>
      <w:tblPr>
        <w:tblStyle w:val="GridTable6Colorful-Accent1171"/>
        <w:tblW w:w="6947" w:type="dxa"/>
        <w:tblInd w:w="-289" w:type="dxa"/>
        <w:tblLook w:val="04A0" w:firstRow="1" w:lastRow="0" w:firstColumn="1" w:lastColumn="0" w:noHBand="0" w:noVBand="1"/>
      </w:tblPr>
      <w:tblGrid>
        <w:gridCol w:w="4112"/>
        <w:gridCol w:w="1130"/>
        <w:gridCol w:w="846"/>
        <w:gridCol w:w="859"/>
      </w:tblGrid>
      <w:tr w:rsidR="00BF4753" w:rsidRPr="00361832" w:rsidTr="002D7CA8">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112" w:type="dxa"/>
            <w:shd w:val="clear" w:color="auto" w:fill="DEEAF6"/>
            <w:noWrap/>
            <w:vAlign w:val="center"/>
          </w:tcPr>
          <w:p w:rsidR="00BF4753" w:rsidRPr="00361832" w:rsidRDefault="00BF4753" w:rsidP="002D7CA8">
            <w:pPr>
              <w:ind w:firstLine="0"/>
              <w:jc w:val="center"/>
              <w:rPr>
                <w:rFonts w:cs="Times New Roman"/>
                <w:color w:val="000000"/>
                <w:sz w:val="20"/>
                <w:szCs w:val="20"/>
              </w:rPr>
            </w:pPr>
            <w:r w:rsidRPr="00361832">
              <w:rPr>
                <w:rFonts w:cs="Times New Roman"/>
                <w:color w:val="000000"/>
                <w:sz w:val="20"/>
                <w:szCs w:val="20"/>
              </w:rPr>
              <w:t>% no IKP</w:t>
            </w:r>
          </w:p>
        </w:tc>
        <w:tc>
          <w:tcPr>
            <w:tcW w:w="1130" w:type="dxa"/>
            <w:shd w:val="clear" w:color="auto" w:fill="DEEAF6"/>
            <w:vAlign w:val="center"/>
          </w:tcPr>
          <w:p w:rsidR="00BF4753" w:rsidRPr="00361832"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rPr>
            </w:pPr>
            <w:r w:rsidRPr="00361832">
              <w:rPr>
                <w:rFonts w:cs="Times New Roman"/>
                <w:color w:val="000000"/>
                <w:sz w:val="20"/>
                <w:szCs w:val="20"/>
              </w:rPr>
              <w:t>COFOG kods</w:t>
            </w:r>
          </w:p>
        </w:tc>
        <w:tc>
          <w:tcPr>
            <w:tcW w:w="846" w:type="dxa"/>
            <w:shd w:val="clear" w:color="auto" w:fill="DEEAF6"/>
            <w:vAlign w:val="center"/>
          </w:tcPr>
          <w:p w:rsidR="00BF4753" w:rsidRPr="00361832"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sz w:val="20"/>
                <w:szCs w:val="20"/>
              </w:rPr>
            </w:pPr>
            <w:r w:rsidRPr="00361832">
              <w:rPr>
                <w:rFonts w:cs="Times New Roman"/>
                <w:bCs w:val="0"/>
                <w:color w:val="000000"/>
                <w:sz w:val="20"/>
                <w:szCs w:val="20"/>
              </w:rPr>
              <w:t>2019</w:t>
            </w:r>
          </w:p>
        </w:tc>
        <w:tc>
          <w:tcPr>
            <w:tcW w:w="859" w:type="dxa"/>
            <w:shd w:val="clear" w:color="auto" w:fill="DEEAF6"/>
            <w:noWrap/>
            <w:vAlign w:val="center"/>
          </w:tcPr>
          <w:p w:rsidR="00BF4753" w:rsidRPr="00361832"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sz w:val="20"/>
                <w:szCs w:val="20"/>
              </w:rPr>
            </w:pPr>
            <w:r w:rsidRPr="00DC690D">
              <w:rPr>
                <w:rFonts w:cs="Times New Roman"/>
                <w:color w:val="000000"/>
                <w:sz w:val="20"/>
                <w:szCs w:val="20"/>
              </w:rPr>
              <w:t>2024</w:t>
            </w:r>
            <w:r w:rsidRPr="00DC690D">
              <w:rPr>
                <w:rStyle w:val="FootnoteReference"/>
                <w:rFonts w:cs="Times New Roman"/>
                <w:color w:val="000000"/>
                <w:szCs w:val="20"/>
              </w:rPr>
              <w:footnoteReference w:id="20"/>
            </w:r>
          </w:p>
        </w:tc>
      </w:tr>
    </w:tbl>
    <w:tbl>
      <w:tblPr>
        <w:tblStyle w:val="GridTable6Colorful-Accent1181"/>
        <w:tblW w:w="6947" w:type="dxa"/>
        <w:tblInd w:w="-289" w:type="dxa"/>
        <w:tblLook w:val="04A0" w:firstRow="1" w:lastRow="0" w:firstColumn="1" w:lastColumn="0" w:noHBand="0" w:noVBand="1"/>
      </w:tblPr>
      <w:tblGrid>
        <w:gridCol w:w="4112"/>
        <w:gridCol w:w="1134"/>
        <w:gridCol w:w="850"/>
        <w:gridCol w:w="851"/>
      </w:tblGrid>
      <w:tr w:rsidR="00BF4753" w:rsidRPr="00361832" w:rsidTr="002D7CA8">
        <w:trPr>
          <w:cnfStyle w:val="100000000000" w:firstRow="1" w:lastRow="0" w:firstColumn="0" w:lastColumn="0" w:oddVBand="0" w:evenVBand="0" w:oddHBand="0"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112" w:type="dxa"/>
            <w:noWrap/>
          </w:tcPr>
          <w:p w:rsidR="00BF4753" w:rsidRPr="0050594C" w:rsidRDefault="00BF4753" w:rsidP="002D7CA8">
            <w:pPr>
              <w:ind w:firstLine="0"/>
              <w:jc w:val="left"/>
              <w:rPr>
                <w:rFonts w:cs="Times New Roman"/>
                <w:b w:val="0"/>
                <w:bCs w:val="0"/>
                <w:color w:val="000000"/>
                <w:sz w:val="20"/>
                <w:szCs w:val="20"/>
              </w:rPr>
            </w:pPr>
            <w:r w:rsidRPr="0050594C">
              <w:rPr>
                <w:rFonts w:cs="Times New Roman"/>
                <w:b w:val="0"/>
                <w:bCs w:val="0"/>
                <w:color w:val="000000"/>
                <w:sz w:val="20"/>
                <w:szCs w:val="20"/>
              </w:rPr>
              <w:t>1. Vispārējie sabiedriskie pakalpojumi</w:t>
            </w:r>
          </w:p>
        </w:tc>
        <w:tc>
          <w:tcPr>
            <w:tcW w:w="1134" w:type="dxa"/>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50594C">
              <w:rPr>
                <w:rFonts w:cs="Times New Roman"/>
                <w:b w:val="0"/>
                <w:color w:val="000000"/>
                <w:sz w:val="20"/>
                <w:szCs w:val="20"/>
              </w:rPr>
              <w:t>1</w:t>
            </w:r>
          </w:p>
        </w:tc>
        <w:tc>
          <w:tcPr>
            <w:tcW w:w="850" w:type="dxa"/>
            <w:noWrap/>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50594C">
              <w:rPr>
                <w:rFonts w:cs="Times New Roman"/>
                <w:b w:val="0"/>
                <w:color w:val="000000"/>
                <w:sz w:val="20"/>
                <w:szCs w:val="20"/>
              </w:rPr>
              <w:t>3,8</w:t>
            </w:r>
          </w:p>
        </w:tc>
        <w:tc>
          <w:tcPr>
            <w:tcW w:w="851" w:type="dxa"/>
            <w:noWrap/>
          </w:tcPr>
          <w:p w:rsidR="00BF4753" w:rsidRPr="0050594C"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50594C">
              <w:rPr>
                <w:rFonts w:cs="Times New Roman"/>
                <w:b w:val="0"/>
                <w:color w:val="000000"/>
                <w:sz w:val="20"/>
                <w:szCs w:val="20"/>
              </w:rPr>
              <w:t>3,9</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112" w:type="dxa"/>
            <w:noWrap/>
          </w:tcPr>
          <w:p w:rsidR="00BF4753" w:rsidRPr="0050594C" w:rsidRDefault="00BF4753" w:rsidP="002D7CA8">
            <w:pPr>
              <w:ind w:firstLine="0"/>
              <w:jc w:val="left"/>
              <w:rPr>
                <w:rFonts w:cs="Times New Roman"/>
                <w:b w:val="0"/>
                <w:bCs w:val="0"/>
                <w:color w:val="000000"/>
                <w:sz w:val="20"/>
                <w:szCs w:val="20"/>
              </w:rPr>
            </w:pPr>
            <w:r w:rsidRPr="0050594C">
              <w:rPr>
                <w:rFonts w:cs="Times New Roman"/>
                <w:b w:val="0"/>
                <w:bCs w:val="0"/>
                <w:color w:val="000000"/>
                <w:sz w:val="20"/>
                <w:szCs w:val="20"/>
              </w:rPr>
              <w:t>2. Aizsardzība</w:t>
            </w:r>
          </w:p>
        </w:tc>
        <w:tc>
          <w:tcPr>
            <w:tcW w:w="1134" w:type="dxa"/>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2</w:t>
            </w:r>
          </w:p>
        </w:tc>
        <w:tc>
          <w:tcPr>
            <w:tcW w:w="850" w:type="dxa"/>
            <w:noWrap/>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1,9</w:t>
            </w:r>
          </w:p>
        </w:tc>
        <w:tc>
          <w:tcPr>
            <w:tcW w:w="851" w:type="dxa"/>
            <w:noWrap/>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2,1</w:t>
            </w:r>
          </w:p>
        </w:tc>
      </w:tr>
      <w:tr w:rsidR="00BF4753" w:rsidRPr="00361832" w:rsidTr="002D7CA8">
        <w:trPr>
          <w:trHeight w:val="63"/>
        </w:trPr>
        <w:tc>
          <w:tcPr>
            <w:cnfStyle w:val="001000000000" w:firstRow="0" w:lastRow="0" w:firstColumn="1" w:lastColumn="0" w:oddVBand="0" w:evenVBand="0" w:oddHBand="0" w:evenHBand="0" w:firstRowFirstColumn="0" w:firstRowLastColumn="0" w:lastRowFirstColumn="0" w:lastRowLastColumn="0"/>
            <w:tcW w:w="4112" w:type="dxa"/>
            <w:noWrap/>
          </w:tcPr>
          <w:p w:rsidR="00BF4753" w:rsidRPr="0050594C" w:rsidRDefault="00BF4753" w:rsidP="002D7CA8">
            <w:pPr>
              <w:ind w:firstLine="0"/>
              <w:jc w:val="left"/>
              <w:rPr>
                <w:rFonts w:cs="Times New Roman"/>
                <w:b w:val="0"/>
                <w:bCs w:val="0"/>
                <w:color w:val="000000"/>
                <w:sz w:val="20"/>
                <w:szCs w:val="20"/>
              </w:rPr>
            </w:pPr>
            <w:r w:rsidRPr="0050594C">
              <w:rPr>
                <w:rFonts w:cs="Times New Roman"/>
                <w:b w:val="0"/>
                <w:bCs w:val="0"/>
                <w:color w:val="000000"/>
                <w:sz w:val="20"/>
                <w:szCs w:val="20"/>
              </w:rPr>
              <w:t>3. Sabiedriskā kārtība un drošība</w:t>
            </w:r>
          </w:p>
        </w:tc>
        <w:tc>
          <w:tcPr>
            <w:tcW w:w="1134" w:type="dxa"/>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3</w:t>
            </w:r>
          </w:p>
        </w:tc>
        <w:tc>
          <w:tcPr>
            <w:tcW w:w="850" w:type="dxa"/>
            <w:noWrap/>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2,2</w:t>
            </w:r>
          </w:p>
        </w:tc>
        <w:tc>
          <w:tcPr>
            <w:tcW w:w="851" w:type="dxa"/>
            <w:noWrap/>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2,0</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112" w:type="dxa"/>
            <w:noWrap/>
          </w:tcPr>
          <w:p w:rsidR="00BF4753" w:rsidRPr="0050594C" w:rsidRDefault="00BF4753" w:rsidP="002D7CA8">
            <w:pPr>
              <w:ind w:firstLine="0"/>
              <w:jc w:val="left"/>
              <w:rPr>
                <w:rFonts w:cs="Times New Roman"/>
                <w:b w:val="0"/>
                <w:bCs w:val="0"/>
                <w:color w:val="000000"/>
                <w:sz w:val="20"/>
                <w:szCs w:val="20"/>
              </w:rPr>
            </w:pPr>
            <w:r w:rsidRPr="0050594C">
              <w:rPr>
                <w:rFonts w:cs="Times New Roman"/>
                <w:b w:val="0"/>
                <w:bCs w:val="0"/>
                <w:color w:val="000000"/>
                <w:sz w:val="20"/>
                <w:szCs w:val="20"/>
              </w:rPr>
              <w:t>4. Ekonomiskā darbība</w:t>
            </w:r>
          </w:p>
        </w:tc>
        <w:tc>
          <w:tcPr>
            <w:tcW w:w="1134" w:type="dxa"/>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4</w:t>
            </w:r>
          </w:p>
        </w:tc>
        <w:tc>
          <w:tcPr>
            <w:tcW w:w="850" w:type="dxa"/>
            <w:noWrap/>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5,3</w:t>
            </w:r>
          </w:p>
        </w:tc>
        <w:tc>
          <w:tcPr>
            <w:tcW w:w="851" w:type="dxa"/>
            <w:noWrap/>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5,6</w:t>
            </w:r>
          </w:p>
        </w:tc>
      </w:tr>
      <w:tr w:rsidR="00BF4753" w:rsidRPr="00361832" w:rsidTr="002D7CA8">
        <w:trPr>
          <w:trHeight w:val="63"/>
        </w:trPr>
        <w:tc>
          <w:tcPr>
            <w:cnfStyle w:val="001000000000" w:firstRow="0" w:lastRow="0" w:firstColumn="1" w:lastColumn="0" w:oddVBand="0" w:evenVBand="0" w:oddHBand="0" w:evenHBand="0" w:firstRowFirstColumn="0" w:firstRowLastColumn="0" w:lastRowFirstColumn="0" w:lastRowLastColumn="0"/>
            <w:tcW w:w="4112" w:type="dxa"/>
            <w:noWrap/>
          </w:tcPr>
          <w:p w:rsidR="00BF4753" w:rsidRPr="0050594C" w:rsidRDefault="00BF4753" w:rsidP="002D7CA8">
            <w:pPr>
              <w:ind w:firstLine="0"/>
              <w:jc w:val="left"/>
              <w:rPr>
                <w:rFonts w:cs="Times New Roman"/>
                <w:b w:val="0"/>
                <w:bCs w:val="0"/>
                <w:color w:val="000000"/>
                <w:sz w:val="20"/>
                <w:szCs w:val="20"/>
              </w:rPr>
            </w:pPr>
            <w:r w:rsidRPr="0050594C">
              <w:rPr>
                <w:rFonts w:cs="Times New Roman"/>
                <w:b w:val="0"/>
                <w:bCs w:val="0"/>
                <w:color w:val="000000"/>
                <w:sz w:val="20"/>
                <w:szCs w:val="20"/>
              </w:rPr>
              <w:t>5. Vides aizsardzība</w:t>
            </w:r>
          </w:p>
        </w:tc>
        <w:tc>
          <w:tcPr>
            <w:tcW w:w="1134" w:type="dxa"/>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5</w:t>
            </w:r>
          </w:p>
        </w:tc>
        <w:tc>
          <w:tcPr>
            <w:tcW w:w="850" w:type="dxa"/>
            <w:noWrap/>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0,6</w:t>
            </w:r>
          </w:p>
        </w:tc>
        <w:tc>
          <w:tcPr>
            <w:tcW w:w="851" w:type="dxa"/>
            <w:noWrap/>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0,5</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112" w:type="dxa"/>
            <w:noWrap/>
          </w:tcPr>
          <w:p w:rsidR="00BF4753" w:rsidRPr="0050594C" w:rsidRDefault="00BF4753" w:rsidP="002D7CA8">
            <w:pPr>
              <w:ind w:firstLine="0"/>
              <w:jc w:val="left"/>
              <w:rPr>
                <w:rFonts w:cs="Times New Roman"/>
                <w:b w:val="0"/>
                <w:bCs w:val="0"/>
                <w:color w:val="000000"/>
                <w:sz w:val="20"/>
                <w:szCs w:val="20"/>
              </w:rPr>
            </w:pPr>
            <w:r w:rsidRPr="0050594C">
              <w:rPr>
                <w:rFonts w:cs="Times New Roman"/>
                <w:b w:val="0"/>
                <w:bCs w:val="0"/>
                <w:color w:val="000000"/>
                <w:sz w:val="20"/>
                <w:szCs w:val="20"/>
              </w:rPr>
              <w:t>6. Mājoklis un komunālā saimniecība</w:t>
            </w:r>
          </w:p>
        </w:tc>
        <w:tc>
          <w:tcPr>
            <w:tcW w:w="1134" w:type="dxa"/>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6</w:t>
            </w:r>
          </w:p>
        </w:tc>
        <w:tc>
          <w:tcPr>
            <w:tcW w:w="850" w:type="dxa"/>
            <w:noWrap/>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1,0</w:t>
            </w:r>
          </w:p>
        </w:tc>
        <w:tc>
          <w:tcPr>
            <w:tcW w:w="851" w:type="dxa"/>
            <w:noWrap/>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1,0</w:t>
            </w:r>
          </w:p>
        </w:tc>
      </w:tr>
      <w:tr w:rsidR="00BF4753" w:rsidRPr="00361832" w:rsidTr="002D7CA8">
        <w:trPr>
          <w:trHeight w:val="63"/>
        </w:trPr>
        <w:tc>
          <w:tcPr>
            <w:cnfStyle w:val="001000000000" w:firstRow="0" w:lastRow="0" w:firstColumn="1" w:lastColumn="0" w:oddVBand="0" w:evenVBand="0" w:oddHBand="0" w:evenHBand="0" w:firstRowFirstColumn="0" w:firstRowLastColumn="0" w:lastRowFirstColumn="0" w:lastRowLastColumn="0"/>
            <w:tcW w:w="4112" w:type="dxa"/>
            <w:noWrap/>
          </w:tcPr>
          <w:p w:rsidR="00BF4753" w:rsidRPr="0050594C" w:rsidRDefault="00BF4753" w:rsidP="002D7CA8">
            <w:pPr>
              <w:ind w:firstLine="0"/>
              <w:jc w:val="left"/>
              <w:rPr>
                <w:rFonts w:cs="Times New Roman"/>
                <w:b w:val="0"/>
                <w:bCs w:val="0"/>
                <w:color w:val="000000"/>
                <w:sz w:val="20"/>
                <w:szCs w:val="20"/>
              </w:rPr>
            </w:pPr>
            <w:r w:rsidRPr="0050594C">
              <w:rPr>
                <w:rFonts w:cs="Times New Roman"/>
                <w:b w:val="0"/>
                <w:bCs w:val="0"/>
                <w:color w:val="000000"/>
                <w:sz w:val="20"/>
                <w:szCs w:val="20"/>
              </w:rPr>
              <w:t>7. Veselība</w:t>
            </w:r>
          </w:p>
        </w:tc>
        <w:tc>
          <w:tcPr>
            <w:tcW w:w="1134" w:type="dxa"/>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7</w:t>
            </w:r>
          </w:p>
        </w:tc>
        <w:tc>
          <w:tcPr>
            <w:tcW w:w="850" w:type="dxa"/>
            <w:noWrap/>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4,2</w:t>
            </w:r>
          </w:p>
        </w:tc>
        <w:tc>
          <w:tcPr>
            <w:tcW w:w="851" w:type="dxa"/>
            <w:noWrap/>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4,2</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112" w:type="dxa"/>
            <w:noWrap/>
          </w:tcPr>
          <w:p w:rsidR="00BF4753" w:rsidRPr="0050594C" w:rsidRDefault="00BF4753" w:rsidP="002D7CA8">
            <w:pPr>
              <w:ind w:firstLine="0"/>
              <w:jc w:val="left"/>
              <w:rPr>
                <w:rFonts w:cs="Times New Roman"/>
                <w:b w:val="0"/>
                <w:bCs w:val="0"/>
                <w:color w:val="000000"/>
                <w:sz w:val="20"/>
                <w:szCs w:val="20"/>
              </w:rPr>
            </w:pPr>
            <w:r w:rsidRPr="0050594C">
              <w:rPr>
                <w:rFonts w:cs="Times New Roman"/>
                <w:b w:val="0"/>
                <w:bCs w:val="0"/>
                <w:color w:val="000000"/>
                <w:sz w:val="20"/>
                <w:szCs w:val="20"/>
              </w:rPr>
              <w:t>8. Atpūta, kultūra un reliģija</w:t>
            </w:r>
          </w:p>
        </w:tc>
        <w:tc>
          <w:tcPr>
            <w:tcW w:w="1134" w:type="dxa"/>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8</w:t>
            </w:r>
          </w:p>
        </w:tc>
        <w:tc>
          <w:tcPr>
            <w:tcW w:w="850" w:type="dxa"/>
            <w:noWrap/>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1,5</w:t>
            </w:r>
          </w:p>
        </w:tc>
        <w:tc>
          <w:tcPr>
            <w:tcW w:w="851" w:type="dxa"/>
            <w:noWrap/>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1,4</w:t>
            </w:r>
          </w:p>
        </w:tc>
      </w:tr>
      <w:tr w:rsidR="00BF4753" w:rsidRPr="00361832" w:rsidTr="002D7CA8">
        <w:trPr>
          <w:trHeight w:val="63"/>
        </w:trPr>
        <w:tc>
          <w:tcPr>
            <w:cnfStyle w:val="001000000000" w:firstRow="0" w:lastRow="0" w:firstColumn="1" w:lastColumn="0" w:oddVBand="0" w:evenVBand="0" w:oddHBand="0" w:evenHBand="0" w:firstRowFirstColumn="0" w:firstRowLastColumn="0" w:lastRowFirstColumn="0" w:lastRowLastColumn="0"/>
            <w:tcW w:w="4112" w:type="dxa"/>
            <w:noWrap/>
          </w:tcPr>
          <w:p w:rsidR="00BF4753" w:rsidRPr="0050594C" w:rsidRDefault="00BF4753" w:rsidP="002D7CA8">
            <w:pPr>
              <w:ind w:firstLine="0"/>
              <w:jc w:val="left"/>
              <w:rPr>
                <w:rFonts w:cs="Times New Roman"/>
                <w:b w:val="0"/>
                <w:bCs w:val="0"/>
                <w:color w:val="000000"/>
                <w:sz w:val="20"/>
                <w:szCs w:val="20"/>
              </w:rPr>
            </w:pPr>
            <w:r w:rsidRPr="0050594C">
              <w:rPr>
                <w:rFonts w:cs="Times New Roman"/>
                <w:b w:val="0"/>
                <w:bCs w:val="0"/>
                <w:color w:val="000000"/>
                <w:sz w:val="20"/>
                <w:szCs w:val="20"/>
              </w:rPr>
              <w:t>9. Izglītība</w:t>
            </w:r>
          </w:p>
        </w:tc>
        <w:tc>
          <w:tcPr>
            <w:tcW w:w="1134" w:type="dxa"/>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9</w:t>
            </w:r>
          </w:p>
        </w:tc>
        <w:tc>
          <w:tcPr>
            <w:tcW w:w="850" w:type="dxa"/>
            <w:noWrap/>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5,8</w:t>
            </w:r>
          </w:p>
        </w:tc>
        <w:tc>
          <w:tcPr>
            <w:tcW w:w="851" w:type="dxa"/>
            <w:noWrap/>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5,3</w:t>
            </w:r>
          </w:p>
        </w:tc>
      </w:tr>
      <w:tr w:rsidR="00BF4753" w:rsidRPr="00361832" w:rsidTr="002D7CA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112" w:type="dxa"/>
          </w:tcPr>
          <w:p w:rsidR="00BF4753" w:rsidRPr="0050594C" w:rsidRDefault="00BF4753" w:rsidP="002D7CA8">
            <w:pPr>
              <w:ind w:firstLine="0"/>
              <w:jc w:val="left"/>
              <w:rPr>
                <w:rFonts w:cs="Times New Roman"/>
                <w:b w:val="0"/>
                <w:bCs w:val="0"/>
                <w:color w:val="000000"/>
                <w:sz w:val="20"/>
                <w:szCs w:val="20"/>
              </w:rPr>
            </w:pPr>
            <w:r w:rsidRPr="0050594C">
              <w:rPr>
                <w:rFonts w:cs="Times New Roman"/>
                <w:b w:val="0"/>
                <w:bCs w:val="0"/>
                <w:color w:val="000000"/>
                <w:sz w:val="20"/>
                <w:szCs w:val="20"/>
              </w:rPr>
              <w:t>10. Sociālā aizsardzība</w:t>
            </w:r>
          </w:p>
        </w:tc>
        <w:tc>
          <w:tcPr>
            <w:tcW w:w="1134" w:type="dxa"/>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10</w:t>
            </w:r>
          </w:p>
        </w:tc>
        <w:tc>
          <w:tcPr>
            <w:tcW w:w="850" w:type="dxa"/>
            <w:noWrap/>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12,1</w:t>
            </w:r>
          </w:p>
        </w:tc>
        <w:tc>
          <w:tcPr>
            <w:tcW w:w="851" w:type="dxa"/>
            <w:noWrap/>
          </w:tcPr>
          <w:p w:rsidR="00BF4753" w:rsidRPr="0050594C"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13,0</w:t>
            </w:r>
          </w:p>
        </w:tc>
      </w:tr>
      <w:tr w:rsidR="00BF4753" w:rsidRPr="00361832" w:rsidTr="002D7CA8">
        <w:trPr>
          <w:trHeight w:val="63"/>
        </w:trPr>
        <w:tc>
          <w:tcPr>
            <w:cnfStyle w:val="001000000000" w:firstRow="0" w:lastRow="0" w:firstColumn="1" w:lastColumn="0" w:oddVBand="0" w:evenVBand="0" w:oddHBand="0" w:evenHBand="0" w:firstRowFirstColumn="0" w:firstRowLastColumn="0" w:lastRowFirstColumn="0" w:lastRowLastColumn="0"/>
            <w:tcW w:w="4112" w:type="dxa"/>
            <w:noWrap/>
          </w:tcPr>
          <w:p w:rsidR="00BF4753" w:rsidRPr="0050594C" w:rsidRDefault="00BF4753" w:rsidP="002D7CA8">
            <w:pPr>
              <w:ind w:firstLine="0"/>
              <w:jc w:val="left"/>
              <w:rPr>
                <w:rFonts w:cs="Times New Roman"/>
                <w:b w:val="0"/>
                <w:bCs w:val="0"/>
                <w:color w:val="000000"/>
                <w:sz w:val="20"/>
                <w:szCs w:val="20"/>
              </w:rPr>
            </w:pPr>
            <w:r w:rsidRPr="0050594C">
              <w:rPr>
                <w:rFonts w:cs="Times New Roman"/>
                <w:b w:val="0"/>
                <w:bCs w:val="0"/>
                <w:color w:val="000000"/>
                <w:sz w:val="20"/>
                <w:szCs w:val="20"/>
              </w:rPr>
              <w:t>11. Kopējie izdevumi</w:t>
            </w:r>
          </w:p>
        </w:tc>
        <w:tc>
          <w:tcPr>
            <w:tcW w:w="1134" w:type="dxa"/>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50594C">
              <w:rPr>
                <w:rFonts w:cs="Times New Roman"/>
                <w:color w:val="000000"/>
                <w:sz w:val="20"/>
                <w:szCs w:val="20"/>
              </w:rPr>
              <w:t>TE</w:t>
            </w:r>
          </w:p>
        </w:tc>
        <w:tc>
          <w:tcPr>
            <w:tcW w:w="850" w:type="dxa"/>
            <w:noWrap/>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50594C">
              <w:rPr>
                <w:rFonts w:cs="Times New Roman"/>
                <w:color w:val="000000"/>
                <w:sz w:val="20"/>
                <w:szCs w:val="20"/>
              </w:rPr>
              <w:t>38,4</w:t>
            </w:r>
          </w:p>
        </w:tc>
        <w:tc>
          <w:tcPr>
            <w:tcW w:w="851" w:type="dxa"/>
            <w:noWrap/>
          </w:tcPr>
          <w:p w:rsidR="00BF4753" w:rsidRPr="0050594C"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50594C">
              <w:rPr>
                <w:rFonts w:cs="Times New Roman"/>
                <w:color w:val="000000"/>
                <w:sz w:val="20"/>
                <w:szCs w:val="20"/>
              </w:rPr>
              <w:t>39,0</w:t>
            </w:r>
          </w:p>
        </w:tc>
      </w:tr>
    </w:tbl>
    <w:p w:rsidR="00BF4753" w:rsidRDefault="00BF4753" w:rsidP="00BF4753">
      <w:pPr>
        <w:rPr>
          <w:rFonts w:cs="Times New Roman"/>
          <w:sz w:val="20"/>
          <w:highlight w:val="yellow"/>
        </w:rPr>
      </w:pPr>
    </w:p>
    <w:p w:rsidR="00BF4753" w:rsidRDefault="00BF4753" w:rsidP="00BF4753">
      <w:pPr>
        <w:keepNext/>
        <w:spacing w:after="120"/>
        <w:ind w:firstLine="0"/>
        <w:jc w:val="left"/>
        <w:rPr>
          <w:rFonts w:eastAsia="Times New Roman" w:cs="Times New Roman"/>
          <w:b/>
          <w:color w:val="000000"/>
          <w:sz w:val="24"/>
          <w:szCs w:val="24"/>
        </w:rPr>
      </w:pPr>
    </w:p>
    <w:p w:rsidR="00BF4753" w:rsidRPr="00361832" w:rsidRDefault="00BF4753" w:rsidP="00BF4753">
      <w:pPr>
        <w:keepNext/>
        <w:spacing w:after="120"/>
        <w:ind w:firstLine="0"/>
        <w:jc w:val="left"/>
        <w:rPr>
          <w:rFonts w:eastAsia="Times New Roman" w:cs="Times New Roman"/>
          <w:b/>
          <w:color w:val="000000"/>
          <w:sz w:val="24"/>
          <w:szCs w:val="24"/>
        </w:rPr>
      </w:pPr>
      <w:r>
        <w:rPr>
          <w:rFonts w:eastAsia="Times New Roman" w:cs="Times New Roman"/>
          <w:b/>
          <w:color w:val="000000"/>
          <w:sz w:val="24"/>
          <w:szCs w:val="24"/>
        </w:rPr>
        <w:t>4</w:t>
      </w:r>
      <w:r w:rsidRPr="00361832">
        <w:rPr>
          <w:rFonts w:eastAsia="Times New Roman" w:cs="Times New Roman"/>
          <w:b/>
          <w:color w:val="000000"/>
          <w:sz w:val="24"/>
          <w:szCs w:val="24"/>
        </w:rPr>
        <w:t>.</w:t>
      </w:r>
      <w:r>
        <w:rPr>
          <w:rFonts w:eastAsia="Times New Roman" w:cs="Times New Roman"/>
          <w:b/>
          <w:color w:val="000000"/>
          <w:sz w:val="24"/>
          <w:szCs w:val="24"/>
        </w:rPr>
        <w:t xml:space="preserve"> </w:t>
      </w:r>
      <w:r w:rsidRPr="00361832">
        <w:rPr>
          <w:rFonts w:eastAsia="Times New Roman" w:cs="Times New Roman"/>
          <w:b/>
          <w:color w:val="000000"/>
          <w:sz w:val="24"/>
          <w:szCs w:val="24"/>
        </w:rPr>
        <w:t>tabula. Vispārējās valdības parāda attīstība un parāda izmaiņas ietekmējošie faktori 2020.-2024.</w:t>
      </w:r>
      <w:r>
        <w:rPr>
          <w:rFonts w:eastAsia="Times New Roman" w:cs="Times New Roman"/>
          <w:b/>
          <w:color w:val="000000"/>
          <w:sz w:val="24"/>
          <w:szCs w:val="24"/>
        </w:rPr>
        <w:t xml:space="preserve"> </w:t>
      </w:r>
      <w:r w:rsidRPr="00361832">
        <w:rPr>
          <w:rFonts w:eastAsia="Times New Roman" w:cs="Times New Roman"/>
          <w:b/>
          <w:color w:val="000000"/>
          <w:sz w:val="24"/>
          <w:szCs w:val="24"/>
        </w:rPr>
        <w:t>gadā</w:t>
      </w:r>
    </w:p>
    <w:tbl>
      <w:tblPr>
        <w:tblW w:w="8261" w:type="dxa"/>
        <w:tblInd w:w="-28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253"/>
        <w:gridCol w:w="611"/>
        <w:gridCol w:w="616"/>
        <w:gridCol w:w="766"/>
        <w:gridCol w:w="766"/>
        <w:gridCol w:w="766"/>
        <w:gridCol w:w="766"/>
      </w:tblGrid>
      <w:tr w:rsidR="00BF4753" w:rsidRPr="00361832" w:rsidTr="002C3840">
        <w:trPr>
          <w:trHeight w:hRule="exact" w:val="284"/>
        </w:trPr>
        <w:tc>
          <w:tcPr>
            <w:tcW w:w="4253" w:type="dxa"/>
            <w:shd w:val="clear" w:color="auto" w:fill="BDD6EE" w:themeFill="accent1" w:themeFillTint="66"/>
            <w:noWrap/>
            <w:vAlign w:val="center"/>
            <w:hideMark/>
          </w:tcPr>
          <w:p w:rsidR="00BF4753" w:rsidRPr="00361832" w:rsidRDefault="00BF4753" w:rsidP="002D7CA8">
            <w:pPr>
              <w:ind w:firstLine="0"/>
              <w:jc w:val="left"/>
              <w:rPr>
                <w:rFonts w:eastAsia="Times New Roman" w:cs="Times New Roman"/>
                <w:b/>
                <w:bCs/>
                <w:sz w:val="20"/>
                <w:szCs w:val="20"/>
                <w:lang w:eastAsia="lv-LV"/>
              </w:rPr>
            </w:pPr>
            <w:r w:rsidRPr="00361832">
              <w:rPr>
                <w:rFonts w:eastAsia="Times New Roman" w:cs="Times New Roman"/>
                <w:b/>
                <w:bCs/>
                <w:sz w:val="20"/>
                <w:szCs w:val="20"/>
                <w:lang w:eastAsia="lv-LV"/>
              </w:rPr>
              <w:t>% no IKP</w:t>
            </w:r>
          </w:p>
        </w:tc>
        <w:tc>
          <w:tcPr>
            <w:tcW w:w="328" w:type="dxa"/>
            <w:shd w:val="clear" w:color="auto" w:fill="BDD6EE" w:themeFill="accent1" w:themeFillTint="66"/>
            <w:vAlign w:val="center"/>
            <w:hideMark/>
          </w:tcPr>
          <w:p w:rsidR="00BF4753" w:rsidRPr="00361832" w:rsidRDefault="00BF4753" w:rsidP="002D7CA8">
            <w:pPr>
              <w:ind w:firstLine="0"/>
              <w:jc w:val="center"/>
              <w:rPr>
                <w:rFonts w:eastAsia="Times New Roman" w:cs="Times New Roman"/>
                <w:sz w:val="20"/>
                <w:szCs w:val="20"/>
                <w:lang w:eastAsia="lv-LV"/>
              </w:rPr>
            </w:pPr>
            <w:r w:rsidRPr="00361832">
              <w:rPr>
                <w:rFonts w:eastAsia="Times New Roman" w:cs="Times New Roman"/>
                <w:sz w:val="20"/>
                <w:szCs w:val="20"/>
                <w:lang w:eastAsia="lv-LV"/>
              </w:rPr>
              <w:t>EKS kods</w:t>
            </w:r>
          </w:p>
        </w:tc>
        <w:tc>
          <w:tcPr>
            <w:tcW w:w="616" w:type="dxa"/>
            <w:shd w:val="clear" w:color="auto" w:fill="BDD6EE" w:themeFill="accent1" w:themeFillTint="66"/>
            <w:noWrap/>
            <w:vAlign w:val="center"/>
            <w:hideMark/>
          </w:tcPr>
          <w:p w:rsidR="00BF4753" w:rsidRPr="00361832" w:rsidRDefault="00BF4753" w:rsidP="002D7CA8">
            <w:pPr>
              <w:ind w:firstLine="0"/>
              <w:jc w:val="center"/>
              <w:rPr>
                <w:rFonts w:eastAsia="Times New Roman" w:cs="Times New Roman"/>
                <w:b/>
                <w:bCs/>
                <w:sz w:val="20"/>
                <w:szCs w:val="20"/>
                <w:lang w:eastAsia="lv-LV"/>
              </w:rPr>
            </w:pPr>
            <w:r w:rsidRPr="00361832">
              <w:rPr>
                <w:rFonts w:eastAsia="Times New Roman" w:cs="Times New Roman"/>
                <w:b/>
                <w:bCs/>
                <w:sz w:val="20"/>
                <w:szCs w:val="20"/>
                <w:lang w:eastAsia="lv-LV"/>
              </w:rPr>
              <w:t>2020</w:t>
            </w:r>
          </w:p>
        </w:tc>
        <w:tc>
          <w:tcPr>
            <w:tcW w:w="766" w:type="dxa"/>
            <w:shd w:val="clear" w:color="auto" w:fill="BDD6EE" w:themeFill="accent1" w:themeFillTint="66"/>
            <w:noWrap/>
            <w:vAlign w:val="center"/>
            <w:hideMark/>
          </w:tcPr>
          <w:p w:rsidR="00BF4753" w:rsidRPr="00361832" w:rsidRDefault="00BF4753" w:rsidP="002D7CA8">
            <w:pPr>
              <w:ind w:firstLine="0"/>
              <w:jc w:val="center"/>
              <w:rPr>
                <w:rFonts w:eastAsia="Times New Roman" w:cs="Times New Roman"/>
                <w:b/>
                <w:bCs/>
                <w:sz w:val="20"/>
                <w:szCs w:val="20"/>
                <w:lang w:eastAsia="lv-LV"/>
              </w:rPr>
            </w:pPr>
            <w:r w:rsidRPr="00361832">
              <w:rPr>
                <w:rFonts w:eastAsia="Times New Roman" w:cs="Times New Roman"/>
                <w:b/>
                <w:bCs/>
                <w:sz w:val="20"/>
                <w:szCs w:val="20"/>
                <w:lang w:eastAsia="lv-LV"/>
              </w:rPr>
              <w:t>2021</w:t>
            </w:r>
          </w:p>
        </w:tc>
        <w:tc>
          <w:tcPr>
            <w:tcW w:w="766" w:type="dxa"/>
            <w:shd w:val="clear" w:color="auto" w:fill="BDD6EE" w:themeFill="accent1" w:themeFillTint="66"/>
            <w:noWrap/>
            <w:vAlign w:val="center"/>
            <w:hideMark/>
          </w:tcPr>
          <w:p w:rsidR="00BF4753" w:rsidRPr="00361832" w:rsidRDefault="00BF4753" w:rsidP="002D7CA8">
            <w:pPr>
              <w:ind w:firstLine="0"/>
              <w:jc w:val="center"/>
              <w:rPr>
                <w:rFonts w:eastAsia="Times New Roman" w:cs="Times New Roman"/>
                <w:b/>
                <w:bCs/>
                <w:sz w:val="20"/>
                <w:szCs w:val="20"/>
                <w:lang w:eastAsia="lv-LV"/>
              </w:rPr>
            </w:pPr>
            <w:r w:rsidRPr="00361832">
              <w:rPr>
                <w:rFonts w:eastAsia="Times New Roman" w:cs="Times New Roman"/>
                <w:b/>
                <w:bCs/>
                <w:sz w:val="20"/>
                <w:szCs w:val="20"/>
                <w:lang w:eastAsia="lv-LV"/>
              </w:rPr>
              <w:t>2022</w:t>
            </w:r>
          </w:p>
        </w:tc>
        <w:tc>
          <w:tcPr>
            <w:tcW w:w="766" w:type="dxa"/>
            <w:shd w:val="clear" w:color="auto" w:fill="BDD6EE" w:themeFill="accent1" w:themeFillTint="66"/>
            <w:noWrap/>
            <w:vAlign w:val="center"/>
            <w:hideMark/>
          </w:tcPr>
          <w:p w:rsidR="00BF4753" w:rsidRPr="00361832" w:rsidRDefault="00BF4753" w:rsidP="002D7CA8">
            <w:pPr>
              <w:ind w:firstLine="0"/>
              <w:jc w:val="center"/>
              <w:rPr>
                <w:rFonts w:eastAsia="Times New Roman" w:cs="Times New Roman"/>
                <w:b/>
                <w:bCs/>
                <w:sz w:val="20"/>
                <w:szCs w:val="20"/>
                <w:lang w:eastAsia="lv-LV"/>
              </w:rPr>
            </w:pPr>
            <w:r w:rsidRPr="00361832">
              <w:rPr>
                <w:rFonts w:eastAsia="Times New Roman" w:cs="Times New Roman"/>
                <w:b/>
                <w:bCs/>
                <w:sz w:val="20"/>
                <w:szCs w:val="20"/>
                <w:lang w:eastAsia="lv-LV"/>
              </w:rPr>
              <w:t>2023</w:t>
            </w:r>
          </w:p>
        </w:tc>
        <w:tc>
          <w:tcPr>
            <w:tcW w:w="766" w:type="dxa"/>
            <w:shd w:val="clear" w:color="auto" w:fill="BDD6EE" w:themeFill="accent1" w:themeFillTint="66"/>
            <w:noWrap/>
            <w:vAlign w:val="center"/>
            <w:hideMark/>
          </w:tcPr>
          <w:p w:rsidR="00BF4753" w:rsidRPr="00361832" w:rsidRDefault="00BF4753" w:rsidP="002D7CA8">
            <w:pPr>
              <w:ind w:firstLine="0"/>
              <w:jc w:val="center"/>
              <w:rPr>
                <w:rFonts w:eastAsia="Times New Roman" w:cs="Times New Roman"/>
                <w:b/>
                <w:bCs/>
                <w:sz w:val="20"/>
                <w:szCs w:val="20"/>
                <w:lang w:eastAsia="lv-LV"/>
              </w:rPr>
            </w:pPr>
            <w:r w:rsidRPr="00361832">
              <w:rPr>
                <w:rFonts w:eastAsia="Times New Roman" w:cs="Times New Roman"/>
                <w:b/>
                <w:bCs/>
                <w:sz w:val="20"/>
                <w:szCs w:val="20"/>
                <w:lang w:eastAsia="lv-LV"/>
              </w:rPr>
              <w:t>2024</w:t>
            </w:r>
          </w:p>
        </w:tc>
      </w:tr>
      <w:tr w:rsidR="00BF4753" w:rsidRPr="00361832" w:rsidTr="002C3840">
        <w:trPr>
          <w:trHeight w:hRule="exact" w:val="284"/>
        </w:trPr>
        <w:tc>
          <w:tcPr>
            <w:tcW w:w="4253" w:type="dxa"/>
            <w:shd w:val="clear" w:color="auto" w:fill="auto"/>
            <w:noWrap/>
            <w:vAlign w:val="center"/>
            <w:hideMark/>
          </w:tcPr>
          <w:p w:rsidR="00BF4753" w:rsidRPr="0050594C" w:rsidRDefault="00BF4753" w:rsidP="002D7CA8">
            <w:pPr>
              <w:ind w:firstLine="0"/>
              <w:jc w:val="left"/>
              <w:rPr>
                <w:rFonts w:eastAsia="Times New Roman" w:cs="Times New Roman"/>
                <w:bCs/>
                <w:sz w:val="20"/>
                <w:szCs w:val="20"/>
                <w:lang w:eastAsia="lv-LV"/>
              </w:rPr>
            </w:pPr>
            <w:r w:rsidRPr="0050594C">
              <w:rPr>
                <w:rFonts w:eastAsia="Times New Roman" w:cs="Times New Roman"/>
                <w:bCs/>
                <w:sz w:val="20"/>
                <w:szCs w:val="20"/>
                <w:lang w:eastAsia="lv-LV"/>
              </w:rPr>
              <w:t>1. Bruto parāds</w:t>
            </w:r>
          </w:p>
        </w:tc>
        <w:tc>
          <w:tcPr>
            <w:tcW w:w="328" w:type="dxa"/>
            <w:shd w:val="clear" w:color="auto" w:fill="auto"/>
            <w:noWrap/>
            <w:vAlign w:val="center"/>
            <w:hideMark/>
          </w:tcPr>
          <w:p w:rsidR="00BF4753" w:rsidRPr="0050594C" w:rsidRDefault="00BF4753" w:rsidP="002D7CA8">
            <w:pPr>
              <w:ind w:firstLine="0"/>
              <w:jc w:val="left"/>
              <w:rPr>
                <w:rFonts w:eastAsia="Times New Roman" w:cs="Times New Roman"/>
                <w:bCs/>
                <w:sz w:val="20"/>
                <w:szCs w:val="20"/>
                <w:lang w:eastAsia="lv-LV"/>
              </w:rPr>
            </w:pPr>
            <w:r w:rsidRPr="0050594C">
              <w:rPr>
                <w:rFonts w:eastAsia="Times New Roman" w:cs="Times New Roman"/>
                <w:bCs/>
                <w:sz w:val="20"/>
                <w:szCs w:val="20"/>
                <w:lang w:eastAsia="lv-LV"/>
              </w:rPr>
              <w:t> </w:t>
            </w:r>
          </w:p>
        </w:tc>
        <w:tc>
          <w:tcPr>
            <w:tcW w:w="616" w:type="dxa"/>
            <w:shd w:val="clear" w:color="auto" w:fill="auto"/>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43,5</w:t>
            </w:r>
          </w:p>
        </w:tc>
        <w:tc>
          <w:tcPr>
            <w:tcW w:w="766" w:type="dxa"/>
            <w:shd w:val="clear" w:color="auto" w:fill="auto"/>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48,9</w:t>
            </w:r>
          </w:p>
        </w:tc>
        <w:tc>
          <w:tcPr>
            <w:tcW w:w="766" w:type="dxa"/>
            <w:shd w:val="clear" w:color="auto" w:fill="auto"/>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50,3</w:t>
            </w:r>
          </w:p>
        </w:tc>
        <w:tc>
          <w:tcPr>
            <w:tcW w:w="766" w:type="dxa"/>
            <w:shd w:val="clear" w:color="auto" w:fill="auto"/>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48,8</w:t>
            </w:r>
          </w:p>
        </w:tc>
        <w:tc>
          <w:tcPr>
            <w:tcW w:w="766" w:type="dxa"/>
            <w:shd w:val="clear" w:color="auto" w:fill="auto"/>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48,5</w:t>
            </w:r>
          </w:p>
        </w:tc>
      </w:tr>
      <w:tr w:rsidR="00BF4753" w:rsidRPr="00361832" w:rsidTr="002C3840">
        <w:trPr>
          <w:trHeight w:hRule="exact" w:val="284"/>
        </w:trPr>
        <w:tc>
          <w:tcPr>
            <w:tcW w:w="4253" w:type="dxa"/>
            <w:shd w:val="clear" w:color="auto" w:fill="BDD6EE" w:themeFill="accent1" w:themeFillTint="66"/>
            <w:noWrap/>
            <w:vAlign w:val="center"/>
            <w:hideMark/>
          </w:tcPr>
          <w:p w:rsidR="00BF4753" w:rsidRPr="0050594C" w:rsidRDefault="00BF4753" w:rsidP="002D7CA8">
            <w:pPr>
              <w:ind w:firstLine="0"/>
              <w:jc w:val="left"/>
              <w:rPr>
                <w:rFonts w:eastAsia="Times New Roman" w:cs="Times New Roman"/>
                <w:bCs/>
                <w:sz w:val="20"/>
                <w:szCs w:val="20"/>
                <w:lang w:eastAsia="lv-LV"/>
              </w:rPr>
            </w:pPr>
            <w:r w:rsidRPr="0050594C">
              <w:rPr>
                <w:rFonts w:eastAsia="Times New Roman" w:cs="Times New Roman"/>
                <w:bCs/>
                <w:sz w:val="20"/>
                <w:szCs w:val="20"/>
                <w:lang w:eastAsia="lv-LV"/>
              </w:rPr>
              <w:t>2. Bruto parāda izmaiņas</w:t>
            </w:r>
          </w:p>
        </w:tc>
        <w:tc>
          <w:tcPr>
            <w:tcW w:w="328" w:type="dxa"/>
            <w:shd w:val="clear" w:color="auto" w:fill="BDD6EE" w:themeFill="accent1" w:themeFillTint="66"/>
            <w:noWrap/>
            <w:vAlign w:val="center"/>
            <w:hideMark/>
          </w:tcPr>
          <w:p w:rsidR="00BF4753" w:rsidRPr="0050594C" w:rsidRDefault="00BF4753" w:rsidP="002D7CA8">
            <w:pPr>
              <w:ind w:firstLine="0"/>
              <w:jc w:val="left"/>
              <w:rPr>
                <w:rFonts w:eastAsia="Times New Roman" w:cs="Times New Roman"/>
                <w:bCs/>
                <w:sz w:val="20"/>
                <w:szCs w:val="20"/>
                <w:lang w:eastAsia="lv-LV"/>
              </w:rPr>
            </w:pPr>
            <w:r w:rsidRPr="0050594C">
              <w:rPr>
                <w:rFonts w:eastAsia="Times New Roman" w:cs="Times New Roman"/>
                <w:bCs/>
                <w:sz w:val="20"/>
                <w:szCs w:val="20"/>
                <w:lang w:eastAsia="lv-LV"/>
              </w:rPr>
              <w:t> </w:t>
            </w:r>
          </w:p>
        </w:tc>
        <w:tc>
          <w:tcPr>
            <w:tcW w:w="616" w:type="dxa"/>
            <w:shd w:val="clear" w:color="auto" w:fill="BDD6EE" w:themeFill="accent1" w:themeFillTint="66"/>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5,1</w:t>
            </w:r>
          </w:p>
        </w:tc>
        <w:tc>
          <w:tcPr>
            <w:tcW w:w="766" w:type="dxa"/>
            <w:shd w:val="clear" w:color="auto" w:fill="BDD6EE" w:themeFill="accent1" w:themeFillTint="66"/>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7,3</w:t>
            </w:r>
          </w:p>
        </w:tc>
        <w:tc>
          <w:tcPr>
            <w:tcW w:w="766" w:type="dxa"/>
            <w:shd w:val="clear" w:color="auto" w:fill="BDD6EE" w:themeFill="accent1" w:themeFillTint="66"/>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4,3</w:t>
            </w:r>
          </w:p>
        </w:tc>
        <w:tc>
          <w:tcPr>
            <w:tcW w:w="766" w:type="dxa"/>
            <w:shd w:val="clear" w:color="auto" w:fill="BDD6EE" w:themeFill="accent1" w:themeFillTint="66"/>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1,0</w:t>
            </w:r>
          </w:p>
        </w:tc>
        <w:tc>
          <w:tcPr>
            <w:tcW w:w="766" w:type="dxa"/>
            <w:shd w:val="clear" w:color="auto" w:fill="BDD6EE" w:themeFill="accent1" w:themeFillTint="66"/>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2,0</w:t>
            </w:r>
          </w:p>
        </w:tc>
      </w:tr>
      <w:tr w:rsidR="00BF4753" w:rsidRPr="00361832" w:rsidTr="002C3840">
        <w:trPr>
          <w:trHeight w:hRule="exact" w:val="284"/>
        </w:trPr>
        <w:tc>
          <w:tcPr>
            <w:tcW w:w="8261" w:type="dxa"/>
            <w:gridSpan w:val="7"/>
            <w:shd w:val="clear" w:color="auto" w:fill="auto"/>
            <w:vAlign w:val="center"/>
            <w:hideMark/>
          </w:tcPr>
          <w:p w:rsidR="00BF4753" w:rsidRPr="00361832" w:rsidRDefault="00BF4753" w:rsidP="002D7CA8">
            <w:pPr>
              <w:ind w:firstLine="0"/>
              <w:jc w:val="center"/>
              <w:rPr>
                <w:rFonts w:eastAsia="Times New Roman" w:cs="Times New Roman"/>
                <w:b/>
                <w:bCs/>
                <w:sz w:val="20"/>
                <w:szCs w:val="20"/>
                <w:lang w:eastAsia="lv-LV"/>
              </w:rPr>
            </w:pPr>
            <w:r w:rsidRPr="00361832">
              <w:rPr>
                <w:rFonts w:eastAsia="Times New Roman" w:cs="Times New Roman"/>
                <w:b/>
                <w:bCs/>
                <w:sz w:val="20"/>
                <w:szCs w:val="20"/>
                <w:lang w:eastAsia="lv-LV"/>
              </w:rPr>
              <w:t>Kopējā parāda izmaiņas ietekmējošie faktori</w:t>
            </w:r>
          </w:p>
        </w:tc>
      </w:tr>
      <w:tr w:rsidR="00BF4753" w:rsidRPr="00361832" w:rsidTr="002C3840">
        <w:trPr>
          <w:trHeight w:hRule="exact" w:val="284"/>
        </w:trPr>
        <w:tc>
          <w:tcPr>
            <w:tcW w:w="4253" w:type="dxa"/>
            <w:shd w:val="clear" w:color="auto" w:fill="auto"/>
            <w:noWrap/>
            <w:vAlign w:val="center"/>
            <w:hideMark/>
          </w:tcPr>
          <w:p w:rsidR="00BF4753" w:rsidRPr="0050594C" w:rsidRDefault="00BF4753" w:rsidP="002D7CA8">
            <w:pPr>
              <w:ind w:firstLine="0"/>
              <w:jc w:val="left"/>
              <w:rPr>
                <w:rFonts w:eastAsia="Times New Roman" w:cs="Times New Roman"/>
                <w:bCs/>
                <w:sz w:val="20"/>
                <w:szCs w:val="20"/>
                <w:lang w:eastAsia="lv-LV"/>
              </w:rPr>
            </w:pPr>
            <w:r w:rsidRPr="0050594C">
              <w:rPr>
                <w:rFonts w:eastAsia="Times New Roman" w:cs="Times New Roman"/>
                <w:bCs/>
                <w:sz w:val="20"/>
                <w:szCs w:val="20"/>
                <w:lang w:eastAsia="lv-LV"/>
              </w:rPr>
              <w:t>3. Primārā bilance</w:t>
            </w:r>
          </w:p>
        </w:tc>
        <w:tc>
          <w:tcPr>
            <w:tcW w:w="328" w:type="dxa"/>
            <w:shd w:val="clear" w:color="auto" w:fill="auto"/>
            <w:noWrap/>
            <w:vAlign w:val="center"/>
            <w:hideMark/>
          </w:tcPr>
          <w:p w:rsidR="00BF4753" w:rsidRPr="0050594C" w:rsidRDefault="00BF4753" w:rsidP="002D7CA8">
            <w:pPr>
              <w:ind w:firstLine="0"/>
              <w:jc w:val="left"/>
              <w:rPr>
                <w:rFonts w:eastAsia="Times New Roman" w:cs="Times New Roman"/>
                <w:bCs/>
                <w:sz w:val="20"/>
                <w:szCs w:val="20"/>
                <w:lang w:eastAsia="lv-LV"/>
              </w:rPr>
            </w:pPr>
            <w:r w:rsidRPr="0050594C">
              <w:rPr>
                <w:rFonts w:eastAsia="Times New Roman" w:cs="Times New Roman"/>
                <w:bCs/>
                <w:sz w:val="20"/>
                <w:szCs w:val="20"/>
                <w:lang w:eastAsia="lv-LV"/>
              </w:rPr>
              <w:t> </w:t>
            </w:r>
          </w:p>
        </w:tc>
        <w:tc>
          <w:tcPr>
            <w:tcW w:w="616" w:type="dxa"/>
            <w:shd w:val="clear" w:color="auto" w:fill="auto"/>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-4,5</w:t>
            </w:r>
          </w:p>
        </w:tc>
        <w:tc>
          <w:tcPr>
            <w:tcW w:w="766" w:type="dxa"/>
            <w:shd w:val="clear" w:color="auto" w:fill="auto"/>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-8,6</w:t>
            </w:r>
          </w:p>
        </w:tc>
        <w:tc>
          <w:tcPr>
            <w:tcW w:w="766" w:type="dxa"/>
            <w:shd w:val="clear" w:color="auto" w:fill="auto"/>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-1,9</w:t>
            </w:r>
          </w:p>
        </w:tc>
        <w:tc>
          <w:tcPr>
            <w:tcW w:w="766" w:type="dxa"/>
            <w:shd w:val="clear" w:color="auto" w:fill="auto"/>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-0,6</w:t>
            </w:r>
          </w:p>
        </w:tc>
        <w:tc>
          <w:tcPr>
            <w:tcW w:w="766" w:type="dxa"/>
            <w:shd w:val="clear" w:color="auto" w:fill="auto"/>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0,3</w:t>
            </w:r>
          </w:p>
        </w:tc>
      </w:tr>
      <w:tr w:rsidR="00BF4753" w:rsidRPr="00361832" w:rsidTr="002C3840">
        <w:trPr>
          <w:trHeight w:hRule="exact" w:val="284"/>
        </w:trPr>
        <w:tc>
          <w:tcPr>
            <w:tcW w:w="4253" w:type="dxa"/>
            <w:shd w:val="clear" w:color="auto" w:fill="BDD6EE" w:themeFill="accent1" w:themeFillTint="66"/>
            <w:noWrap/>
            <w:vAlign w:val="center"/>
            <w:hideMark/>
          </w:tcPr>
          <w:p w:rsidR="00BF4753" w:rsidRPr="0050594C" w:rsidRDefault="00BF4753" w:rsidP="002D7CA8">
            <w:pPr>
              <w:ind w:firstLine="0"/>
              <w:jc w:val="left"/>
              <w:rPr>
                <w:rFonts w:eastAsia="Times New Roman" w:cs="Times New Roman"/>
                <w:bCs/>
                <w:sz w:val="20"/>
                <w:szCs w:val="20"/>
                <w:lang w:eastAsia="lv-LV"/>
              </w:rPr>
            </w:pPr>
            <w:r w:rsidRPr="0050594C">
              <w:rPr>
                <w:rFonts w:eastAsia="Times New Roman" w:cs="Times New Roman"/>
                <w:bCs/>
                <w:sz w:val="20"/>
                <w:szCs w:val="20"/>
                <w:lang w:eastAsia="lv-LV"/>
              </w:rPr>
              <w:t>4. Procentu maksājumi</w:t>
            </w:r>
          </w:p>
        </w:tc>
        <w:tc>
          <w:tcPr>
            <w:tcW w:w="328" w:type="dxa"/>
            <w:shd w:val="clear" w:color="auto" w:fill="BDD6EE" w:themeFill="accent1" w:themeFillTint="66"/>
            <w:vAlign w:val="center"/>
            <w:hideMark/>
          </w:tcPr>
          <w:p w:rsidR="00BF4753" w:rsidRPr="0050594C" w:rsidRDefault="00BF4753" w:rsidP="002D7CA8">
            <w:pPr>
              <w:ind w:firstLine="0"/>
              <w:jc w:val="left"/>
              <w:rPr>
                <w:rFonts w:eastAsia="Times New Roman" w:cs="Times New Roman"/>
                <w:bCs/>
                <w:sz w:val="20"/>
                <w:szCs w:val="20"/>
                <w:lang w:eastAsia="lv-LV"/>
              </w:rPr>
            </w:pPr>
            <w:r w:rsidRPr="0050594C">
              <w:rPr>
                <w:rFonts w:eastAsia="Times New Roman" w:cs="Times New Roman"/>
                <w:bCs/>
                <w:sz w:val="20"/>
                <w:szCs w:val="20"/>
                <w:lang w:eastAsia="lv-LV"/>
              </w:rPr>
              <w:t>EDP D.41</w:t>
            </w:r>
          </w:p>
        </w:tc>
        <w:tc>
          <w:tcPr>
            <w:tcW w:w="616" w:type="dxa"/>
            <w:shd w:val="clear" w:color="auto" w:fill="BDD6EE" w:themeFill="accent1" w:themeFillTint="66"/>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0,8</w:t>
            </w:r>
          </w:p>
        </w:tc>
        <w:tc>
          <w:tcPr>
            <w:tcW w:w="766" w:type="dxa"/>
            <w:shd w:val="clear" w:color="auto" w:fill="BDD6EE" w:themeFill="accent1" w:themeFillTint="66"/>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0,7</w:t>
            </w:r>
          </w:p>
        </w:tc>
        <w:tc>
          <w:tcPr>
            <w:tcW w:w="766" w:type="dxa"/>
            <w:shd w:val="clear" w:color="auto" w:fill="BDD6EE" w:themeFill="accent1" w:themeFillTint="66"/>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0,8</w:t>
            </w:r>
          </w:p>
        </w:tc>
        <w:tc>
          <w:tcPr>
            <w:tcW w:w="766" w:type="dxa"/>
            <w:shd w:val="clear" w:color="auto" w:fill="BDD6EE" w:themeFill="accent1" w:themeFillTint="66"/>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0,8</w:t>
            </w:r>
          </w:p>
        </w:tc>
        <w:tc>
          <w:tcPr>
            <w:tcW w:w="766" w:type="dxa"/>
            <w:shd w:val="clear" w:color="auto" w:fill="BDD6EE" w:themeFill="accent1" w:themeFillTint="66"/>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0,7</w:t>
            </w:r>
          </w:p>
        </w:tc>
      </w:tr>
      <w:tr w:rsidR="00BF4753" w:rsidRPr="00361832" w:rsidTr="002C3840">
        <w:trPr>
          <w:trHeight w:hRule="exact" w:val="284"/>
        </w:trPr>
        <w:tc>
          <w:tcPr>
            <w:tcW w:w="4253" w:type="dxa"/>
            <w:shd w:val="clear" w:color="auto" w:fill="auto"/>
            <w:noWrap/>
            <w:vAlign w:val="center"/>
            <w:hideMark/>
          </w:tcPr>
          <w:p w:rsidR="00BF4753" w:rsidRPr="0050594C" w:rsidRDefault="00BF4753" w:rsidP="002D7CA8">
            <w:pPr>
              <w:ind w:firstLine="0"/>
              <w:jc w:val="left"/>
              <w:rPr>
                <w:rFonts w:eastAsia="Times New Roman" w:cs="Times New Roman"/>
                <w:bCs/>
                <w:sz w:val="20"/>
                <w:szCs w:val="20"/>
                <w:lang w:eastAsia="lv-LV"/>
              </w:rPr>
            </w:pPr>
            <w:r w:rsidRPr="0050594C">
              <w:rPr>
                <w:rFonts w:eastAsia="Times New Roman" w:cs="Times New Roman"/>
                <w:bCs/>
                <w:sz w:val="20"/>
                <w:szCs w:val="20"/>
                <w:lang w:eastAsia="lv-LV"/>
              </w:rPr>
              <w:t>5. Krājumu izmaiņas</w:t>
            </w:r>
          </w:p>
        </w:tc>
        <w:tc>
          <w:tcPr>
            <w:tcW w:w="328" w:type="dxa"/>
            <w:shd w:val="clear" w:color="auto" w:fill="auto"/>
            <w:vAlign w:val="center"/>
            <w:hideMark/>
          </w:tcPr>
          <w:p w:rsidR="00BF4753" w:rsidRPr="0050594C" w:rsidRDefault="00BF4753" w:rsidP="002D7CA8">
            <w:pPr>
              <w:ind w:firstLine="0"/>
              <w:jc w:val="left"/>
              <w:rPr>
                <w:rFonts w:eastAsia="Times New Roman" w:cs="Times New Roman"/>
                <w:bCs/>
                <w:sz w:val="20"/>
                <w:szCs w:val="20"/>
                <w:lang w:eastAsia="lv-LV"/>
              </w:rPr>
            </w:pPr>
            <w:r w:rsidRPr="0050594C">
              <w:rPr>
                <w:rFonts w:eastAsia="Times New Roman" w:cs="Times New Roman"/>
                <w:bCs/>
                <w:sz w:val="20"/>
                <w:szCs w:val="20"/>
                <w:lang w:eastAsia="lv-LV"/>
              </w:rPr>
              <w:t> </w:t>
            </w:r>
          </w:p>
        </w:tc>
        <w:tc>
          <w:tcPr>
            <w:tcW w:w="616" w:type="dxa"/>
            <w:shd w:val="clear" w:color="auto" w:fill="auto"/>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-0,2</w:t>
            </w:r>
          </w:p>
        </w:tc>
        <w:tc>
          <w:tcPr>
            <w:tcW w:w="766" w:type="dxa"/>
            <w:shd w:val="clear" w:color="auto" w:fill="auto"/>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-2,0</w:t>
            </w:r>
          </w:p>
        </w:tc>
        <w:tc>
          <w:tcPr>
            <w:tcW w:w="766" w:type="dxa"/>
            <w:shd w:val="clear" w:color="auto" w:fill="auto"/>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1,7</w:t>
            </w:r>
          </w:p>
        </w:tc>
        <w:tc>
          <w:tcPr>
            <w:tcW w:w="766" w:type="dxa"/>
            <w:shd w:val="clear" w:color="auto" w:fill="auto"/>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-0,4</w:t>
            </w:r>
          </w:p>
        </w:tc>
        <w:tc>
          <w:tcPr>
            <w:tcW w:w="766" w:type="dxa"/>
            <w:shd w:val="clear" w:color="auto" w:fill="auto"/>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1,6</w:t>
            </w:r>
          </w:p>
        </w:tc>
      </w:tr>
      <w:tr w:rsidR="00BF4753" w:rsidRPr="00361832" w:rsidTr="002C3840">
        <w:trPr>
          <w:trHeight w:hRule="exact" w:val="284"/>
        </w:trPr>
        <w:tc>
          <w:tcPr>
            <w:tcW w:w="4253" w:type="dxa"/>
            <w:shd w:val="clear" w:color="auto" w:fill="BDD6EE" w:themeFill="accent1" w:themeFillTint="66"/>
            <w:vAlign w:val="center"/>
            <w:hideMark/>
          </w:tcPr>
          <w:p w:rsidR="00BF4753" w:rsidRPr="0050594C" w:rsidRDefault="00BF4753" w:rsidP="002D7CA8">
            <w:pPr>
              <w:ind w:firstLine="0"/>
              <w:jc w:val="left"/>
              <w:rPr>
                <w:rFonts w:eastAsia="Times New Roman" w:cs="Times New Roman"/>
                <w:bCs/>
                <w:sz w:val="20"/>
                <w:szCs w:val="20"/>
                <w:lang w:eastAsia="lv-LV"/>
              </w:rPr>
            </w:pPr>
            <w:r w:rsidRPr="0050594C">
              <w:rPr>
                <w:rFonts w:eastAsia="Times New Roman" w:cs="Times New Roman"/>
                <w:bCs/>
                <w:sz w:val="20"/>
                <w:szCs w:val="20"/>
                <w:lang w:eastAsia="lv-LV"/>
              </w:rPr>
              <w:t>Valsts parāda netiešā procentu likme</w:t>
            </w:r>
          </w:p>
        </w:tc>
        <w:tc>
          <w:tcPr>
            <w:tcW w:w="328" w:type="dxa"/>
            <w:shd w:val="clear" w:color="auto" w:fill="BDD6EE" w:themeFill="accent1" w:themeFillTint="66"/>
            <w:noWrap/>
            <w:vAlign w:val="center"/>
            <w:hideMark/>
          </w:tcPr>
          <w:p w:rsidR="00BF4753" w:rsidRPr="0050594C" w:rsidRDefault="00BF4753" w:rsidP="002D7CA8">
            <w:pPr>
              <w:ind w:firstLine="0"/>
              <w:jc w:val="left"/>
              <w:rPr>
                <w:rFonts w:eastAsia="Times New Roman" w:cs="Times New Roman"/>
                <w:bCs/>
                <w:sz w:val="20"/>
                <w:szCs w:val="20"/>
                <w:lang w:eastAsia="lv-LV"/>
              </w:rPr>
            </w:pPr>
            <w:r w:rsidRPr="0050594C">
              <w:rPr>
                <w:rFonts w:eastAsia="Times New Roman" w:cs="Times New Roman"/>
                <w:bCs/>
                <w:sz w:val="20"/>
                <w:szCs w:val="20"/>
                <w:lang w:eastAsia="lv-LV"/>
              </w:rPr>
              <w:t> </w:t>
            </w:r>
          </w:p>
        </w:tc>
        <w:tc>
          <w:tcPr>
            <w:tcW w:w="616" w:type="dxa"/>
            <w:shd w:val="clear" w:color="auto" w:fill="BDD6EE" w:themeFill="accent1" w:themeFillTint="66"/>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2,2</w:t>
            </w:r>
          </w:p>
        </w:tc>
        <w:tc>
          <w:tcPr>
            <w:tcW w:w="766" w:type="dxa"/>
            <w:shd w:val="clear" w:color="auto" w:fill="BDD6EE" w:themeFill="accent1" w:themeFillTint="66"/>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1,7</w:t>
            </w:r>
          </w:p>
        </w:tc>
        <w:tc>
          <w:tcPr>
            <w:tcW w:w="766" w:type="dxa"/>
            <w:shd w:val="clear" w:color="auto" w:fill="BDD6EE" w:themeFill="accent1" w:themeFillTint="66"/>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1,7</w:t>
            </w:r>
          </w:p>
        </w:tc>
        <w:tc>
          <w:tcPr>
            <w:tcW w:w="766" w:type="dxa"/>
            <w:shd w:val="clear" w:color="auto" w:fill="BDD6EE" w:themeFill="accent1" w:themeFillTint="66"/>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1,6</w:t>
            </w:r>
          </w:p>
        </w:tc>
        <w:tc>
          <w:tcPr>
            <w:tcW w:w="766" w:type="dxa"/>
            <w:shd w:val="clear" w:color="auto" w:fill="BDD6EE" w:themeFill="accent1" w:themeFillTint="66"/>
            <w:noWrap/>
            <w:vAlign w:val="center"/>
            <w:hideMark/>
          </w:tcPr>
          <w:p w:rsidR="00BF4753" w:rsidRPr="0050594C" w:rsidRDefault="00E3405D" w:rsidP="002D7CA8">
            <w:pPr>
              <w:ind w:firstLine="0"/>
              <w:jc w:val="right"/>
              <w:rPr>
                <w:rFonts w:eastAsia="Times New Roman" w:cs="Times New Roman"/>
                <w:bCs/>
                <w:sz w:val="20"/>
                <w:szCs w:val="20"/>
                <w:lang w:eastAsia="lv-LV"/>
              </w:rPr>
            </w:pPr>
            <w:r w:rsidRPr="0050594C">
              <w:rPr>
                <w:rFonts w:eastAsia="Times New Roman" w:cs="Times New Roman"/>
                <w:bCs/>
                <w:sz w:val="20"/>
                <w:szCs w:val="20"/>
                <w:lang w:eastAsia="lv-LV"/>
              </w:rPr>
              <w:t>1,4</w:t>
            </w:r>
          </w:p>
        </w:tc>
      </w:tr>
      <w:tr w:rsidR="00BF4753" w:rsidRPr="00361832" w:rsidTr="002C3840">
        <w:trPr>
          <w:trHeight w:hRule="exact" w:val="284"/>
        </w:trPr>
        <w:tc>
          <w:tcPr>
            <w:tcW w:w="8261" w:type="dxa"/>
            <w:gridSpan w:val="7"/>
            <w:shd w:val="clear" w:color="auto" w:fill="auto"/>
            <w:vAlign w:val="center"/>
            <w:hideMark/>
          </w:tcPr>
          <w:p w:rsidR="00BF4753" w:rsidRPr="00361832" w:rsidRDefault="00BF4753" w:rsidP="002D7CA8">
            <w:pPr>
              <w:ind w:firstLine="0"/>
              <w:jc w:val="center"/>
              <w:rPr>
                <w:rFonts w:eastAsia="Times New Roman" w:cs="Times New Roman"/>
                <w:b/>
                <w:bCs/>
                <w:sz w:val="20"/>
                <w:szCs w:val="20"/>
                <w:lang w:eastAsia="lv-LV"/>
              </w:rPr>
            </w:pPr>
            <w:r w:rsidRPr="00361832">
              <w:rPr>
                <w:rFonts w:eastAsia="Times New Roman" w:cs="Times New Roman"/>
                <w:b/>
                <w:bCs/>
                <w:sz w:val="20"/>
                <w:szCs w:val="20"/>
                <w:lang w:eastAsia="lv-LV"/>
              </w:rPr>
              <w:t>Citi mainīgie</w:t>
            </w:r>
          </w:p>
        </w:tc>
      </w:tr>
      <w:tr w:rsidR="00BF4753" w:rsidRPr="00361832" w:rsidTr="002C3840">
        <w:trPr>
          <w:trHeight w:hRule="exact" w:val="284"/>
        </w:trPr>
        <w:tc>
          <w:tcPr>
            <w:tcW w:w="4253" w:type="dxa"/>
            <w:shd w:val="clear" w:color="auto" w:fill="auto"/>
            <w:noWrap/>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6. Likvīdi finanšu aktīvi</w:t>
            </w:r>
          </w:p>
        </w:tc>
        <w:tc>
          <w:tcPr>
            <w:tcW w:w="328" w:type="dxa"/>
            <w:shd w:val="clear" w:color="auto" w:fill="auto"/>
            <w:noWrap/>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 </w:t>
            </w:r>
          </w:p>
        </w:tc>
        <w:tc>
          <w:tcPr>
            <w:tcW w:w="616" w:type="dxa"/>
            <w:shd w:val="clear" w:color="auto" w:fill="auto"/>
            <w:noWrap/>
            <w:vAlign w:val="center"/>
            <w:hideMark/>
          </w:tcPr>
          <w:p w:rsidR="00BF4753" w:rsidRPr="00361832" w:rsidRDefault="00E3405D" w:rsidP="002D7CA8">
            <w:pPr>
              <w:ind w:firstLine="0"/>
              <w:jc w:val="right"/>
              <w:rPr>
                <w:rFonts w:eastAsia="Times New Roman" w:cs="Times New Roman"/>
                <w:sz w:val="20"/>
                <w:szCs w:val="20"/>
                <w:lang w:eastAsia="lv-LV"/>
              </w:rPr>
            </w:pPr>
            <w:r>
              <w:rPr>
                <w:rFonts w:eastAsia="Times New Roman" w:cs="Times New Roman"/>
                <w:sz w:val="20"/>
                <w:szCs w:val="20"/>
                <w:lang w:eastAsia="lv-LV"/>
              </w:rPr>
              <w:t>9,1</w:t>
            </w:r>
          </w:p>
        </w:tc>
        <w:tc>
          <w:tcPr>
            <w:tcW w:w="766" w:type="dxa"/>
            <w:shd w:val="clear" w:color="auto" w:fill="auto"/>
            <w:noWrap/>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 </w:t>
            </w:r>
          </w:p>
        </w:tc>
        <w:tc>
          <w:tcPr>
            <w:tcW w:w="766" w:type="dxa"/>
            <w:shd w:val="clear" w:color="auto" w:fill="auto"/>
            <w:noWrap/>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 </w:t>
            </w:r>
          </w:p>
        </w:tc>
        <w:tc>
          <w:tcPr>
            <w:tcW w:w="766" w:type="dxa"/>
            <w:shd w:val="clear" w:color="auto" w:fill="auto"/>
            <w:noWrap/>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 </w:t>
            </w:r>
          </w:p>
        </w:tc>
        <w:tc>
          <w:tcPr>
            <w:tcW w:w="766" w:type="dxa"/>
            <w:shd w:val="clear" w:color="auto" w:fill="auto"/>
            <w:noWrap/>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 </w:t>
            </w:r>
          </w:p>
        </w:tc>
      </w:tr>
      <w:tr w:rsidR="00BF4753" w:rsidRPr="00361832" w:rsidTr="002C3840">
        <w:trPr>
          <w:trHeight w:hRule="exact" w:val="284"/>
        </w:trPr>
        <w:tc>
          <w:tcPr>
            <w:tcW w:w="4253" w:type="dxa"/>
            <w:shd w:val="clear" w:color="auto" w:fill="BDD6EE" w:themeFill="accent1" w:themeFillTint="66"/>
            <w:noWrap/>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7. Neto finansiālais parāds (7=1-6)</w:t>
            </w:r>
          </w:p>
        </w:tc>
        <w:tc>
          <w:tcPr>
            <w:tcW w:w="328" w:type="dxa"/>
            <w:shd w:val="clear" w:color="auto" w:fill="BDD6EE" w:themeFill="accent1" w:themeFillTint="66"/>
            <w:noWrap/>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 </w:t>
            </w:r>
          </w:p>
        </w:tc>
        <w:tc>
          <w:tcPr>
            <w:tcW w:w="616" w:type="dxa"/>
            <w:shd w:val="clear" w:color="auto" w:fill="BDD6EE" w:themeFill="accent1" w:themeFillTint="66"/>
            <w:noWrap/>
            <w:vAlign w:val="center"/>
            <w:hideMark/>
          </w:tcPr>
          <w:p w:rsidR="00BF4753" w:rsidRPr="00361832" w:rsidRDefault="00E3405D" w:rsidP="002D7CA8">
            <w:pPr>
              <w:ind w:firstLine="0"/>
              <w:jc w:val="right"/>
              <w:rPr>
                <w:rFonts w:eastAsia="Times New Roman" w:cs="Times New Roman"/>
                <w:sz w:val="20"/>
                <w:szCs w:val="20"/>
                <w:lang w:eastAsia="lv-LV"/>
              </w:rPr>
            </w:pPr>
            <w:r>
              <w:rPr>
                <w:rFonts w:eastAsia="Times New Roman" w:cs="Times New Roman"/>
                <w:sz w:val="20"/>
                <w:szCs w:val="20"/>
                <w:lang w:eastAsia="lv-LV"/>
              </w:rPr>
              <w:t>34,3</w:t>
            </w:r>
          </w:p>
        </w:tc>
        <w:tc>
          <w:tcPr>
            <w:tcW w:w="766" w:type="dxa"/>
            <w:shd w:val="clear" w:color="auto" w:fill="BDD6EE" w:themeFill="accent1" w:themeFillTint="66"/>
            <w:noWrap/>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 </w:t>
            </w:r>
          </w:p>
        </w:tc>
        <w:tc>
          <w:tcPr>
            <w:tcW w:w="766" w:type="dxa"/>
            <w:shd w:val="clear" w:color="auto" w:fill="BDD6EE" w:themeFill="accent1" w:themeFillTint="66"/>
            <w:noWrap/>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 </w:t>
            </w:r>
          </w:p>
        </w:tc>
        <w:tc>
          <w:tcPr>
            <w:tcW w:w="766" w:type="dxa"/>
            <w:shd w:val="clear" w:color="auto" w:fill="BDD6EE" w:themeFill="accent1" w:themeFillTint="66"/>
            <w:noWrap/>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 </w:t>
            </w:r>
          </w:p>
        </w:tc>
        <w:tc>
          <w:tcPr>
            <w:tcW w:w="766" w:type="dxa"/>
            <w:shd w:val="clear" w:color="auto" w:fill="BDD6EE" w:themeFill="accent1" w:themeFillTint="66"/>
            <w:noWrap/>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 </w:t>
            </w:r>
          </w:p>
        </w:tc>
      </w:tr>
      <w:tr w:rsidR="00BF4753" w:rsidRPr="00361832" w:rsidTr="002C3840">
        <w:trPr>
          <w:trHeight w:hRule="exact" w:val="284"/>
        </w:trPr>
        <w:tc>
          <w:tcPr>
            <w:tcW w:w="4253" w:type="dxa"/>
            <w:shd w:val="clear" w:color="auto" w:fill="auto"/>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8. Parāda amortizācija</w:t>
            </w:r>
          </w:p>
        </w:tc>
        <w:tc>
          <w:tcPr>
            <w:tcW w:w="328" w:type="dxa"/>
            <w:shd w:val="clear" w:color="auto" w:fill="auto"/>
            <w:noWrap/>
            <w:vAlign w:val="center"/>
            <w:hideMark/>
          </w:tcPr>
          <w:p w:rsidR="00BF4753" w:rsidRPr="00361832" w:rsidRDefault="00BF4753" w:rsidP="002D7CA8">
            <w:pPr>
              <w:ind w:firstLine="0"/>
              <w:jc w:val="right"/>
              <w:rPr>
                <w:rFonts w:eastAsia="Times New Roman" w:cs="Times New Roman"/>
                <w:color w:val="FF0000"/>
                <w:sz w:val="20"/>
                <w:szCs w:val="20"/>
                <w:lang w:eastAsia="lv-LV"/>
              </w:rPr>
            </w:pPr>
            <w:r w:rsidRPr="00361832">
              <w:rPr>
                <w:rFonts w:eastAsia="Times New Roman" w:cs="Times New Roman"/>
                <w:color w:val="FF0000"/>
                <w:sz w:val="20"/>
                <w:szCs w:val="20"/>
                <w:lang w:eastAsia="lv-LV"/>
              </w:rPr>
              <w:t> </w:t>
            </w:r>
          </w:p>
        </w:tc>
        <w:tc>
          <w:tcPr>
            <w:tcW w:w="616" w:type="dxa"/>
            <w:shd w:val="clear" w:color="auto" w:fill="auto"/>
            <w:noWrap/>
            <w:vAlign w:val="center"/>
            <w:hideMark/>
          </w:tcPr>
          <w:p w:rsidR="00BF4753" w:rsidRPr="00361832" w:rsidRDefault="00E3405D" w:rsidP="002D7CA8">
            <w:pPr>
              <w:ind w:firstLine="0"/>
              <w:jc w:val="right"/>
              <w:rPr>
                <w:rFonts w:eastAsia="Times New Roman" w:cs="Times New Roman"/>
                <w:sz w:val="20"/>
                <w:szCs w:val="20"/>
                <w:lang w:eastAsia="lv-LV"/>
              </w:rPr>
            </w:pPr>
            <w:r>
              <w:rPr>
                <w:rFonts w:eastAsia="Times New Roman" w:cs="Times New Roman"/>
                <w:sz w:val="20"/>
                <w:szCs w:val="20"/>
                <w:lang w:eastAsia="lv-LV"/>
              </w:rPr>
              <w:t>4,4</w:t>
            </w:r>
          </w:p>
        </w:tc>
        <w:tc>
          <w:tcPr>
            <w:tcW w:w="766" w:type="dxa"/>
            <w:shd w:val="clear" w:color="auto" w:fill="auto"/>
            <w:noWrap/>
            <w:vAlign w:val="center"/>
            <w:hideMark/>
          </w:tcPr>
          <w:p w:rsidR="00BF4753" w:rsidRPr="00361832" w:rsidRDefault="00E3405D" w:rsidP="002D7CA8">
            <w:pPr>
              <w:ind w:firstLine="0"/>
              <w:jc w:val="right"/>
              <w:rPr>
                <w:rFonts w:eastAsia="Times New Roman" w:cs="Times New Roman"/>
                <w:sz w:val="20"/>
                <w:szCs w:val="20"/>
                <w:lang w:eastAsia="lv-LV"/>
              </w:rPr>
            </w:pPr>
            <w:r>
              <w:rPr>
                <w:rFonts w:eastAsia="Times New Roman" w:cs="Times New Roman"/>
                <w:sz w:val="20"/>
                <w:szCs w:val="20"/>
                <w:lang w:eastAsia="lv-LV"/>
              </w:rPr>
              <w:t>4,6</w:t>
            </w:r>
          </w:p>
        </w:tc>
        <w:tc>
          <w:tcPr>
            <w:tcW w:w="766" w:type="dxa"/>
            <w:shd w:val="clear" w:color="auto" w:fill="auto"/>
            <w:noWrap/>
            <w:vAlign w:val="center"/>
            <w:hideMark/>
          </w:tcPr>
          <w:p w:rsidR="00BF4753" w:rsidRPr="00361832" w:rsidRDefault="00E3405D" w:rsidP="002D7CA8">
            <w:pPr>
              <w:ind w:firstLine="0"/>
              <w:jc w:val="right"/>
              <w:rPr>
                <w:rFonts w:eastAsia="Times New Roman" w:cs="Times New Roman"/>
                <w:sz w:val="20"/>
                <w:szCs w:val="20"/>
                <w:lang w:eastAsia="lv-LV"/>
              </w:rPr>
            </w:pPr>
            <w:r>
              <w:rPr>
                <w:rFonts w:eastAsia="Times New Roman" w:cs="Times New Roman"/>
                <w:sz w:val="20"/>
                <w:szCs w:val="20"/>
                <w:lang w:eastAsia="lv-LV"/>
              </w:rPr>
              <w:t>1,9</w:t>
            </w:r>
          </w:p>
        </w:tc>
        <w:tc>
          <w:tcPr>
            <w:tcW w:w="766" w:type="dxa"/>
            <w:shd w:val="clear" w:color="auto" w:fill="auto"/>
            <w:noWrap/>
            <w:vAlign w:val="center"/>
            <w:hideMark/>
          </w:tcPr>
          <w:p w:rsidR="00BF4753" w:rsidRPr="00361832" w:rsidRDefault="00E3405D" w:rsidP="002D7CA8">
            <w:pPr>
              <w:ind w:firstLine="0"/>
              <w:jc w:val="right"/>
              <w:rPr>
                <w:rFonts w:eastAsia="Times New Roman" w:cs="Times New Roman"/>
                <w:sz w:val="20"/>
                <w:szCs w:val="20"/>
                <w:lang w:eastAsia="lv-LV"/>
              </w:rPr>
            </w:pPr>
            <w:r>
              <w:rPr>
                <w:rFonts w:eastAsia="Times New Roman" w:cs="Times New Roman"/>
                <w:sz w:val="20"/>
                <w:szCs w:val="20"/>
                <w:lang w:eastAsia="lv-LV"/>
              </w:rPr>
              <w:t>4,4</w:t>
            </w:r>
          </w:p>
        </w:tc>
        <w:tc>
          <w:tcPr>
            <w:tcW w:w="766" w:type="dxa"/>
            <w:shd w:val="clear" w:color="auto" w:fill="auto"/>
            <w:noWrap/>
            <w:vAlign w:val="center"/>
            <w:hideMark/>
          </w:tcPr>
          <w:p w:rsidR="00BF4753" w:rsidRPr="00361832" w:rsidRDefault="00E3405D" w:rsidP="002D7CA8">
            <w:pPr>
              <w:ind w:firstLine="0"/>
              <w:jc w:val="right"/>
              <w:rPr>
                <w:rFonts w:eastAsia="Times New Roman" w:cs="Times New Roman"/>
                <w:sz w:val="20"/>
                <w:szCs w:val="20"/>
                <w:lang w:eastAsia="lv-LV"/>
              </w:rPr>
            </w:pPr>
            <w:r>
              <w:rPr>
                <w:rFonts w:eastAsia="Times New Roman" w:cs="Times New Roman"/>
                <w:sz w:val="20"/>
                <w:szCs w:val="20"/>
                <w:lang w:eastAsia="lv-LV"/>
              </w:rPr>
              <w:t>2,8</w:t>
            </w:r>
          </w:p>
        </w:tc>
      </w:tr>
      <w:tr w:rsidR="00BF4753" w:rsidRPr="00361832" w:rsidTr="002C3840">
        <w:trPr>
          <w:trHeight w:hRule="exact" w:val="284"/>
        </w:trPr>
        <w:tc>
          <w:tcPr>
            <w:tcW w:w="4253" w:type="dxa"/>
            <w:shd w:val="clear" w:color="auto" w:fill="BDD6EE" w:themeFill="accent1" w:themeFillTint="66"/>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9. Ārvalstu valūtā denominētā parāda īpatsvars</w:t>
            </w:r>
          </w:p>
        </w:tc>
        <w:tc>
          <w:tcPr>
            <w:tcW w:w="328" w:type="dxa"/>
            <w:shd w:val="clear" w:color="auto" w:fill="BDD6EE" w:themeFill="accent1" w:themeFillTint="66"/>
            <w:noWrap/>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 </w:t>
            </w:r>
          </w:p>
        </w:tc>
        <w:tc>
          <w:tcPr>
            <w:tcW w:w="616" w:type="dxa"/>
            <w:shd w:val="clear" w:color="auto" w:fill="BDD6EE" w:themeFill="accent1" w:themeFillTint="66"/>
            <w:noWrap/>
            <w:vAlign w:val="center"/>
            <w:hideMark/>
          </w:tcPr>
          <w:p w:rsidR="00BF4753" w:rsidRPr="00361832" w:rsidRDefault="00E3405D" w:rsidP="002D7CA8">
            <w:pPr>
              <w:ind w:firstLine="0"/>
              <w:jc w:val="right"/>
              <w:rPr>
                <w:rFonts w:eastAsia="Times New Roman" w:cs="Times New Roman"/>
                <w:sz w:val="20"/>
                <w:szCs w:val="20"/>
                <w:lang w:eastAsia="lv-LV"/>
              </w:rPr>
            </w:pPr>
            <w:r>
              <w:rPr>
                <w:rFonts w:eastAsia="Times New Roman" w:cs="Times New Roman"/>
                <w:sz w:val="20"/>
                <w:szCs w:val="20"/>
                <w:lang w:eastAsia="lv-LV"/>
              </w:rPr>
              <w:t>3,7</w:t>
            </w:r>
          </w:p>
        </w:tc>
        <w:tc>
          <w:tcPr>
            <w:tcW w:w="766" w:type="dxa"/>
            <w:shd w:val="clear" w:color="auto" w:fill="BDD6EE" w:themeFill="accent1" w:themeFillTint="66"/>
            <w:noWrap/>
            <w:vAlign w:val="center"/>
            <w:hideMark/>
          </w:tcPr>
          <w:p w:rsidR="00BF4753" w:rsidRPr="00361832" w:rsidRDefault="00E3405D" w:rsidP="002D7CA8">
            <w:pPr>
              <w:ind w:firstLine="0"/>
              <w:jc w:val="right"/>
              <w:rPr>
                <w:rFonts w:eastAsia="Times New Roman" w:cs="Times New Roman"/>
                <w:sz w:val="20"/>
                <w:szCs w:val="20"/>
                <w:lang w:eastAsia="lv-LV"/>
              </w:rPr>
            </w:pPr>
            <w:r>
              <w:rPr>
                <w:rFonts w:eastAsia="Times New Roman" w:cs="Times New Roman"/>
                <w:sz w:val="20"/>
                <w:szCs w:val="20"/>
                <w:lang w:eastAsia="lv-LV"/>
              </w:rPr>
              <w:t>1,0</w:t>
            </w:r>
          </w:p>
        </w:tc>
        <w:tc>
          <w:tcPr>
            <w:tcW w:w="766" w:type="dxa"/>
            <w:shd w:val="clear" w:color="auto" w:fill="BDD6EE" w:themeFill="accent1" w:themeFillTint="66"/>
            <w:noWrap/>
            <w:vAlign w:val="center"/>
            <w:hideMark/>
          </w:tcPr>
          <w:p w:rsidR="00BF4753" w:rsidRPr="00361832" w:rsidRDefault="00E3405D" w:rsidP="002D7CA8">
            <w:pPr>
              <w:ind w:firstLine="0"/>
              <w:jc w:val="right"/>
              <w:rPr>
                <w:rFonts w:eastAsia="Times New Roman" w:cs="Times New Roman"/>
                <w:sz w:val="20"/>
                <w:szCs w:val="20"/>
                <w:lang w:eastAsia="lv-LV"/>
              </w:rPr>
            </w:pPr>
            <w:r>
              <w:rPr>
                <w:rFonts w:eastAsia="Times New Roman" w:cs="Times New Roman"/>
                <w:sz w:val="20"/>
                <w:szCs w:val="20"/>
                <w:lang w:eastAsia="lv-LV"/>
              </w:rPr>
              <w:t>1,0</w:t>
            </w:r>
          </w:p>
        </w:tc>
        <w:tc>
          <w:tcPr>
            <w:tcW w:w="766" w:type="dxa"/>
            <w:shd w:val="clear" w:color="auto" w:fill="BDD6EE" w:themeFill="accent1" w:themeFillTint="66"/>
            <w:noWrap/>
            <w:vAlign w:val="center"/>
            <w:hideMark/>
          </w:tcPr>
          <w:p w:rsidR="00BF4753" w:rsidRPr="00361832" w:rsidRDefault="00E3405D" w:rsidP="002D7CA8">
            <w:pPr>
              <w:ind w:firstLine="0"/>
              <w:jc w:val="right"/>
              <w:rPr>
                <w:rFonts w:eastAsia="Times New Roman" w:cs="Times New Roman"/>
                <w:sz w:val="20"/>
                <w:szCs w:val="20"/>
                <w:lang w:eastAsia="lv-LV"/>
              </w:rPr>
            </w:pPr>
            <w:r>
              <w:rPr>
                <w:rFonts w:eastAsia="Times New Roman" w:cs="Times New Roman"/>
                <w:sz w:val="20"/>
                <w:szCs w:val="20"/>
                <w:lang w:eastAsia="lv-LV"/>
              </w:rPr>
              <w:t>0,9</w:t>
            </w:r>
          </w:p>
        </w:tc>
        <w:tc>
          <w:tcPr>
            <w:tcW w:w="766" w:type="dxa"/>
            <w:shd w:val="clear" w:color="auto" w:fill="BDD6EE" w:themeFill="accent1" w:themeFillTint="66"/>
            <w:noWrap/>
            <w:vAlign w:val="center"/>
            <w:hideMark/>
          </w:tcPr>
          <w:p w:rsidR="00BF4753" w:rsidRPr="00361832" w:rsidRDefault="00E3405D" w:rsidP="002D7CA8">
            <w:pPr>
              <w:ind w:firstLine="0"/>
              <w:jc w:val="right"/>
              <w:rPr>
                <w:rFonts w:eastAsia="Times New Roman" w:cs="Times New Roman"/>
                <w:sz w:val="20"/>
                <w:szCs w:val="20"/>
                <w:lang w:eastAsia="lv-LV"/>
              </w:rPr>
            </w:pPr>
            <w:r>
              <w:rPr>
                <w:rFonts w:eastAsia="Times New Roman" w:cs="Times New Roman"/>
                <w:sz w:val="20"/>
                <w:szCs w:val="20"/>
                <w:lang w:eastAsia="lv-LV"/>
              </w:rPr>
              <w:t>0,9</w:t>
            </w:r>
          </w:p>
        </w:tc>
      </w:tr>
      <w:tr w:rsidR="00BF4753" w:rsidRPr="00361832" w:rsidTr="00BF3A4C">
        <w:trPr>
          <w:trHeight w:hRule="exact" w:val="491"/>
        </w:trPr>
        <w:tc>
          <w:tcPr>
            <w:tcW w:w="4253" w:type="dxa"/>
            <w:shd w:val="clear" w:color="auto" w:fill="auto"/>
            <w:noWrap/>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 xml:space="preserve">10. Vidējā dzēšana </w:t>
            </w:r>
          </w:p>
        </w:tc>
        <w:tc>
          <w:tcPr>
            <w:tcW w:w="328" w:type="dxa"/>
            <w:shd w:val="clear" w:color="auto" w:fill="auto"/>
            <w:noWrap/>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 </w:t>
            </w:r>
          </w:p>
        </w:tc>
        <w:tc>
          <w:tcPr>
            <w:tcW w:w="616" w:type="dxa"/>
            <w:shd w:val="clear" w:color="auto" w:fill="auto"/>
            <w:noWrap/>
            <w:vAlign w:val="center"/>
            <w:hideMark/>
          </w:tcPr>
          <w:p w:rsidR="00BF4753" w:rsidRPr="00361832" w:rsidRDefault="00BF4753" w:rsidP="002D7CA8">
            <w:pPr>
              <w:ind w:firstLine="0"/>
              <w:jc w:val="left"/>
              <w:rPr>
                <w:rFonts w:eastAsia="Times New Roman" w:cs="Times New Roman"/>
                <w:sz w:val="20"/>
                <w:szCs w:val="20"/>
                <w:lang w:eastAsia="lv-LV"/>
              </w:rPr>
            </w:pPr>
            <w:r w:rsidRPr="00361832">
              <w:rPr>
                <w:rFonts w:eastAsia="Times New Roman" w:cs="Times New Roman"/>
                <w:sz w:val="20"/>
                <w:szCs w:val="20"/>
                <w:lang w:eastAsia="lv-LV"/>
              </w:rPr>
              <w:t>8,09</w:t>
            </w:r>
            <w:r w:rsidR="00BF3A4C">
              <w:rPr>
                <w:rFonts w:eastAsia="Times New Roman" w:cs="Times New Roman"/>
                <w:sz w:val="20"/>
                <w:szCs w:val="20"/>
                <w:lang w:eastAsia="lv-LV"/>
              </w:rPr>
              <w:t xml:space="preserve"> gadi </w:t>
            </w:r>
            <w:r w:rsidRPr="00361832">
              <w:rPr>
                <w:rFonts w:eastAsia="Times New Roman" w:cs="Times New Roman"/>
                <w:sz w:val="20"/>
                <w:szCs w:val="20"/>
                <w:lang w:eastAsia="lv-LV"/>
              </w:rPr>
              <w:t xml:space="preserve"> gadi</w:t>
            </w:r>
          </w:p>
        </w:tc>
        <w:tc>
          <w:tcPr>
            <w:tcW w:w="766" w:type="dxa"/>
            <w:shd w:val="clear" w:color="auto" w:fill="auto"/>
            <w:noWrap/>
            <w:vAlign w:val="center"/>
            <w:hideMark/>
          </w:tcPr>
          <w:p w:rsidR="00BF4753" w:rsidRPr="00361832" w:rsidRDefault="00BF4753" w:rsidP="002D7CA8">
            <w:pPr>
              <w:ind w:firstLine="0"/>
              <w:jc w:val="center"/>
              <w:rPr>
                <w:rFonts w:eastAsia="Times New Roman" w:cs="Times New Roman"/>
                <w:sz w:val="20"/>
                <w:szCs w:val="20"/>
                <w:lang w:eastAsia="lv-LV"/>
              </w:rPr>
            </w:pPr>
            <w:r w:rsidRPr="00361832">
              <w:rPr>
                <w:rFonts w:eastAsia="Times New Roman" w:cs="Times New Roman"/>
                <w:sz w:val="20"/>
                <w:szCs w:val="20"/>
                <w:lang w:eastAsia="lv-LV"/>
              </w:rPr>
              <w:t> </w:t>
            </w:r>
          </w:p>
        </w:tc>
        <w:tc>
          <w:tcPr>
            <w:tcW w:w="766" w:type="dxa"/>
            <w:shd w:val="clear" w:color="auto" w:fill="auto"/>
            <w:noWrap/>
            <w:vAlign w:val="center"/>
            <w:hideMark/>
          </w:tcPr>
          <w:p w:rsidR="00BF4753" w:rsidRPr="00361832" w:rsidRDefault="00BF4753" w:rsidP="002D7CA8">
            <w:pPr>
              <w:ind w:firstLine="0"/>
              <w:jc w:val="center"/>
              <w:rPr>
                <w:rFonts w:eastAsia="Times New Roman" w:cs="Times New Roman"/>
                <w:sz w:val="20"/>
                <w:szCs w:val="20"/>
                <w:lang w:eastAsia="lv-LV"/>
              </w:rPr>
            </w:pPr>
            <w:r w:rsidRPr="00361832">
              <w:rPr>
                <w:rFonts w:eastAsia="Times New Roman" w:cs="Times New Roman"/>
                <w:sz w:val="20"/>
                <w:szCs w:val="20"/>
                <w:lang w:eastAsia="lv-LV"/>
              </w:rPr>
              <w:t> </w:t>
            </w:r>
          </w:p>
        </w:tc>
        <w:tc>
          <w:tcPr>
            <w:tcW w:w="766" w:type="dxa"/>
            <w:shd w:val="clear" w:color="auto" w:fill="auto"/>
            <w:noWrap/>
            <w:vAlign w:val="center"/>
            <w:hideMark/>
          </w:tcPr>
          <w:p w:rsidR="00BF4753" w:rsidRPr="00361832" w:rsidRDefault="00BF4753" w:rsidP="002D7CA8">
            <w:pPr>
              <w:ind w:firstLine="0"/>
              <w:jc w:val="center"/>
              <w:rPr>
                <w:rFonts w:eastAsia="Times New Roman" w:cs="Times New Roman"/>
                <w:sz w:val="20"/>
                <w:szCs w:val="20"/>
                <w:lang w:eastAsia="lv-LV"/>
              </w:rPr>
            </w:pPr>
            <w:r w:rsidRPr="00361832">
              <w:rPr>
                <w:rFonts w:eastAsia="Times New Roman" w:cs="Times New Roman"/>
                <w:sz w:val="20"/>
                <w:szCs w:val="20"/>
                <w:lang w:eastAsia="lv-LV"/>
              </w:rPr>
              <w:t> </w:t>
            </w:r>
          </w:p>
        </w:tc>
        <w:tc>
          <w:tcPr>
            <w:tcW w:w="766" w:type="dxa"/>
            <w:shd w:val="clear" w:color="auto" w:fill="auto"/>
            <w:noWrap/>
            <w:vAlign w:val="center"/>
            <w:hideMark/>
          </w:tcPr>
          <w:p w:rsidR="00BF4753" w:rsidRPr="00361832" w:rsidRDefault="00BF4753" w:rsidP="002D7CA8">
            <w:pPr>
              <w:ind w:firstLine="0"/>
              <w:jc w:val="center"/>
              <w:rPr>
                <w:rFonts w:eastAsia="Times New Roman" w:cs="Times New Roman"/>
                <w:sz w:val="20"/>
                <w:szCs w:val="20"/>
                <w:lang w:eastAsia="lv-LV"/>
              </w:rPr>
            </w:pPr>
            <w:r w:rsidRPr="00361832">
              <w:rPr>
                <w:rFonts w:eastAsia="Times New Roman" w:cs="Times New Roman"/>
                <w:sz w:val="20"/>
                <w:szCs w:val="20"/>
                <w:lang w:eastAsia="lv-LV"/>
              </w:rPr>
              <w:t> </w:t>
            </w:r>
          </w:p>
        </w:tc>
      </w:tr>
    </w:tbl>
    <w:p w:rsidR="00DF348A" w:rsidRPr="00DF348A" w:rsidRDefault="00DF348A" w:rsidP="00DF348A">
      <w:pPr>
        <w:ind w:left="720" w:firstLine="0"/>
      </w:pPr>
    </w:p>
    <w:p w:rsidR="00DF348A" w:rsidRPr="00DF348A" w:rsidRDefault="00DF348A" w:rsidP="00DF348A">
      <w:pPr>
        <w:ind w:left="720" w:firstLine="0"/>
      </w:pPr>
    </w:p>
    <w:p w:rsidR="00BF4753" w:rsidRPr="00242D09" w:rsidRDefault="00BF4753" w:rsidP="002C3840">
      <w:pPr>
        <w:keepNext/>
        <w:spacing w:before="120" w:after="120"/>
        <w:ind w:firstLine="0"/>
        <w:jc w:val="left"/>
        <w:rPr>
          <w:rFonts w:eastAsia="Times New Roman" w:cs="Times New Roman"/>
          <w:b/>
          <w:color w:val="000000"/>
          <w:sz w:val="24"/>
          <w:szCs w:val="24"/>
        </w:rPr>
      </w:pPr>
      <w:r w:rsidRPr="00242D09">
        <w:rPr>
          <w:rFonts w:eastAsia="Times New Roman" w:cs="Times New Roman"/>
          <w:b/>
          <w:color w:val="000000"/>
          <w:sz w:val="24"/>
          <w:szCs w:val="24"/>
        </w:rPr>
        <w:lastRenderedPageBreak/>
        <w:t>5.</w:t>
      </w:r>
      <w:r>
        <w:rPr>
          <w:rFonts w:eastAsia="Times New Roman" w:cs="Times New Roman"/>
          <w:b/>
          <w:color w:val="000000"/>
          <w:sz w:val="24"/>
          <w:szCs w:val="24"/>
        </w:rPr>
        <w:t xml:space="preserve"> </w:t>
      </w:r>
      <w:r w:rsidRPr="00242D09">
        <w:rPr>
          <w:rFonts w:eastAsia="Times New Roman" w:cs="Times New Roman"/>
          <w:b/>
          <w:color w:val="000000"/>
          <w:sz w:val="24"/>
          <w:szCs w:val="24"/>
        </w:rPr>
        <w:t>tabula. Cikli</w:t>
      </w:r>
      <w:bookmarkStart w:id="59" w:name="_GoBack"/>
      <w:bookmarkEnd w:id="59"/>
      <w:r w:rsidRPr="00242D09">
        <w:rPr>
          <w:rFonts w:eastAsia="Times New Roman" w:cs="Times New Roman"/>
          <w:b/>
          <w:color w:val="000000"/>
          <w:sz w:val="24"/>
          <w:szCs w:val="24"/>
        </w:rPr>
        <w:t>skā attīstība</w:t>
      </w:r>
      <w:r>
        <w:rPr>
          <w:rStyle w:val="FootnoteReference"/>
          <w:rFonts w:eastAsia="Times New Roman" w:cs="Times New Roman"/>
          <w:b/>
          <w:color w:val="000000"/>
          <w:szCs w:val="24"/>
        </w:rPr>
        <w:footnoteReference w:id="21"/>
      </w:r>
    </w:p>
    <w:tbl>
      <w:tblPr>
        <w:tblStyle w:val="GridTable6Colorful-Accent1172"/>
        <w:tblW w:w="9646" w:type="dxa"/>
        <w:jc w:val="center"/>
        <w:tblLook w:val="04A0" w:firstRow="1" w:lastRow="0" w:firstColumn="1" w:lastColumn="0" w:noHBand="0" w:noVBand="1"/>
      </w:tblPr>
      <w:tblGrid>
        <w:gridCol w:w="3975"/>
        <w:gridCol w:w="840"/>
        <w:gridCol w:w="803"/>
        <w:gridCol w:w="1007"/>
        <w:gridCol w:w="1007"/>
        <w:gridCol w:w="1007"/>
        <w:gridCol w:w="1007"/>
      </w:tblGrid>
      <w:tr w:rsidR="00BF4753" w:rsidRPr="00242D09" w:rsidTr="002D7CA8">
        <w:trPr>
          <w:cnfStyle w:val="100000000000" w:firstRow="1" w:lastRow="0" w:firstColumn="0" w:lastColumn="0" w:oddVBand="0" w:evenVBand="0" w:oddHBand="0"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3975" w:type="dxa"/>
            <w:shd w:val="clear" w:color="auto" w:fill="DEEAF6"/>
            <w:noWrap/>
            <w:vAlign w:val="center"/>
            <w:hideMark/>
          </w:tcPr>
          <w:p w:rsidR="00BF4753" w:rsidRPr="00242D09" w:rsidRDefault="00BF4753" w:rsidP="002D7CA8">
            <w:pPr>
              <w:ind w:firstLine="0"/>
              <w:jc w:val="center"/>
              <w:rPr>
                <w:rFonts w:cs="Times New Roman"/>
                <w:color w:val="000000"/>
                <w:sz w:val="20"/>
                <w:szCs w:val="20"/>
              </w:rPr>
            </w:pPr>
            <w:bookmarkStart w:id="60" w:name="_Hlk67664640"/>
            <w:r w:rsidRPr="00242D09">
              <w:rPr>
                <w:rFonts w:cs="Times New Roman"/>
                <w:color w:val="000000"/>
                <w:sz w:val="20"/>
                <w:szCs w:val="20"/>
              </w:rPr>
              <w:t xml:space="preserve">% no IKP </w:t>
            </w:r>
          </w:p>
        </w:tc>
        <w:tc>
          <w:tcPr>
            <w:tcW w:w="840" w:type="dxa"/>
            <w:shd w:val="clear" w:color="auto" w:fill="DEEAF6"/>
            <w:vAlign w:val="center"/>
            <w:hideMark/>
          </w:tcPr>
          <w:p w:rsidR="00BF4753" w:rsidRPr="00242D09"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EKS kods</w:t>
            </w:r>
          </w:p>
        </w:tc>
        <w:tc>
          <w:tcPr>
            <w:tcW w:w="803" w:type="dxa"/>
            <w:shd w:val="clear" w:color="auto" w:fill="DEEAF6"/>
            <w:noWrap/>
            <w:vAlign w:val="center"/>
            <w:hideMark/>
          </w:tcPr>
          <w:p w:rsidR="00BF4753" w:rsidRPr="00242D09"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sz w:val="20"/>
                <w:szCs w:val="20"/>
              </w:rPr>
            </w:pPr>
            <w:r w:rsidRPr="00242D09">
              <w:rPr>
                <w:rFonts w:cs="Times New Roman"/>
                <w:bCs w:val="0"/>
                <w:color w:val="000000"/>
                <w:sz w:val="20"/>
                <w:szCs w:val="20"/>
              </w:rPr>
              <w:t>2020</w:t>
            </w:r>
          </w:p>
        </w:tc>
        <w:tc>
          <w:tcPr>
            <w:tcW w:w="1007" w:type="dxa"/>
            <w:shd w:val="clear" w:color="auto" w:fill="DEEAF6"/>
            <w:noWrap/>
            <w:vAlign w:val="center"/>
            <w:hideMark/>
          </w:tcPr>
          <w:p w:rsidR="00BF4753" w:rsidRPr="00242D09"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sz w:val="20"/>
                <w:szCs w:val="20"/>
              </w:rPr>
            </w:pPr>
            <w:r w:rsidRPr="00242D09">
              <w:rPr>
                <w:rFonts w:cs="Times New Roman"/>
                <w:bCs w:val="0"/>
                <w:color w:val="000000"/>
                <w:sz w:val="20"/>
                <w:szCs w:val="20"/>
              </w:rPr>
              <w:t>2021</w:t>
            </w:r>
          </w:p>
        </w:tc>
        <w:tc>
          <w:tcPr>
            <w:tcW w:w="1007" w:type="dxa"/>
            <w:shd w:val="clear" w:color="auto" w:fill="DEEAF6"/>
            <w:noWrap/>
            <w:vAlign w:val="center"/>
            <w:hideMark/>
          </w:tcPr>
          <w:p w:rsidR="00BF4753" w:rsidRPr="00242D09"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sz w:val="20"/>
                <w:szCs w:val="20"/>
              </w:rPr>
            </w:pPr>
            <w:r w:rsidRPr="00242D09">
              <w:rPr>
                <w:rFonts w:cs="Times New Roman"/>
                <w:bCs w:val="0"/>
                <w:color w:val="000000"/>
                <w:sz w:val="20"/>
                <w:szCs w:val="20"/>
              </w:rPr>
              <w:t>2022</w:t>
            </w:r>
          </w:p>
        </w:tc>
        <w:tc>
          <w:tcPr>
            <w:tcW w:w="1007" w:type="dxa"/>
            <w:shd w:val="clear" w:color="auto" w:fill="DEEAF6"/>
            <w:noWrap/>
            <w:vAlign w:val="center"/>
            <w:hideMark/>
          </w:tcPr>
          <w:p w:rsidR="00BF4753" w:rsidRPr="00242D09"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sz w:val="20"/>
                <w:szCs w:val="20"/>
              </w:rPr>
            </w:pPr>
            <w:r w:rsidRPr="00242D09">
              <w:rPr>
                <w:rFonts w:cs="Times New Roman"/>
                <w:bCs w:val="0"/>
                <w:color w:val="000000"/>
                <w:sz w:val="20"/>
                <w:szCs w:val="20"/>
              </w:rPr>
              <w:t>2023</w:t>
            </w:r>
          </w:p>
        </w:tc>
        <w:tc>
          <w:tcPr>
            <w:tcW w:w="1007" w:type="dxa"/>
            <w:shd w:val="clear" w:color="auto" w:fill="DEEAF6"/>
            <w:noWrap/>
            <w:vAlign w:val="center"/>
            <w:hideMark/>
          </w:tcPr>
          <w:p w:rsidR="00BF4753" w:rsidRPr="00242D09"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sz w:val="20"/>
                <w:szCs w:val="20"/>
              </w:rPr>
            </w:pPr>
            <w:r w:rsidRPr="00242D09">
              <w:rPr>
                <w:rFonts w:cs="Times New Roman"/>
                <w:bCs w:val="0"/>
                <w:color w:val="000000"/>
                <w:sz w:val="20"/>
                <w:szCs w:val="20"/>
              </w:rPr>
              <w:t>2024</w:t>
            </w:r>
          </w:p>
        </w:tc>
      </w:tr>
    </w:tbl>
    <w:tbl>
      <w:tblPr>
        <w:tblStyle w:val="GridTable6Colorful-Accent1182"/>
        <w:tblW w:w="9641" w:type="dxa"/>
        <w:jc w:val="center"/>
        <w:tblLook w:val="04A0" w:firstRow="1" w:lastRow="0" w:firstColumn="1" w:lastColumn="0" w:noHBand="0" w:noVBand="1"/>
      </w:tblPr>
      <w:tblGrid>
        <w:gridCol w:w="3970"/>
        <w:gridCol w:w="840"/>
        <w:gridCol w:w="803"/>
        <w:gridCol w:w="1007"/>
        <w:gridCol w:w="1007"/>
        <w:gridCol w:w="1007"/>
        <w:gridCol w:w="1007"/>
      </w:tblGrid>
      <w:tr w:rsidR="00BF4753" w:rsidRPr="00242D09" w:rsidTr="002D7CA8">
        <w:trPr>
          <w:cnfStyle w:val="100000000000" w:firstRow="1" w:lastRow="0" w:firstColumn="0" w:lastColumn="0" w:oddVBand="0" w:evenVBand="0" w:oddHBand="0"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rsidR="00BF4753" w:rsidRPr="00242D09" w:rsidRDefault="00BF4753" w:rsidP="002D7CA8">
            <w:pPr>
              <w:ind w:firstLine="0"/>
              <w:jc w:val="left"/>
              <w:rPr>
                <w:rFonts w:cs="Times New Roman"/>
                <w:b w:val="0"/>
                <w:color w:val="000000"/>
                <w:sz w:val="20"/>
                <w:szCs w:val="20"/>
              </w:rPr>
            </w:pPr>
            <w:r w:rsidRPr="00242D09">
              <w:rPr>
                <w:rFonts w:cs="Times New Roman"/>
                <w:b w:val="0"/>
                <w:color w:val="000000"/>
                <w:sz w:val="20"/>
                <w:szCs w:val="20"/>
              </w:rPr>
              <w:t>1. IKP pieaugums salīdzināmās cenās (%)</w:t>
            </w:r>
          </w:p>
        </w:tc>
        <w:tc>
          <w:tcPr>
            <w:tcW w:w="840" w:type="dxa"/>
            <w:noWrap/>
            <w:vAlign w:val="center"/>
            <w:hideMark/>
          </w:tcPr>
          <w:p w:rsidR="00BF4753" w:rsidRPr="00242D09"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242D09">
              <w:rPr>
                <w:rFonts w:cs="Times New Roman"/>
                <w:b w:val="0"/>
                <w:color w:val="000000"/>
                <w:sz w:val="20"/>
                <w:szCs w:val="20"/>
              </w:rPr>
              <w:t>B1g</w:t>
            </w:r>
          </w:p>
        </w:tc>
        <w:tc>
          <w:tcPr>
            <w:tcW w:w="803" w:type="dxa"/>
            <w:noWrap/>
          </w:tcPr>
          <w:p w:rsidR="00BF4753" w:rsidRPr="00242D09"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sz w:val="20"/>
                <w:szCs w:val="20"/>
                <w:lang w:eastAsia="lv-LV"/>
              </w:rPr>
            </w:pPr>
            <w:r w:rsidRPr="00242D09">
              <w:rPr>
                <w:rFonts w:cs="Times New Roman"/>
                <w:b w:val="0"/>
                <w:bCs w:val="0"/>
                <w:color w:val="000000" w:themeColor="text1"/>
                <w:sz w:val="20"/>
                <w:szCs w:val="20"/>
                <w:lang w:eastAsia="lv-LV"/>
              </w:rPr>
              <w:t>-3,6</w:t>
            </w:r>
          </w:p>
        </w:tc>
        <w:tc>
          <w:tcPr>
            <w:tcW w:w="1007" w:type="dxa"/>
            <w:noWrap/>
          </w:tcPr>
          <w:p w:rsidR="00BF4753" w:rsidRPr="00242D09"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sz w:val="20"/>
                <w:szCs w:val="20"/>
                <w:lang w:eastAsia="lv-LV"/>
              </w:rPr>
            </w:pPr>
            <w:r w:rsidRPr="00242D09">
              <w:rPr>
                <w:rFonts w:cs="Times New Roman"/>
                <w:b w:val="0"/>
                <w:bCs w:val="0"/>
                <w:color w:val="000000" w:themeColor="text1"/>
                <w:sz w:val="20"/>
                <w:szCs w:val="20"/>
                <w:lang w:eastAsia="lv-LV"/>
              </w:rPr>
              <w:t>3,0</w:t>
            </w:r>
          </w:p>
        </w:tc>
        <w:tc>
          <w:tcPr>
            <w:tcW w:w="1007" w:type="dxa"/>
            <w:noWrap/>
          </w:tcPr>
          <w:p w:rsidR="00BF4753" w:rsidRPr="00242D09"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sz w:val="20"/>
                <w:szCs w:val="20"/>
                <w:lang w:eastAsia="lv-LV"/>
              </w:rPr>
            </w:pPr>
            <w:r w:rsidRPr="00242D09">
              <w:rPr>
                <w:rFonts w:cs="Times New Roman"/>
                <w:b w:val="0"/>
                <w:bCs w:val="0"/>
                <w:color w:val="000000" w:themeColor="text1"/>
                <w:sz w:val="20"/>
                <w:szCs w:val="20"/>
                <w:lang w:eastAsia="lv-LV"/>
              </w:rPr>
              <w:t>4,5</w:t>
            </w:r>
          </w:p>
        </w:tc>
        <w:tc>
          <w:tcPr>
            <w:tcW w:w="1007" w:type="dxa"/>
            <w:noWrap/>
          </w:tcPr>
          <w:p w:rsidR="00BF4753" w:rsidRPr="00242D09"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sz w:val="20"/>
                <w:szCs w:val="20"/>
                <w:lang w:eastAsia="lv-LV"/>
              </w:rPr>
            </w:pPr>
            <w:r w:rsidRPr="00242D09">
              <w:rPr>
                <w:rFonts w:cs="Times New Roman"/>
                <w:b w:val="0"/>
                <w:bCs w:val="0"/>
                <w:color w:val="000000" w:themeColor="text1"/>
                <w:sz w:val="20"/>
                <w:szCs w:val="20"/>
                <w:lang w:eastAsia="lv-LV"/>
              </w:rPr>
              <w:t>3,2</w:t>
            </w:r>
          </w:p>
        </w:tc>
        <w:tc>
          <w:tcPr>
            <w:tcW w:w="1007" w:type="dxa"/>
            <w:noWrap/>
          </w:tcPr>
          <w:p w:rsidR="00BF4753" w:rsidRPr="00242D09" w:rsidRDefault="00BF4753" w:rsidP="002D7CA8">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sz w:val="20"/>
                <w:szCs w:val="20"/>
                <w:lang w:eastAsia="lv-LV"/>
              </w:rPr>
            </w:pPr>
            <w:r w:rsidRPr="00242D09">
              <w:rPr>
                <w:rFonts w:cs="Times New Roman"/>
                <w:b w:val="0"/>
                <w:bCs w:val="0"/>
                <w:color w:val="000000" w:themeColor="text1"/>
                <w:sz w:val="20"/>
                <w:szCs w:val="20"/>
                <w:lang w:eastAsia="lv-LV"/>
              </w:rPr>
              <w:t>2,8</w:t>
            </w:r>
          </w:p>
        </w:tc>
      </w:tr>
      <w:tr w:rsidR="00BF4753" w:rsidRPr="00242D09" w:rsidTr="002D7CA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rsidR="00BF4753" w:rsidRPr="00242D09" w:rsidRDefault="00BF4753" w:rsidP="002D7CA8">
            <w:pPr>
              <w:ind w:firstLine="0"/>
              <w:jc w:val="left"/>
              <w:rPr>
                <w:rFonts w:cs="Times New Roman"/>
                <w:b w:val="0"/>
                <w:color w:val="000000"/>
                <w:sz w:val="20"/>
                <w:szCs w:val="20"/>
              </w:rPr>
            </w:pPr>
            <w:r w:rsidRPr="00242D09">
              <w:rPr>
                <w:rFonts w:cs="Times New Roman"/>
                <w:b w:val="0"/>
                <w:color w:val="000000"/>
                <w:sz w:val="20"/>
                <w:szCs w:val="20"/>
              </w:rPr>
              <w:t>2. Faktiskā budžeta bilance</w:t>
            </w:r>
          </w:p>
        </w:tc>
        <w:tc>
          <w:tcPr>
            <w:tcW w:w="840" w:type="dxa"/>
            <w:noWrap/>
            <w:vAlign w:val="center"/>
            <w:hideMark/>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B.9</w:t>
            </w:r>
          </w:p>
        </w:tc>
        <w:tc>
          <w:tcPr>
            <w:tcW w:w="803"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-5,4</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-9,3</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-2,7</w:t>
            </w:r>
          </w:p>
        </w:tc>
        <w:tc>
          <w:tcPr>
            <w:tcW w:w="1007" w:type="dxa"/>
            <w:noWrap/>
          </w:tcPr>
          <w:p w:rsidR="00BF4753" w:rsidRPr="00DC690D"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DC690D">
              <w:rPr>
                <w:rFonts w:cs="Times New Roman"/>
                <w:color w:val="000000" w:themeColor="text1"/>
                <w:sz w:val="20"/>
                <w:szCs w:val="20"/>
                <w:lang w:eastAsia="lv-LV"/>
              </w:rPr>
              <w:t>-1,3</w:t>
            </w:r>
          </w:p>
        </w:tc>
        <w:tc>
          <w:tcPr>
            <w:tcW w:w="1007" w:type="dxa"/>
            <w:noWrap/>
          </w:tcPr>
          <w:p w:rsidR="00BF4753" w:rsidRPr="00DC690D"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DC690D">
              <w:rPr>
                <w:rFonts w:cs="Times New Roman"/>
                <w:color w:val="000000" w:themeColor="text1"/>
                <w:sz w:val="20"/>
                <w:szCs w:val="20"/>
                <w:lang w:eastAsia="lv-LV"/>
              </w:rPr>
              <w:t>-0,3</w:t>
            </w:r>
          </w:p>
        </w:tc>
      </w:tr>
      <w:tr w:rsidR="00BF4753" w:rsidRPr="00242D09" w:rsidTr="002D7CA8">
        <w:trPr>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rsidR="00BF4753" w:rsidRPr="00242D09" w:rsidRDefault="00BF4753" w:rsidP="002D7CA8">
            <w:pPr>
              <w:ind w:firstLine="0"/>
              <w:jc w:val="left"/>
              <w:rPr>
                <w:rFonts w:cs="Times New Roman"/>
                <w:b w:val="0"/>
                <w:color w:val="000000"/>
                <w:sz w:val="20"/>
                <w:szCs w:val="20"/>
              </w:rPr>
            </w:pPr>
            <w:r w:rsidRPr="00242D09">
              <w:rPr>
                <w:rFonts w:cs="Times New Roman"/>
                <w:b w:val="0"/>
                <w:color w:val="000000"/>
                <w:sz w:val="20"/>
                <w:szCs w:val="20"/>
              </w:rPr>
              <w:t>3. Procentu izdevumi</w:t>
            </w:r>
          </w:p>
        </w:tc>
        <w:tc>
          <w:tcPr>
            <w:tcW w:w="840" w:type="dxa"/>
            <w:noWrap/>
            <w:vAlign w:val="center"/>
            <w:hideMark/>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D.41</w:t>
            </w:r>
          </w:p>
        </w:tc>
        <w:tc>
          <w:tcPr>
            <w:tcW w:w="803"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0,8</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0,7</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0,8</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0,8</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0,7</w:t>
            </w:r>
          </w:p>
        </w:tc>
      </w:tr>
      <w:tr w:rsidR="00BF4753" w:rsidRPr="00242D09" w:rsidTr="002D7CA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rsidR="00BF4753" w:rsidRPr="00242D09" w:rsidRDefault="00BF4753" w:rsidP="002D7CA8">
            <w:pPr>
              <w:ind w:firstLine="0"/>
              <w:jc w:val="left"/>
              <w:rPr>
                <w:rFonts w:cs="Times New Roman"/>
                <w:b w:val="0"/>
                <w:color w:val="000000"/>
                <w:sz w:val="20"/>
                <w:szCs w:val="20"/>
                <w:vertAlign w:val="superscript"/>
              </w:rPr>
            </w:pPr>
            <w:r w:rsidRPr="00242D09">
              <w:rPr>
                <w:rFonts w:cs="Times New Roman"/>
                <w:b w:val="0"/>
                <w:color w:val="000000"/>
                <w:sz w:val="20"/>
                <w:szCs w:val="20"/>
              </w:rPr>
              <w:t>4. Vienreizēji un citi īslaicīgi pasākumi</w:t>
            </w:r>
            <w:r w:rsidRPr="00242D09">
              <w:rPr>
                <w:rFonts w:ascii="Garamond" w:hAnsi="Garamond" w:cs="Times New Roman"/>
                <w:b w:val="0"/>
                <w:color w:val="000000"/>
                <w:sz w:val="20"/>
                <w:szCs w:val="20"/>
                <w:vertAlign w:val="superscript"/>
              </w:rPr>
              <w:footnoteReference w:id="22"/>
            </w:r>
          </w:p>
        </w:tc>
        <w:tc>
          <w:tcPr>
            <w:tcW w:w="840" w:type="dxa"/>
            <w:noWrap/>
            <w:vAlign w:val="center"/>
            <w:hideMark/>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803"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highlight w:val="yellow"/>
                <w:lang w:eastAsia="lv-LV"/>
              </w:rPr>
            </w:pPr>
            <w:r w:rsidRPr="00242D09">
              <w:rPr>
                <w:rFonts w:cs="Times New Roman"/>
                <w:color w:val="000000" w:themeColor="text1"/>
                <w:sz w:val="20"/>
                <w:szCs w:val="20"/>
                <w:lang w:eastAsia="lv-LV"/>
              </w:rPr>
              <w:t>-0,2</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w:t>
            </w:r>
          </w:p>
        </w:tc>
      </w:tr>
      <w:tr w:rsidR="00BF4753" w:rsidRPr="00242D09" w:rsidTr="002D7CA8">
        <w:trPr>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rsidR="00BF4753" w:rsidRPr="00242D09" w:rsidRDefault="00BF4753" w:rsidP="002D7CA8">
            <w:pPr>
              <w:ind w:firstLine="0"/>
              <w:jc w:val="left"/>
              <w:rPr>
                <w:rFonts w:cs="Times New Roman"/>
                <w:b w:val="0"/>
                <w:color w:val="000000"/>
                <w:sz w:val="20"/>
                <w:szCs w:val="20"/>
              </w:rPr>
            </w:pPr>
            <w:r w:rsidRPr="00242D09">
              <w:rPr>
                <w:rFonts w:cs="Times New Roman"/>
                <w:b w:val="0"/>
                <w:color w:val="000000"/>
                <w:sz w:val="20"/>
                <w:szCs w:val="20"/>
              </w:rPr>
              <w:t>5. Potenciālā IKP pieaugums (%)</w:t>
            </w:r>
          </w:p>
        </w:tc>
        <w:tc>
          <w:tcPr>
            <w:tcW w:w="840" w:type="dxa"/>
            <w:noWrap/>
            <w:vAlign w:val="center"/>
            <w:hideMark/>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03"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1,8</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2,0</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2,2</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2,4</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2,8</w:t>
            </w:r>
          </w:p>
        </w:tc>
      </w:tr>
      <w:tr w:rsidR="00BF4753" w:rsidRPr="00242D09" w:rsidTr="002D7CA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rsidR="00BF4753" w:rsidRPr="00242D09" w:rsidRDefault="00BF4753" w:rsidP="002D7CA8">
            <w:pPr>
              <w:ind w:firstLineChars="100" w:firstLine="200"/>
              <w:jc w:val="left"/>
              <w:rPr>
                <w:rFonts w:cs="Times New Roman"/>
                <w:b w:val="0"/>
                <w:color w:val="000000"/>
                <w:sz w:val="20"/>
                <w:szCs w:val="20"/>
              </w:rPr>
            </w:pPr>
            <w:r w:rsidRPr="00242D09">
              <w:rPr>
                <w:rFonts w:cs="Times New Roman"/>
                <w:b w:val="0"/>
                <w:color w:val="000000"/>
                <w:sz w:val="20"/>
                <w:szCs w:val="20"/>
              </w:rPr>
              <w:t>ieguldījums:</w:t>
            </w:r>
          </w:p>
        </w:tc>
        <w:tc>
          <w:tcPr>
            <w:tcW w:w="840" w:type="dxa"/>
            <w:noWrap/>
            <w:vAlign w:val="center"/>
            <w:hideMark/>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803"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p>
        </w:tc>
      </w:tr>
      <w:tr w:rsidR="00BF4753" w:rsidRPr="00242D09" w:rsidTr="002D7CA8">
        <w:trPr>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rsidR="00BF4753" w:rsidRPr="00242D09" w:rsidRDefault="00BF4753" w:rsidP="002D7CA8">
            <w:pPr>
              <w:ind w:firstLineChars="200" w:firstLine="400"/>
              <w:jc w:val="left"/>
              <w:rPr>
                <w:rFonts w:cs="Times New Roman"/>
                <w:b w:val="0"/>
                <w:color w:val="000000"/>
                <w:sz w:val="20"/>
                <w:szCs w:val="20"/>
              </w:rPr>
            </w:pPr>
            <w:r w:rsidRPr="00242D09">
              <w:rPr>
                <w:rFonts w:cs="Times New Roman"/>
                <w:b w:val="0"/>
                <w:color w:val="000000"/>
                <w:sz w:val="20"/>
                <w:szCs w:val="20"/>
              </w:rPr>
              <w:t xml:space="preserve"> - nodarbinātības</w:t>
            </w:r>
          </w:p>
        </w:tc>
        <w:tc>
          <w:tcPr>
            <w:tcW w:w="840" w:type="dxa"/>
            <w:noWrap/>
            <w:vAlign w:val="center"/>
            <w:hideMark/>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03"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0,0</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-0,1</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-0,2</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-0,3</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-0,3</w:t>
            </w:r>
          </w:p>
        </w:tc>
      </w:tr>
      <w:tr w:rsidR="00BF4753" w:rsidRPr="00242D09" w:rsidTr="002D7CA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rsidR="00BF4753" w:rsidRPr="00242D09" w:rsidRDefault="00BF4753" w:rsidP="002D7CA8">
            <w:pPr>
              <w:ind w:firstLineChars="200" w:firstLine="400"/>
              <w:jc w:val="left"/>
              <w:rPr>
                <w:rFonts w:cs="Times New Roman"/>
                <w:b w:val="0"/>
                <w:color w:val="000000"/>
                <w:sz w:val="20"/>
                <w:szCs w:val="20"/>
              </w:rPr>
            </w:pPr>
            <w:r w:rsidRPr="00242D09">
              <w:rPr>
                <w:rFonts w:cs="Times New Roman"/>
                <w:b w:val="0"/>
                <w:color w:val="000000"/>
                <w:sz w:val="20"/>
                <w:szCs w:val="20"/>
              </w:rPr>
              <w:t xml:space="preserve"> - kapitāla</w:t>
            </w:r>
          </w:p>
        </w:tc>
        <w:tc>
          <w:tcPr>
            <w:tcW w:w="840" w:type="dxa"/>
            <w:noWrap/>
            <w:vAlign w:val="center"/>
            <w:hideMark/>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803"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0,8</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0,9</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1,0</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1,0</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1,0</w:t>
            </w:r>
          </w:p>
        </w:tc>
      </w:tr>
      <w:tr w:rsidR="00BF4753" w:rsidRPr="00242D09" w:rsidTr="002D7CA8">
        <w:trPr>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rsidR="00BF4753" w:rsidRPr="00242D09" w:rsidRDefault="00BF4753" w:rsidP="002D7CA8">
            <w:pPr>
              <w:ind w:firstLineChars="200" w:firstLine="400"/>
              <w:jc w:val="left"/>
              <w:rPr>
                <w:rFonts w:cs="Times New Roman"/>
                <w:b w:val="0"/>
                <w:color w:val="000000"/>
                <w:sz w:val="20"/>
                <w:szCs w:val="20"/>
              </w:rPr>
            </w:pPr>
            <w:r w:rsidRPr="00242D09">
              <w:rPr>
                <w:rFonts w:cs="Times New Roman"/>
                <w:b w:val="0"/>
                <w:color w:val="000000"/>
                <w:sz w:val="20"/>
                <w:szCs w:val="20"/>
              </w:rPr>
              <w:t xml:space="preserve"> - kopējās ražošanas faktoru produktivitātes</w:t>
            </w:r>
          </w:p>
        </w:tc>
        <w:tc>
          <w:tcPr>
            <w:tcW w:w="840" w:type="dxa"/>
            <w:noWrap/>
            <w:vAlign w:val="center"/>
            <w:hideMark/>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03"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1,0</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1,2</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1,4</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1,7</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2,2</w:t>
            </w:r>
          </w:p>
        </w:tc>
      </w:tr>
      <w:tr w:rsidR="00BF4753" w:rsidRPr="00242D09" w:rsidTr="002D7CA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970" w:type="dxa"/>
            <w:vAlign w:val="bottom"/>
            <w:hideMark/>
          </w:tcPr>
          <w:p w:rsidR="00BF4753" w:rsidRPr="00242D09" w:rsidRDefault="00BF4753" w:rsidP="002D7CA8">
            <w:pPr>
              <w:ind w:firstLine="0"/>
              <w:jc w:val="left"/>
              <w:rPr>
                <w:rFonts w:cs="Times New Roman"/>
                <w:b w:val="0"/>
                <w:color w:val="000000"/>
                <w:sz w:val="20"/>
                <w:szCs w:val="20"/>
              </w:rPr>
            </w:pPr>
            <w:r w:rsidRPr="00242D09">
              <w:rPr>
                <w:rFonts w:cs="Times New Roman"/>
                <w:b w:val="0"/>
                <w:color w:val="000000"/>
                <w:sz w:val="20"/>
                <w:szCs w:val="20"/>
              </w:rPr>
              <w:t xml:space="preserve">6. Starpība starp faktisko un potenciālo IKP </w:t>
            </w:r>
            <w:r w:rsidRPr="00242D09">
              <w:rPr>
                <w:rFonts w:cs="Times New Roman"/>
                <w:b w:val="0"/>
                <w:color w:val="000000"/>
                <w:sz w:val="20"/>
                <w:szCs w:val="20"/>
              </w:rPr>
              <w:br/>
              <w:t>(% no potenciālā IKP)</w:t>
            </w:r>
          </w:p>
        </w:tc>
        <w:tc>
          <w:tcPr>
            <w:tcW w:w="840" w:type="dxa"/>
            <w:noWrap/>
            <w:vAlign w:val="center"/>
            <w:hideMark/>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803"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-4,0</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-3,0</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-0,9</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-0,1</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0,0</w:t>
            </w:r>
          </w:p>
        </w:tc>
      </w:tr>
      <w:tr w:rsidR="00BF4753" w:rsidRPr="00242D09" w:rsidTr="002D7CA8">
        <w:trPr>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rsidR="00BF4753" w:rsidRPr="00242D09" w:rsidRDefault="00BF4753" w:rsidP="002D7CA8">
            <w:pPr>
              <w:ind w:firstLine="0"/>
              <w:jc w:val="left"/>
              <w:rPr>
                <w:rFonts w:cs="Times New Roman"/>
                <w:b w:val="0"/>
                <w:color w:val="000000"/>
                <w:sz w:val="20"/>
                <w:szCs w:val="20"/>
              </w:rPr>
            </w:pPr>
            <w:r w:rsidRPr="00242D09">
              <w:rPr>
                <w:rFonts w:cs="Times New Roman"/>
                <w:b w:val="0"/>
                <w:color w:val="000000"/>
                <w:sz w:val="20"/>
                <w:szCs w:val="20"/>
              </w:rPr>
              <w:t>7. Budžeta bilances cikliskā komponente</w:t>
            </w:r>
          </w:p>
        </w:tc>
        <w:tc>
          <w:tcPr>
            <w:tcW w:w="840" w:type="dxa"/>
            <w:noWrap/>
            <w:vAlign w:val="center"/>
            <w:hideMark/>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03"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-1,5</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-1,2</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-0,3</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0,0</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0,0</w:t>
            </w:r>
          </w:p>
        </w:tc>
      </w:tr>
      <w:tr w:rsidR="00BF4753" w:rsidRPr="00242D09" w:rsidTr="002D7CA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rsidR="00BF4753" w:rsidRPr="00242D09" w:rsidRDefault="00BF4753" w:rsidP="002D7CA8">
            <w:pPr>
              <w:ind w:firstLine="0"/>
              <w:jc w:val="left"/>
              <w:rPr>
                <w:rFonts w:cs="Times New Roman"/>
                <w:b w:val="0"/>
                <w:color w:val="000000"/>
                <w:sz w:val="20"/>
                <w:szCs w:val="20"/>
              </w:rPr>
            </w:pPr>
            <w:r w:rsidRPr="00242D09">
              <w:rPr>
                <w:rFonts w:cs="Times New Roman"/>
                <w:b w:val="0"/>
                <w:color w:val="000000"/>
                <w:sz w:val="20"/>
                <w:szCs w:val="20"/>
              </w:rPr>
              <w:t>8. Cikliski koriģētā bilance (2–7)</w:t>
            </w:r>
          </w:p>
        </w:tc>
        <w:tc>
          <w:tcPr>
            <w:tcW w:w="840" w:type="dxa"/>
            <w:noWrap/>
            <w:vAlign w:val="center"/>
            <w:hideMark/>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803"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-3,9</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-8,2</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-2,3</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-1,3</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-0,3</w:t>
            </w:r>
          </w:p>
        </w:tc>
      </w:tr>
      <w:tr w:rsidR="00BF4753" w:rsidRPr="00242D09" w:rsidTr="002D7CA8">
        <w:trPr>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rsidR="00BF4753" w:rsidRPr="00242D09" w:rsidRDefault="00BF4753" w:rsidP="002D7CA8">
            <w:pPr>
              <w:ind w:firstLine="0"/>
              <w:jc w:val="left"/>
              <w:rPr>
                <w:rFonts w:cs="Times New Roman"/>
                <w:b w:val="0"/>
                <w:color w:val="000000"/>
                <w:sz w:val="20"/>
                <w:szCs w:val="20"/>
              </w:rPr>
            </w:pPr>
            <w:r w:rsidRPr="00242D09">
              <w:rPr>
                <w:rFonts w:cs="Times New Roman"/>
                <w:b w:val="0"/>
                <w:color w:val="000000"/>
                <w:sz w:val="20"/>
                <w:szCs w:val="20"/>
              </w:rPr>
              <w:t>9. Cikliski koriģētā primārā bilance (8+3)</w:t>
            </w:r>
          </w:p>
        </w:tc>
        <w:tc>
          <w:tcPr>
            <w:tcW w:w="840" w:type="dxa"/>
            <w:noWrap/>
            <w:vAlign w:val="center"/>
            <w:hideMark/>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803"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-3,0</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-7,5</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-1,6</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-0,5</w:t>
            </w:r>
          </w:p>
        </w:tc>
        <w:tc>
          <w:tcPr>
            <w:tcW w:w="1007" w:type="dxa"/>
            <w:noWrap/>
          </w:tcPr>
          <w:p w:rsidR="00BF4753" w:rsidRPr="00242D09" w:rsidRDefault="00BF4753" w:rsidP="002D7CA8">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0,3</w:t>
            </w:r>
          </w:p>
        </w:tc>
      </w:tr>
      <w:tr w:rsidR="00BF4753" w:rsidRPr="00242D09" w:rsidTr="002D7CA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970" w:type="dxa"/>
            <w:noWrap/>
            <w:vAlign w:val="bottom"/>
            <w:hideMark/>
          </w:tcPr>
          <w:p w:rsidR="00BF4753" w:rsidRPr="00242D09" w:rsidRDefault="00BF4753" w:rsidP="002D7CA8">
            <w:pPr>
              <w:ind w:firstLine="0"/>
              <w:jc w:val="left"/>
              <w:rPr>
                <w:rFonts w:cs="Times New Roman"/>
                <w:b w:val="0"/>
                <w:color w:val="000000"/>
                <w:sz w:val="20"/>
                <w:szCs w:val="20"/>
              </w:rPr>
            </w:pPr>
            <w:r w:rsidRPr="00242D09">
              <w:rPr>
                <w:rFonts w:cs="Times New Roman"/>
                <w:b w:val="0"/>
                <w:color w:val="000000"/>
                <w:sz w:val="20"/>
                <w:szCs w:val="20"/>
              </w:rPr>
              <w:t>10. Strukturālā bilance (8–4)</w:t>
            </w:r>
          </w:p>
        </w:tc>
        <w:tc>
          <w:tcPr>
            <w:tcW w:w="840" w:type="dxa"/>
            <w:noWrap/>
            <w:vAlign w:val="center"/>
            <w:hideMark/>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803"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-3,7</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-8,2</w:t>
            </w:r>
          </w:p>
        </w:tc>
        <w:tc>
          <w:tcPr>
            <w:tcW w:w="1007" w:type="dxa"/>
            <w:noWrap/>
          </w:tcPr>
          <w:p w:rsidR="00BF4753" w:rsidRPr="00242D09"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-2,3</w:t>
            </w:r>
          </w:p>
        </w:tc>
        <w:tc>
          <w:tcPr>
            <w:tcW w:w="1007" w:type="dxa"/>
            <w:noWrap/>
          </w:tcPr>
          <w:p w:rsidR="00BF4753" w:rsidRPr="00DC690D"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DC690D">
              <w:rPr>
                <w:rFonts w:cs="Times New Roman"/>
                <w:color w:val="000000" w:themeColor="text1"/>
                <w:sz w:val="20"/>
                <w:szCs w:val="20"/>
                <w:lang w:eastAsia="lv-LV"/>
              </w:rPr>
              <w:t>-1,3</w:t>
            </w:r>
          </w:p>
        </w:tc>
        <w:tc>
          <w:tcPr>
            <w:tcW w:w="1007" w:type="dxa"/>
            <w:noWrap/>
          </w:tcPr>
          <w:p w:rsidR="00BF4753" w:rsidRPr="00DC690D" w:rsidRDefault="00BF4753" w:rsidP="002D7CA8">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DC690D">
              <w:rPr>
                <w:rFonts w:cs="Times New Roman"/>
                <w:color w:val="000000" w:themeColor="text1"/>
                <w:sz w:val="20"/>
                <w:szCs w:val="20"/>
                <w:lang w:eastAsia="lv-LV"/>
              </w:rPr>
              <w:t>-0,3</w:t>
            </w:r>
          </w:p>
        </w:tc>
      </w:tr>
      <w:bookmarkEnd w:id="60"/>
    </w:tbl>
    <w:p w:rsidR="00DF348A" w:rsidRDefault="00DF348A" w:rsidP="00DF348A">
      <w:pPr>
        <w:spacing w:after="160" w:line="259" w:lineRule="auto"/>
        <w:ind w:firstLine="0"/>
        <w:rPr>
          <w:rFonts w:eastAsia="Times New Roman" w:cs="Times New Roman"/>
          <w:bCs/>
          <w:sz w:val="20"/>
          <w:szCs w:val="20"/>
        </w:rPr>
      </w:pPr>
    </w:p>
    <w:p w:rsidR="00BF4753" w:rsidRPr="00DF348A" w:rsidRDefault="00BF4753" w:rsidP="00DF348A">
      <w:pPr>
        <w:spacing w:after="160" w:line="259" w:lineRule="auto"/>
        <w:ind w:firstLine="0"/>
        <w:rPr>
          <w:rFonts w:eastAsia="Times New Roman" w:cs="Times New Roman"/>
          <w:bCs/>
          <w:sz w:val="20"/>
          <w:szCs w:val="20"/>
        </w:rPr>
      </w:pPr>
      <w:r w:rsidRPr="00242D09">
        <w:rPr>
          <w:rFonts w:eastAsia="Times New Roman" w:cs="Times New Roman"/>
          <w:b/>
          <w:sz w:val="24"/>
          <w:szCs w:val="20"/>
        </w:rPr>
        <w:t>6.</w:t>
      </w:r>
      <w:r>
        <w:rPr>
          <w:rFonts w:eastAsia="Times New Roman" w:cs="Times New Roman"/>
          <w:b/>
          <w:sz w:val="24"/>
          <w:szCs w:val="20"/>
        </w:rPr>
        <w:t xml:space="preserve"> </w:t>
      </w:r>
      <w:r w:rsidRPr="00242D09">
        <w:rPr>
          <w:rFonts w:eastAsia="Times New Roman" w:cs="Times New Roman"/>
          <w:b/>
          <w:sz w:val="24"/>
          <w:szCs w:val="20"/>
        </w:rPr>
        <w:t>tabula. Salīdzinājums ar Stabilitātes programmas 2020.-2023.</w:t>
      </w:r>
      <w:r>
        <w:rPr>
          <w:rFonts w:eastAsia="Times New Roman" w:cs="Times New Roman"/>
          <w:b/>
          <w:sz w:val="24"/>
          <w:szCs w:val="20"/>
        </w:rPr>
        <w:t xml:space="preserve"> </w:t>
      </w:r>
      <w:r w:rsidRPr="00242D09">
        <w:rPr>
          <w:rFonts w:eastAsia="Times New Roman" w:cs="Times New Roman"/>
          <w:b/>
          <w:sz w:val="24"/>
          <w:szCs w:val="20"/>
        </w:rPr>
        <w:t>gadam prognozēm</w:t>
      </w:r>
    </w:p>
    <w:tbl>
      <w:tblPr>
        <w:tblW w:w="9063"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4117"/>
        <w:gridCol w:w="694"/>
        <w:gridCol w:w="850"/>
        <w:gridCol w:w="851"/>
        <w:gridCol w:w="850"/>
        <w:gridCol w:w="851"/>
        <w:gridCol w:w="850"/>
      </w:tblGrid>
      <w:tr w:rsidR="00C9790F" w:rsidRPr="00AD171E" w:rsidTr="00C9790F">
        <w:trPr>
          <w:jc w:val="center"/>
        </w:trPr>
        <w:tc>
          <w:tcPr>
            <w:tcW w:w="4117" w:type="dxa"/>
            <w:shd w:val="clear" w:color="auto" w:fill="BDD6EE" w:themeFill="accent1" w:themeFillTint="66"/>
          </w:tcPr>
          <w:p w:rsidR="00C9790F" w:rsidRPr="00AD171E" w:rsidRDefault="00C9790F" w:rsidP="0050594C">
            <w:pPr>
              <w:ind w:firstLine="0"/>
              <w:jc w:val="left"/>
              <w:rPr>
                <w:b/>
                <w:bCs/>
                <w:sz w:val="20"/>
                <w:szCs w:val="20"/>
              </w:rPr>
            </w:pPr>
          </w:p>
        </w:tc>
        <w:tc>
          <w:tcPr>
            <w:tcW w:w="694" w:type="dxa"/>
            <w:shd w:val="clear" w:color="auto" w:fill="BDD6EE" w:themeFill="accent1" w:themeFillTint="66"/>
            <w:vAlign w:val="center"/>
          </w:tcPr>
          <w:p w:rsidR="00C9790F" w:rsidRPr="00AD171E" w:rsidRDefault="00C9790F" w:rsidP="0050594C">
            <w:pPr>
              <w:ind w:firstLine="0"/>
              <w:jc w:val="center"/>
              <w:rPr>
                <w:b/>
                <w:bCs/>
                <w:sz w:val="20"/>
                <w:szCs w:val="20"/>
              </w:rPr>
            </w:pPr>
            <w:r w:rsidRPr="00AD171E">
              <w:rPr>
                <w:b/>
                <w:bCs/>
                <w:sz w:val="20"/>
                <w:szCs w:val="20"/>
              </w:rPr>
              <w:t>EKS kods</w:t>
            </w:r>
          </w:p>
        </w:tc>
        <w:tc>
          <w:tcPr>
            <w:tcW w:w="850" w:type="dxa"/>
            <w:shd w:val="clear" w:color="auto" w:fill="BDD6EE" w:themeFill="accent1" w:themeFillTint="66"/>
            <w:vAlign w:val="center"/>
          </w:tcPr>
          <w:p w:rsidR="00C9790F" w:rsidRPr="00AD171E" w:rsidRDefault="00C9790F" w:rsidP="0050594C">
            <w:pPr>
              <w:ind w:firstLine="0"/>
              <w:jc w:val="center"/>
              <w:rPr>
                <w:b/>
                <w:bCs/>
                <w:sz w:val="20"/>
                <w:szCs w:val="20"/>
              </w:rPr>
            </w:pPr>
            <w:r w:rsidRPr="00AD171E">
              <w:rPr>
                <w:b/>
                <w:bCs/>
                <w:sz w:val="20"/>
                <w:szCs w:val="20"/>
              </w:rPr>
              <w:t>2020</w:t>
            </w:r>
          </w:p>
        </w:tc>
        <w:tc>
          <w:tcPr>
            <w:tcW w:w="851" w:type="dxa"/>
            <w:shd w:val="clear" w:color="auto" w:fill="BDD6EE" w:themeFill="accent1" w:themeFillTint="66"/>
            <w:vAlign w:val="center"/>
          </w:tcPr>
          <w:p w:rsidR="00C9790F" w:rsidRPr="00AD171E" w:rsidRDefault="00C9790F" w:rsidP="0050594C">
            <w:pPr>
              <w:ind w:firstLine="0"/>
              <w:jc w:val="center"/>
              <w:rPr>
                <w:b/>
                <w:bCs/>
                <w:sz w:val="20"/>
                <w:szCs w:val="20"/>
              </w:rPr>
            </w:pPr>
            <w:r w:rsidRPr="00AD171E">
              <w:rPr>
                <w:b/>
                <w:bCs/>
                <w:sz w:val="20"/>
                <w:szCs w:val="20"/>
              </w:rPr>
              <w:t>2021</w:t>
            </w:r>
          </w:p>
        </w:tc>
        <w:tc>
          <w:tcPr>
            <w:tcW w:w="850" w:type="dxa"/>
            <w:shd w:val="clear" w:color="auto" w:fill="BDD6EE" w:themeFill="accent1" w:themeFillTint="66"/>
            <w:vAlign w:val="center"/>
          </w:tcPr>
          <w:p w:rsidR="00C9790F" w:rsidRPr="00AD171E" w:rsidRDefault="00C9790F" w:rsidP="0050594C">
            <w:pPr>
              <w:ind w:firstLine="0"/>
              <w:jc w:val="center"/>
              <w:rPr>
                <w:b/>
                <w:bCs/>
                <w:sz w:val="20"/>
                <w:szCs w:val="20"/>
              </w:rPr>
            </w:pPr>
            <w:r w:rsidRPr="00AD171E">
              <w:rPr>
                <w:b/>
                <w:bCs/>
                <w:sz w:val="20"/>
                <w:szCs w:val="20"/>
              </w:rPr>
              <w:t>2022</w:t>
            </w:r>
          </w:p>
        </w:tc>
        <w:tc>
          <w:tcPr>
            <w:tcW w:w="851" w:type="dxa"/>
            <w:shd w:val="clear" w:color="auto" w:fill="BDD6EE" w:themeFill="accent1" w:themeFillTint="66"/>
            <w:vAlign w:val="center"/>
          </w:tcPr>
          <w:p w:rsidR="00C9790F" w:rsidRPr="00AD171E" w:rsidRDefault="00C9790F" w:rsidP="0050594C">
            <w:pPr>
              <w:ind w:firstLine="0"/>
              <w:jc w:val="center"/>
              <w:rPr>
                <w:b/>
                <w:bCs/>
                <w:sz w:val="20"/>
                <w:szCs w:val="20"/>
              </w:rPr>
            </w:pPr>
            <w:r w:rsidRPr="00AD171E">
              <w:rPr>
                <w:b/>
                <w:bCs/>
                <w:sz w:val="20"/>
                <w:szCs w:val="20"/>
              </w:rPr>
              <w:t>2023</w:t>
            </w:r>
          </w:p>
        </w:tc>
        <w:tc>
          <w:tcPr>
            <w:tcW w:w="850" w:type="dxa"/>
            <w:shd w:val="clear" w:color="auto" w:fill="BDD6EE" w:themeFill="accent1" w:themeFillTint="66"/>
            <w:vAlign w:val="center"/>
          </w:tcPr>
          <w:p w:rsidR="00C9790F" w:rsidRPr="00AD171E" w:rsidRDefault="00C9790F" w:rsidP="0050594C">
            <w:pPr>
              <w:ind w:firstLine="0"/>
              <w:jc w:val="center"/>
              <w:rPr>
                <w:b/>
                <w:bCs/>
                <w:sz w:val="20"/>
                <w:szCs w:val="20"/>
              </w:rPr>
            </w:pPr>
            <w:r w:rsidRPr="00AD171E">
              <w:rPr>
                <w:b/>
                <w:bCs/>
                <w:sz w:val="20"/>
                <w:szCs w:val="20"/>
              </w:rPr>
              <w:t>2024</w:t>
            </w:r>
          </w:p>
        </w:tc>
      </w:tr>
      <w:tr w:rsidR="00C9790F" w:rsidRPr="00AD171E" w:rsidTr="00C9790F">
        <w:trPr>
          <w:jc w:val="center"/>
        </w:trPr>
        <w:tc>
          <w:tcPr>
            <w:tcW w:w="4117" w:type="dxa"/>
            <w:shd w:val="clear" w:color="auto" w:fill="auto"/>
          </w:tcPr>
          <w:p w:rsidR="00C9790F" w:rsidRPr="00AD171E" w:rsidRDefault="00C9790F" w:rsidP="0050594C">
            <w:pPr>
              <w:ind w:firstLine="0"/>
              <w:jc w:val="left"/>
              <w:rPr>
                <w:b/>
                <w:bCs/>
                <w:snapToGrid w:val="0"/>
                <w:sz w:val="20"/>
                <w:szCs w:val="20"/>
              </w:rPr>
            </w:pPr>
            <w:r w:rsidRPr="00AD171E">
              <w:rPr>
                <w:bCs/>
                <w:sz w:val="20"/>
                <w:szCs w:val="20"/>
              </w:rPr>
              <w:t>IKP pieaugums (%)</w:t>
            </w:r>
          </w:p>
        </w:tc>
        <w:tc>
          <w:tcPr>
            <w:tcW w:w="694" w:type="dxa"/>
            <w:shd w:val="clear" w:color="auto" w:fill="auto"/>
            <w:vAlign w:val="center"/>
          </w:tcPr>
          <w:p w:rsidR="00C9790F" w:rsidRPr="00AD171E" w:rsidRDefault="00C9790F" w:rsidP="0050594C">
            <w:pPr>
              <w:ind w:firstLine="0"/>
              <w:jc w:val="center"/>
              <w:rPr>
                <w:sz w:val="20"/>
                <w:szCs w:val="20"/>
              </w:rPr>
            </w:pPr>
            <w:r w:rsidRPr="00AD171E">
              <w:rPr>
                <w:sz w:val="20"/>
                <w:szCs w:val="20"/>
              </w:rPr>
              <w:t>B1g</w:t>
            </w:r>
          </w:p>
        </w:tc>
        <w:tc>
          <w:tcPr>
            <w:tcW w:w="850" w:type="dxa"/>
            <w:shd w:val="clear" w:color="auto" w:fill="auto"/>
            <w:vAlign w:val="center"/>
          </w:tcPr>
          <w:p w:rsidR="00C9790F" w:rsidRPr="00AD171E" w:rsidRDefault="00C9790F" w:rsidP="0050594C">
            <w:pPr>
              <w:ind w:firstLine="0"/>
              <w:jc w:val="left"/>
              <w:rPr>
                <w:sz w:val="20"/>
                <w:szCs w:val="20"/>
              </w:rPr>
            </w:pPr>
          </w:p>
        </w:tc>
        <w:tc>
          <w:tcPr>
            <w:tcW w:w="851" w:type="dxa"/>
            <w:shd w:val="clear" w:color="auto" w:fill="auto"/>
            <w:vAlign w:val="center"/>
          </w:tcPr>
          <w:p w:rsidR="00C9790F" w:rsidRPr="00AD171E" w:rsidRDefault="00C9790F" w:rsidP="0050594C">
            <w:pPr>
              <w:ind w:firstLine="0"/>
              <w:jc w:val="left"/>
              <w:rPr>
                <w:sz w:val="20"/>
                <w:szCs w:val="20"/>
              </w:rPr>
            </w:pPr>
          </w:p>
        </w:tc>
        <w:tc>
          <w:tcPr>
            <w:tcW w:w="850" w:type="dxa"/>
            <w:shd w:val="clear" w:color="auto" w:fill="auto"/>
            <w:vAlign w:val="center"/>
          </w:tcPr>
          <w:p w:rsidR="00C9790F" w:rsidRPr="00AD171E" w:rsidRDefault="00C9790F" w:rsidP="0050594C">
            <w:pPr>
              <w:ind w:firstLine="0"/>
              <w:jc w:val="left"/>
              <w:rPr>
                <w:rFonts w:eastAsia="Arial Unicode MS"/>
                <w:sz w:val="20"/>
                <w:szCs w:val="20"/>
              </w:rPr>
            </w:pPr>
          </w:p>
        </w:tc>
        <w:tc>
          <w:tcPr>
            <w:tcW w:w="851" w:type="dxa"/>
            <w:shd w:val="clear" w:color="auto" w:fill="auto"/>
            <w:vAlign w:val="center"/>
          </w:tcPr>
          <w:p w:rsidR="00C9790F" w:rsidRPr="00AD171E" w:rsidRDefault="00C9790F" w:rsidP="0050594C">
            <w:pPr>
              <w:ind w:firstLine="0"/>
              <w:jc w:val="left"/>
              <w:rPr>
                <w:sz w:val="20"/>
                <w:szCs w:val="20"/>
              </w:rPr>
            </w:pPr>
          </w:p>
        </w:tc>
        <w:tc>
          <w:tcPr>
            <w:tcW w:w="850" w:type="dxa"/>
            <w:shd w:val="clear" w:color="auto" w:fill="auto"/>
            <w:vAlign w:val="center"/>
          </w:tcPr>
          <w:p w:rsidR="00C9790F" w:rsidRPr="00AD171E" w:rsidRDefault="00C9790F" w:rsidP="0050594C">
            <w:pPr>
              <w:ind w:firstLine="0"/>
              <w:jc w:val="left"/>
              <w:rPr>
                <w:sz w:val="20"/>
                <w:szCs w:val="20"/>
              </w:rPr>
            </w:pPr>
          </w:p>
        </w:tc>
      </w:tr>
      <w:tr w:rsidR="00C9790F" w:rsidRPr="00AD171E" w:rsidTr="00C9790F">
        <w:trPr>
          <w:jc w:val="center"/>
        </w:trPr>
        <w:tc>
          <w:tcPr>
            <w:tcW w:w="4117" w:type="dxa"/>
            <w:shd w:val="clear" w:color="auto" w:fill="DEEAF6" w:themeFill="accent1" w:themeFillTint="33"/>
          </w:tcPr>
          <w:p w:rsidR="00C9790F" w:rsidRPr="00AD171E" w:rsidRDefault="00C9790F" w:rsidP="0050594C">
            <w:pPr>
              <w:ind w:firstLine="0"/>
              <w:jc w:val="right"/>
              <w:rPr>
                <w:bCs/>
                <w:sz w:val="20"/>
                <w:szCs w:val="20"/>
              </w:rPr>
            </w:pPr>
            <w:r w:rsidRPr="00AD171E">
              <w:rPr>
                <w:bCs/>
                <w:sz w:val="20"/>
                <w:szCs w:val="20"/>
              </w:rPr>
              <w:t>2020.gads</w:t>
            </w:r>
            <w:r w:rsidRPr="00AD171E">
              <w:rPr>
                <w:bCs/>
                <w:sz w:val="20"/>
                <w:szCs w:val="20"/>
              </w:rPr>
              <w:br/>
              <w:t>(Covid-19 ietekmes scenārijs)</w:t>
            </w:r>
          </w:p>
        </w:tc>
        <w:tc>
          <w:tcPr>
            <w:tcW w:w="694" w:type="dxa"/>
            <w:shd w:val="clear" w:color="auto" w:fill="DEEAF6" w:themeFill="accent1" w:themeFillTint="33"/>
            <w:vAlign w:val="center"/>
          </w:tcPr>
          <w:p w:rsidR="00C9790F" w:rsidRPr="00AD171E" w:rsidRDefault="00C9790F" w:rsidP="0050594C">
            <w:pPr>
              <w:ind w:firstLine="0"/>
              <w:jc w:val="center"/>
              <w:rPr>
                <w:sz w:val="20"/>
                <w:szCs w:val="20"/>
              </w:rPr>
            </w:pPr>
          </w:p>
        </w:tc>
        <w:tc>
          <w:tcPr>
            <w:tcW w:w="850" w:type="dxa"/>
            <w:shd w:val="clear" w:color="auto" w:fill="DEEAF6" w:themeFill="accent1" w:themeFillTint="33"/>
            <w:vAlign w:val="center"/>
          </w:tcPr>
          <w:p w:rsidR="00C9790F" w:rsidRPr="00AD171E" w:rsidRDefault="00C9790F" w:rsidP="0050594C">
            <w:pPr>
              <w:ind w:firstLine="0"/>
              <w:jc w:val="right"/>
              <w:rPr>
                <w:sz w:val="20"/>
                <w:szCs w:val="20"/>
              </w:rPr>
            </w:pPr>
            <w:r w:rsidRPr="00AD171E">
              <w:rPr>
                <w:rFonts w:eastAsia="Calibri"/>
                <w:sz w:val="20"/>
                <w:szCs w:val="20"/>
              </w:rPr>
              <w:t>-7,0</w:t>
            </w:r>
          </w:p>
        </w:tc>
        <w:tc>
          <w:tcPr>
            <w:tcW w:w="851" w:type="dxa"/>
            <w:shd w:val="clear" w:color="auto" w:fill="DEEAF6" w:themeFill="accent1" w:themeFillTint="33"/>
            <w:vAlign w:val="center"/>
          </w:tcPr>
          <w:p w:rsidR="00C9790F" w:rsidRPr="00AD171E" w:rsidRDefault="00C9790F" w:rsidP="0050594C">
            <w:pPr>
              <w:ind w:firstLine="0"/>
              <w:jc w:val="right"/>
              <w:rPr>
                <w:sz w:val="20"/>
                <w:szCs w:val="20"/>
              </w:rPr>
            </w:pPr>
            <w:r w:rsidRPr="00AD171E">
              <w:rPr>
                <w:rFonts w:eastAsia="Calibri"/>
                <w:sz w:val="20"/>
                <w:szCs w:val="20"/>
              </w:rPr>
              <w:t>1,0</w:t>
            </w:r>
          </w:p>
        </w:tc>
        <w:tc>
          <w:tcPr>
            <w:tcW w:w="850" w:type="dxa"/>
            <w:shd w:val="clear" w:color="auto" w:fill="DEEAF6" w:themeFill="accent1" w:themeFillTint="33"/>
            <w:vAlign w:val="center"/>
          </w:tcPr>
          <w:p w:rsidR="00C9790F" w:rsidRPr="00AD171E" w:rsidRDefault="00C9790F" w:rsidP="0050594C">
            <w:pPr>
              <w:ind w:firstLine="0"/>
              <w:jc w:val="right"/>
              <w:rPr>
                <w:rFonts w:eastAsia="Arial Unicode MS"/>
                <w:sz w:val="20"/>
                <w:szCs w:val="20"/>
              </w:rPr>
            </w:pPr>
            <w:r w:rsidRPr="00AD171E">
              <w:rPr>
                <w:rFonts w:eastAsia="Calibri"/>
                <w:sz w:val="20"/>
                <w:szCs w:val="20"/>
              </w:rPr>
              <w:t>3,5</w:t>
            </w:r>
          </w:p>
        </w:tc>
        <w:tc>
          <w:tcPr>
            <w:tcW w:w="851" w:type="dxa"/>
            <w:shd w:val="clear" w:color="auto" w:fill="DEEAF6" w:themeFill="accent1" w:themeFillTint="33"/>
            <w:vAlign w:val="center"/>
          </w:tcPr>
          <w:p w:rsidR="00C9790F" w:rsidRPr="00AD171E" w:rsidRDefault="00C9790F" w:rsidP="0050594C">
            <w:pPr>
              <w:ind w:firstLine="0"/>
              <w:jc w:val="right"/>
              <w:rPr>
                <w:sz w:val="20"/>
                <w:szCs w:val="20"/>
              </w:rPr>
            </w:pPr>
            <w:r w:rsidRPr="00AD171E">
              <w:rPr>
                <w:rFonts w:eastAsia="Calibri"/>
                <w:sz w:val="20"/>
                <w:szCs w:val="20"/>
              </w:rPr>
              <w:t>2,4</w:t>
            </w:r>
          </w:p>
        </w:tc>
        <w:tc>
          <w:tcPr>
            <w:tcW w:w="850" w:type="dxa"/>
            <w:shd w:val="clear" w:color="auto" w:fill="DEEAF6" w:themeFill="accent1" w:themeFillTint="33"/>
            <w:vAlign w:val="center"/>
          </w:tcPr>
          <w:p w:rsidR="00C9790F" w:rsidRPr="00AD171E" w:rsidRDefault="00C9790F" w:rsidP="0050594C">
            <w:pPr>
              <w:ind w:firstLine="0"/>
              <w:jc w:val="right"/>
              <w:rPr>
                <w:sz w:val="20"/>
                <w:szCs w:val="20"/>
              </w:rPr>
            </w:pPr>
            <w:r w:rsidRPr="00AD171E">
              <w:rPr>
                <w:rFonts w:eastAsia="Calibri"/>
                <w:sz w:val="20"/>
                <w:szCs w:val="20"/>
              </w:rPr>
              <w:t>-</w:t>
            </w:r>
          </w:p>
        </w:tc>
      </w:tr>
      <w:tr w:rsidR="00C9790F" w:rsidRPr="00AD171E" w:rsidTr="00C9790F">
        <w:trPr>
          <w:jc w:val="center"/>
        </w:trPr>
        <w:tc>
          <w:tcPr>
            <w:tcW w:w="4117" w:type="dxa"/>
            <w:shd w:val="clear" w:color="auto" w:fill="auto"/>
          </w:tcPr>
          <w:p w:rsidR="00C9790F" w:rsidRPr="00AD171E" w:rsidRDefault="00C9790F" w:rsidP="0050594C">
            <w:pPr>
              <w:ind w:firstLine="0"/>
              <w:jc w:val="right"/>
              <w:rPr>
                <w:bCs/>
                <w:sz w:val="20"/>
                <w:szCs w:val="20"/>
              </w:rPr>
            </w:pPr>
            <w:r w:rsidRPr="00AD171E">
              <w:rPr>
                <w:bCs/>
                <w:sz w:val="20"/>
                <w:szCs w:val="20"/>
              </w:rPr>
              <w:t xml:space="preserve">2021.gads </w:t>
            </w:r>
          </w:p>
        </w:tc>
        <w:tc>
          <w:tcPr>
            <w:tcW w:w="694" w:type="dxa"/>
            <w:shd w:val="clear" w:color="auto" w:fill="auto"/>
            <w:vAlign w:val="center"/>
          </w:tcPr>
          <w:p w:rsidR="00C9790F" w:rsidRPr="00AD171E" w:rsidRDefault="00C9790F" w:rsidP="0050594C">
            <w:pPr>
              <w:ind w:firstLine="0"/>
              <w:jc w:val="center"/>
              <w:rPr>
                <w:sz w:val="20"/>
                <w:szCs w:val="20"/>
              </w:rPr>
            </w:pPr>
          </w:p>
        </w:tc>
        <w:tc>
          <w:tcPr>
            <w:tcW w:w="850" w:type="dxa"/>
            <w:shd w:val="clear" w:color="auto" w:fill="auto"/>
            <w:vAlign w:val="center"/>
          </w:tcPr>
          <w:p w:rsidR="00C9790F" w:rsidRPr="00AD171E" w:rsidRDefault="00C9790F" w:rsidP="0050594C">
            <w:pPr>
              <w:ind w:firstLine="0"/>
              <w:jc w:val="right"/>
              <w:rPr>
                <w:rFonts w:eastAsia="Calibri"/>
                <w:sz w:val="20"/>
                <w:szCs w:val="20"/>
              </w:rPr>
            </w:pPr>
            <w:r w:rsidRPr="00AD171E">
              <w:rPr>
                <w:rFonts w:eastAsia="Calibri"/>
                <w:sz w:val="20"/>
                <w:szCs w:val="20"/>
              </w:rPr>
              <w:t>-3,6</w:t>
            </w:r>
          </w:p>
        </w:tc>
        <w:tc>
          <w:tcPr>
            <w:tcW w:w="851" w:type="dxa"/>
            <w:shd w:val="clear" w:color="auto" w:fill="auto"/>
            <w:vAlign w:val="center"/>
          </w:tcPr>
          <w:p w:rsidR="00C9790F" w:rsidRPr="00AD171E" w:rsidRDefault="00C9790F" w:rsidP="0050594C">
            <w:pPr>
              <w:ind w:firstLine="0"/>
              <w:jc w:val="right"/>
              <w:rPr>
                <w:rFonts w:eastAsia="Calibri"/>
                <w:sz w:val="20"/>
                <w:szCs w:val="20"/>
              </w:rPr>
            </w:pPr>
            <w:r w:rsidRPr="00AD171E">
              <w:rPr>
                <w:rFonts w:eastAsia="Calibri"/>
                <w:sz w:val="20"/>
                <w:szCs w:val="20"/>
              </w:rPr>
              <w:t>3,0</w:t>
            </w:r>
          </w:p>
        </w:tc>
        <w:tc>
          <w:tcPr>
            <w:tcW w:w="850" w:type="dxa"/>
            <w:shd w:val="clear" w:color="auto" w:fill="auto"/>
            <w:vAlign w:val="center"/>
          </w:tcPr>
          <w:p w:rsidR="00C9790F" w:rsidRPr="00AD171E" w:rsidRDefault="00C9790F" w:rsidP="0050594C">
            <w:pPr>
              <w:ind w:firstLine="0"/>
              <w:jc w:val="right"/>
              <w:rPr>
                <w:rFonts w:eastAsia="Calibri"/>
                <w:sz w:val="20"/>
                <w:szCs w:val="20"/>
              </w:rPr>
            </w:pPr>
            <w:r w:rsidRPr="00AD171E">
              <w:rPr>
                <w:rFonts w:eastAsia="Calibri"/>
                <w:sz w:val="20"/>
                <w:szCs w:val="20"/>
              </w:rPr>
              <w:t>4,5</w:t>
            </w:r>
          </w:p>
        </w:tc>
        <w:tc>
          <w:tcPr>
            <w:tcW w:w="851" w:type="dxa"/>
            <w:shd w:val="clear" w:color="auto" w:fill="auto"/>
            <w:vAlign w:val="center"/>
          </w:tcPr>
          <w:p w:rsidR="00C9790F" w:rsidRPr="00AD171E" w:rsidRDefault="00C9790F" w:rsidP="0050594C">
            <w:pPr>
              <w:ind w:firstLine="0"/>
              <w:jc w:val="right"/>
              <w:rPr>
                <w:rFonts w:eastAsia="Calibri"/>
                <w:sz w:val="20"/>
                <w:szCs w:val="20"/>
              </w:rPr>
            </w:pPr>
            <w:r w:rsidRPr="00AD171E">
              <w:rPr>
                <w:rFonts w:eastAsia="Calibri"/>
                <w:sz w:val="20"/>
                <w:szCs w:val="20"/>
              </w:rPr>
              <w:t>3,2</w:t>
            </w:r>
          </w:p>
        </w:tc>
        <w:tc>
          <w:tcPr>
            <w:tcW w:w="850" w:type="dxa"/>
            <w:shd w:val="clear" w:color="auto" w:fill="auto"/>
            <w:vAlign w:val="center"/>
          </w:tcPr>
          <w:p w:rsidR="00C9790F" w:rsidRPr="00AD171E" w:rsidRDefault="00C9790F" w:rsidP="0050594C">
            <w:pPr>
              <w:ind w:firstLine="0"/>
              <w:jc w:val="right"/>
              <w:rPr>
                <w:rFonts w:eastAsia="Calibri"/>
                <w:sz w:val="20"/>
                <w:szCs w:val="20"/>
              </w:rPr>
            </w:pPr>
            <w:r w:rsidRPr="00AD171E">
              <w:rPr>
                <w:rFonts w:eastAsia="Calibri"/>
                <w:sz w:val="20"/>
                <w:szCs w:val="20"/>
              </w:rPr>
              <w:t>2,8</w:t>
            </w:r>
          </w:p>
        </w:tc>
      </w:tr>
      <w:tr w:rsidR="00C9790F" w:rsidRPr="00AD171E" w:rsidTr="00C9790F">
        <w:trPr>
          <w:jc w:val="center"/>
        </w:trPr>
        <w:tc>
          <w:tcPr>
            <w:tcW w:w="4117" w:type="dxa"/>
            <w:shd w:val="clear" w:color="auto" w:fill="DEEAF6" w:themeFill="accent1" w:themeFillTint="33"/>
          </w:tcPr>
          <w:p w:rsidR="00C9790F" w:rsidRPr="00AD171E" w:rsidRDefault="00C9790F" w:rsidP="0050594C">
            <w:pPr>
              <w:ind w:firstLine="0"/>
              <w:jc w:val="right"/>
              <w:rPr>
                <w:bCs/>
                <w:sz w:val="20"/>
                <w:szCs w:val="20"/>
              </w:rPr>
            </w:pPr>
            <w:r w:rsidRPr="00AD171E">
              <w:rPr>
                <w:bCs/>
                <w:snapToGrid w:val="0"/>
                <w:sz w:val="20"/>
                <w:szCs w:val="20"/>
              </w:rPr>
              <w:t>Izmaiņas</w:t>
            </w:r>
          </w:p>
        </w:tc>
        <w:tc>
          <w:tcPr>
            <w:tcW w:w="694" w:type="dxa"/>
            <w:shd w:val="clear" w:color="auto" w:fill="DEEAF6" w:themeFill="accent1" w:themeFillTint="33"/>
            <w:vAlign w:val="center"/>
          </w:tcPr>
          <w:p w:rsidR="00C9790F" w:rsidRPr="00AD171E" w:rsidRDefault="00C9790F" w:rsidP="0050594C">
            <w:pPr>
              <w:ind w:firstLine="0"/>
              <w:jc w:val="center"/>
              <w:rPr>
                <w:sz w:val="20"/>
                <w:szCs w:val="20"/>
              </w:rPr>
            </w:pPr>
          </w:p>
        </w:tc>
        <w:tc>
          <w:tcPr>
            <w:tcW w:w="850" w:type="dxa"/>
            <w:shd w:val="clear" w:color="auto" w:fill="DEEAF6" w:themeFill="accent1" w:themeFillTint="33"/>
            <w:vAlign w:val="bottom"/>
          </w:tcPr>
          <w:p w:rsidR="00C9790F" w:rsidRPr="00AD171E" w:rsidRDefault="00C9790F" w:rsidP="0050594C">
            <w:pPr>
              <w:ind w:firstLine="0"/>
              <w:jc w:val="right"/>
              <w:rPr>
                <w:rFonts w:eastAsia="Calibri"/>
                <w:sz w:val="20"/>
                <w:szCs w:val="20"/>
              </w:rPr>
            </w:pPr>
            <w:r w:rsidRPr="00AD171E">
              <w:rPr>
                <w:rFonts w:eastAsia="Calibri"/>
                <w:sz w:val="20"/>
                <w:szCs w:val="20"/>
              </w:rPr>
              <w:t>3,4</w:t>
            </w:r>
          </w:p>
        </w:tc>
        <w:tc>
          <w:tcPr>
            <w:tcW w:w="851" w:type="dxa"/>
            <w:shd w:val="clear" w:color="auto" w:fill="DEEAF6" w:themeFill="accent1" w:themeFillTint="33"/>
            <w:vAlign w:val="bottom"/>
          </w:tcPr>
          <w:p w:rsidR="00C9790F" w:rsidRPr="00AD171E" w:rsidRDefault="00C9790F" w:rsidP="0050594C">
            <w:pPr>
              <w:ind w:firstLine="0"/>
              <w:jc w:val="right"/>
              <w:rPr>
                <w:rFonts w:eastAsia="Calibri"/>
                <w:sz w:val="20"/>
                <w:szCs w:val="20"/>
              </w:rPr>
            </w:pPr>
            <w:r w:rsidRPr="00AD171E">
              <w:rPr>
                <w:rFonts w:eastAsia="Calibri"/>
                <w:sz w:val="20"/>
                <w:szCs w:val="20"/>
              </w:rPr>
              <w:t>2,0</w:t>
            </w:r>
          </w:p>
        </w:tc>
        <w:tc>
          <w:tcPr>
            <w:tcW w:w="850" w:type="dxa"/>
            <w:shd w:val="clear" w:color="auto" w:fill="DEEAF6" w:themeFill="accent1" w:themeFillTint="33"/>
            <w:vAlign w:val="bottom"/>
          </w:tcPr>
          <w:p w:rsidR="00C9790F" w:rsidRPr="00AD171E" w:rsidRDefault="00C9790F" w:rsidP="0050594C">
            <w:pPr>
              <w:ind w:firstLine="0"/>
              <w:jc w:val="right"/>
              <w:rPr>
                <w:rFonts w:eastAsia="Calibri"/>
                <w:sz w:val="20"/>
                <w:szCs w:val="20"/>
              </w:rPr>
            </w:pPr>
            <w:r w:rsidRPr="00AD171E">
              <w:rPr>
                <w:rFonts w:eastAsia="Calibri"/>
                <w:sz w:val="20"/>
                <w:szCs w:val="20"/>
              </w:rPr>
              <w:t>1,0</w:t>
            </w:r>
          </w:p>
        </w:tc>
        <w:tc>
          <w:tcPr>
            <w:tcW w:w="851" w:type="dxa"/>
            <w:shd w:val="clear" w:color="auto" w:fill="DEEAF6" w:themeFill="accent1" w:themeFillTint="33"/>
            <w:vAlign w:val="bottom"/>
          </w:tcPr>
          <w:p w:rsidR="00C9790F" w:rsidRPr="00AD171E" w:rsidRDefault="00C9790F" w:rsidP="0050594C">
            <w:pPr>
              <w:ind w:firstLine="0"/>
              <w:jc w:val="right"/>
              <w:rPr>
                <w:rFonts w:eastAsia="Calibri"/>
                <w:sz w:val="20"/>
                <w:szCs w:val="20"/>
              </w:rPr>
            </w:pPr>
            <w:r w:rsidRPr="00AD171E">
              <w:rPr>
                <w:rFonts w:eastAsia="Calibri"/>
                <w:sz w:val="20"/>
                <w:szCs w:val="20"/>
              </w:rPr>
              <w:t>0,8</w:t>
            </w:r>
          </w:p>
        </w:tc>
        <w:tc>
          <w:tcPr>
            <w:tcW w:w="850" w:type="dxa"/>
            <w:shd w:val="clear" w:color="auto" w:fill="DEEAF6" w:themeFill="accent1" w:themeFillTint="33"/>
            <w:vAlign w:val="bottom"/>
          </w:tcPr>
          <w:p w:rsidR="00C9790F" w:rsidRPr="00AD171E" w:rsidRDefault="00C9790F" w:rsidP="0050594C">
            <w:pPr>
              <w:ind w:firstLine="0"/>
              <w:jc w:val="right"/>
              <w:rPr>
                <w:rFonts w:eastAsia="Calibri"/>
                <w:sz w:val="20"/>
                <w:szCs w:val="20"/>
              </w:rPr>
            </w:pPr>
            <w:r w:rsidRPr="00AD171E">
              <w:rPr>
                <w:rFonts w:eastAsia="Calibri"/>
                <w:sz w:val="20"/>
                <w:szCs w:val="20"/>
              </w:rPr>
              <w:t>-</w:t>
            </w:r>
          </w:p>
        </w:tc>
      </w:tr>
      <w:tr w:rsidR="00C9790F" w:rsidRPr="00AD171E" w:rsidTr="00C9790F">
        <w:trPr>
          <w:jc w:val="center"/>
        </w:trPr>
        <w:tc>
          <w:tcPr>
            <w:tcW w:w="4117" w:type="dxa"/>
            <w:shd w:val="clear" w:color="auto" w:fill="auto"/>
          </w:tcPr>
          <w:p w:rsidR="00C9790F" w:rsidRPr="00AD171E" w:rsidRDefault="00C9790F" w:rsidP="0050594C">
            <w:pPr>
              <w:ind w:firstLine="0"/>
              <w:rPr>
                <w:bCs/>
                <w:sz w:val="20"/>
                <w:szCs w:val="20"/>
              </w:rPr>
            </w:pPr>
            <w:r w:rsidRPr="00AD171E">
              <w:rPr>
                <w:bCs/>
                <w:sz w:val="20"/>
                <w:szCs w:val="20"/>
              </w:rPr>
              <w:t>Faktiskā budžeta bilance</w:t>
            </w:r>
          </w:p>
          <w:p w:rsidR="00C9790F" w:rsidRPr="00AD171E" w:rsidRDefault="00C9790F" w:rsidP="0050594C">
            <w:pPr>
              <w:ind w:firstLine="0"/>
              <w:jc w:val="left"/>
              <w:rPr>
                <w:bCs/>
                <w:snapToGrid w:val="0"/>
                <w:sz w:val="20"/>
                <w:szCs w:val="20"/>
              </w:rPr>
            </w:pPr>
            <w:r w:rsidRPr="00AD171E">
              <w:rPr>
                <w:bCs/>
                <w:sz w:val="20"/>
                <w:szCs w:val="20"/>
              </w:rPr>
              <w:t>(% no IKP)</w:t>
            </w:r>
          </w:p>
        </w:tc>
        <w:tc>
          <w:tcPr>
            <w:tcW w:w="694" w:type="dxa"/>
            <w:shd w:val="clear" w:color="auto" w:fill="auto"/>
            <w:vAlign w:val="center"/>
          </w:tcPr>
          <w:p w:rsidR="00C9790F" w:rsidRPr="00AD171E" w:rsidRDefault="00C9790F" w:rsidP="0050594C">
            <w:pPr>
              <w:ind w:firstLine="0"/>
              <w:jc w:val="center"/>
              <w:rPr>
                <w:sz w:val="20"/>
                <w:szCs w:val="20"/>
              </w:rPr>
            </w:pPr>
            <w:r w:rsidRPr="00AD171E">
              <w:rPr>
                <w:sz w:val="20"/>
                <w:szCs w:val="20"/>
              </w:rPr>
              <w:t>B.9</w:t>
            </w:r>
          </w:p>
        </w:tc>
        <w:tc>
          <w:tcPr>
            <w:tcW w:w="850" w:type="dxa"/>
            <w:shd w:val="clear" w:color="auto" w:fill="auto"/>
            <w:vAlign w:val="center"/>
          </w:tcPr>
          <w:p w:rsidR="00C9790F" w:rsidRPr="00AD171E" w:rsidRDefault="00C9790F" w:rsidP="0050594C">
            <w:pPr>
              <w:ind w:firstLine="0"/>
              <w:jc w:val="right"/>
              <w:rPr>
                <w:rFonts w:eastAsia="Calibri"/>
                <w:sz w:val="20"/>
                <w:szCs w:val="20"/>
              </w:rPr>
            </w:pPr>
          </w:p>
        </w:tc>
        <w:tc>
          <w:tcPr>
            <w:tcW w:w="851" w:type="dxa"/>
            <w:shd w:val="clear" w:color="auto" w:fill="auto"/>
            <w:vAlign w:val="center"/>
          </w:tcPr>
          <w:p w:rsidR="00C9790F" w:rsidRPr="00AD171E" w:rsidRDefault="00C9790F" w:rsidP="0050594C">
            <w:pPr>
              <w:ind w:firstLine="0"/>
              <w:jc w:val="right"/>
              <w:rPr>
                <w:rFonts w:eastAsia="Calibri"/>
                <w:sz w:val="20"/>
                <w:szCs w:val="20"/>
              </w:rPr>
            </w:pPr>
          </w:p>
        </w:tc>
        <w:tc>
          <w:tcPr>
            <w:tcW w:w="850" w:type="dxa"/>
            <w:shd w:val="clear" w:color="auto" w:fill="auto"/>
            <w:vAlign w:val="center"/>
          </w:tcPr>
          <w:p w:rsidR="00C9790F" w:rsidRPr="00AD171E" w:rsidRDefault="00C9790F" w:rsidP="0050594C">
            <w:pPr>
              <w:ind w:firstLine="0"/>
              <w:jc w:val="right"/>
              <w:rPr>
                <w:rFonts w:eastAsia="Calibri"/>
                <w:sz w:val="20"/>
                <w:szCs w:val="20"/>
              </w:rPr>
            </w:pPr>
          </w:p>
        </w:tc>
        <w:tc>
          <w:tcPr>
            <w:tcW w:w="851" w:type="dxa"/>
            <w:shd w:val="clear" w:color="auto" w:fill="auto"/>
            <w:vAlign w:val="center"/>
          </w:tcPr>
          <w:p w:rsidR="00C9790F" w:rsidRPr="00AD171E" w:rsidRDefault="00C9790F" w:rsidP="0050594C">
            <w:pPr>
              <w:ind w:firstLine="0"/>
              <w:jc w:val="right"/>
              <w:rPr>
                <w:rFonts w:eastAsia="Calibri"/>
                <w:sz w:val="20"/>
                <w:szCs w:val="20"/>
              </w:rPr>
            </w:pPr>
          </w:p>
        </w:tc>
        <w:tc>
          <w:tcPr>
            <w:tcW w:w="850" w:type="dxa"/>
            <w:shd w:val="clear" w:color="auto" w:fill="auto"/>
            <w:vAlign w:val="center"/>
          </w:tcPr>
          <w:p w:rsidR="00C9790F" w:rsidRPr="00AD171E" w:rsidRDefault="00C9790F" w:rsidP="0050594C">
            <w:pPr>
              <w:ind w:firstLine="0"/>
              <w:jc w:val="right"/>
              <w:rPr>
                <w:rFonts w:eastAsia="Calibri"/>
                <w:sz w:val="20"/>
                <w:szCs w:val="20"/>
              </w:rPr>
            </w:pPr>
          </w:p>
        </w:tc>
      </w:tr>
      <w:tr w:rsidR="00C9790F" w:rsidRPr="00AD171E" w:rsidTr="00C9790F">
        <w:trPr>
          <w:jc w:val="center"/>
        </w:trPr>
        <w:tc>
          <w:tcPr>
            <w:tcW w:w="4117" w:type="dxa"/>
            <w:shd w:val="clear" w:color="auto" w:fill="DEEAF6" w:themeFill="accent1" w:themeFillTint="33"/>
          </w:tcPr>
          <w:p w:rsidR="00C9790F" w:rsidRPr="00AD171E" w:rsidRDefault="00C9790F" w:rsidP="0050594C">
            <w:pPr>
              <w:ind w:firstLine="0"/>
              <w:jc w:val="right"/>
              <w:rPr>
                <w:b/>
                <w:bCs/>
                <w:snapToGrid w:val="0"/>
                <w:sz w:val="20"/>
                <w:szCs w:val="20"/>
              </w:rPr>
            </w:pPr>
            <w:r w:rsidRPr="00AD171E">
              <w:rPr>
                <w:bCs/>
                <w:sz w:val="20"/>
                <w:szCs w:val="20"/>
              </w:rPr>
              <w:t>2020.gads</w:t>
            </w:r>
            <w:r w:rsidRPr="00AD171E">
              <w:rPr>
                <w:bCs/>
                <w:sz w:val="20"/>
                <w:szCs w:val="20"/>
              </w:rPr>
              <w:br/>
              <w:t>(Covid-19 ietekmes scenārijs)</w:t>
            </w:r>
          </w:p>
        </w:tc>
        <w:tc>
          <w:tcPr>
            <w:tcW w:w="694" w:type="dxa"/>
            <w:shd w:val="clear" w:color="auto" w:fill="DEEAF6" w:themeFill="accent1" w:themeFillTint="33"/>
            <w:vAlign w:val="center"/>
          </w:tcPr>
          <w:p w:rsidR="00C9790F" w:rsidRPr="00AD171E" w:rsidRDefault="00C9790F" w:rsidP="0050594C">
            <w:pPr>
              <w:ind w:firstLine="0"/>
              <w:jc w:val="center"/>
              <w:rPr>
                <w:sz w:val="20"/>
                <w:szCs w:val="20"/>
              </w:rPr>
            </w:pPr>
          </w:p>
        </w:tc>
        <w:tc>
          <w:tcPr>
            <w:tcW w:w="850" w:type="dxa"/>
            <w:shd w:val="clear" w:color="auto" w:fill="DEEAF6" w:themeFill="accent1" w:themeFillTint="33"/>
            <w:vAlign w:val="bottom"/>
          </w:tcPr>
          <w:p w:rsidR="00C9790F" w:rsidRPr="00AD171E" w:rsidRDefault="00C9790F" w:rsidP="0050594C">
            <w:pPr>
              <w:tabs>
                <w:tab w:val="decimal" w:pos="330"/>
              </w:tabs>
              <w:ind w:firstLine="0"/>
              <w:jc w:val="right"/>
              <w:rPr>
                <w:sz w:val="20"/>
                <w:szCs w:val="20"/>
              </w:rPr>
            </w:pPr>
            <w:r w:rsidRPr="00AD171E">
              <w:rPr>
                <w:rFonts w:eastAsia="Calibri"/>
                <w:sz w:val="20"/>
                <w:szCs w:val="20"/>
              </w:rPr>
              <w:t>-9,4</w:t>
            </w:r>
          </w:p>
        </w:tc>
        <w:tc>
          <w:tcPr>
            <w:tcW w:w="851" w:type="dxa"/>
            <w:shd w:val="clear" w:color="auto" w:fill="DEEAF6" w:themeFill="accent1" w:themeFillTint="33"/>
            <w:vAlign w:val="bottom"/>
          </w:tcPr>
          <w:p w:rsidR="00C9790F" w:rsidRPr="00AD171E" w:rsidRDefault="00C9790F" w:rsidP="0050594C">
            <w:pPr>
              <w:tabs>
                <w:tab w:val="decimal" w:pos="330"/>
              </w:tabs>
              <w:ind w:firstLine="0"/>
              <w:jc w:val="right"/>
              <w:rPr>
                <w:sz w:val="20"/>
                <w:szCs w:val="20"/>
              </w:rPr>
            </w:pPr>
            <w:r w:rsidRPr="00AD171E">
              <w:rPr>
                <w:rFonts w:eastAsia="Calibri"/>
                <w:sz w:val="20"/>
                <w:szCs w:val="20"/>
              </w:rPr>
              <w:t>-5,0</w:t>
            </w:r>
          </w:p>
        </w:tc>
        <w:tc>
          <w:tcPr>
            <w:tcW w:w="850" w:type="dxa"/>
            <w:shd w:val="clear" w:color="auto" w:fill="DEEAF6" w:themeFill="accent1" w:themeFillTint="33"/>
            <w:vAlign w:val="bottom"/>
          </w:tcPr>
          <w:p w:rsidR="00C9790F" w:rsidRPr="00AD171E" w:rsidRDefault="00C9790F" w:rsidP="0050594C">
            <w:pPr>
              <w:tabs>
                <w:tab w:val="decimal" w:pos="330"/>
              </w:tabs>
              <w:ind w:firstLine="0"/>
              <w:jc w:val="right"/>
              <w:rPr>
                <w:sz w:val="20"/>
                <w:szCs w:val="20"/>
              </w:rPr>
            </w:pPr>
            <w:r w:rsidRPr="00AD171E">
              <w:rPr>
                <w:rFonts w:eastAsia="Calibri"/>
                <w:sz w:val="20"/>
                <w:szCs w:val="20"/>
              </w:rPr>
              <w:t>-3,9</w:t>
            </w:r>
          </w:p>
        </w:tc>
        <w:tc>
          <w:tcPr>
            <w:tcW w:w="851" w:type="dxa"/>
            <w:shd w:val="clear" w:color="auto" w:fill="DEEAF6" w:themeFill="accent1" w:themeFillTint="33"/>
            <w:vAlign w:val="bottom"/>
          </w:tcPr>
          <w:p w:rsidR="00C9790F" w:rsidRPr="00AD171E" w:rsidRDefault="00C9790F" w:rsidP="0050594C">
            <w:pPr>
              <w:tabs>
                <w:tab w:val="decimal" w:pos="330"/>
              </w:tabs>
              <w:ind w:firstLine="0"/>
              <w:jc w:val="right"/>
              <w:rPr>
                <w:rFonts w:eastAsia="Arial Unicode MS"/>
                <w:sz w:val="20"/>
                <w:szCs w:val="20"/>
              </w:rPr>
            </w:pPr>
            <w:r w:rsidRPr="00AD171E">
              <w:rPr>
                <w:rFonts w:eastAsia="Calibri"/>
                <w:sz w:val="20"/>
                <w:szCs w:val="20"/>
              </w:rPr>
              <w:t>-2,7</w:t>
            </w:r>
          </w:p>
        </w:tc>
        <w:tc>
          <w:tcPr>
            <w:tcW w:w="850" w:type="dxa"/>
            <w:shd w:val="clear" w:color="auto" w:fill="DEEAF6" w:themeFill="accent1" w:themeFillTint="33"/>
            <w:vAlign w:val="bottom"/>
          </w:tcPr>
          <w:p w:rsidR="00C9790F" w:rsidRPr="00AD171E" w:rsidRDefault="00C9790F" w:rsidP="0050594C">
            <w:pPr>
              <w:tabs>
                <w:tab w:val="decimal" w:pos="330"/>
              </w:tabs>
              <w:ind w:firstLine="0"/>
              <w:jc w:val="right"/>
              <w:rPr>
                <w:sz w:val="20"/>
                <w:szCs w:val="20"/>
              </w:rPr>
            </w:pPr>
            <w:r w:rsidRPr="00AD171E">
              <w:rPr>
                <w:rFonts w:eastAsia="Calibri"/>
                <w:sz w:val="20"/>
                <w:szCs w:val="20"/>
              </w:rPr>
              <w:t xml:space="preserve"> -</w:t>
            </w:r>
          </w:p>
        </w:tc>
      </w:tr>
      <w:tr w:rsidR="00C9790F" w:rsidRPr="00AD171E" w:rsidTr="00C9790F">
        <w:trPr>
          <w:jc w:val="center"/>
        </w:trPr>
        <w:tc>
          <w:tcPr>
            <w:tcW w:w="4117" w:type="dxa"/>
            <w:shd w:val="clear" w:color="auto" w:fill="auto"/>
          </w:tcPr>
          <w:p w:rsidR="00C9790F" w:rsidRPr="00AD171E" w:rsidRDefault="00C9790F" w:rsidP="0050594C">
            <w:pPr>
              <w:ind w:firstLine="0"/>
              <w:jc w:val="right"/>
              <w:rPr>
                <w:bCs/>
                <w:sz w:val="20"/>
                <w:szCs w:val="20"/>
              </w:rPr>
            </w:pPr>
            <w:r w:rsidRPr="00AD171E">
              <w:rPr>
                <w:bCs/>
                <w:sz w:val="20"/>
                <w:szCs w:val="20"/>
              </w:rPr>
              <w:t xml:space="preserve">2021.gads </w:t>
            </w:r>
          </w:p>
        </w:tc>
        <w:tc>
          <w:tcPr>
            <w:tcW w:w="694" w:type="dxa"/>
            <w:shd w:val="clear" w:color="auto" w:fill="auto"/>
            <w:vAlign w:val="center"/>
          </w:tcPr>
          <w:p w:rsidR="00C9790F" w:rsidRPr="00AD171E" w:rsidRDefault="00C9790F" w:rsidP="0050594C">
            <w:pPr>
              <w:ind w:firstLine="0"/>
              <w:jc w:val="center"/>
              <w:rPr>
                <w:sz w:val="20"/>
                <w:szCs w:val="20"/>
              </w:rPr>
            </w:pPr>
          </w:p>
        </w:tc>
        <w:tc>
          <w:tcPr>
            <w:tcW w:w="850" w:type="dxa"/>
            <w:shd w:val="clear" w:color="auto" w:fill="auto"/>
            <w:vAlign w:val="bottom"/>
          </w:tcPr>
          <w:p w:rsidR="00C9790F" w:rsidRPr="00AD171E" w:rsidRDefault="00C9790F" w:rsidP="0050594C">
            <w:pPr>
              <w:tabs>
                <w:tab w:val="decimal" w:pos="330"/>
              </w:tabs>
              <w:ind w:firstLine="0"/>
              <w:jc w:val="right"/>
              <w:rPr>
                <w:sz w:val="20"/>
                <w:szCs w:val="20"/>
              </w:rPr>
            </w:pPr>
            <w:r w:rsidRPr="00AD171E">
              <w:rPr>
                <w:rFonts w:eastAsia="Calibri"/>
                <w:sz w:val="20"/>
                <w:szCs w:val="20"/>
              </w:rPr>
              <w:t>-5,4</w:t>
            </w:r>
          </w:p>
        </w:tc>
        <w:tc>
          <w:tcPr>
            <w:tcW w:w="851" w:type="dxa"/>
            <w:shd w:val="clear" w:color="auto" w:fill="auto"/>
            <w:vAlign w:val="bottom"/>
          </w:tcPr>
          <w:p w:rsidR="00C9790F" w:rsidRPr="00AD171E" w:rsidRDefault="00C9790F" w:rsidP="0050594C">
            <w:pPr>
              <w:tabs>
                <w:tab w:val="decimal" w:pos="330"/>
              </w:tabs>
              <w:ind w:firstLine="0"/>
              <w:jc w:val="right"/>
              <w:rPr>
                <w:sz w:val="20"/>
                <w:szCs w:val="20"/>
              </w:rPr>
            </w:pPr>
            <w:r w:rsidRPr="00AD171E">
              <w:rPr>
                <w:rFonts w:eastAsia="Calibri"/>
                <w:sz w:val="20"/>
                <w:szCs w:val="20"/>
              </w:rPr>
              <w:t>-9,3</w:t>
            </w:r>
          </w:p>
        </w:tc>
        <w:tc>
          <w:tcPr>
            <w:tcW w:w="850" w:type="dxa"/>
            <w:shd w:val="clear" w:color="auto" w:fill="auto"/>
            <w:vAlign w:val="bottom"/>
          </w:tcPr>
          <w:p w:rsidR="00C9790F" w:rsidRPr="00AD171E" w:rsidRDefault="00C9790F" w:rsidP="0050594C">
            <w:pPr>
              <w:tabs>
                <w:tab w:val="decimal" w:pos="330"/>
              </w:tabs>
              <w:ind w:firstLine="0"/>
              <w:jc w:val="right"/>
              <w:rPr>
                <w:sz w:val="20"/>
                <w:szCs w:val="20"/>
              </w:rPr>
            </w:pPr>
            <w:r w:rsidRPr="00AD171E">
              <w:rPr>
                <w:rFonts w:eastAsia="Calibri"/>
                <w:sz w:val="20"/>
                <w:szCs w:val="20"/>
              </w:rPr>
              <w:t>-2,7</w:t>
            </w:r>
          </w:p>
        </w:tc>
        <w:tc>
          <w:tcPr>
            <w:tcW w:w="851" w:type="dxa"/>
            <w:shd w:val="clear" w:color="auto" w:fill="auto"/>
            <w:vAlign w:val="bottom"/>
          </w:tcPr>
          <w:p w:rsidR="00C9790F" w:rsidRPr="00AD171E" w:rsidRDefault="00C9790F" w:rsidP="0050594C">
            <w:pPr>
              <w:tabs>
                <w:tab w:val="decimal" w:pos="330"/>
              </w:tabs>
              <w:ind w:firstLine="0"/>
              <w:jc w:val="right"/>
              <w:rPr>
                <w:rFonts w:eastAsia="Arial Unicode MS"/>
                <w:sz w:val="20"/>
                <w:szCs w:val="20"/>
              </w:rPr>
            </w:pPr>
            <w:r w:rsidRPr="00AD171E">
              <w:rPr>
                <w:rFonts w:eastAsia="Calibri"/>
                <w:sz w:val="20"/>
                <w:szCs w:val="20"/>
              </w:rPr>
              <w:t>-1,3</w:t>
            </w:r>
          </w:p>
        </w:tc>
        <w:tc>
          <w:tcPr>
            <w:tcW w:w="850" w:type="dxa"/>
            <w:shd w:val="clear" w:color="auto" w:fill="auto"/>
            <w:vAlign w:val="bottom"/>
          </w:tcPr>
          <w:p w:rsidR="00C9790F" w:rsidRPr="00AD171E" w:rsidRDefault="00C9790F" w:rsidP="0050594C">
            <w:pPr>
              <w:tabs>
                <w:tab w:val="decimal" w:pos="330"/>
              </w:tabs>
              <w:ind w:firstLine="0"/>
              <w:jc w:val="right"/>
              <w:rPr>
                <w:sz w:val="20"/>
                <w:szCs w:val="20"/>
              </w:rPr>
            </w:pPr>
            <w:r w:rsidRPr="00AD171E">
              <w:rPr>
                <w:rFonts w:eastAsia="Calibri"/>
                <w:sz w:val="20"/>
                <w:szCs w:val="20"/>
              </w:rPr>
              <w:t>-0,3</w:t>
            </w:r>
          </w:p>
        </w:tc>
      </w:tr>
      <w:tr w:rsidR="00C9790F" w:rsidRPr="00AD171E" w:rsidTr="00C9790F">
        <w:trPr>
          <w:jc w:val="center"/>
        </w:trPr>
        <w:tc>
          <w:tcPr>
            <w:tcW w:w="4117" w:type="dxa"/>
            <w:shd w:val="clear" w:color="auto" w:fill="DEEAF6" w:themeFill="accent1" w:themeFillTint="33"/>
          </w:tcPr>
          <w:p w:rsidR="00C9790F" w:rsidRPr="00AD171E" w:rsidRDefault="00C9790F" w:rsidP="0050594C">
            <w:pPr>
              <w:ind w:firstLine="0"/>
              <w:jc w:val="right"/>
              <w:rPr>
                <w:bCs/>
                <w:sz w:val="20"/>
                <w:szCs w:val="20"/>
              </w:rPr>
            </w:pPr>
            <w:r w:rsidRPr="00AD171E">
              <w:rPr>
                <w:bCs/>
                <w:snapToGrid w:val="0"/>
                <w:sz w:val="20"/>
                <w:szCs w:val="20"/>
              </w:rPr>
              <w:t>Izmaiņas</w:t>
            </w:r>
          </w:p>
        </w:tc>
        <w:tc>
          <w:tcPr>
            <w:tcW w:w="694" w:type="dxa"/>
            <w:shd w:val="clear" w:color="auto" w:fill="DEEAF6" w:themeFill="accent1" w:themeFillTint="33"/>
            <w:vAlign w:val="center"/>
          </w:tcPr>
          <w:p w:rsidR="00C9790F" w:rsidRPr="00AD171E" w:rsidRDefault="00C9790F" w:rsidP="0050594C">
            <w:pPr>
              <w:ind w:firstLine="0"/>
              <w:jc w:val="center"/>
              <w:rPr>
                <w:sz w:val="20"/>
                <w:szCs w:val="20"/>
              </w:rPr>
            </w:pPr>
          </w:p>
        </w:tc>
        <w:tc>
          <w:tcPr>
            <w:tcW w:w="850" w:type="dxa"/>
            <w:shd w:val="clear" w:color="auto" w:fill="DEEAF6" w:themeFill="accent1" w:themeFillTint="33"/>
            <w:vAlign w:val="bottom"/>
          </w:tcPr>
          <w:p w:rsidR="00C9790F" w:rsidRPr="00AD171E" w:rsidRDefault="00C9790F" w:rsidP="0050594C">
            <w:pPr>
              <w:ind w:firstLine="0"/>
              <w:jc w:val="right"/>
              <w:rPr>
                <w:rFonts w:eastAsia="Calibri"/>
                <w:sz w:val="20"/>
                <w:szCs w:val="20"/>
              </w:rPr>
            </w:pPr>
            <w:r w:rsidRPr="00AD171E">
              <w:rPr>
                <w:rFonts w:eastAsia="Calibri"/>
                <w:sz w:val="20"/>
                <w:szCs w:val="20"/>
              </w:rPr>
              <w:t>4,1</w:t>
            </w:r>
          </w:p>
        </w:tc>
        <w:tc>
          <w:tcPr>
            <w:tcW w:w="851" w:type="dxa"/>
            <w:shd w:val="clear" w:color="auto" w:fill="DEEAF6" w:themeFill="accent1" w:themeFillTint="33"/>
            <w:vAlign w:val="bottom"/>
          </w:tcPr>
          <w:p w:rsidR="00C9790F" w:rsidRPr="00AD171E" w:rsidRDefault="00C9790F" w:rsidP="0050594C">
            <w:pPr>
              <w:ind w:firstLine="0"/>
              <w:jc w:val="right"/>
              <w:rPr>
                <w:rFonts w:eastAsia="Calibri"/>
                <w:sz w:val="20"/>
                <w:szCs w:val="20"/>
              </w:rPr>
            </w:pPr>
            <w:r w:rsidRPr="00AD171E">
              <w:rPr>
                <w:rFonts w:eastAsia="Calibri"/>
                <w:sz w:val="20"/>
                <w:szCs w:val="20"/>
              </w:rPr>
              <w:t>-4,3</w:t>
            </w:r>
          </w:p>
        </w:tc>
        <w:tc>
          <w:tcPr>
            <w:tcW w:w="850" w:type="dxa"/>
            <w:shd w:val="clear" w:color="auto" w:fill="DEEAF6" w:themeFill="accent1" w:themeFillTint="33"/>
            <w:vAlign w:val="bottom"/>
          </w:tcPr>
          <w:p w:rsidR="00C9790F" w:rsidRPr="00AD171E" w:rsidRDefault="00C9790F" w:rsidP="0050594C">
            <w:pPr>
              <w:ind w:firstLine="0"/>
              <w:jc w:val="right"/>
              <w:rPr>
                <w:rFonts w:eastAsia="Calibri"/>
                <w:sz w:val="20"/>
                <w:szCs w:val="20"/>
              </w:rPr>
            </w:pPr>
            <w:r w:rsidRPr="00AD171E">
              <w:rPr>
                <w:rFonts w:eastAsia="Calibri"/>
                <w:sz w:val="20"/>
                <w:szCs w:val="20"/>
              </w:rPr>
              <w:t>1,3</w:t>
            </w:r>
          </w:p>
        </w:tc>
        <w:tc>
          <w:tcPr>
            <w:tcW w:w="851" w:type="dxa"/>
            <w:shd w:val="clear" w:color="auto" w:fill="DEEAF6" w:themeFill="accent1" w:themeFillTint="33"/>
            <w:vAlign w:val="bottom"/>
          </w:tcPr>
          <w:p w:rsidR="00C9790F" w:rsidRPr="00AD171E" w:rsidRDefault="00C9790F" w:rsidP="0050594C">
            <w:pPr>
              <w:ind w:firstLine="0"/>
              <w:jc w:val="right"/>
              <w:rPr>
                <w:rFonts w:eastAsia="Calibri"/>
                <w:sz w:val="20"/>
                <w:szCs w:val="20"/>
              </w:rPr>
            </w:pPr>
            <w:r w:rsidRPr="00AD171E">
              <w:rPr>
                <w:rFonts w:eastAsia="Calibri"/>
                <w:sz w:val="20"/>
                <w:szCs w:val="20"/>
              </w:rPr>
              <w:t>1,4</w:t>
            </w:r>
          </w:p>
        </w:tc>
        <w:tc>
          <w:tcPr>
            <w:tcW w:w="850" w:type="dxa"/>
            <w:shd w:val="clear" w:color="auto" w:fill="DEEAF6" w:themeFill="accent1" w:themeFillTint="33"/>
            <w:vAlign w:val="bottom"/>
          </w:tcPr>
          <w:p w:rsidR="00C9790F" w:rsidRPr="00AD171E" w:rsidRDefault="00C9790F" w:rsidP="0050594C">
            <w:pPr>
              <w:ind w:firstLine="0"/>
              <w:jc w:val="right"/>
              <w:rPr>
                <w:rFonts w:eastAsia="Calibri"/>
                <w:sz w:val="20"/>
                <w:szCs w:val="20"/>
              </w:rPr>
            </w:pPr>
            <w:r w:rsidRPr="00AD171E">
              <w:rPr>
                <w:rFonts w:eastAsia="Calibri"/>
                <w:sz w:val="20"/>
                <w:szCs w:val="20"/>
              </w:rPr>
              <w:t>-</w:t>
            </w:r>
          </w:p>
        </w:tc>
      </w:tr>
      <w:tr w:rsidR="00C9790F" w:rsidRPr="00AD171E" w:rsidTr="00C9790F">
        <w:trPr>
          <w:jc w:val="center"/>
        </w:trPr>
        <w:tc>
          <w:tcPr>
            <w:tcW w:w="4117" w:type="dxa"/>
            <w:shd w:val="clear" w:color="auto" w:fill="auto"/>
          </w:tcPr>
          <w:p w:rsidR="00C9790F" w:rsidRPr="00AD171E" w:rsidRDefault="00C9790F" w:rsidP="0050594C">
            <w:pPr>
              <w:ind w:firstLine="0"/>
              <w:jc w:val="left"/>
              <w:rPr>
                <w:bCs/>
                <w:sz w:val="20"/>
                <w:szCs w:val="20"/>
              </w:rPr>
            </w:pPr>
            <w:r w:rsidRPr="00AD171E">
              <w:rPr>
                <w:bCs/>
                <w:sz w:val="20"/>
                <w:szCs w:val="20"/>
              </w:rPr>
              <w:t>Vispārējās valdības parāds</w:t>
            </w:r>
            <w:r w:rsidRPr="00AD171E">
              <w:rPr>
                <w:bCs/>
                <w:sz w:val="20"/>
                <w:szCs w:val="20"/>
              </w:rPr>
              <w:br/>
              <w:t>(% no IKP)</w:t>
            </w:r>
          </w:p>
        </w:tc>
        <w:tc>
          <w:tcPr>
            <w:tcW w:w="694" w:type="dxa"/>
            <w:shd w:val="clear" w:color="auto" w:fill="auto"/>
            <w:vAlign w:val="center"/>
          </w:tcPr>
          <w:p w:rsidR="00C9790F" w:rsidRPr="00AD171E" w:rsidRDefault="00C9790F" w:rsidP="0050594C">
            <w:pPr>
              <w:ind w:firstLine="0"/>
              <w:jc w:val="center"/>
              <w:rPr>
                <w:sz w:val="20"/>
                <w:szCs w:val="20"/>
              </w:rPr>
            </w:pPr>
          </w:p>
        </w:tc>
        <w:tc>
          <w:tcPr>
            <w:tcW w:w="850" w:type="dxa"/>
            <w:shd w:val="clear" w:color="auto" w:fill="auto"/>
            <w:vAlign w:val="center"/>
          </w:tcPr>
          <w:p w:rsidR="00C9790F" w:rsidRPr="00AD171E" w:rsidRDefault="00C9790F" w:rsidP="0050594C">
            <w:pPr>
              <w:ind w:firstLine="0"/>
              <w:jc w:val="right"/>
              <w:rPr>
                <w:rFonts w:eastAsia="Calibri"/>
                <w:sz w:val="20"/>
                <w:szCs w:val="20"/>
              </w:rPr>
            </w:pPr>
          </w:p>
        </w:tc>
        <w:tc>
          <w:tcPr>
            <w:tcW w:w="851" w:type="dxa"/>
            <w:shd w:val="clear" w:color="auto" w:fill="auto"/>
            <w:vAlign w:val="center"/>
          </w:tcPr>
          <w:p w:rsidR="00C9790F" w:rsidRPr="00AD171E" w:rsidRDefault="00C9790F" w:rsidP="0050594C">
            <w:pPr>
              <w:ind w:firstLine="0"/>
              <w:jc w:val="right"/>
              <w:rPr>
                <w:rFonts w:eastAsia="Calibri"/>
                <w:sz w:val="20"/>
                <w:szCs w:val="20"/>
              </w:rPr>
            </w:pPr>
          </w:p>
        </w:tc>
        <w:tc>
          <w:tcPr>
            <w:tcW w:w="850" w:type="dxa"/>
            <w:shd w:val="clear" w:color="auto" w:fill="auto"/>
            <w:vAlign w:val="center"/>
          </w:tcPr>
          <w:p w:rsidR="00C9790F" w:rsidRPr="00AD171E" w:rsidRDefault="00C9790F" w:rsidP="0050594C">
            <w:pPr>
              <w:ind w:firstLine="0"/>
              <w:jc w:val="right"/>
              <w:rPr>
                <w:rFonts w:eastAsia="Calibri"/>
                <w:sz w:val="20"/>
                <w:szCs w:val="20"/>
              </w:rPr>
            </w:pPr>
          </w:p>
        </w:tc>
        <w:tc>
          <w:tcPr>
            <w:tcW w:w="851" w:type="dxa"/>
            <w:shd w:val="clear" w:color="auto" w:fill="auto"/>
            <w:vAlign w:val="center"/>
          </w:tcPr>
          <w:p w:rsidR="00C9790F" w:rsidRPr="00AD171E" w:rsidRDefault="00C9790F" w:rsidP="0050594C">
            <w:pPr>
              <w:ind w:firstLine="0"/>
              <w:jc w:val="right"/>
              <w:rPr>
                <w:rFonts w:eastAsia="Calibri"/>
                <w:sz w:val="20"/>
                <w:szCs w:val="20"/>
              </w:rPr>
            </w:pPr>
          </w:p>
        </w:tc>
        <w:tc>
          <w:tcPr>
            <w:tcW w:w="850" w:type="dxa"/>
            <w:shd w:val="clear" w:color="auto" w:fill="auto"/>
            <w:vAlign w:val="center"/>
          </w:tcPr>
          <w:p w:rsidR="00C9790F" w:rsidRPr="00AD171E" w:rsidRDefault="00C9790F" w:rsidP="0050594C">
            <w:pPr>
              <w:ind w:firstLine="0"/>
              <w:jc w:val="right"/>
              <w:rPr>
                <w:rFonts w:eastAsia="Calibri"/>
                <w:sz w:val="20"/>
                <w:szCs w:val="20"/>
              </w:rPr>
            </w:pPr>
          </w:p>
        </w:tc>
      </w:tr>
      <w:tr w:rsidR="00C9790F" w:rsidRPr="00AD171E" w:rsidTr="00C9790F">
        <w:trPr>
          <w:jc w:val="center"/>
        </w:trPr>
        <w:tc>
          <w:tcPr>
            <w:tcW w:w="4117" w:type="dxa"/>
            <w:shd w:val="clear" w:color="auto" w:fill="DEEAF6" w:themeFill="accent1" w:themeFillTint="33"/>
          </w:tcPr>
          <w:p w:rsidR="00C9790F" w:rsidRPr="00AD171E" w:rsidRDefault="00C9790F" w:rsidP="0050594C">
            <w:pPr>
              <w:ind w:firstLine="0"/>
              <w:jc w:val="right"/>
              <w:rPr>
                <w:bCs/>
                <w:snapToGrid w:val="0"/>
                <w:sz w:val="20"/>
                <w:szCs w:val="20"/>
              </w:rPr>
            </w:pPr>
            <w:r w:rsidRPr="00AD171E">
              <w:rPr>
                <w:bCs/>
                <w:sz w:val="20"/>
                <w:szCs w:val="20"/>
              </w:rPr>
              <w:t>2020.gads</w:t>
            </w:r>
            <w:r w:rsidRPr="00AD171E">
              <w:rPr>
                <w:bCs/>
                <w:sz w:val="20"/>
                <w:szCs w:val="20"/>
              </w:rPr>
              <w:br/>
              <w:t>(Covid-19 ietekmes scenārijs)</w:t>
            </w:r>
          </w:p>
        </w:tc>
        <w:tc>
          <w:tcPr>
            <w:tcW w:w="694" w:type="dxa"/>
            <w:shd w:val="clear" w:color="auto" w:fill="DEEAF6" w:themeFill="accent1" w:themeFillTint="33"/>
            <w:vAlign w:val="center"/>
          </w:tcPr>
          <w:p w:rsidR="00C9790F" w:rsidRPr="00AD171E" w:rsidRDefault="00C9790F" w:rsidP="0050594C">
            <w:pPr>
              <w:ind w:firstLine="0"/>
              <w:jc w:val="center"/>
              <w:rPr>
                <w:sz w:val="20"/>
                <w:szCs w:val="20"/>
              </w:rPr>
            </w:pPr>
          </w:p>
        </w:tc>
        <w:tc>
          <w:tcPr>
            <w:tcW w:w="850" w:type="dxa"/>
            <w:shd w:val="clear" w:color="auto" w:fill="DEEAF6" w:themeFill="accent1" w:themeFillTint="33"/>
          </w:tcPr>
          <w:p w:rsidR="00C9790F" w:rsidRPr="00AD171E" w:rsidRDefault="00C9790F" w:rsidP="0050594C">
            <w:pPr>
              <w:ind w:firstLine="0"/>
              <w:jc w:val="right"/>
              <w:rPr>
                <w:rFonts w:eastAsia="Calibri"/>
                <w:sz w:val="20"/>
                <w:szCs w:val="20"/>
              </w:rPr>
            </w:pPr>
            <w:r w:rsidRPr="00EB0D3A">
              <w:rPr>
                <w:sz w:val="20"/>
              </w:rPr>
              <w:t>51,7</w:t>
            </w:r>
          </w:p>
        </w:tc>
        <w:tc>
          <w:tcPr>
            <w:tcW w:w="851" w:type="dxa"/>
            <w:shd w:val="clear" w:color="auto" w:fill="DEEAF6" w:themeFill="accent1" w:themeFillTint="33"/>
          </w:tcPr>
          <w:p w:rsidR="00C9790F" w:rsidRPr="00AD171E" w:rsidRDefault="00C9790F" w:rsidP="0050594C">
            <w:pPr>
              <w:ind w:firstLine="0"/>
              <w:jc w:val="right"/>
              <w:rPr>
                <w:rFonts w:eastAsia="Calibri"/>
                <w:sz w:val="20"/>
                <w:szCs w:val="20"/>
              </w:rPr>
            </w:pPr>
            <w:r w:rsidRPr="00EB0D3A">
              <w:rPr>
                <w:sz w:val="20"/>
              </w:rPr>
              <w:t>52,2</w:t>
            </w:r>
          </w:p>
        </w:tc>
        <w:tc>
          <w:tcPr>
            <w:tcW w:w="850" w:type="dxa"/>
            <w:shd w:val="clear" w:color="auto" w:fill="DEEAF6" w:themeFill="accent1" w:themeFillTint="33"/>
          </w:tcPr>
          <w:p w:rsidR="00C9790F" w:rsidRPr="00AD171E" w:rsidRDefault="00C9790F" w:rsidP="0050594C">
            <w:pPr>
              <w:ind w:firstLine="0"/>
              <w:jc w:val="right"/>
              <w:rPr>
                <w:rFonts w:eastAsia="Calibri"/>
                <w:sz w:val="20"/>
                <w:szCs w:val="20"/>
              </w:rPr>
            </w:pPr>
            <w:r w:rsidRPr="00EB0D3A">
              <w:rPr>
                <w:sz w:val="20"/>
              </w:rPr>
              <w:t>53,3</w:t>
            </w:r>
          </w:p>
        </w:tc>
        <w:tc>
          <w:tcPr>
            <w:tcW w:w="851" w:type="dxa"/>
            <w:shd w:val="clear" w:color="auto" w:fill="DEEAF6" w:themeFill="accent1" w:themeFillTint="33"/>
          </w:tcPr>
          <w:p w:rsidR="00C9790F" w:rsidRPr="00AD171E" w:rsidRDefault="00C9790F" w:rsidP="0050594C">
            <w:pPr>
              <w:ind w:firstLine="0"/>
              <w:jc w:val="right"/>
              <w:rPr>
                <w:rFonts w:eastAsia="Calibri"/>
                <w:sz w:val="20"/>
                <w:szCs w:val="20"/>
              </w:rPr>
            </w:pPr>
            <w:r w:rsidRPr="00EB0D3A">
              <w:rPr>
                <w:sz w:val="20"/>
              </w:rPr>
              <w:t>53,1</w:t>
            </w:r>
          </w:p>
        </w:tc>
        <w:tc>
          <w:tcPr>
            <w:tcW w:w="850" w:type="dxa"/>
            <w:shd w:val="clear" w:color="auto" w:fill="DEEAF6" w:themeFill="accent1" w:themeFillTint="33"/>
          </w:tcPr>
          <w:p w:rsidR="00C9790F" w:rsidRPr="00AD171E" w:rsidRDefault="00C9790F" w:rsidP="0050594C">
            <w:pPr>
              <w:ind w:firstLine="0"/>
              <w:jc w:val="right"/>
              <w:rPr>
                <w:rFonts w:eastAsia="Calibri"/>
                <w:sz w:val="20"/>
                <w:szCs w:val="20"/>
              </w:rPr>
            </w:pPr>
            <w:r w:rsidRPr="008B6FF0">
              <w:rPr>
                <w:sz w:val="20"/>
              </w:rPr>
              <w:t>-</w:t>
            </w:r>
          </w:p>
        </w:tc>
      </w:tr>
      <w:tr w:rsidR="00C9790F" w:rsidRPr="00AD171E" w:rsidTr="00C9790F">
        <w:trPr>
          <w:jc w:val="center"/>
        </w:trPr>
        <w:tc>
          <w:tcPr>
            <w:tcW w:w="4117" w:type="dxa"/>
            <w:shd w:val="clear" w:color="auto" w:fill="auto"/>
          </w:tcPr>
          <w:p w:rsidR="00C9790F" w:rsidRPr="00AD171E" w:rsidRDefault="00C9790F" w:rsidP="0050594C">
            <w:pPr>
              <w:ind w:firstLine="0"/>
              <w:jc w:val="right"/>
              <w:rPr>
                <w:b/>
                <w:bCs/>
                <w:snapToGrid w:val="0"/>
                <w:sz w:val="20"/>
                <w:szCs w:val="20"/>
              </w:rPr>
            </w:pPr>
            <w:r w:rsidRPr="00AD171E">
              <w:rPr>
                <w:bCs/>
                <w:sz w:val="20"/>
                <w:szCs w:val="20"/>
              </w:rPr>
              <w:t>2021.gads</w:t>
            </w:r>
          </w:p>
        </w:tc>
        <w:tc>
          <w:tcPr>
            <w:tcW w:w="694" w:type="dxa"/>
            <w:shd w:val="clear" w:color="auto" w:fill="auto"/>
            <w:vAlign w:val="center"/>
          </w:tcPr>
          <w:p w:rsidR="00C9790F" w:rsidRPr="00AD171E" w:rsidRDefault="00C9790F" w:rsidP="0050594C">
            <w:pPr>
              <w:ind w:firstLine="0"/>
              <w:jc w:val="center"/>
              <w:rPr>
                <w:sz w:val="20"/>
                <w:szCs w:val="20"/>
              </w:rPr>
            </w:pPr>
          </w:p>
        </w:tc>
        <w:tc>
          <w:tcPr>
            <w:tcW w:w="850" w:type="dxa"/>
            <w:shd w:val="clear" w:color="auto" w:fill="auto"/>
          </w:tcPr>
          <w:p w:rsidR="00C9790F" w:rsidRPr="00AD171E" w:rsidRDefault="00C9790F" w:rsidP="0050594C">
            <w:pPr>
              <w:tabs>
                <w:tab w:val="decimal" w:pos="330"/>
              </w:tabs>
              <w:ind w:firstLine="0"/>
              <w:jc w:val="right"/>
              <w:rPr>
                <w:sz w:val="20"/>
                <w:szCs w:val="20"/>
                <w:highlight w:val="yellow"/>
              </w:rPr>
            </w:pPr>
            <w:r w:rsidRPr="00840D52">
              <w:rPr>
                <w:sz w:val="20"/>
              </w:rPr>
              <w:t>43,5</w:t>
            </w:r>
          </w:p>
        </w:tc>
        <w:tc>
          <w:tcPr>
            <w:tcW w:w="851" w:type="dxa"/>
            <w:shd w:val="clear" w:color="auto" w:fill="auto"/>
          </w:tcPr>
          <w:p w:rsidR="00C9790F" w:rsidRPr="00AD171E" w:rsidRDefault="00C9790F" w:rsidP="0050594C">
            <w:pPr>
              <w:tabs>
                <w:tab w:val="decimal" w:pos="330"/>
              </w:tabs>
              <w:ind w:firstLine="0"/>
              <w:jc w:val="right"/>
              <w:rPr>
                <w:sz w:val="20"/>
                <w:szCs w:val="20"/>
                <w:highlight w:val="yellow"/>
              </w:rPr>
            </w:pPr>
            <w:r>
              <w:rPr>
                <w:sz w:val="20"/>
              </w:rPr>
              <w:t>48,9</w:t>
            </w:r>
          </w:p>
        </w:tc>
        <w:tc>
          <w:tcPr>
            <w:tcW w:w="850" w:type="dxa"/>
            <w:shd w:val="clear" w:color="auto" w:fill="auto"/>
          </w:tcPr>
          <w:p w:rsidR="00C9790F" w:rsidRPr="00AD171E" w:rsidRDefault="00C9790F" w:rsidP="0050594C">
            <w:pPr>
              <w:tabs>
                <w:tab w:val="decimal" w:pos="330"/>
              </w:tabs>
              <w:ind w:firstLine="0"/>
              <w:jc w:val="right"/>
              <w:rPr>
                <w:sz w:val="20"/>
                <w:szCs w:val="20"/>
                <w:highlight w:val="yellow"/>
              </w:rPr>
            </w:pPr>
            <w:r>
              <w:rPr>
                <w:sz w:val="20"/>
              </w:rPr>
              <w:t>50,3</w:t>
            </w:r>
          </w:p>
        </w:tc>
        <w:tc>
          <w:tcPr>
            <w:tcW w:w="851" w:type="dxa"/>
            <w:shd w:val="clear" w:color="auto" w:fill="auto"/>
          </w:tcPr>
          <w:p w:rsidR="00C9790F" w:rsidRPr="00AD171E" w:rsidRDefault="00C9790F" w:rsidP="0050594C">
            <w:pPr>
              <w:tabs>
                <w:tab w:val="decimal" w:pos="330"/>
              </w:tabs>
              <w:ind w:firstLine="0"/>
              <w:jc w:val="right"/>
              <w:rPr>
                <w:rFonts w:eastAsia="Arial Unicode MS"/>
                <w:sz w:val="20"/>
                <w:szCs w:val="20"/>
                <w:highlight w:val="yellow"/>
              </w:rPr>
            </w:pPr>
            <w:r>
              <w:rPr>
                <w:sz w:val="20"/>
              </w:rPr>
              <w:t>48,8</w:t>
            </w:r>
          </w:p>
        </w:tc>
        <w:tc>
          <w:tcPr>
            <w:tcW w:w="850" w:type="dxa"/>
            <w:shd w:val="clear" w:color="auto" w:fill="auto"/>
          </w:tcPr>
          <w:p w:rsidR="00C9790F" w:rsidRPr="00AD171E" w:rsidRDefault="00C9790F" w:rsidP="0050594C">
            <w:pPr>
              <w:ind w:firstLine="0"/>
              <w:jc w:val="right"/>
              <w:rPr>
                <w:sz w:val="20"/>
                <w:szCs w:val="20"/>
                <w:highlight w:val="yellow"/>
              </w:rPr>
            </w:pPr>
            <w:r>
              <w:rPr>
                <w:sz w:val="20"/>
              </w:rPr>
              <w:t>48,5</w:t>
            </w:r>
          </w:p>
        </w:tc>
      </w:tr>
      <w:tr w:rsidR="00C9790F" w:rsidRPr="00AD171E" w:rsidTr="00C9790F">
        <w:trPr>
          <w:jc w:val="center"/>
        </w:trPr>
        <w:tc>
          <w:tcPr>
            <w:tcW w:w="4117" w:type="dxa"/>
            <w:shd w:val="clear" w:color="auto" w:fill="DEEAF6" w:themeFill="accent1" w:themeFillTint="33"/>
          </w:tcPr>
          <w:p w:rsidR="00C9790F" w:rsidRPr="00AD171E" w:rsidRDefault="00C9790F" w:rsidP="0050594C">
            <w:pPr>
              <w:ind w:firstLine="0"/>
              <w:jc w:val="right"/>
              <w:rPr>
                <w:bCs/>
                <w:sz w:val="20"/>
                <w:szCs w:val="20"/>
              </w:rPr>
            </w:pPr>
            <w:r w:rsidRPr="00AD171E">
              <w:rPr>
                <w:bCs/>
                <w:snapToGrid w:val="0"/>
                <w:sz w:val="20"/>
                <w:szCs w:val="20"/>
              </w:rPr>
              <w:t>Izmaiņas</w:t>
            </w:r>
          </w:p>
        </w:tc>
        <w:tc>
          <w:tcPr>
            <w:tcW w:w="694" w:type="dxa"/>
            <w:shd w:val="clear" w:color="auto" w:fill="DEEAF6" w:themeFill="accent1" w:themeFillTint="33"/>
            <w:vAlign w:val="center"/>
          </w:tcPr>
          <w:p w:rsidR="00C9790F" w:rsidRPr="00AD171E" w:rsidRDefault="00C9790F" w:rsidP="0050594C">
            <w:pPr>
              <w:ind w:firstLine="0"/>
              <w:jc w:val="center"/>
              <w:rPr>
                <w:sz w:val="20"/>
                <w:szCs w:val="20"/>
              </w:rPr>
            </w:pPr>
          </w:p>
        </w:tc>
        <w:tc>
          <w:tcPr>
            <w:tcW w:w="850" w:type="dxa"/>
            <w:shd w:val="clear" w:color="auto" w:fill="DEEAF6" w:themeFill="accent1" w:themeFillTint="33"/>
          </w:tcPr>
          <w:p w:rsidR="00C9790F" w:rsidRPr="00AD171E" w:rsidRDefault="00C9790F" w:rsidP="0050594C">
            <w:pPr>
              <w:ind w:firstLine="0"/>
              <w:jc w:val="right"/>
              <w:rPr>
                <w:sz w:val="20"/>
                <w:szCs w:val="20"/>
              </w:rPr>
            </w:pPr>
            <w:r w:rsidRPr="00EB0D3A">
              <w:rPr>
                <w:sz w:val="20"/>
              </w:rPr>
              <w:t>-</w:t>
            </w:r>
            <w:r>
              <w:rPr>
                <w:sz w:val="20"/>
              </w:rPr>
              <w:t>8,2</w:t>
            </w:r>
          </w:p>
        </w:tc>
        <w:tc>
          <w:tcPr>
            <w:tcW w:w="851" w:type="dxa"/>
            <w:shd w:val="clear" w:color="auto" w:fill="DEEAF6" w:themeFill="accent1" w:themeFillTint="33"/>
          </w:tcPr>
          <w:p w:rsidR="00C9790F" w:rsidRPr="00AD171E" w:rsidRDefault="00C9790F" w:rsidP="0050594C">
            <w:pPr>
              <w:ind w:firstLine="0"/>
              <w:jc w:val="right"/>
              <w:rPr>
                <w:sz w:val="20"/>
                <w:szCs w:val="20"/>
              </w:rPr>
            </w:pPr>
            <w:r>
              <w:rPr>
                <w:sz w:val="20"/>
              </w:rPr>
              <w:t>-3,3</w:t>
            </w:r>
          </w:p>
        </w:tc>
        <w:tc>
          <w:tcPr>
            <w:tcW w:w="850" w:type="dxa"/>
            <w:shd w:val="clear" w:color="auto" w:fill="DEEAF6" w:themeFill="accent1" w:themeFillTint="33"/>
          </w:tcPr>
          <w:p w:rsidR="00C9790F" w:rsidRPr="00AD171E" w:rsidRDefault="00C9790F" w:rsidP="0050594C">
            <w:pPr>
              <w:ind w:firstLine="0"/>
              <w:jc w:val="right"/>
              <w:rPr>
                <w:sz w:val="20"/>
                <w:szCs w:val="20"/>
              </w:rPr>
            </w:pPr>
            <w:r>
              <w:rPr>
                <w:sz w:val="20"/>
              </w:rPr>
              <w:t>-3,0</w:t>
            </w:r>
          </w:p>
        </w:tc>
        <w:tc>
          <w:tcPr>
            <w:tcW w:w="851" w:type="dxa"/>
            <w:shd w:val="clear" w:color="auto" w:fill="DEEAF6" w:themeFill="accent1" w:themeFillTint="33"/>
          </w:tcPr>
          <w:p w:rsidR="00C9790F" w:rsidRPr="00AD171E" w:rsidRDefault="00C9790F" w:rsidP="0050594C">
            <w:pPr>
              <w:ind w:firstLine="0"/>
              <w:jc w:val="right"/>
              <w:rPr>
                <w:sz w:val="20"/>
                <w:szCs w:val="20"/>
              </w:rPr>
            </w:pPr>
            <w:r>
              <w:rPr>
                <w:sz w:val="20"/>
              </w:rPr>
              <w:t>-4, 3</w:t>
            </w:r>
          </w:p>
        </w:tc>
        <w:tc>
          <w:tcPr>
            <w:tcW w:w="850" w:type="dxa"/>
            <w:shd w:val="clear" w:color="auto" w:fill="DEEAF6" w:themeFill="accent1" w:themeFillTint="33"/>
          </w:tcPr>
          <w:p w:rsidR="00C9790F" w:rsidRPr="00AD171E" w:rsidRDefault="00C9790F" w:rsidP="0050594C">
            <w:pPr>
              <w:tabs>
                <w:tab w:val="decimal" w:pos="330"/>
              </w:tabs>
              <w:ind w:firstLine="0"/>
              <w:jc w:val="right"/>
              <w:rPr>
                <w:sz w:val="20"/>
                <w:szCs w:val="20"/>
              </w:rPr>
            </w:pPr>
            <w:r w:rsidRPr="00EB0D3A">
              <w:rPr>
                <w:sz w:val="20"/>
              </w:rPr>
              <w:t>-</w:t>
            </w:r>
          </w:p>
        </w:tc>
      </w:tr>
    </w:tbl>
    <w:p w:rsidR="00BF4753" w:rsidRDefault="00BF4753" w:rsidP="00BF4753">
      <w:pPr>
        <w:ind w:firstLine="0"/>
        <w:rPr>
          <w:szCs w:val="28"/>
          <w:highlight w:val="yellow"/>
        </w:rPr>
      </w:pPr>
    </w:p>
    <w:p w:rsidR="00DF348A" w:rsidRDefault="00DF348A" w:rsidP="00BF4753">
      <w:pPr>
        <w:ind w:firstLine="0"/>
        <w:rPr>
          <w:szCs w:val="28"/>
          <w:highlight w:val="yellow"/>
        </w:rPr>
      </w:pPr>
    </w:p>
    <w:p w:rsidR="00DF348A" w:rsidRDefault="00DF348A" w:rsidP="00BF4753">
      <w:pPr>
        <w:ind w:firstLine="0"/>
        <w:rPr>
          <w:szCs w:val="28"/>
          <w:highlight w:val="yellow"/>
        </w:rPr>
      </w:pPr>
    </w:p>
    <w:p w:rsidR="00DF348A" w:rsidRPr="00242D09" w:rsidRDefault="00DF348A" w:rsidP="00BF4753">
      <w:pPr>
        <w:ind w:firstLine="0"/>
        <w:rPr>
          <w:szCs w:val="28"/>
          <w:highlight w:val="yellow"/>
        </w:rPr>
      </w:pPr>
    </w:p>
    <w:p w:rsidR="00BF4753" w:rsidRPr="00242D09" w:rsidRDefault="00BF4753" w:rsidP="00BF4753">
      <w:pPr>
        <w:spacing w:after="120" w:line="259" w:lineRule="auto"/>
        <w:ind w:firstLine="0"/>
        <w:jc w:val="left"/>
        <w:rPr>
          <w:rFonts w:cs="Times New Roman"/>
          <w:b/>
          <w:sz w:val="24"/>
          <w:szCs w:val="24"/>
        </w:rPr>
      </w:pPr>
      <w:r w:rsidRPr="00242D09">
        <w:rPr>
          <w:rFonts w:cs="Times New Roman"/>
          <w:b/>
          <w:sz w:val="24"/>
          <w:szCs w:val="24"/>
        </w:rPr>
        <w:lastRenderedPageBreak/>
        <w:t>7.</w:t>
      </w:r>
      <w:r>
        <w:rPr>
          <w:rFonts w:cs="Times New Roman"/>
          <w:b/>
          <w:sz w:val="24"/>
          <w:szCs w:val="24"/>
        </w:rPr>
        <w:t xml:space="preserve"> </w:t>
      </w:r>
      <w:r w:rsidRPr="00242D09">
        <w:rPr>
          <w:rFonts w:cs="Times New Roman"/>
          <w:b/>
          <w:sz w:val="24"/>
          <w:szCs w:val="24"/>
        </w:rPr>
        <w:t>tabula. Publisko finanšu ilgtspēja</w:t>
      </w:r>
      <w:r w:rsidRPr="00242D09">
        <w:rPr>
          <w:rFonts w:cs="Times New Roman"/>
          <w:b/>
          <w:sz w:val="24"/>
          <w:szCs w:val="24"/>
          <w:vertAlign w:val="superscript"/>
        </w:rPr>
        <w:footnoteReference w:id="23"/>
      </w:r>
    </w:p>
    <w:tbl>
      <w:tblPr>
        <w:tblStyle w:val="GridTable6Colorful-Accent512"/>
        <w:tblW w:w="9640" w:type="dxa"/>
        <w:tblInd w:w="-289" w:type="dxa"/>
        <w:tblLook w:val="04A0" w:firstRow="1" w:lastRow="0" w:firstColumn="1" w:lastColumn="0" w:noHBand="0" w:noVBand="1"/>
      </w:tblPr>
      <w:tblGrid>
        <w:gridCol w:w="5426"/>
        <w:gridCol w:w="696"/>
        <w:gridCol w:w="696"/>
        <w:gridCol w:w="696"/>
        <w:gridCol w:w="708"/>
        <w:gridCol w:w="722"/>
        <w:gridCol w:w="696"/>
      </w:tblGrid>
      <w:tr w:rsidR="00BF4753" w:rsidRPr="00242D09" w:rsidTr="002D7CA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29" w:type="dxa"/>
            <w:hideMark/>
          </w:tcPr>
          <w:p w:rsidR="00BF4753" w:rsidRPr="00242D09" w:rsidRDefault="00BF4753" w:rsidP="002D7CA8">
            <w:pPr>
              <w:ind w:firstLine="0"/>
              <w:jc w:val="left"/>
              <w:rPr>
                <w:rFonts w:eastAsia="Times New Roman" w:cs="Times New Roman"/>
                <w:color w:val="000000" w:themeColor="text1"/>
                <w:sz w:val="20"/>
                <w:szCs w:val="20"/>
                <w:lang w:eastAsia="lv-LV"/>
              </w:rPr>
            </w:pPr>
            <w:r w:rsidRPr="00242D09">
              <w:rPr>
                <w:rFonts w:eastAsia="Times New Roman" w:cs="Times New Roman"/>
                <w:color w:val="000000" w:themeColor="text1"/>
                <w:sz w:val="20"/>
                <w:szCs w:val="20"/>
                <w:lang w:eastAsia="lv-LV"/>
              </w:rPr>
              <w:t>% no IKP</w:t>
            </w:r>
          </w:p>
        </w:tc>
        <w:tc>
          <w:tcPr>
            <w:tcW w:w="593" w:type="dxa"/>
            <w:noWrap/>
            <w:hideMark/>
          </w:tcPr>
          <w:p w:rsidR="00BF4753" w:rsidRPr="00242D09" w:rsidRDefault="00BF4753" w:rsidP="002D7CA8">
            <w:pPr>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lv-LV"/>
              </w:rPr>
            </w:pPr>
            <w:r w:rsidRPr="00242D09">
              <w:rPr>
                <w:rFonts w:eastAsia="Times New Roman" w:cs="Times New Roman"/>
                <w:color w:val="000000" w:themeColor="text1"/>
                <w:sz w:val="20"/>
                <w:szCs w:val="20"/>
                <w:lang w:eastAsia="lv-LV"/>
              </w:rPr>
              <w:t>2019</w:t>
            </w:r>
          </w:p>
        </w:tc>
        <w:tc>
          <w:tcPr>
            <w:tcW w:w="696" w:type="dxa"/>
            <w:noWrap/>
            <w:hideMark/>
          </w:tcPr>
          <w:p w:rsidR="00BF4753" w:rsidRPr="00242D09" w:rsidRDefault="00BF4753" w:rsidP="002D7CA8">
            <w:pPr>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lv-LV"/>
              </w:rPr>
            </w:pPr>
            <w:r w:rsidRPr="00242D09">
              <w:rPr>
                <w:rFonts w:eastAsia="Times New Roman" w:cs="Times New Roman"/>
                <w:color w:val="000000" w:themeColor="text1"/>
                <w:sz w:val="20"/>
                <w:szCs w:val="20"/>
                <w:lang w:eastAsia="lv-LV"/>
              </w:rPr>
              <w:t>2030</w:t>
            </w:r>
          </w:p>
        </w:tc>
        <w:tc>
          <w:tcPr>
            <w:tcW w:w="696" w:type="dxa"/>
            <w:noWrap/>
          </w:tcPr>
          <w:p w:rsidR="00BF4753" w:rsidRPr="00242D09" w:rsidRDefault="00BF4753" w:rsidP="002D7CA8">
            <w:pPr>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lv-LV"/>
              </w:rPr>
            </w:pPr>
            <w:r w:rsidRPr="00242D09">
              <w:rPr>
                <w:rFonts w:eastAsia="Times New Roman" w:cs="Times New Roman"/>
                <w:color w:val="000000" w:themeColor="text1"/>
                <w:sz w:val="20"/>
                <w:szCs w:val="20"/>
                <w:lang w:eastAsia="lv-LV"/>
              </w:rPr>
              <w:t>2040</w:t>
            </w:r>
          </w:p>
        </w:tc>
        <w:tc>
          <w:tcPr>
            <w:tcW w:w="708" w:type="dxa"/>
            <w:noWrap/>
          </w:tcPr>
          <w:p w:rsidR="00BF4753" w:rsidRPr="00242D09" w:rsidRDefault="00BF4753" w:rsidP="002D7CA8">
            <w:pPr>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lv-LV"/>
              </w:rPr>
            </w:pPr>
            <w:r w:rsidRPr="00242D09">
              <w:rPr>
                <w:rFonts w:eastAsia="Times New Roman" w:cs="Times New Roman"/>
                <w:color w:val="000000" w:themeColor="text1"/>
                <w:sz w:val="20"/>
                <w:szCs w:val="20"/>
                <w:lang w:eastAsia="lv-LV"/>
              </w:rPr>
              <w:t>2050</w:t>
            </w:r>
          </w:p>
        </w:tc>
        <w:tc>
          <w:tcPr>
            <w:tcW w:w="722" w:type="dxa"/>
            <w:noWrap/>
          </w:tcPr>
          <w:p w:rsidR="00BF4753" w:rsidRPr="00242D09" w:rsidRDefault="00BF4753" w:rsidP="002D7CA8">
            <w:pPr>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lv-LV"/>
              </w:rPr>
            </w:pPr>
            <w:r w:rsidRPr="00242D09">
              <w:rPr>
                <w:rFonts w:eastAsia="Times New Roman" w:cs="Times New Roman"/>
                <w:color w:val="000000" w:themeColor="text1"/>
                <w:sz w:val="20"/>
                <w:szCs w:val="20"/>
                <w:lang w:eastAsia="lv-LV"/>
              </w:rPr>
              <w:t>2060</w:t>
            </w:r>
          </w:p>
        </w:tc>
        <w:tc>
          <w:tcPr>
            <w:tcW w:w="696" w:type="dxa"/>
            <w:noWrap/>
          </w:tcPr>
          <w:p w:rsidR="00BF4753" w:rsidRPr="00242D09" w:rsidRDefault="00BF4753" w:rsidP="002D7CA8">
            <w:pPr>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lv-LV"/>
              </w:rPr>
            </w:pPr>
            <w:r w:rsidRPr="00242D09">
              <w:rPr>
                <w:rFonts w:eastAsia="Times New Roman" w:cs="Times New Roman"/>
                <w:color w:val="000000" w:themeColor="text1"/>
                <w:sz w:val="20"/>
                <w:szCs w:val="20"/>
                <w:lang w:eastAsia="lv-LV"/>
              </w:rPr>
              <w:t>2070</w:t>
            </w:r>
          </w:p>
        </w:tc>
      </w:tr>
      <w:tr w:rsidR="00BF4753" w:rsidRPr="00242D09" w:rsidTr="002D7C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hideMark/>
          </w:tcPr>
          <w:p w:rsidR="00BF4753" w:rsidRPr="00242D09" w:rsidRDefault="00BF4753" w:rsidP="002D7CA8">
            <w:pPr>
              <w:ind w:firstLine="0"/>
              <w:jc w:val="left"/>
              <w:rPr>
                <w:rFonts w:eastAsia="Times New Roman" w:cs="Times New Roman"/>
                <w:b w:val="0"/>
                <w:bCs w:val="0"/>
                <w:color w:val="000000" w:themeColor="text1"/>
                <w:sz w:val="20"/>
                <w:szCs w:val="20"/>
                <w:lang w:eastAsia="lv-LV"/>
              </w:rPr>
            </w:pPr>
            <w:r w:rsidRPr="00242D09">
              <w:rPr>
                <w:rFonts w:eastAsia="Times New Roman" w:cs="Times New Roman"/>
                <w:b w:val="0"/>
                <w:bCs w:val="0"/>
                <w:color w:val="000000" w:themeColor="text1"/>
                <w:sz w:val="20"/>
                <w:szCs w:val="20"/>
                <w:lang w:eastAsia="lv-LV"/>
              </w:rPr>
              <w:t>Ar vecumu saistītie vispārējās valdības budžeta izdevumi</w:t>
            </w:r>
          </w:p>
        </w:tc>
        <w:tc>
          <w:tcPr>
            <w:tcW w:w="593" w:type="dxa"/>
            <w:shd w:val="clear" w:color="auto" w:fill="DEEAF6"/>
            <w:noWrap/>
            <w:vAlign w:val="bottom"/>
            <w:hideMark/>
          </w:tcPr>
          <w:p w:rsidR="00BF4753" w:rsidRPr="0050594C"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rPr>
            </w:pPr>
            <w:r w:rsidRPr="0050594C">
              <w:rPr>
                <w:rFonts w:cs="Times New Roman"/>
                <w:bCs/>
                <w:color w:val="auto"/>
                <w:sz w:val="20"/>
                <w:szCs w:val="20"/>
              </w:rPr>
              <w:t>15,8</w:t>
            </w:r>
          </w:p>
        </w:tc>
        <w:tc>
          <w:tcPr>
            <w:tcW w:w="696" w:type="dxa"/>
            <w:shd w:val="clear" w:color="auto" w:fill="DEEAF6"/>
            <w:noWrap/>
            <w:vAlign w:val="bottom"/>
            <w:hideMark/>
          </w:tcPr>
          <w:p w:rsidR="00BF4753" w:rsidRPr="0050594C"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rPr>
            </w:pPr>
            <w:r w:rsidRPr="0050594C">
              <w:rPr>
                <w:rFonts w:cs="Times New Roman"/>
                <w:bCs/>
                <w:color w:val="auto"/>
                <w:sz w:val="20"/>
                <w:szCs w:val="20"/>
              </w:rPr>
              <w:t>16,3</w:t>
            </w:r>
          </w:p>
        </w:tc>
        <w:tc>
          <w:tcPr>
            <w:tcW w:w="696" w:type="dxa"/>
            <w:shd w:val="clear" w:color="auto" w:fill="DEEAF6"/>
            <w:noWrap/>
            <w:vAlign w:val="bottom"/>
            <w:hideMark/>
          </w:tcPr>
          <w:p w:rsidR="00BF4753" w:rsidRPr="0050594C"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rPr>
            </w:pPr>
            <w:r w:rsidRPr="0050594C">
              <w:rPr>
                <w:rFonts w:cs="Times New Roman"/>
                <w:bCs/>
                <w:color w:val="auto"/>
                <w:sz w:val="20"/>
                <w:szCs w:val="20"/>
              </w:rPr>
              <w:t>15,8</w:t>
            </w:r>
          </w:p>
        </w:tc>
        <w:tc>
          <w:tcPr>
            <w:tcW w:w="708" w:type="dxa"/>
            <w:shd w:val="clear" w:color="auto" w:fill="DEEAF6"/>
            <w:noWrap/>
            <w:vAlign w:val="bottom"/>
            <w:hideMark/>
          </w:tcPr>
          <w:p w:rsidR="00BF4753" w:rsidRPr="0050594C"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rPr>
            </w:pPr>
            <w:r w:rsidRPr="0050594C">
              <w:rPr>
                <w:rFonts w:cs="Times New Roman"/>
                <w:bCs/>
                <w:color w:val="auto"/>
                <w:sz w:val="20"/>
                <w:szCs w:val="20"/>
              </w:rPr>
              <w:t>15,7</w:t>
            </w:r>
          </w:p>
        </w:tc>
        <w:tc>
          <w:tcPr>
            <w:tcW w:w="722" w:type="dxa"/>
            <w:shd w:val="clear" w:color="auto" w:fill="DEEAF6"/>
            <w:noWrap/>
            <w:vAlign w:val="bottom"/>
            <w:hideMark/>
          </w:tcPr>
          <w:p w:rsidR="00BF4753" w:rsidRPr="0050594C"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rPr>
            </w:pPr>
            <w:r w:rsidRPr="0050594C">
              <w:rPr>
                <w:rFonts w:cs="Times New Roman"/>
                <w:bCs/>
                <w:color w:val="auto"/>
                <w:sz w:val="20"/>
                <w:szCs w:val="20"/>
              </w:rPr>
              <w:t>15,8</w:t>
            </w:r>
          </w:p>
        </w:tc>
        <w:tc>
          <w:tcPr>
            <w:tcW w:w="696" w:type="dxa"/>
            <w:shd w:val="clear" w:color="auto" w:fill="DEEAF6"/>
            <w:noWrap/>
            <w:vAlign w:val="bottom"/>
            <w:hideMark/>
          </w:tcPr>
          <w:p w:rsidR="00BF4753" w:rsidRPr="0050594C"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bCs/>
                <w:color w:val="auto"/>
                <w:sz w:val="20"/>
                <w:szCs w:val="20"/>
              </w:rPr>
            </w:pPr>
            <w:r w:rsidRPr="0050594C">
              <w:rPr>
                <w:rFonts w:cs="Times New Roman"/>
                <w:bCs/>
                <w:color w:val="auto"/>
                <w:sz w:val="20"/>
                <w:szCs w:val="20"/>
              </w:rPr>
              <w:t>15,2</w:t>
            </w:r>
          </w:p>
        </w:tc>
      </w:tr>
      <w:tr w:rsidR="00BF4753" w:rsidRPr="00242D09" w:rsidTr="002D7CA8">
        <w:trPr>
          <w:trHeight w:val="218"/>
        </w:trPr>
        <w:tc>
          <w:tcPr>
            <w:cnfStyle w:val="001000000000" w:firstRow="0" w:lastRow="0" w:firstColumn="1" w:lastColumn="0" w:oddVBand="0" w:evenVBand="0" w:oddHBand="0" w:evenHBand="0" w:firstRowFirstColumn="0" w:firstRowLastColumn="0" w:lastRowFirstColumn="0" w:lastRowLastColumn="0"/>
            <w:tcW w:w="5529" w:type="dxa"/>
            <w:vAlign w:val="center"/>
            <w:hideMark/>
          </w:tcPr>
          <w:p w:rsidR="00BF4753" w:rsidRPr="00242D09" w:rsidRDefault="00BF4753" w:rsidP="002D7CA8">
            <w:pPr>
              <w:ind w:firstLine="0"/>
              <w:jc w:val="left"/>
              <w:rPr>
                <w:rFonts w:eastAsia="Times New Roman" w:cs="Times New Roman"/>
                <w:b w:val="0"/>
                <w:bCs w:val="0"/>
                <w:color w:val="000000" w:themeColor="text1"/>
                <w:sz w:val="20"/>
                <w:szCs w:val="20"/>
                <w:lang w:eastAsia="lv-LV"/>
              </w:rPr>
            </w:pPr>
            <w:r w:rsidRPr="00242D09">
              <w:rPr>
                <w:rFonts w:eastAsia="Times New Roman" w:cs="Times New Roman"/>
                <w:b w:val="0"/>
                <w:bCs w:val="0"/>
                <w:color w:val="000000" w:themeColor="text1"/>
                <w:sz w:val="20"/>
                <w:szCs w:val="20"/>
                <w:lang w:eastAsia="lv-LV"/>
              </w:rPr>
              <w:t>Pensiju izdevumi (valsts pensijām)</w:t>
            </w:r>
          </w:p>
        </w:tc>
        <w:tc>
          <w:tcPr>
            <w:tcW w:w="593"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7,1</w:t>
            </w:r>
          </w:p>
        </w:tc>
        <w:tc>
          <w:tcPr>
            <w:tcW w:w="696"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6,9</w:t>
            </w:r>
          </w:p>
        </w:tc>
        <w:tc>
          <w:tcPr>
            <w:tcW w:w="696"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6,6</w:t>
            </w:r>
          </w:p>
        </w:tc>
        <w:tc>
          <w:tcPr>
            <w:tcW w:w="708"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6,3</w:t>
            </w:r>
          </w:p>
        </w:tc>
        <w:tc>
          <w:tcPr>
            <w:tcW w:w="722"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6,2</w:t>
            </w:r>
          </w:p>
        </w:tc>
        <w:tc>
          <w:tcPr>
            <w:tcW w:w="696"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5,9</w:t>
            </w:r>
          </w:p>
        </w:tc>
      </w:tr>
      <w:tr w:rsidR="00BF4753" w:rsidRPr="00242D09" w:rsidTr="002D7CA8">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hideMark/>
          </w:tcPr>
          <w:p w:rsidR="00BF4753" w:rsidRPr="00242D09" w:rsidRDefault="00BF4753" w:rsidP="002D7CA8">
            <w:pPr>
              <w:ind w:firstLine="0"/>
              <w:jc w:val="left"/>
              <w:rPr>
                <w:rFonts w:eastAsia="Times New Roman" w:cs="Times New Roman"/>
                <w:b w:val="0"/>
                <w:bCs w:val="0"/>
                <w:color w:val="000000" w:themeColor="text1"/>
                <w:sz w:val="20"/>
                <w:szCs w:val="20"/>
                <w:lang w:eastAsia="lv-LV"/>
              </w:rPr>
            </w:pPr>
            <w:r w:rsidRPr="00242D09">
              <w:rPr>
                <w:rFonts w:eastAsia="Times New Roman" w:cs="Times New Roman"/>
                <w:b w:val="0"/>
                <w:bCs w:val="0"/>
                <w:color w:val="000000" w:themeColor="text1"/>
                <w:sz w:val="20"/>
                <w:szCs w:val="20"/>
                <w:lang w:eastAsia="lv-LV"/>
              </w:rPr>
              <w:t xml:space="preserve">       Vecuma un priekšlaicīgās pensijas - uz iemaksām balstītās</w:t>
            </w:r>
          </w:p>
        </w:tc>
        <w:tc>
          <w:tcPr>
            <w:tcW w:w="593" w:type="dxa"/>
            <w:shd w:val="clear" w:color="auto" w:fill="DEEAF6"/>
            <w:noWrap/>
            <w:vAlign w:val="bottom"/>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6,4</w:t>
            </w:r>
          </w:p>
        </w:tc>
        <w:tc>
          <w:tcPr>
            <w:tcW w:w="696" w:type="dxa"/>
            <w:shd w:val="clear" w:color="auto" w:fill="DEEAF6"/>
            <w:noWrap/>
            <w:vAlign w:val="bottom"/>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6,3</w:t>
            </w:r>
          </w:p>
        </w:tc>
        <w:tc>
          <w:tcPr>
            <w:tcW w:w="696" w:type="dxa"/>
            <w:shd w:val="clear" w:color="auto" w:fill="DEEAF6"/>
            <w:noWrap/>
            <w:vAlign w:val="bottom"/>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6,0</w:t>
            </w:r>
          </w:p>
        </w:tc>
        <w:tc>
          <w:tcPr>
            <w:tcW w:w="708" w:type="dxa"/>
            <w:shd w:val="clear" w:color="auto" w:fill="DEEAF6"/>
            <w:noWrap/>
            <w:vAlign w:val="bottom"/>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5,8</w:t>
            </w:r>
          </w:p>
        </w:tc>
        <w:tc>
          <w:tcPr>
            <w:tcW w:w="722" w:type="dxa"/>
            <w:shd w:val="clear" w:color="auto" w:fill="DEEAF6"/>
            <w:noWrap/>
            <w:vAlign w:val="bottom"/>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5,7</w:t>
            </w:r>
          </w:p>
        </w:tc>
        <w:tc>
          <w:tcPr>
            <w:tcW w:w="696" w:type="dxa"/>
            <w:shd w:val="clear" w:color="auto" w:fill="DEEAF6"/>
            <w:noWrap/>
            <w:vAlign w:val="bottom"/>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5,3</w:t>
            </w:r>
          </w:p>
        </w:tc>
      </w:tr>
      <w:tr w:rsidR="00BF4753" w:rsidRPr="00242D09" w:rsidTr="002D7CA8">
        <w:trPr>
          <w:trHeight w:val="397"/>
        </w:trPr>
        <w:tc>
          <w:tcPr>
            <w:cnfStyle w:val="001000000000" w:firstRow="0" w:lastRow="0" w:firstColumn="1" w:lastColumn="0" w:oddVBand="0" w:evenVBand="0" w:oddHBand="0" w:evenHBand="0" w:firstRowFirstColumn="0" w:firstRowLastColumn="0" w:lastRowFirstColumn="0" w:lastRowLastColumn="0"/>
            <w:tcW w:w="5529" w:type="dxa"/>
            <w:hideMark/>
          </w:tcPr>
          <w:p w:rsidR="00BF4753" w:rsidRPr="00242D09" w:rsidRDefault="00BF4753" w:rsidP="002D7CA8">
            <w:pPr>
              <w:ind w:firstLine="0"/>
              <w:jc w:val="left"/>
              <w:rPr>
                <w:rFonts w:eastAsia="Times New Roman" w:cs="Times New Roman"/>
                <w:b w:val="0"/>
                <w:bCs w:val="0"/>
                <w:color w:val="000000" w:themeColor="text1"/>
                <w:sz w:val="20"/>
                <w:szCs w:val="20"/>
                <w:lang w:eastAsia="lv-LV"/>
              </w:rPr>
            </w:pPr>
            <w:r w:rsidRPr="00242D09">
              <w:rPr>
                <w:rFonts w:eastAsia="Times New Roman" w:cs="Times New Roman"/>
                <w:b w:val="0"/>
                <w:bCs w:val="0"/>
                <w:color w:val="000000" w:themeColor="text1"/>
                <w:sz w:val="20"/>
                <w:szCs w:val="20"/>
                <w:lang w:eastAsia="lv-LV"/>
              </w:rPr>
              <w:t xml:space="preserve">       Citas pensijas</w:t>
            </w:r>
            <w:r w:rsidRPr="00242D09">
              <w:rPr>
                <w:rFonts w:eastAsia="Times New Roman" w:cs="Times New Roman"/>
                <w:b w:val="0"/>
                <w:bCs w:val="0"/>
                <w:color w:val="000000" w:themeColor="text1"/>
                <w:sz w:val="20"/>
                <w:szCs w:val="20"/>
                <w:lang w:eastAsia="lv-LV"/>
              </w:rPr>
              <w:br/>
              <w:t xml:space="preserve">       (t.sk. invaliditātes, apgādnieka zaudējuma gadījumā)</w:t>
            </w:r>
          </w:p>
        </w:tc>
        <w:tc>
          <w:tcPr>
            <w:tcW w:w="593"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0,7</w:t>
            </w:r>
          </w:p>
        </w:tc>
        <w:tc>
          <w:tcPr>
            <w:tcW w:w="696"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0,6</w:t>
            </w:r>
          </w:p>
        </w:tc>
        <w:tc>
          <w:tcPr>
            <w:tcW w:w="696"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0,6</w:t>
            </w:r>
          </w:p>
        </w:tc>
        <w:tc>
          <w:tcPr>
            <w:tcW w:w="708"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0,5</w:t>
            </w:r>
          </w:p>
        </w:tc>
        <w:tc>
          <w:tcPr>
            <w:tcW w:w="722"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0,5</w:t>
            </w:r>
          </w:p>
        </w:tc>
        <w:tc>
          <w:tcPr>
            <w:tcW w:w="696"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0,6</w:t>
            </w:r>
          </w:p>
        </w:tc>
      </w:tr>
      <w:tr w:rsidR="00BF4753" w:rsidRPr="00242D09" w:rsidTr="002D7CA8">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hideMark/>
          </w:tcPr>
          <w:p w:rsidR="00BF4753" w:rsidRPr="00242D09" w:rsidRDefault="00BF4753" w:rsidP="002D7CA8">
            <w:pPr>
              <w:ind w:firstLine="0"/>
              <w:jc w:val="left"/>
              <w:rPr>
                <w:rFonts w:eastAsia="Times New Roman" w:cs="Times New Roman"/>
                <w:b w:val="0"/>
                <w:bCs w:val="0"/>
                <w:color w:val="000000" w:themeColor="text1"/>
                <w:sz w:val="20"/>
                <w:szCs w:val="20"/>
                <w:lang w:eastAsia="lv-LV"/>
              </w:rPr>
            </w:pPr>
            <w:r w:rsidRPr="00242D09">
              <w:rPr>
                <w:rFonts w:eastAsia="Times New Roman" w:cs="Times New Roman"/>
                <w:b w:val="0"/>
                <w:bCs w:val="0"/>
                <w:color w:val="000000" w:themeColor="text1"/>
                <w:sz w:val="20"/>
                <w:szCs w:val="20"/>
                <w:lang w:eastAsia="lv-LV"/>
              </w:rPr>
              <w:t>Ne-sociālās apdrošināšanas pensijas</w:t>
            </w:r>
            <w:r w:rsidRPr="00242D09">
              <w:rPr>
                <w:rFonts w:eastAsia="Times New Roman" w:cs="Times New Roman"/>
                <w:b w:val="0"/>
                <w:bCs w:val="0"/>
                <w:color w:val="000000" w:themeColor="text1"/>
                <w:sz w:val="20"/>
                <w:szCs w:val="20"/>
                <w:lang w:eastAsia="lv-LV"/>
              </w:rPr>
              <w:br/>
              <w:t>(iesk. minimālās pensijas un minimālā ienākuma nodrošināšanu)</w:t>
            </w:r>
          </w:p>
        </w:tc>
        <w:tc>
          <w:tcPr>
            <w:tcW w:w="593" w:type="dxa"/>
            <w:shd w:val="clear" w:color="auto" w:fill="DEEAF6"/>
            <w:noWrap/>
            <w:vAlign w:val="center"/>
            <w:hideMark/>
          </w:tcPr>
          <w:p w:rsidR="00BF4753" w:rsidRPr="00242D09" w:rsidRDefault="00BF4753" w:rsidP="002D7CA8">
            <w:pPr>
              <w:tabs>
                <w:tab w:val="decimal" w:pos="330"/>
              </w:tabs>
              <w:ind w:firstLine="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0,0</w:t>
            </w:r>
          </w:p>
        </w:tc>
        <w:tc>
          <w:tcPr>
            <w:tcW w:w="696" w:type="dxa"/>
            <w:shd w:val="clear" w:color="auto" w:fill="DEEAF6"/>
            <w:noWrap/>
            <w:vAlign w:val="center"/>
            <w:hideMark/>
          </w:tcPr>
          <w:p w:rsidR="00BF4753" w:rsidRPr="00242D09" w:rsidRDefault="00BF4753" w:rsidP="002D7CA8">
            <w:pPr>
              <w:tabs>
                <w:tab w:val="decimal" w:pos="330"/>
              </w:tabs>
              <w:ind w:firstLine="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0,0</w:t>
            </w:r>
          </w:p>
        </w:tc>
        <w:tc>
          <w:tcPr>
            <w:tcW w:w="696" w:type="dxa"/>
            <w:shd w:val="clear" w:color="auto" w:fill="DEEAF6"/>
            <w:noWrap/>
            <w:vAlign w:val="center"/>
            <w:hideMark/>
          </w:tcPr>
          <w:p w:rsidR="00BF4753" w:rsidRPr="00242D09" w:rsidRDefault="00BF4753" w:rsidP="002D7CA8">
            <w:pPr>
              <w:tabs>
                <w:tab w:val="decimal" w:pos="330"/>
              </w:tabs>
              <w:ind w:firstLine="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0,0</w:t>
            </w:r>
          </w:p>
        </w:tc>
        <w:tc>
          <w:tcPr>
            <w:tcW w:w="708" w:type="dxa"/>
            <w:shd w:val="clear" w:color="auto" w:fill="DEEAF6"/>
            <w:noWrap/>
            <w:vAlign w:val="center"/>
            <w:hideMark/>
          </w:tcPr>
          <w:p w:rsidR="00BF4753" w:rsidRPr="00242D09" w:rsidRDefault="00BF4753" w:rsidP="002D7CA8">
            <w:pPr>
              <w:tabs>
                <w:tab w:val="decimal" w:pos="330"/>
              </w:tabs>
              <w:ind w:firstLine="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0,0</w:t>
            </w:r>
          </w:p>
        </w:tc>
        <w:tc>
          <w:tcPr>
            <w:tcW w:w="722" w:type="dxa"/>
            <w:shd w:val="clear" w:color="auto" w:fill="DEEAF6"/>
            <w:noWrap/>
            <w:vAlign w:val="center"/>
            <w:hideMark/>
          </w:tcPr>
          <w:p w:rsidR="00BF4753" w:rsidRPr="00242D09" w:rsidRDefault="00BF4753" w:rsidP="002D7CA8">
            <w:pPr>
              <w:tabs>
                <w:tab w:val="decimal" w:pos="330"/>
              </w:tabs>
              <w:ind w:firstLine="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0,0</w:t>
            </w:r>
          </w:p>
        </w:tc>
        <w:tc>
          <w:tcPr>
            <w:tcW w:w="696" w:type="dxa"/>
            <w:shd w:val="clear" w:color="auto" w:fill="DEEAF6"/>
            <w:noWrap/>
            <w:vAlign w:val="center"/>
            <w:hideMark/>
          </w:tcPr>
          <w:p w:rsidR="00BF4753" w:rsidRPr="00242D09" w:rsidRDefault="00BF4753" w:rsidP="002D7CA8">
            <w:pPr>
              <w:tabs>
                <w:tab w:val="decimal" w:pos="330"/>
              </w:tabs>
              <w:ind w:firstLine="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0,0</w:t>
            </w:r>
          </w:p>
        </w:tc>
      </w:tr>
      <w:tr w:rsidR="00BF4753" w:rsidRPr="00242D09" w:rsidTr="002D7CA8">
        <w:trPr>
          <w:trHeight w:val="225"/>
        </w:trPr>
        <w:tc>
          <w:tcPr>
            <w:cnfStyle w:val="001000000000" w:firstRow="0" w:lastRow="0" w:firstColumn="1" w:lastColumn="0" w:oddVBand="0" w:evenVBand="0" w:oddHBand="0" w:evenHBand="0" w:firstRowFirstColumn="0" w:firstRowLastColumn="0" w:lastRowFirstColumn="0" w:lastRowLastColumn="0"/>
            <w:tcW w:w="5529" w:type="dxa"/>
            <w:hideMark/>
          </w:tcPr>
          <w:p w:rsidR="00BF4753" w:rsidRPr="00242D09" w:rsidRDefault="00BF4753" w:rsidP="002D7CA8">
            <w:pPr>
              <w:ind w:firstLine="0"/>
              <w:jc w:val="left"/>
              <w:rPr>
                <w:rFonts w:eastAsia="Times New Roman" w:cs="Times New Roman"/>
                <w:b w:val="0"/>
                <w:bCs w:val="0"/>
                <w:color w:val="000000" w:themeColor="text1"/>
                <w:sz w:val="20"/>
                <w:szCs w:val="20"/>
                <w:lang w:eastAsia="lv-LV"/>
              </w:rPr>
            </w:pPr>
            <w:r w:rsidRPr="00242D09">
              <w:rPr>
                <w:rFonts w:eastAsia="Times New Roman" w:cs="Times New Roman"/>
                <w:b w:val="0"/>
                <w:bCs w:val="0"/>
                <w:color w:val="000000" w:themeColor="text1"/>
                <w:sz w:val="20"/>
                <w:szCs w:val="20"/>
                <w:lang w:eastAsia="lv-LV"/>
              </w:rPr>
              <w:t>Veselības aprūpes izdevumi</w:t>
            </w:r>
          </w:p>
        </w:tc>
        <w:tc>
          <w:tcPr>
            <w:tcW w:w="593"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4,6</w:t>
            </w:r>
          </w:p>
        </w:tc>
        <w:tc>
          <w:tcPr>
            <w:tcW w:w="696"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4,2</w:t>
            </w:r>
          </w:p>
        </w:tc>
        <w:tc>
          <w:tcPr>
            <w:tcW w:w="696"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4,4</w:t>
            </w:r>
          </w:p>
        </w:tc>
        <w:tc>
          <w:tcPr>
            <w:tcW w:w="708"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4,5</w:t>
            </w:r>
          </w:p>
        </w:tc>
        <w:tc>
          <w:tcPr>
            <w:tcW w:w="722"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4,4</w:t>
            </w:r>
          </w:p>
        </w:tc>
        <w:tc>
          <w:tcPr>
            <w:tcW w:w="696"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4,3</w:t>
            </w:r>
          </w:p>
        </w:tc>
      </w:tr>
      <w:tr w:rsidR="00BF4753" w:rsidRPr="00242D09" w:rsidTr="002D7CA8">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hideMark/>
          </w:tcPr>
          <w:p w:rsidR="00BF4753" w:rsidRPr="00242D09" w:rsidRDefault="00BF4753" w:rsidP="002D7CA8">
            <w:pPr>
              <w:ind w:firstLine="0"/>
              <w:jc w:val="left"/>
              <w:rPr>
                <w:rFonts w:eastAsia="Times New Roman" w:cs="Times New Roman"/>
                <w:b w:val="0"/>
                <w:bCs w:val="0"/>
                <w:color w:val="000000" w:themeColor="text1"/>
                <w:sz w:val="20"/>
                <w:szCs w:val="20"/>
                <w:lang w:eastAsia="lv-LV"/>
              </w:rPr>
            </w:pPr>
            <w:r w:rsidRPr="00242D09">
              <w:rPr>
                <w:rFonts w:eastAsia="Times New Roman" w:cs="Times New Roman"/>
                <w:b w:val="0"/>
                <w:bCs w:val="0"/>
                <w:color w:val="000000" w:themeColor="text1"/>
                <w:sz w:val="20"/>
                <w:szCs w:val="20"/>
                <w:lang w:eastAsia="lv-LV"/>
              </w:rPr>
              <w:t>Ilglaicīgās aprūpes izdevumi</w:t>
            </w:r>
          </w:p>
        </w:tc>
        <w:tc>
          <w:tcPr>
            <w:tcW w:w="593" w:type="dxa"/>
            <w:shd w:val="clear" w:color="auto" w:fill="DEEAF6"/>
            <w:noWrap/>
            <w:vAlign w:val="center"/>
            <w:hideMark/>
          </w:tcPr>
          <w:p w:rsidR="00BF4753" w:rsidRPr="00242D09" w:rsidRDefault="00BF4753" w:rsidP="002D7CA8">
            <w:pPr>
              <w:tabs>
                <w:tab w:val="decimal" w:pos="330"/>
              </w:tabs>
              <w:ind w:firstLine="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0,5</w:t>
            </w:r>
          </w:p>
        </w:tc>
        <w:tc>
          <w:tcPr>
            <w:tcW w:w="696" w:type="dxa"/>
            <w:shd w:val="clear" w:color="auto" w:fill="DEEAF6"/>
            <w:noWrap/>
            <w:vAlign w:val="center"/>
            <w:hideMark/>
          </w:tcPr>
          <w:p w:rsidR="00BF4753" w:rsidRPr="00242D09" w:rsidRDefault="00BF4753" w:rsidP="002D7CA8">
            <w:pPr>
              <w:tabs>
                <w:tab w:val="decimal" w:pos="330"/>
              </w:tabs>
              <w:ind w:firstLine="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0,5</w:t>
            </w:r>
          </w:p>
        </w:tc>
        <w:tc>
          <w:tcPr>
            <w:tcW w:w="696" w:type="dxa"/>
            <w:shd w:val="clear" w:color="auto" w:fill="DEEAF6"/>
            <w:noWrap/>
            <w:vAlign w:val="center"/>
            <w:hideMark/>
          </w:tcPr>
          <w:p w:rsidR="00BF4753" w:rsidRPr="00242D09" w:rsidRDefault="00BF4753" w:rsidP="002D7CA8">
            <w:pPr>
              <w:tabs>
                <w:tab w:val="decimal" w:pos="330"/>
              </w:tabs>
              <w:ind w:firstLine="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0,6</w:t>
            </w:r>
          </w:p>
        </w:tc>
        <w:tc>
          <w:tcPr>
            <w:tcW w:w="708" w:type="dxa"/>
            <w:shd w:val="clear" w:color="auto" w:fill="DEEAF6"/>
            <w:noWrap/>
            <w:vAlign w:val="center"/>
            <w:hideMark/>
          </w:tcPr>
          <w:p w:rsidR="00BF4753" w:rsidRPr="00242D09" w:rsidRDefault="00BF4753" w:rsidP="002D7CA8">
            <w:pPr>
              <w:tabs>
                <w:tab w:val="decimal" w:pos="330"/>
              </w:tabs>
              <w:ind w:firstLine="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0,6</w:t>
            </w:r>
          </w:p>
        </w:tc>
        <w:tc>
          <w:tcPr>
            <w:tcW w:w="722" w:type="dxa"/>
            <w:shd w:val="clear" w:color="auto" w:fill="DEEAF6"/>
            <w:noWrap/>
            <w:vAlign w:val="center"/>
            <w:hideMark/>
          </w:tcPr>
          <w:p w:rsidR="00BF4753" w:rsidRPr="00242D09" w:rsidRDefault="00BF4753" w:rsidP="002D7CA8">
            <w:pPr>
              <w:tabs>
                <w:tab w:val="decimal" w:pos="330"/>
              </w:tabs>
              <w:ind w:firstLine="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0,7</w:t>
            </w:r>
          </w:p>
        </w:tc>
        <w:tc>
          <w:tcPr>
            <w:tcW w:w="696" w:type="dxa"/>
            <w:shd w:val="clear" w:color="auto" w:fill="DEEAF6"/>
            <w:noWrap/>
            <w:vAlign w:val="center"/>
            <w:hideMark/>
          </w:tcPr>
          <w:p w:rsidR="00BF4753" w:rsidRPr="00242D09" w:rsidRDefault="00BF4753" w:rsidP="002D7CA8">
            <w:pPr>
              <w:tabs>
                <w:tab w:val="decimal" w:pos="330"/>
              </w:tabs>
              <w:ind w:firstLine="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0,6</w:t>
            </w:r>
          </w:p>
        </w:tc>
      </w:tr>
      <w:tr w:rsidR="00BF4753" w:rsidRPr="00242D09" w:rsidTr="002D7CA8">
        <w:trPr>
          <w:trHeight w:val="175"/>
        </w:trPr>
        <w:tc>
          <w:tcPr>
            <w:cnfStyle w:val="001000000000" w:firstRow="0" w:lastRow="0" w:firstColumn="1" w:lastColumn="0" w:oddVBand="0" w:evenVBand="0" w:oddHBand="0" w:evenHBand="0" w:firstRowFirstColumn="0" w:firstRowLastColumn="0" w:lastRowFirstColumn="0" w:lastRowLastColumn="0"/>
            <w:tcW w:w="5529" w:type="dxa"/>
            <w:hideMark/>
          </w:tcPr>
          <w:p w:rsidR="00BF4753" w:rsidRPr="00242D09" w:rsidRDefault="00BF4753" w:rsidP="002D7CA8">
            <w:pPr>
              <w:ind w:firstLine="0"/>
              <w:jc w:val="left"/>
              <w:rPr>
                <w:rFonts w:eastAsia="Times New Roman" w:cs="Times New Roman"/>
                <w:b w:val="0"/>
                <w:bCs w:val="0"/>
                <w:color w:val="000000" w:themeColor="text1"/>
                <w:sz w:val="20"/>
                <w:szCs w:val="20"/>
                <w:lang w:eastAsia="lv-LV"/>
              </w:rPr>
            </w:pPr>
            <w:r w:rsidRPr="00242D09">
              <w:rPr>
                <w:rFonts w:eastAsia="Times New Roman" w:cs="Times New Roman"/>
                <w:b w:val="0"/>
                <w:bCs w:val="0"/>
                <w:color w:val="000000" w:themeColor="text1"/>
                <w:sz w:val="20"/>
                <w:szCs w:val="20"/>
                <w:lang w:eastAsia="lv-LV"/>
              </w:rPr>
              <w:t>Izglītības izdevumi</w:t>
            </w:r>
          </w:p>
        </w:tc>
        <w:tc>
          <w:tcPr>
            <w:tcW w:w="593"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3,6</w:t>
            </w:r>
          </w:p>
        </w:tc>
        <w:tc>
          <w:tcPr>
            <w:tcW w:w="696"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3,8</w:t>
            </w:r>
          </w:p>
        </w:tc>
        <w:tc>
          <w:tcPr>
            <w:tcW w:w="696"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3,5</w:t>
            </w:r>
          </w:p>
        </w:tc>
        <w:tc>
          <w:tcPr>
            <w:tcW w:w="708"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3,5</w:t>
            </w:r>
          </w:p>
        </w:tc>
        <w:tc>
          <w:tcPr>
            <w:tcW w:w="722"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3,8</w:t>
            </w:r>
          </w:p>
        </w:tc>
        <w:tc>
          <w:tcPr>
            <w:tcW w:w="696" w:type="dxa"/>
            <w:noWrap/>
            <w:vAlign w:val="center"/>
            <w:hideMark/>
          </w:tcPr>
          <w:p w:rsidR="00BF4753" w:rsidRPr="00242D09" w:rsidRDefault="00BF4753" w:rsidP="002D7CA8">
            <w:pPr>
              <w:tabs>
                <w:tab w:val="decimal" w:pos="330"/>
              </w:tabs>
              <w:ind w:firstLine="0"/>
              <w:jc w:val="lef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3,6</w:t>
            </w:r>
          </w:p>
        </w:tc>
      </w:tr>
      <w:tr w:rsidR="00BF4753" w:rsidRPr="00242D09" w:rsidTr="002D7CA8">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tcPr>
          <w:p w:rsidR="00BF4753" w:rsidRPr="00242D09" w:rsidRDefault="00BF4753" w:rsidP="002D7CA8">
            <w:pPr>
              <w:ind w:firstLine="0"/>
              <w:jc w:val="left"/>
              <w:rPr>
                <w:rFonts w:eastAsia="Times New Roman" w:cs="Times New Roman"/>
                <w:b w:val="0"/>
                <w:bCs w:val="0"/>
                <w:color w:val="000000" w:themeColor="text1"/>
                <w:sz w:val="20"/>
                <w:szCs w:val="20"/>
                <w:lang w:eastAsia="lv-LV"/>
              </w:rPr>
            </w:pPr>
            <w:r w:rsidRPr="00242D09">
              <w:rPr>
                <w:rFonts w:eastAsia="Times New Roman" w:cs="Times New Roman"/>
                <w:b w:val="0"/>
                <w:bCs w:val="0"/>
                <w:color w:val="000000" w:themeColor="text1"/>
                <w:sz w:val="20"/>
                <w:szCs w:val="20"/>
                <w:lang w:eastAsia="lv-LV"/>
              </w:rPr>
              <w:t>Sociālās apdrošināšanas iemaksas valsts pensiju speciālajā budžetā</w:t>
            </w:r>
          </w:p>
        </w:tc>
        <w:tc>
          <w:tcPr>
            <w:tcW w:w="593" w:type="dxa"/>
            <w:shd w:val="clear" w:color="auto" w:fill="DEEAF6"/>
            <w:noWrap/>
            <w:vAlign w:val="center"/>
            <w:hideMark/>
          </w:tcPr>
          <w:p w:rsidR="00BF4753" w:rsidRPr="00242D09" w:rsidRDefault="00BF4753" w:rsidP="002D7CA8">
            <w:pPr>
              <w:tabs>
                <w:tab w:val="decimal" w:pos="330"/>
              </w:tabs>
              <w:ind w:firstLine="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8,4</w:t>
            </w:r>
          </w:p>
        </w:tc>
        <w:tc>
          <w:tcPr>
            <w:tcW w:w="696" w:type="dxa"/>
            <w:shd w:val="clear" w:color="auto" w:fill="DEEAF6"/>
            <w:noWrap/>
            <w:vAlign w:val="center"/>
            <w:hideMark/>
          </w:tcPr>
          <w:p w:rsidR="00BF4753" w:rsidRPr="00242D09" w:rsidRDefault="00BF4753" w:rsidP="002D7CA8">
            <w:pPr>
              <w:tabs>
                <w:tab w:val="decimal" w:pos="330"/>
              </w:tabs>
              <w:ind w:firstLine="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7,3</w:t>
            </w:r>
          </w:p>
        </w:tc>
        <w:tc>
          <w:tcPr>
            <w:tcW w:w="696" w:type="dxa"/>
            <w:shd w:val="clear" w:color="auto" w:fill="DEEAF6"/>
            <w:noWrap/>
            <w:vAlign w:val="center"/>
            <w:hideMark/>
          </w:tcPr>
          <w:p w:rsidR="00BF4753" w:rsidRPr="00242D09" w:rsidRDefault="00BF4753" w:rsidP="002D7CA8">
            <w:pPr>
              <w:tabs>
                <w:tab w:val="decimal" w:pos="330"/>
              </w:tabs>
              <w:ind w:firstLine="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7,0</w:t>
            </w:r>
          </w:p>
        </w:tc>
        <w:tc>
          <w:tcPr>
            <w:tcW w:w="708" w:type="dxa"/>
            <w:shd w:val="clear" w:color="auto" w:fill="DEEAF6"/>
            <w:noWrap/>
            <w:vAlign w:val="center"/>
            <w:hideMark/>
          </w:tcPr>
          <w:p w:rsidR="00BF4753" w:rsidRPr="00242D09" w:rsidRDefault="00BF4753" w:rsidP="002D7CA8">
            <w:pPr>
              <w:tabs>
                <w:tab w:val="decimal" w:pos="330"/>
              </w:tabs>
              <w:ind w:firstLine="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6,7</w:t>
            </w:r>
          </w:p>
        </w:tc>
        <w:tc>
          <w:tcPr>
            <w:tcW w:w="722" w:type="dxa"/>
            <w:shd w:val="clear" w:color="auto" w:fill="DEEAF6"/>
            <w:noWrap/>
            <w:vAlign w:val="center"/>
            <w:hideMark/>
          </w:tcPr>
          <w:p w:rsidR="00BF4753" w:rsidRPr="00242D09" w:rsidRDefault="00BF4753" w:rsidP="002D7CA8">
            <w:pPr>
              <w:tabs>
                <w:tab w:val="decimal" w:pos="330"/>
              </w:tabs>
              <w:ind w:firstLine="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6,6</w:t>
            </w:r>
          </w:p>
        </w:tc>
        <w:tc>
          <w:tcPr>
            <w:tcW w:w="696" w:type="dxa"/>
            <w:shd w:val="clear" w:color="auto" w:fill="DEEAF6"/>
            <w:noWrap/>
            <w:vAlign w:val="center"/>
            <w:hideMark/>
          </w:tcPr>
          <w:p w:rsidR="00BF4753" w:rsidRPr="00242D09" w:rsidRDefault="00BF4753" w:rsidP="002D7CA8">
            <w:pPr>
              <w:tabs>
                <w:tab w:val="decimal" w:pos="330"/>
              </w:tabs>
              <w:ind w:firstLine="0"/>
              <w:jc w:val="lef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6,8</w:t>
            </w:r>
          </w:p>
        </w:tc>
      </w:tr>
      <w:tr w:rsidR="00BF4753" w:rsidRPr="00242D09" w:rsidTr="00DF348A">
        <w:trPr>
          <w:gridAfter w:val="6"/>
          <w:wAfter w:w="4111" w:type="dxa"/>
          <w:trHeight w:val="231"/>
        </w:trPr>
        <w:tc>
          <w:tcPr>
            <w:cnfStyle w:val="001000000000" w:firstRow="0" w:lastRow="0" w:firstColumn="1" w:lastColumn="0" w:oddVBand="0" w:evenVBand="0" w:oddHBand="0" w:evenHBand="0" w:firstRowFirstColumn="0" w:firstRowLastColumn="0" w:lastRowFirstColumn="0" w:lastRowLastColumn="0"/>
            <w:tcW w:w="5529" w:type="dxa"/>
            <w:shd w:val="clear" w:color="auto" w:fill="auto"/>
            <w:hideMark/>
          </w:tcPr>
          <w:p w:rsidR="00BF4753" w:rsidRPr="00242D09" w:rsidRDefault="00BF4753" w:rsidP="002D7CA8">
            <w:pPr>
              <w:ind w:firstLine="0"/>
              <w:jc w:val="left"/>
              <w:rPr>
                <w:rFonts w:eastAsia="Times New Roman" w:cs="Times New Roman"/>
                <w:color w:val="000000" w:themeColor="text1"/>
                <w:sz w:val="20"/>
                <w:szCs w:val="20"/>
                <w:lang w:eastAsia="lv-LV"/>
              </w:rPr>
            </w:pPr>
            <w:r w:rsidRPr="00242D09">
              <w:rPr>
                <w:rFonts w:eastAsia="Times New Roman" w:cs="Times New Roman"/>
                <w:color w:val="000000" w:themeColor="text1"/>
                <w:sz w:val="20"/>
                <w:szCs w:val="20"/>
                <w:lang w:eastAsia="lv-LV"/>
              </w:rPr>
              <w:t>Sistēmiskas pensiju reformas</w:t>
            </w:r>
          </w:p>
        </w:tc>
      </w:tr>
      <w:tr w:rsidR="00BF4753" w:rsidRPr="00242D09" w:rsidTr="00DF348A">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themeFill="accent1" w:themeFillTint="33"/>
            <w:hideMark/>
          </w:tcPr>
          <w:p w:rsidR="00BF4753" w:rsidRPr="00242D09" w:rsidRDefault="00BF4753" w:rsidP="002D7CA8">
            <w:pPr>
              <w:ind w:firstLine="0"/>
              <w:jc w:val="left"/>
              <w:rPr>
                <w:rFonts w:eastAsia="Times New Roman" w:cs="Times New Roman"/>
                <w:b w:val="0"/>
                <w:bCs w:val="0"/>
                <w:color w:val="000000" w:themeColor="text1"/>
                <w:sz w:val="20"/>
                <w:szCs w:val="20"/>
                <w:lang w:eastAsia="lv-LV"/>
              </w:rPr>
            </w:pPr>
            <w:r w:rsidRPr="00242D09">
              <w:rPr>
                <w:rFonts w:eastAsia="Times New Roman" w:cs="Times New Roman"/>
                <w:b w:val="0"/>
                <w:bCs w:val="0"/>
                <w:color w:val="000000" w:themeColor="text1"/>
                <w:sz w:val="20"/>
                <w:szCs w:val="20"/>
                <w:lang w:eastAsia="lv-LV"/>
              </w:rPr>
              <w:t>Sociālās apdrošināšanas iemaksas valsts fondēto pensiju shēmā</w:t>
            </w:r>
          </w:p>
        </w:tc>
        <w:tc>
          <w:tcPr>
            <w:tcW w:w="593" w:type="dxa"/>
            <w:shd w:val="clear" w:color="auto" w:fill="DEEAF6" w:themeFill="accent1" w:themeFillTint="33"/>
            <w:noWrap/>
            <w:vAlign w:val="bottom"/>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1,9</w:t>
            </w:r>
          </w:p>
        </w:tc>
        <w:tc>
          <w:tcPr>
            <w:tcW w:w="696" w:type="dxa"/>
            <w:shd w:val="clear" w:color="auto" w:fill="DEEAF6" w:themeFill="accent1" w:themeFillTint="33"/>
            <w:noWrap/>
            <w:vAlign w:val="bottom"/>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1,8</w:t>
            </w:r>
          </w:p>
        </w:tc>
        <w:tc>
          <w:tcPr>
            <w:tcW w:w="696" w:type="dxa"/>
            <w:shd w:val="clear" w:color="auto" w:fill="DEEAF6" w:themeFill="accent1" w:themeFillTint="33"/>
            <w:noWrap/>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1,8</w:t>
            </w:r>
          </w:p>
        </w:tc>
        <w:tc>
          <w:tcPr>
            <w:tcW w:w="708" w:type="dxa"/>
            <w:shd w:val="clear" w:color="auto" w:fill="DEEAF6" w:themeFill="accent1" w:themeFillTint="33"/>
            <w:noWrap/>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1,8</w:t>
            </w:r>
          </w:p>
        </w:tc>
        <w:tc>
          <w:tcPr>
            <w:tcW w:w="722" w:type="dxa"/>
            <w:shd w:val="clear" w:color="auto" w:fill="DEEAF6" w:themeFill="accent1" w:themeFillTint="33"/>
            <w:noWrap/>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1,8</w:t>
            </w:r>
          </w:p>
        </w:tc>
        <w:tc>
          <w:tcPr>
            <w:tcW w:w="696" w:type="dxa"/>
            <w:shd w:val="clear" w:color="auto" w:fill="DEEAF6" w:themeFill="accent1" w:themeFillTint="33"/>
            <w:noWrap/>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1,8</w:t>
            </w:r>
          </w:p>
        </w:tc>
      </w:tr>
      <w:tr w:rsidR="00BF4753" w:rsidRPr="00242D09" w:rsidTr="00DF348A">
        <w:trPr>
          <w:trHeight w:val="225"/>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hideMark/>
          </w:tcPr>
          <w:p w:rsidR="00BF4753" w:rsidRPr="00242D09" w:rsidRDefault="00BF4753" w:rsidP="002D7CA8">
            <w:pPr>
              <w:ind w:firstLine="0"/>
              <w:jc w:val="left"/>
              <w:rPr>
                <w:rFonts w:eastAsia="Times New Roman" w:cs="Times New Roman"/>
                <w:b w:val="0"/>
                <w:bCs w:val="0"/>
                <w:color w:val="000000" w:themeColor="text1"/>
                <w:sz w:val="20"/>
                <w:szCs w:val="20"/>
                <w:lang w:eastAsia="lv-LV"/>
              </w:rPr>
            </w:pPr>
            <w:r w:rsidRPr="00242D09">
              <w:rPr>
                <w:rFonts w:eastAsia="Times New Roman" w:cs="Times New Roman"/>
                <w:b w:val="0"/>
                <w:bCs w:val="0"/>
                <w:color w:val="000000" w:themeColor="text1"/>
                <w:sz w:val="20"/>
                <w:szCs w:val="20"/>
                <w:lang w:eastAsia="lv-LV"/>
              </w:rPr>
              <w:t>Pensiju izdevumi no valsts fondēto pensiju shēmas</w:t>
            </w:r>
          </w:p>
        </w:tc>
        <w:tc>
          <w:tcPr>
            <w:tcW w:w="593" w:type="dxa"/>
            <w:shd w:val="clear" w:color="auto" w:fill="FFFFFF" w:themeFill="background1"/>
            <w:noWrap/>
            <w:vAlign w:val="bottom"/>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w:t>
            </w:r>
          </w:p>
        </w:tc>
        <w:tc>
          <w:tcPr>
            <w:tcW w:w="696" w:type="dxa"/>
            <w:shd w:val="clear" w:color="auto" w:fill="FFFFFF" w:themeFill="background1"/>
            <w:noWrap/>
            <w:vAlign w:val="bottom"/>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0,2</w:t>
            </w:r>
          </w:p>
        </w:tc>
        <w:tc>
          <w:tcPr>
            <w:tcW w:w="696" w:type="dxa"/>
            <w:shd w:val="clear" w:color="auto" w:fill="FFFFFF" w:themeFill="background1"/>
            <w:noWrap/>
            <w:vAlign w:val="bottom"/>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0,4</w:t>
            </w:r>
          </w:p>
        </w:tc>
        <w:tc>
          <w:tcPr>
            <w:tcW w:w="708" w:type="dxa"/>
            <w:shd w:val="clear" w:color="auto" w:fill="FFFFFF" w:themeFill="background1"/>
            <w:noWrap/>
            <w:vAlign w:val="bottom"/>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1</w:t>
            </w:r>
          </w:p>
        </w:tc>
        <w:tc>
          <w:tcPr>
            <w:tcW w:w="722" w:type="dxa"/>
            <w:shd w:val="clear" w:color="auto" w:fill="FFFFFF" w:themeFill="background1"/>
            <w:noWrap/>
            <w:vAlign w:val="bottom"/>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1,7</w:t>
            </w:r>
          </w:p>
        </w:tc>
        <w:tc>
          <w:tcPr>
            <w:tcW w:w="696" w:type="dxa"/>
            <w:shd w:val="clear" w:color="auto" w:fill="FFFFFF" w:themeFill="background1"/>
            <w:noWrap/>
            <w:vAlign w:val="bottom"/>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2,2</w:t>
            </w:r>
          </w:p>
        </w:tc>
      </w:tr>
      <w:tr w:rsidR="00BF4753" w:rsidRPr="00242D09" w:rsidTr="002D7CA8">
        <w:trPr>
          <w:gridAfter w:val="6"/>
          <w:cnfStyle w:val="000000100000" w:firstRow="0" w:lastRow="0" w:firstColumn="0" w:lastColumn="0" w:oddVBand="0" w:evenVBand="0" w:oddHBand="1" w:evenHBand="0" w:firstRowFirstColumn="0" w:firstRowLastColumn="0" w:lastRowFirstColumn="0" w:lastRowLastColumn="0"/>
          <w:wAfter w:w="4111" w:type="dxa"/>
          <w:trHeight w:val="129"/>
        </w:trPr>
        <w:tc>
          <w:tcPr>
            <w:cnfStyle w:val="001000000000" w:firstRow="0" w:lastRow="0" w:firstColumn="1" w:lastColumn="0" w:oddVBand="0" w:evenVBand="0" w:oddHBand="0" w:evenHBand="0" w:firstRowFirstColumn="0" w:firstRowLastColumn="0" w:lastRowFirstColumn="0" w:lastRowLastColumn="0"/>
            <w:tcW w:w="5529" w:type="dxa"/>
            <w:hideMark/>
          </w:tcPr>
          <w:p w:rsidR="00BF4753" w:rsidRPr="00242D09" w:rsidRDefault="00BF4753" w:rsidP="002D7CA8">
            <w:pPr>
              <w:ind w:firstLine="0"/>
              <w:jc w:val="left"/>
              <w:rPr>
                <w:rFonts w:eastAsia="Times New Roman" w:cs="Times New Roman"/>
                <w:color w:val="000000" w:themeColor="text1"/>
                <w:sz w:val="20"/>
                <w:szCs w:val="20"/>
                <w:lang w:eastAsia="lv-LV"/>
              </w:rPr>
            </w:pPr>
            <w:r w:rsidRPr="00242D09">
              <w:rPr>
                <w:rFonts w:eastAsia="Times New Roman" w:cs="Times New Roman"/>
                <w:color w:val="000000" w:themeColor="text1"/>
                <w:sz w:val="20"/>
                <w:szCs w:val="20"/>
                <w:lang w:eastAsia="lv-LV"/>
              </w:rPr>
              <w:t>Pieņēmumi</w:t>
            </w:r>
          </w:p>
        </w:tc>
      </w:tr>
      <w:tr w:rsidR="00BF4753" w:rsidRPr="00242D09" w:rsidTr="00DF348A">
        <w:trPr>
          <w:trHeight w:val="261"/>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hideMark/>
          </w:tcPr>
          <w:p w:rsidR="00BF4753" w:rsidRPr="00242D09" w:rsidRDefault="00BF4753" w:rsidP="002D7CA8">
            <w:pPr>
              <w:ind w:firstLine="0"/>
              <w:jc w:val="left"/>
              <w:rPr>
                <w:rFonts w:eastAsia="Times New Roman" w:cs="Times New Roman"/>
                <w:b w:val="0"/>
                <w:bCs w:val="0"/>
                <w:color w:val="000000" w:themeColor="text1"/>
                <w:sz w:val="20"/>
                <w:szCs w:val="20"/>
                <w:lang w:eastAsia="lv-LV"/>
              </w:rPr>
            </w:pPr>
            <w:r w:rsidRPr="00242D09">
              <w:rPr>
                <w:rFonts w:eastAsia="Times New Roman" w:cs="Times New Roman"/>
                <w:b w:val="0"/>
                <w:bCs w:val="0"/>
                <w:color w:val="000000" w:themeColor="text1"/>
                <w:sz w:val="20"/>
                <w:szCs w:val="20"/>
                <w:lang w:eastAsia="lv-LV"/>
              </w:rPr>
              <w:t>Darba produktivitātes (stundā) pieaugums, %</w:t>
            </w:r>
          </w:p>
        </w:tc>
        <w:tc>
          <w:tcPr>
            <w:tcW w:w="593"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3,3</w:t>
            </w:r>
          </w:p>
        </w:tc>
        <w:tc>
          <w:tcPr>
            <w:tcW w:w="696"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3,1</w:t>
            </w:r>
          </w:p>
        </w:tc>
        <w:tc>
          <w:tcPr>
            <w:tcW w:w="696"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2,2</w:t>
            </w:r>
          </w:p>
        </w:tc>
        <w:tc>
          <w:tcPr>
            <w:tcW w:w="708"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2,0</w:t>
            </w:r>
          </w:p>
        </w:tc>
        <w:tc>
          <w:tcPr>
            <w:tcW w:w="722"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1,8</w:t>
            </w:r>
          </w:p>
        </w:tc>
        <w:tc>
          <w:tcPr>
            <w:tcW w:w="696"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1,5</w:t>
            </w:r>
          </w:p>
        </w:tc>
      </w:tr>
      <w:tr w:rsidR="00BF4753" w:rsidRPr="00242D09" w:rsidTr="002D7CA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529" w:type="dxa"/>
            <w:hideMark/>
          </w:tcPr>
          <w:p w:rsidR="00BF4753" w:rsidRPr="00242D09" w:rsidRDefault="00BF4753" w:rsidP="002D7CA8">
            <w:pPr>
              <w:ind w:firstLine="0"/>
              <w:jc w:val="left"/>
              <w:rPr>
                <w:rFonts w:eastAsia="Times New Roman" w:cs="Times New Roman"/>
                <w:b w:val="0"/>
                <w:bCs w:val="0"/>
                <w:color w:val="000000" w:themeColor="text1"/>
                <w:sz w:val="20"/>
                <w:szCs w:val="20"/>
                <w:lang w:eastAsia="lv-LV"/>
              </w:rPr>
            </w:pPr>
            <w:r w:rsidRPr="00242D09">
              <w:rPr>
                <w:rFonts w:eastAsia="Times New Roman" w:cs="Times New Roman"/>
                <w:b w:val="0"/>
                <w:bCs w:val="0"/>
                <w:color w:val="000000" w:themeColor="text1"/>
                <w:sz w:val="20"/>
                <w:szCs w:val="20"/>
                <w:lang w:eastAsia="lv-LV"/>
              </w:rPr>
              <w:t>Potenciālā IKP pieaugums, % salīdzināmās cenās</w:t>
            </w:r>
          </w:p>
        </w:tc>
        <w:tc>
          <w:tcPr>
            <w:tcW w:w="593" w:type="dxa"/>
            <w:noWrap/>
            <w:vAlign w:val="center"/>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2,7</w:t>
            </w:r>
          </w:p>
        </w:tc>
        <w:tc>
          <w:tcPr>
            <w:tcW w:w="696" w:type="dxa"/>
            <w:noWrap/>
            <w:vAlign w:val="center"/>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1,9</w:t>
            </w:r>
          </w:p>
        </w:tc>
        <w:tc>
          <w:tcPr>
            <w:tcW w:w="696" w:type="dxa"/>
            <w:noWrap/>
            <w:vAlign w:val="center"/>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1,0</w:t>
            </w:r>
          </w:p>
        </w:tc>
        <w:tc>
          <w:tcPr>
            <w:tcW w:w="708" w:type="dxa"/>
            <w:noWrap/>
            <w:vAlign w:val="center"/>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0,6</w:t>
            </w:r>
          </w:p>
        </w:tc>
        <w:tc>
          <w:tcPr>
            <w:tcW w:w="722" w:type="dxa"/>
            <w:noWrap/>
            <w:vAlign w:val="center"/>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1,0</w:t>
            </w:r>
          </w:p>
        </w:tc>
        <w:tc>
          <w:tcPr>
            <w:tcW w:w="696" w:type="dxa"/>
            <w:noWrap/>
            <w:vAlign w:val="center"/>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1,1</w:t>
            </w:r>
          </w:p>
        </w:tc>
      </w:tr>
      <w:tr w:rsidR="00BF4753" w:rsidRPr="00242D09" w:rsidTr="00DF348A">
        <w:trPr>
          <w:trHeight w:val="213"/>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hideMark/>
          </w:tcPr>
          <w:p w:rsidR="00BF4753" w:rsidRPr="00242D09" w:rsidRDefault="00BF4753" w:rsidP="002D7CA8">
            <w:pPr>
              <w:ind w:firstLine="0"/>
              <w:jc w:val="left"/>
              <w:rPr>
                <w:rFonts w:eastAsia="Times New Roman" w:cs="Times New Roman"/>
                <w:b w:val="0"/>
                <w:bCs w:val="0"/>
                <w:color w:val="000000" w:themeColor="text1"/>
                <w:sz w:val="20"/>
                <w:szCs w:val="20"/>
                <w:lang w:eastAsia="lv-LV"/>
              </w:rPr>
            </w:pPr>
            <w:r w:rsidRPr="00242D09">
              <w:rPr>
                <w:rFonts w:eastAsia="Times New Roman" w:cs="Times New Roman"/>
                <w:b w:val="0"/>
                <w:bCs w:val="0"/>
                <w:color w:val="000000" w:themeColor="text1"/>
                <w:sz w:val="20"/>
                <w:szCs w:val="20"/>
                <w:lang w:eastAsia="lv-LV"/>
              </w:rPr>
              <w:t>Līdzdalības līmenis, vīrieši (vecuma grupa 20-64)</w:t>
            </w:r>
          </w:p>
        </w:tc>
        <w:tc>
          <w:tcPr>
            <w:tcW w:w="593"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85,6</w:t>
            </w:r>
          </w:p>
        </w:tc>
        <w:tc>
          <w:tcPr>
            <w:tcW w:w="696"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84,3</w:t>
            </w:r>
          </w:p>
        </w:tc>
        <w:tc>
          <w:tcPr>
            <w:tcW w:w="696"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84,2</w:t>
            </w:r>
          </w:p>
        </w:tc>
        <w:tc>
          <w:tcPr>
            <w:tcW w:w="708"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84,0</w:t>
            </w:r>
          </w:p>
        </w:tc>
        <w:tc>
          <w:tcPr>
            <w:tcW w:w="722"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85,1</w:t>
            </w:r>
          </w:p>
        </w:tc>
        <w:tc>
          <w:tcPr>
            <w:tcW w:w="696"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84,7</w:t>
            </w:r>
          </w:p>
        </w:tc>
      </w:tr>
      <w:tr w:rsidR="00BF4753" w:rsidRPr="00242D09" w:rsidTr="002D7CA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5529" w:type="dxa"/>
            <w:hideMark/>
          </w:tcPr>
          <w:p w:rsidR="00BF4753" w:rsidRPr="00242D09" w:rsidRDefault="00BF4753" w:rsidP="002D7CA8">
            <w:pPr>
              <w:ind w:firstLine="0"/>
              <w:jc w:val="left"/>
              <w:rPr>
                <w:rFonts w:eastAsia="Times New Roman" w:cs="Times New Roman"/>
                <w:b w:val="0"/>
                <w:bCs w:val="0"/>
                <w:color w:val="000000" w:themeColor="text1"/>
                <w:sz w:val="20"/>
                <w:szCs w:val="20"/>
                <w:lang w:eastAsia="lv-LV"/>
              </w:rPr>
            </w:pPr>
            <w:r w:rsidRPr="00242D09">
              <w:rPr>
                <w:rFonts w:eastAsia="Times New Roman" w:cs="Times New Roman"/>
                <w:b w:val="0"/>
                <w:bCs w:val="0"/>
                <w:color w:val="000000" w:themeColor="text1"/>
                <w:sz w:val="20"/>
                <w:szCs w:val="20"/>
                <w:lang w:eastAsia="lv-LV"/>
              </w:rPr>
              <w:t>Līdzdalības līmenis, sievietes (vecuma grupa 20-64)</w:t>
            </w:r>
          </w:p>
        </w:tc>
        <w:tc>
          <w:tcPr>
            <w:tcW w:w="593" w:type="dxa"/>
            <w:noWrap/>
            <w:vAlign w:val="center"/>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80,4</w:t>
            </w:r>
          </w:p>
        </w:tc>
        <w:tc>
          <w:tcPr>
            <w:tcW w:w="696" w:type="dxa"/>
            <w:noWrap/>
            <w:vAlign w:val="center"/>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79,7</w:t>
            </w:r>
          </w:p>
        </w:tc>
        <w:tc>
          <w:tcPr>
            <w:tcW w:w="696" w:type="dxa"/>
            <w:noWrap/>
            <w:vAlign w:val="center"/>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79,8</w:t>
            </w:r>
          </w:p>
        </w:tc>
        <w:tc>
          <w:tcPr>
            <w:tcW w:w="708" w:type="dxa"/>
            <w:noWrap/>
            <w:vAlign w:val="center"/>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80,3</w:t>
            </w:r>
          </w:p>
        </w:tc>
        <w:tc>
          <w:tcPr>
            <w:tcW w:w="722" w:type="dxa"/>
            <w:noWrap/>
            <w:vAlign w:val="center"/>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81,9</w:t>
            </w:r>
          </w:p>
        </w:tc>
        <w:tc>
          <w:tcPr>
            <w:tcW w:w="696" w:type="dxa"/>
            <w:noWrap/>
            <w:vAlign w:val="center"/>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81,2</w:t>
            </w:r>
          </w:p>
        </w:tc>
      </w:tr>
      <w:tr w:rsidR="00BF4753" w:rsidRPr="00242D09" w:rsidTr="00DF348A">
        <w:trPr>
          <w:trHeight w:val="293"/>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hideMark/>
          </w:tcPr>
          <w:p w:rsidR="00BF4753" w:rsidRPr="00242D09" w:rsidRDefault="00BF4753" w:rsidP="002D7CA8">
            <w:pPr>
              <w:ind w:firstLine="0"/>
              <w:jc w:val="left"/>
              <w:rPr>
                <w:rFonts w:eastAsia="Times New Roman" w:cs="Times New Roman"/>
                <w:b w:val="0"/>
                <w:bCs w:val="0"/>
                <w:color w:val="000000" w:themeColor="text1"/>
                <w:sz w:val="20"/>
                <w:szCs w:val="20"/>
                <w:lang w:eastAsia="lv-LV"/>
              </w:rPr>
            </w:pPr>
            <w:r w:rsidRPr="00242D09">
              <w:rPr>
                <w:rFonts w:eastAsia="Times New Roman" w:cs="Times New Roman"/>
                <w:b w:val="0"/>
                <w:bCs w:val="0"/>
                <w:color w:val="000000" w:themeColor="text1"/>
                <w:sz w:val="20"/>
                <w:szCs w:val="20"/>
                <w:lang w:eastAsia="lv-LV"/>
              </w:rPr>
              <w:t>Līdzdalības līmenis, kopā (vecuma grupa 20-64)</w:t>
            </w:r>
          </w:p>
        </w:tc>
        <w:tc>
          <w:tcPr>
            <w:tcW w:w="593"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82,9</w:t>
            </w:r>
          </w:p>
        </w:tc>
        <w:tc>
          <w:tcPr>
            <w:tcW w:w="696"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82,0</w:t>
            </w:r>
          </w:p>
        </w:tc>
        <w:tc>
          <w:tcPr>
            <w:tcW w:w="696"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82,0</w:t>
            </w:r>
          </w:p>
        </w:tc>
        <w:tc>
          <w:tcPr>
            <w:tcW w:w="708"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82,2</w:t>
            </w:r>
          </w:p>
        </w:tc>
        <w:tc>
          <w:tcPr>
            <w:tcW w:w="722"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83,6</w:t>
            </w:r>
          </w:p>
        </w:tc>
        <w:tc>
          <w:tcPr>
            <w:tcW w:w="696"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83,0</w:t>
            </w:r>
          </w:p>
        </w:tc>
      </w:tr>
      <w:tr w:rsidR="00BF4753" w:rsidRPr="00242D09" w:rsidTr="002D7CA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29" w:type="dxa"/>
            <w:hideMark/>
          </w:tcPr>
          <w:p w:rsidR="00BF4753" w:rsidRPr="00242D09" w:rsidRDefault="00BF4753" w:rsidP="002D7CA8">
            <w:pPr>
              <w:ind w:firstLine="0"/>
              <w:jc w:val="left"/>
              <w:rPr>
                <w:rFonts w:eastAsia="Times New Roman" w:cs="Times New Roman"/>
                <w:b w:val="0"/>
                <w:bCs w:val="0"/>
                <w:color w:val="000000" w:themeColor="text1"/>
                <w:sz w:val="20"/>
                <w:szCs w:val="20"/>
                <w:lang w:eastAsia="lv-LV"/>
              </w:rPr>
            </w:pPr>
            <w:r w:rsidRPr="00242D09">
              <w:rPr>
                <w:rFonts w:eastAsia="Times New Roman" w:cs="Times New Roman"/>
                <w:b w:val="0"/>
                <w:bCs w:val="0"/>
                <w:color w:val="000000" w:themeColor="text1"/>
                <w:sz w:val="20"/>
                <w:szCs w:val="20"/>
                <w:lang w:eastAsia="lv-LV"/>
              </w:rPr>
              <w:t>Bezdarba līmenis (vecuma grupa 20-64)</w:t>
            </w:r>
          </w:p>
        </w:tc>
        <w:tc>
          <w:tcPr>
            <w:tcW w:w="593" w:type="dxa"/>
            <w:noWrap/>
            <w:vAlign w:val="center"/>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6,4</w:t>
            </w:r>
          </w:p>
        </w:tc>
        <w:tc>
          <w:tcPr>
            <w:tcW w:w="696" w:type="dxa"/>
            <w:noWrap/>
            <w:vAlign w:val="center"/>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8,9</w:t>
            </w:r>
          </w:p>
        </w:tc>
        <w:tc>
          <w:tcPr>
            <w:tcW w:w="696" w:type="dxa"/>
            <w:noWrap/>
            <w:vAlign w:val="center"/>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7,9</w:t>
            </w:r>
          </w:p>
        </w:tc>
        <w:tc>
          <w:tcPr>
            <w:tcW w:w="708" w:type="dxa"/>
            <w:noWrap/>
            <w:vAlign w:val="center"/>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6,9</w:t>
            </w:r>
          </w:p>
        </w:tc>
        <w:tc>
          <w:tcPr>
            <w:tcW w:w="722" w:type="dxa"/>
            <w:noWrap/>
            <w:vAlign w:val="center"/>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6,8</w:t>
            </w:r>
          </w:p>
        </w:tc>
        <w:tc>
          <w:tcPr>
            <w:tcW w:w="696" w:type="dxa"/>
            <w:noWrap/>
            <w:vAlign w:val="center"/>
            <w:hideMark/>
          </w:tcPr>
          <w:p w:rsidR="00BF4753" w:rsidRPr="00242D09" w:rsidRDefault="00BF4753" w:rsidP="002D7CA8">
            <w:pPr>
              <w:tabs>
                <w:tab w:val="decimal" w:pos="330"/>
              </w:tabs>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242D09">
              <w:rPr>
                <w:rFonts w:cs="Times New Roman"/>
                <w:color w:val="auto"/>
                <w:sz w:val="20"/>
                <w:szCs w:val="20"/>
              </w:rPr>
              <w:t>6,8</w:t>
            </w:r>
          </w:p>
        </w:tc>
      </w:tr>
      <w:tr w:rsidR="00BF4753" w:rsidRPr="00242D09" w:rsidTr="00DF348A">
        <w:trPr>
          <w:trHeight w:val="245"/>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hideMark/>
          </w:tcPr>
          <w:p w:rsidR="00BF4753" w:rsidRPr="00242D09" w:rsidRDefault="00BF4753" w:rsidP="002D7CA8">
            <w:pPr>
              <w:ind w:firstLine="0"/>
              <w:jc w:val="left"/>
              <w:rPr>
                <w:rFonts w:eastAsia="Times New Roman" w:cs="Times New Roman"/>
                <w:b w:val="0"/>
                <w:bCs w:val="0"/>
                <w:color w:val="000000" w:themeColor="text1"/>
                <w:sz w:val="20"/>
                <w:szCs w:val="20"/>
                <w:lang w:eastAsia="lv-LV"/>
              </w:rPr>
            </w:pPr>
            <w:r w:rsidRPr="00242D09">
              <w:rPr>
                <w:rFonts w:eastAsia="Times New Roman" w:cs="Times New Roman"/>
                <w:b w:val="0"/>
                <w:bCs w:val="0"/>
                <w:color w:val="000000" w:themeColor="text1"/>
                <w:sz w:val="20"/>
                <w:szCs w:val="20"/>
                <w:lang w:eastAsia="lv-LV"/>
              </w:rPr>
              <w:t>Iedzīvotāji (vecuma grupa 65+), % no kopējā iedzīvotāju skaita</w:t>
            </w:r>
          </w:p>
        </w:tc>
        <w:tc>
          <w:tcPr>
            <w:tcW w:w="593"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20,7</w:t>
            </w:r>
          </w:p>
        </w:tc>
        <w:tc>
          <w:tcPr>
            <w:tcW w:w="696"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13,8</w:t>
            </w:r>
          </w:p>
        </w:tc>
        <w:tc>
          <w:tcPr>
            <w:tcW w:w="696"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13,7</w:t>
            </w:r>
          </w:p>
        </w:tc>
        <w:tc>
          <w:tcPr>
            <w:tcW w:w="708"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13,7</w:t>
            </w:r>
          </w:p>
        </w:tc>
        <w:tc>
          <w:tcPr>
            <w:tcW w:w="722"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12,5</w:t>
            </w:r>
          </w:p>
        </w:tc>
        <w:tc>
          <w:tcPr>
            <w:tcW w:w="696" w:type="dxa"/>
            <w:shd w:val="clear" w:color="auto" w:fill="FFFFFF" w:themeFill="background1"/>
            <w:noWrap/>
            <w:vAlign w:val="center"/>
            <w:hideMark/>
          </w:tcPr>
          <w:p w:rsidR="00BF4753" w:rsidRPr="00242D09" w:rsidRDefault="00BF4753" w:rsidP="002D7CA8">
            <w:pPr>
              <w:tabs>
                <w:tab w:val="decimal" w:pos="330"/>
              </w:tabs>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242D09">
              <w:rPr>
                <w:rFonts w:cs="Times New Roman"/>
                <w:color w:val="auto"/>
                <w:sz w:val="20"/>
                <w:szCs w:val="20"/>
              </w:rPr>
              <w:t>13,6</w:t>
            </w:r>
          </w:p>
        </w:tc>
      </w:tr>
    </w:tbl>
    <w:p w:rsidR="00BF4753" w:rsidRPr="00242D09" w:rsidRDefault="00BF4753" w:rsidP="00BF4753">
      <w:pPr>
        <w:ind w:firstLine="0"/>
        <w:rPr>
          <w:rFonts w:eastAsia="Times New Roman" w:cs="Times New Roman"/>
          <w:b/>
          <w:bCs/>
          <w:color w:val="000000"/>
          <w:sz w:val="24"/>
          <w:szCs w:val="24"/>
          <w:lang w:eastAsia="lv-LV"/>
        </w:rPr>
      </w:pPr>
    </w:p>
    <w:p w:rsidR="00BF4753" w:rsidRPr="00242D09" w:rsidRDefault="00BF4753" w:rsidP="00BF4753">
      <w:pPr>
        <w:keepNext/>
        <w:spacing w:after="120"/>
        <w:ind w:firstLine="0"/>
        <w:jc w:val="left"/>
        <w:rPr>
          <w:rFonts w:eastAsia="Times New Roman" w:cs="Times New Roman"/>
          <w:b/>
          <w:color w:val="000000"/>
          <w:sz w:val="24"/>
          <w:szCs w:val="24"/>
        </w:rPr>
      </w:pPr>
      <w:r w:rsidRPr="00242D09">
        <w:rPr>
          <w:rFonts w:eastAsia="Times New Roman" w:cs="Times New Roman"/>
          <w:b/>
          <w:color w:val="000000"/>
          <w:sz w:val="24"/>
          <w:szCs w:val="24"/>
        </w:rPr>
        <w:t>8.</w:t>
      </w:r>
      <w:r>
        <w:rPr>
          <w:rFonts w:eastAsia="Times New Roman" w:cs="Times New Roman"/>
          <w:b/>
          <w:color w:val="000000"/>
          <w:sz w:val="24"/>
          <w:szCs w:val="24"/>
        </w:rPr>
        <w:t xml:space="preserve"> </w:t>
      </w:r>
      <w:r w:rsidRPr="00242D09">
        <w:rPr>
          <w:rFonts w:eastAsia="Times New Roman" w:cs="Times New Roman"/>
          <w:b/>
          <w:color w:val="000000"/>
          <w:sz w:val="24"/>
          <w:szCs w:val="24"/>
        </w:rPr>
        <w:t>tabula. Ārējās vides pamata pieņēmumi</w:t>
      </w:r>
    </w:p>
    <w:tbl>
      <w:tblPr>
        <w:tblW w:w="8506" w:type="dxa"/>
        <w:tblInd w:w="-152" w:type="dxa"/>
        <w:tblLayout w:type="fixed"/>
        <w:tblLook w:val="04A0" w:firstRow="1" w:lastRow="0" w:firstColumn="1" w:lastColumn="0" w:noHBand="0" w:noVBand="1"/>
      </w:tblPr>
      <w:tblGrid>
        <w:gridCol w:w="4678"/>
        <w:gridCol w:w="765"/>
        <w:gridCol w:w="766"/>
        <w:gridCol w:w="765"/>
        <w:gridCol w:w="766"/>
        <w:gridCol w:w="766"/>
      </w:tblGrid>
      <w:tr w:rsidR="00BF4753" w:rsidRPr="00242D09" w:rsidTr="002D7CA8">
        <w:trPr>
          <w:trHeight w:val="315"/>
        </w:trPr>
        <w:tc>
          <w:tcPr>
            <w:tcW w:w="4678" w:type="dxa"/>
            <w:tcBorders>
              <w:top w:val="single" w:sz="8" w:space="0" w:color="9CC2E5"/>
              <w:left w:val="single" w:sz="8" w:space="0" w:color="9CC2E5"/>
              <w:bottom w:val="single" w:sz="8" w:space="0" w:color="9CC2E5"/>
              <w:right w:val="single" w:sz="8" w:space="0" w:color="9CC2E5"/>
            </w:tcBorders>
            <w:shd w:val="clear" w:color="auto" w:fill="auto"/>
            <w:vAlign w:val="center"/>
            <w:hideMark/>
          </w:tcPr>
          <w:p w:rsidR="00BF4753" w:rsidRPr="00242D09" w:rsidRDefault="00BF4753" w:rsidP="002D7CA8">
            <w:pPr>
              <w:ind w:firstLine="0"/>
              <w:jc w:val="left"/>
              <w:rPr>
                <w:rFonts w:eastAsia="Times New Roman" w:cs="Times New Roman"/>
                <w:b/>
                <w:bCs/>
                <w:sz w:val="20"/>
                <w:szCs w:val="20"/>
                <w:lang w:eastAsia="lv-LV"/>
              </w:rPr>
            </w:pPr>
            <w:r w:rsidRPr="00242D09">
              <w:rPr>
                <w:rFonts w:eastAsia="Times New Roman" w:cs="Times New Roman"/>
                <w:b/>
                <w:bCs/>
                <w:sz w:val="20"/>
                <w:szCs w:val="20"/>
                <w:lang w:eastAsia="lv-LV"/>
              </w:rPr>
              <w:t> </w:t>
            </w:r>
          </w:p>
        </w:tc>
        <w:tc>
          <w:tcPr>
            <w:tcW w:w="765" w:type="dxa"/>
            <w:tcBorders>
              <w:top w:val="single" w:sz="8" w:space="0" w:color="9CC2E5"/>
              <w:left w:val="nil"/>
              <w:bottom w:val="single" w:sz="12"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b/>
                <w:bCs/>
                <w:sz w:val="20"/>
                <w:szCs w:val="20"/>
                <w:lang w:eastAsia="lv-LV"/>
              </w:rPr>
            </w:pPr>
            <w:r w:rsidRPr="00242D09">
              <w:rPr>
                <w:rFonts w:eastAsia="Times New Roman" w:cs="Times New Roman"/>
                <w:b/>
                <w:bCs/>
                <w:sz w:val="20"/>
                <w:szCs w:val="20"/>
                <w:lang w:eastAsia="lv-LV"/>
              </w:rPr>
              <w:t>2020</w:t>
            </w:r>
          </w:p>
        </w:tc>
        <w:tc>
          <w:tcPr>
            <w:tcW w:w="766" w:type="dxa"/>
            <w:tcBorders>
              <w:top w:val="single" w:sz="8" w:space="0" w:color="9CC2E5"/>
              <w:left w:val="nil"/>
              <w:bottom w:val="single" w:sz="12"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b/>
                <w:bCs/>
                <w:sz w:val="20"/>
                <w:szCs w:val="20"/>
                <w:lang w:eastAsia="lv-LV"/>
              </w:rPr>
            </w:pPr>
            <w:r w:rsidRPr="00242D09">
              <w:rPr>
                <w:rFonts w:eastAsia="Times New Roman" w:cs="Times New Roman"/>
                <w:b/>
                <w:bCs/>
                <w:sz w:val="20"/>
                <w:szCs w:val="20"/>
                <w:lang w:eastAsia="lv-LV"/>
              </w:rPr>
              <w:t>2021</w:t>
            </w:r>
          </w:p>
        </w:tc>
        <w:tc>
          <w:tcPr>
            <w:tcW w:w="765" w:type="dxa"/>
            <w:tcBorders>
              <w:top w:val="single" w:sz="8" w:space="0" w:color="9CC2E5"/>
              <w:left w:val="nil"/>
              <w:bottom w:val="single" w:sz="12"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b/>
                <w:bCs/>
                <w:sz w:val="20"/>
                <w:szCs w:val="20"/>
                <w:lang w:eastAsia="lv-LV"/>
              </w:rPr>
            </w:pPr>
            <w:r w:rsidRPr="00242D09">
              <w:rPr>
                <w:rFonts w:eastAsia="Times New Roman" w:cs="Times New Roman"/>
                <w:b/>
                <w:bCs/>
                <w:sz w:val="20"/>
                <w:szCs w:val="20"/>
                <w:lang w:eastAsia="lv-LV"/>
              </w:rPr>
              <w:t>2022</w:t>
            </w:r>
          </w:p>
        </w:tc>
        <w:tc>
          <w:tcPr>
            <w:tcW w:w="766" w:type="dxa"/>
            <w:tcBorders>
              <w:top w:val="single" w:sz="8" w:space="0" w:color="9CC2E5"/>
              <w:left w:val="nil"/>
              <w:bottom w:val="single" w:sz="12"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b/>
                <w:bCs/>
                <w:sz w:val="20"/>
                <w:szCs w:val="20"/>
                <w:lang w:eastAsia="lv-LV"/>
              </w:rPr>
            </w:pPr>
            <w:r w:rsidRPr="00242D09">
              <w:rPr>
                <w:rFonts w:eastAsia="Times New Roman" w:cs="Times New Roman"/>
                <w:b/>
                <w:bCs/>
                <w:sz w:val="20"/>
                <w:szCs w:val="20"/>
                <w:lang w:eastAsia="lv-LV"/>
              </w:rPr>
              <w:t>2023</w:t>
            </w:r>
          </w:p>
        </w:tc>
        <w:tc>
          <w:tcPr>
            <w:tcW w:w="766" w:type="dxa"/>
            <w:tcBorders>
              <w:top w:val="single" w:sz="8" w:space="0" w:color="9CC2E5"/>
              <w:left w:val="nil"/>
              <w:bottom w:val="single" w:sz="12"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b/>
                <w:bCs/>
                <w:sz w:val="20"/>
                <w:szCs w:val="20"/>
                <w:lang w:eastAsia="lv-LV"/>
              </w:rPr>
            </w:pPr>
            <w:r w:rsidRPr="00242D09">
              <w:rPr>
                <w:rFonts w:eastAsia="Times New Roman" w:cs="Times New Roman"/>
                <w:b/>
                <w:bCs/>
                <w:sz w:val="20"/>
                <w:szCs w:val="20"/>
                <w:lang w:eastAsia="lv-LV"/>
              </w:rPr>
              <w:t>2024</w:t>
            </w:r>
          </w:p>
        </w:tc>
      </w:tr>
      <w:tr w:rsidR="00BF4753" w:rsidRPr="00242D09" w:rsidTr="002D7CA8">
        <w:trPr>
          <w:trHeight w:val="315"/>
        </w:trPr>
        <w:tc>
          <w:tcPr>
            <w:tcW w:w="4678" w:type="dxa"/>
            <w:tcBorders>
              <w:top w:val="single" w:sz="8" w:space="0" w:color="9CC2E5"/>
              <w:left w:val="single" w:sz="8" w:space="0" w:color="9CC2E5"/>
              <w:bottom w:val="single" w:sz="8" w:space="0" w:color="9CC2E5"/>
              <w:right w:val="single" w:sz="8" w:space="0" w:color="9CC2E5"/>
            </w:tcBorders>
            <w:shd w:val="clear" w:color="000000" w:fill="DEEAF6"/>
            <w:vAlign w:val="center"/>
            <w:hideMark/>
          </w:tcPr>
          <w:p w:rsidR="00BF4753" w:rsidRPr="00242D09" w:rsidRDefault="00BF4753" w:rsidP="002D7CA8">
            <w:pPr>
              <w:ind w:firstLine="0"/>
              <w:jc w:val="left"/>
              <w:rPr>
                <w:rFonts w:eastAsia="Times New Roman" w:cs="Times New Roman"/>
                <w:sz w:val="20"/>
                <w:szCs w:val="20"/>
                <w:lang w:eastAsia="lv-LV"/>
              </w:rPr>
            </w:pPr>
            <w:r w:rsidRPr="00242D09">
              <w:rPr>
                <w:rFonts w:eastAsia="Times New Roman" w:cs="Times New Roman"/>
                <w:sz w:val="20"/>
                <w:szCs w:val="20"/>
                <w:lang w:eastAsia="lv-LV"/>
              </w:rPr>
              <w:t xml:space="preserve">Īstermiņa procentu likme </w:t>
            </w:r>
            <w:r w:rsidRPr="00242D09">
              <w:rPr>
                <w:rFonts w:eastAsia="Times New Roman" w:cs="Times New Roman"/>
                <w:i/>
                <w:iCs/>
                <w:sz w:val="20"/>
                <w:szCs w:val="20"/>
                <w:lang w:eastAsia="lv-LV"/>
              </w:rPr>
              <w:t>euro</w:t>
            </w:r>
            <w:r w:rsidRPr="00242D09">
              <w:rPr>
                <w:rFonts w:eastAsia="Times New Roman" w:cs="Times New Roman"/>
                <w:sz w:val="20"/>
                <w:szCs w:val="20"/>
                <w:lang w:eastAsia="lv-LV"/>
              </w:rPr>
              <w:t xml:space="preserve"> zonā (gada vidējā)</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-0,4</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-0,6</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-0,5</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-0,4</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-0,4</w:t>
            </w:r>
          </w:p>
        </w:tc>
      </w:tr>
      <w:tr w:rsidR="00BF4753" w:rsidRPr="00242D09" w:rsidTr="002D7CA8">
        <w:trPr>
          <w:trHeight w:val="315"/>
        </w:trPr>
        <w:tc>
          <w:tcPr>
            <w:tcW w:w="4678" w:type="dxa"/>
            <w:tcBorders>
              <w:top w:val="single" w:sz="8" w:space="0" w:color="9CC2E5"/>
              <w:left w:val="single" w:sz="8" w:space="0" w:color="9CC2E5"/>
              <w:bottom w:val="single" w:sz="8" w:space="0" w:color="9CC2E5"/>
              <w:right w:val="single" w:sz="8" w:space="0" w:color="9CC2E5"/>
            </w:tcBorders>
            <w:shd w:val="clear" w:color="auto" w:fill="auto"/>
            <w:vAlign w:val="center"/>
            <w:hideMark/>
          </w:tcPr>
          <w:p w:rsidR="00BF4753" w:rsidRPr="00242D09" w:rsidRDefault="00BF4753" w:rsidP="002D7CA8">
            <w:pPr>
              <w:ind w:firstLine="0"/>
              <w:jc w:val="left"/>
              <w:rPr>
                <w:rFonts w:eastAsia="Times New Roman" w:cs="Times New Roman"/>
                <w:sz w:val="20"/>
                <w:szCs w:val="20"/>
                <w:lang w:eastAsia="lv-LV"/>
              </w:rPr>
            </w:pPr>
            <w:r w:rsidRPr="00242D09">
              <w:rPr>
                <w:rFonts w:eastAsia="Times New Roman" w:cs="Times New Roman"/>
                <w:sz w:val="20"/>
                <w:szCs w:val="20"/>
                <w:lang w:eastAsia="lv-LV"/>
              </w:rPr>
              <w:t xml:space="preserve">Ilgtermiņa procentu likme </w:t>
            </w:r>
            <w:r w:rsidRPr="00242D09">
              <w:rPr>
                <w:rFonts w:eastAsia="Times New Roman" w:cs="Times New Roman"/>
                <w:i/>
                <w:iCs/>
                <w:sz w:val="20"/>
                <w:szCs w:val="20"/>
                <w:lang w:eastAsia="lv-LV"/>
              </w:rPr>
              <w:t>euro</w:t>
            </w:r>
            <w:r w:rsidRPr="00242D09">
              <w:rPr>
                <w:rFonts w:eastAsia="Times New Roman" w:cs="Times New Roman"/>
                <w:sz w:val="20"/>
                <w:szCs w:val="20"/>
                <w:lang w:eastAsia="lv-LV"/>
              </w:rPr>
              <w:t xml:space="preserve"> zonā (gada vidējā)</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-0,5</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-0,5</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-0,4</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-0,3</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-0,3</w:t>
            </w:r>
          </w:p>
        </w:tc>
      </w:tr>
      <w:tr w:rsidR="00BF4753" w:rsidRPr="00242D09" w:rsidTr="002D7CA8">
        <w:trPr>
          <w:trHeight w:val="315"/>
        </w:trPr>
        <w:tc>
          <w:tcPr>
            <w:tcW w:w="4678" w:type="dxa"/>
            <w:tcBorders>
              <w:top w:val="single" w:sz="8" w:space="0" w:color="9CC2E5"/>
              <w:left w:val="single" w:sz="8" w:space="0" w:color="9CC2E5"/>
              <w:bottom w:val="single" w:sz="8" w:space="0" w:color="9CC2E5"/>
              <w:right w:val="single" w:sz="8" w:space="0" w:color="9CC2E5"/>
            </w:tcBorders>
            <w:shd w:val="clear" w:color="000000" w:fill="DEEAF6"/>
            <w:vAlign w:val="center"/>
            <w:hideMark/>
          </w:tcPr>
          <w:p w:rsidR="00BF4753" w:rsidRPr="00242D09" w:rsidRDefault="00BF4753" w:rsidP="002D7CA8">
            <w:pPr>
              <w:ind w:firstLine="0"/>
              <w:jc w:val="left"/>
              <w:rPr>
                <w:rFonts w:eastAsia="Times New Roman" w:cs="Times New Roman"/>
                <w:sz w:val="20"/>
                <w:szCs w:val="20"/>
                <w:lang w:eastAsia="lv-LV"/>
              </w:rPr>
            </w:pPr>
            <w:r w:rsidRPr="00242D09">
              <w:rPr>
                <w:rFonts w:eastAsia="Times New Roman" w:cs="Times New Roman"/>
                <w:sz w:val="20"/>
                <w:szCs w:val="20"/>
                <w:lang w:eastAsia="lv-LV"/>
              </w:rPr>
              <w:t>EUR/USD kurss (gada vidējais)</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1,14</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1,21</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1,21</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1,21</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1,21</w:t>
            </w:r>
          </w:p>
        </w:tc>
      </w:tr>
      <w:tr w:rsidR="00BF4753" w:rsidRPr="00242D09" w:rsidTr="002D7CA8">
        <w:trPr>
          <w:trHeight w:val="315"/>
        </w:trPr>
        <w:tc>
          <w:tcPr>
            <w:tcW w:w="4678" w:type="dxa"/>
            <w:tcBorders>
              <w:top w:val="single" w:sz="8" w:space="0" w:color="9CC2E5"/>
              <w:left w:val="single" w:sz="8" w:space="0" w:color="9CC2E5"/>
              <w:bottom w:val="single" w:sz="8" w:space="0" w:color="9CC2E5"/>
              <w:right w:val="single" w:sz="8" w:space="0" w:color="9CC2E5"/>
            </w:tcBorders>
            <w:shd w:val="clear" w:color="auto" w:fill="auto"/>
            <w:vAlign w:val="center"/>
            <w:hideMark/>
          </w:tcPr>
          <w:p w:rsidR="00BF4753" w:rsidRPr="00242D09" w:rsidRDefault="00BF4753" w:rsidP="002D7CA8">
            <w:pPr>
              <w:ind w:firstLine="0"/>
              <w:jc w:val="left"/>
              <w:rPr>
                <w:rFonts w:eastAsia="Times New Roman" w:cs="Times New Roman"/>
                <w:sz w:val="20"/>
                <w:szCs w:val="20"/>
                <w:lang w:eastAsia="lv-LV"/>
              </w:rPr>
            </w:pPr>
            <w:r w:rsidRPr="00242D09">
              <w:rPr>
                <w:rFonts w:eastAsia="Times New Roman" w:cs="Times New Roman"/>
                <w:sz w:val="20"/>
                <w:szCs w:val="20"/>
                <w:lang w:eastAsia="lv-LV"/>
              </w:rPr>
              <w:t>Nomin</w:t>
            </w:r>
            <w:r>
              <w:rPr>
                <w:rFonts w:eastAsia="Times New Roman" w:cs="Times New Roman"/>
                <w:sz w:val="20"/>
                <w:szCs w:val="20"/>
                <w:lang w:eastAsia="lv-LV"/>
              </w:rPr>
              <w:t>ālais efektīvais maiņas kurss Eiropas Savienībā</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3,9</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2,3</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0,0</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0,0</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0,0</w:t>
            </w:r>
          </w:p>
        </w:tc>
      </w:tr>
      <w:tr w:rsidR="00BF4753" w:rsidRPr="00242D09" w:rsidTr="002D7CA8">
        <w:trPr>
          <w:trHeight w:val="315"/>
        </w:trPr>
        <w:tc>
          <w:tcPr>
            <w:tcW w:w="4678" w:type="dxa"/>
            <w:tcBorders>
              <w:top w:val="single" w:sz="8" w:space="0" w:color="9CC2E5"/>
              <w:left w:val="single" w:sz="8" w:space="0" w:color="9CC2E5"/>
              <w:bottom w:val="single" w:sz="8" w:space="0" w:color="9CC2E5"/>
              <w:right w:val="single" w:sz="8" w:space="0" w:color="9CC2E5"/>
            </w:tcBorders>
            <w:shd w:val="clear" w:color="000000" w:fill="DEEAF6"/>
            <w:vAlign w:val="center"/>
            <w:hideMark/>
          </w:tcPr>
          <w:p w:rsidR="00BF4753" w:rsidRPr="00242D09" w:rsidRDefault="00BF4753" w:rsidP="002D7CA8">
            <w:pPr>
              <w:ind w:firstLine="0"/>
              <w:jc w:val="left"/>
              <w:rPr>
                <w:rFonts w:eastAsia="Times New Roman" w:cs="Times New Roman"/>
                <w:sz w:val="20"/>
                <w:szCs w:val="20"/>
                <w:lang w:eastAsia="lv-LV"/>
              </w:rPr>
            </w:pPr>
            <w:r>
              <w:rPr>
                <w:rFonts w:eastAsia="Times New Roman" w:cs="Times New Roman"/>
                <w:sz w:val="20"/>
                <w:szCs w:val="20"/>
                <w:lang w:eastAsia="lv-LV"/>
              </w:rPr>
              <w:t>Pasaules IKP, izņemot Eiropas Savienībā</w:t>
            </w:r>
            <w:r w:rsidRPr="00242D09">
              <w:rPr>
                <w:rFonts w:eastAsia="Times New Roman" w:cs="Times New Roman"/>
                <w:sz w:val="20"/>
                <w:szCs w:val="20"/>
                <w:lang w:eastAsia="lv-LV"/>
              </w:rPr>
              <w:t>, pieaugums salīdzināmās cenās, %</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-3,4</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5,2</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3,8</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3,4</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3,4</w:t>
            </w:r>
          </w:p>
        </w:tc>
      </w:tr>
      <w:tr w:rsidR="00BF4753" w:rsidRPr="00242D09" w:rsidTr="002D7CA8">
        <w:trPr>
          <w:trHeight w:val="315"/>
        </w:trPr>
        <w:tc>
          <w:tcPr>
            <w:tcW w:w="4678" w:type="dxa"/>
            <w:tcBorders>
              <w:top w:val="single" w:sz="8" w:space="0" w:color="9CC2E5"/>
              <w:left w:val="single" w:sz="8" w:space="0" w:color="9CC2E5"/>
              <w:bottom w:val="single" w:sz="8" w:space="0" w:color="9CC2E5"/>
              <w:right w:val="single" w:sz="8" w:space="0" w:color="9CC2E5"/>
            </w:tcBorders>
            <w:shd w:val="clear" w:color="auto" w:fill="auto"/>
            <w:vAlign w:val="center"/>
            <w:hideMark/>
          </w:tcPr>
          <w:p w:rsidR="00BF4753" w:rsidRPr="00242D09" w:rsidRDefault="00BF4753" w:rsidP="002D7CA8">
            <w:pPr>
              <w:ind w:firstLine="0"/>
              <w:jc w:val="left"/>
              <w:rPr>
                <w:rFonts w:eastAsia="Times New Roman" w:cs="Times New Roman"/>
                <w:sz w:val="20"/>
                <w:szCs w:val="20"/>
                <w:lang w:eastAsia="lv-LV"/>
              </w:rPr>
            </w:pPr>
            <w:r>
              <w:rPr>
                <w:rFonts w:eastAsia="Times New Roman" w:cs="Times New Roman"/>
                <w:sz w:val="20"/>
                <w:szCs w:val="20"/>
                <w:lang w:eastAsia="lv-LV"/>
              </w:rPr>
              <w:t>Eiropas Savienības</w:t>
            </w:r>
            <w:r w:rsidRPr="00242D09">
              <w:rPr>
                <w:rFonts w:eastAsia="Times New Roman" w:cs="Times New Roman"/>
                <w:sz w:val="20"/>
                <w:szCs w:val="20"/>
                <w:lang w:eastAsia="lv-LV"/>
              </w:rPr>
              <w:t xml:space="preserve"> IKP pieaugums salīdzināmās cenās, %</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-6,3</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3,7</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3,9</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2,0</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1,2</w:t>
            </w:r>
          </w:p>
        </w:tc>
      </w:tr>
      <w:tr w:rsidR="00BF4753" w:rsidRPr="00242D09" w:rsidTr="002D7CA8">
        <w:trPr>
          <w:trHeight w:val="540"/>
        </w:trPr>
        <w:tc>
          <w:tcPr>
            <w:tcW w:w="4678" w:type="dxa"/>
            <w:tcBorders>
              <w:top w:val="single" w:sz="8" w:space="0" w:color="9CC2E5"/>
              <w:left w:val="single" w:sz="8" w:space="0" w:color="9CC2E5"/>
              <w:bottom w:val="single" w:sz="8" w:space="0" w:color="9CC2E5"/>
              <w:right w:val="single" w:sz="8" w:space="0" w:color="9CC2E5"/>
            </w:tcBorders>
            <w:shd w:val="clear" w:color="000000" w:fill="DEEAF6"/>
            <w:vAlign w:val="center"/>
            <w:hideMark/>
          </w:tcPr>
          <w:p w:rsidR="00BF4753" w:rsidRPr="00242D09" w:rsidRDefault="00BF4753" w:rsidP="002D7CA8">
            <w:pPr>
              <w:ind w:firstLine="0"/>
              <w:jc w:val="left"/>
              <w:rPr>
                <w:rFonts w:eastAsia="Times New Roman" w:cs="Times New Roman"/>
                <w:sz w:val="20"/>
                <w:szCs w:val="20"/>
                <w:lang w:eastAsia="lv-LV"/>
              </w:rPr>
            </w:pPr>
            <w:r w:rsidRPr="00242D09">
              <w:rPr>
                <w:rFonts w:eastAsia="Times New Roman" w:cs="Times New Roman"/>
                <w:sz w:val="20"/>
                <w:szCs w:val="20"/>
                <w:lang w:eastAsia="lv-LV"/>
              </w:rPr>
              <w:t xml:space="preserve">Pasaules preču un pakalpojumu </w:t>
            </w:r>
            <w:r>
              <w:rPr>
                <w:rFonts w:eastAsia="Times New Roman" w:cs="Times New Roman"/>
                <w:sz w:val="20"/>
                <w:szCs w:val="20"/>
                <w:lang w:eastAsia="lv-LV"/>
              </w:rPr>
              <w:t>tirdzniecības apjomu izmaiņas Eiropas Savienības eksporta tirgos, izslēdzot Eiropas Savienību</w:t>
            </w:r>
            <w:r w:rsidRPr="00242D09">
              <w:rPr>
                <w:rFonts w:eastAsia="Times New Roman" w:cs="Times New Roman"/>
                <w:sz w:val="20"/>
                <w:szCs w:val="20"/>
                <w:lang w:eastAsia="lv-LV"/>
              </w:rPr>
              <w:t>, %</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-9,1</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6,5</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4,6</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2,5</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2,5</w:t>
            </w:r>
          </w:p>
        </w:tc>
      </w:tr>
      <w:tr w:rsidR="00BF4753" w:rsidRPr="00242D09" w:rsidTr="002D7CA8">
        <w:trPr>
          <w:trHeight w:val="525"/>
        </w:trPr>
        <w:tc>
          <w:tcPr>
            <w:tcW w:w="4678" w:type="dxa"/>
            <w:tcBorders>
              <w:top w:val="single" w:sz="8" w:space="0" w:color="9CC2E5"/>
              <w:left w:val="single" w:sz="8" w:space="0" w:color="9CC2E5"/>
              <w:bottom w:val="single" w:sz="8" w:space="0" w:color="9CC2E5"/>
              <w:right w:val="single" w:sz="8" w:space="0" w:color="9CC2E5"/>
            </w:tcBorders>
            <w:shd w:val="clear" w:color="auto" w:fill="auto"/>
            <w:vAlign w:val="center"/>
            <w:hideMark/>
          </w:tcPr>
          <w:p w:rsidR="00BF4753" w:rsidRPr="00242D09" w:rsidRDefault="00BF4753" w:rsidP="002D7CA8">
            <w:pPr>
              <w:ind w:firstLine="0"/>
              <w:jc w:val="left"/>
              <w:rPr>
                <w:rFonts w:eastAsia="Times New Roman" w:cs="Times New Roman"/>
                <w:sz w:val="20"/>
                <w:szCs w:val="20"/>
                <w:lang w:eastAsia="lv-LV"/>
              </w:rPr>
            </w:pPr>
            <w:r w:rsidRPr="00242D09">
              <w:rPr>
                <w:rFonts w:eastAsia="Times New Roman" w:cs="Times New Roman"/>
                <w:sz w:val="20"/>
                <w:szCs w:val="20"/>
                <w:lang w:eastAsia="lv-LV"/>
              </w:rPr>
              <w:t>Pasaules preču un pakalpojumu impor</w:t>
            </w:r>
            <w:r>
              <w:rPr>
                <w:rFonts w:eastAsia="Times New Roman" w:cs="Times New Roman"/>
                <w:sz w:val="20"/>
                <w:szCs w:val="20"/>
                <w:lang w:eastAsia="lv-LV"/>
              </w:rPr>
              <w:t>ta apjomu izmaiņas, izslēdzot Eiropas Savienību</w:t>
            </w:r>
            <w:r w:rsidRPr="00242D09">
              <w:rPr>
                <w:rFonts w:eastAsia="Times New Roman" w:cs="Times New Roman"/>
                <w:sz w:val="20"/>
                <w:szCs w:val="20"/>
                <w:lang w:eastAsia="lv-LV"/>
              </w:rPr>
              <w:t>, %</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-9,4</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7,5</w:t>
            </w:r>
          </w:p>
        </w:tc>
        <w:tc>
          <w:tcPr>
            <w:tcW w:w="765"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4,9</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2,6</w:t>
            </w:r>
          </w:p>
        </w:tc>
        <w:tc>
          <w:tcPr>
            <w:tcW w:w="766" w:type="dxa"/>
            <w:tcBorders>
              <w:top w:val="nil"/>
              <w:left w:val="nil"/>
              <w:bottom w:val="single" w:sz="8" w:space="0" w:color="9CC2E5"/>
              <w:right w:val="single" w:sz="8" w:space="0" w:color="9CC2E5"/>
            </w:tcBorders>
            <w:shd w:val="clear" w:color="auto" w:fill="auto"/>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2,6</w:t>
            </w:r>
          </w:p>
        </w:tc>
      </w:tr>
      <w:tr w:rsidR="00BF4753" w:rsidRPr="00242D09" w:rsidTr="002D7CA8">
        <w:trPr>
          <w:trHeight w:val="315"/>
        </w:trPr>
        <w:tc>
          <w:tcPr>
            <w:tcW w:w="4678" w:type="dxa"/>
            <w:tcBorders>
              <w:top w:val="single" w:sz="8" w:space="0" w:color="9CC2E5"/>
              <w:left w:val="single" w:sz="8" w:space="0" w:color="9CC2E5"/>
              <w:bottom w:val="single" w:sz="8" w:space="0" w:color="9CC2E5"/>
              <w:right w:val="single" w:sz="8" w:space="0" w:color="9CC2E5"/>
            </w:tcBorders>
            <w:shd w:val="clear" w:color="000000" w:fill="DEEAF6"/>
            <w:vAlign w:val="center"/>
            <w:hideMark/>
          </w:tcPr>
          <w:p w:rsidR="00BF4753" w:rsidRPr="00242D09" w:rsidRDefault="00BF4753" w:rsidP="002D7CA8">
            <w:pPr>
              <w:ind w:firstLine="0"/>
              <w:jc w:val="left"/>
              <w:rPr>
                <w:rFonts w:eastAsia="Times New Roman" w:cs="Times New Roman"/>
                <w:sz w:val="20"/>
                <w:szCs w:val="20"/>
                <w:lang w:eastAsia="lv-LV"/>
              </w:rPr>
            </w:pPr>
            <w:r w:rsidRPr="00242D09">
              <w:rPr>
                <w:rFonts w:eastAsia="Times New Roman" w:cs="Times New Roman"/>
                <w:sz w:val="20"/>
                <w:szCs w:val="20"/>
                <w:lang w:eastAsia="lv-LV"/>
              </w:rPr>
              <w:t>Naftas cena (</w:t>
            </w:r>
            <w:r w:rsidRPr="00242D09">
              <w:rPr>
                <w:rFonts w:eastAsia="Times New Roman" w:cs="Times New Roman"/>
                <w:i/>
                <w:iCs/>
                <w:sz w:val="20"/>
                <w:szCs w:val="20"/>
                <w:lang w:eastAsia="lv-LV"/>
              </w:rPr>
              <w:t>Brent</w:t>
            </w:r>
            <w:r w:rsidRPr="00242D09">
              <w:rPr>
                <w:rFonts w:eastAsia="Times New Roman" w:cs="Times New Roman"/>
                <w:sz w:val="20"/>
                <w:szCs w:val="20"/>
                <w:lang w:eastAsia="lv-LV"/>
              </w:rPr>
              <w:t>, USD par barelu)</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43,4</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54,7</w:t>
            </w:r>
          </w:p>
        </w:tc>
        <w:tc>
          <w:tcPr>
            <w:tcW w:w="765"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sz w:val="20"/>
                <w:szCs w:val="20"/>
                <w:lang w:eastAsia="lv-LV"/>
              </w:rPr>
            </w:pPr>
            <w:r w:rsidRPr="00242D09">
              <w:rPr>
                <w:rFonts w:eastAsia="Times New Roman" w:cs="Times New Roman"/>
                <w:sz w:val="20"/>
                <w:szCs w:val="20"/>
                <w:lang w:eastAsia="lv-LV"/>
              </w:rPr>
              <w:t>52,4</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color w:val="FF0000"/>
                <w:sz w:val="20"/>
                <w:szCs w:val="20"/>
                <w:lang w:eastAsia="lv-LV"/>
              </w:rPr>
            </w:pPr>
            <w:r w:rsidRPr="00242D09">
              <w:rPr>
                <w:rFonts w:eastAsia="Times New Roman" w:cs="Times New Roman"/>
                <w:color w:val="FF0000"/>
                <w:sz w:val="20"/>
                <w:szCs w:val="20"/>
                <w:lang w:eastAsia="lv-LV"/>
              </w:rPr>
              <w:t> </w:t>
            </w:r>
          </w:p>
        </w:tc>
        <w:tc>
          <w:tcPr>
            <w:tcW w:w="766" w:type="dxa"/>
            <w:tcBorders>
              <w:top w:val="nil"/>
              <w:left w:val="nil"/>
              <w:bottom w:val="single" w:sz="8" w:space="0" w:color="9CC2E5"/>
              <w:right w:val="single" w:sz="8" w:space="0" w:color="9CC2E5"/>
            </w:tcBorders>
            <w:shd w:val="clear" w:color="000000" w:fill="DEEAF6"/>
            <w:vAlign w:val="center"/>
            <w:hideMark/>
          </w:tcPr>
          <w:p w:rsidR="00BF4753" w:rsidRPr="00242D09" w:rsidRDefault="00BF4753" w:rsidP="002D7CA8">
            <w:pPr>
              <w:ind w:firstLine="0"/>
              <w:jc w:val="center"/>
              <w:rPr>
                <w:rFonts w:eastAsia="Times New Roman" w:cs="Times New Roman"/>
                <w:color w:val="FF0000"/>
                <w:sz w:val="20"/>
                <w:szCs w:val="20"/>
                <w:lang w:eastAsia="lv-LV"/>
              </w:rPr>
            </w:pPr>
            <w:r w:rsidRPr="00242D09">
              <w:rPr>
                <w:rFonts w:eastAsia="Times New Roman" w:cs="Times New Roman"/>
                <w:color w:val="FF0000"/>
                <w:sz w:val="20"/>
                <w:szCs w:val="20"/>
                <w:lang w:eastAsia="lv-LV"/>
              </w:rPr>
              <w:t> </w:t>
            </w:r>
          </w:p>
        </w:tc>
      </w:tr>
    </w:tbl>
    <w:p w:rsidR="00DF348A" w:rsidRDefault="00DF348A" w:rsidP="00DF348A">
      <w:pPr>
        <w:ind w:left="720" w:firstLine="0"/>
      </w:pPr>
    </w:p>
    <w:p w:rsidR="00DF348A" w:rsidRDefault="00DF348A" w:rsidP="00DF348A">
      <w:pPr>
        <w:ind w:left="720" w:firstLine="0"/>
      </w:pPr>
    </w:p>
    <w:p w:rsidR="00DF348A" w:rsidRPr="00DF348A" w:rsidRDefault="00DF348A" w:rsidP="00DF348A">
      <w:pPr>
        <w:ind w:left="720" w:firstLine="0"/>
      </w:pPr>
    </w:p>
    <w:p w:rsidR="00BF4753" w:rsidRPr="00242D09" w:rsidRDefault="00BF4753" w:rsidP="00BF4753">
      <w:pPr>
        <w:keepNext/>
        <w:spacing w:after="120"/>
        <w:ind w:firstLine="0"/>
        <w:jc w:val="left"/>
        <w:rPr>
          <w:rFonts w:eastAsia="Times New Roman" w:cs="Times New Roman"/>
          <w:b/>
          <w:color w:val="000000"/>
          <w:sz w:val="24"/>
          <w:szCs w:val="24"/>
        </w:rPr>
      </w:pPr>
      <w:r w:rsidRPr="00242D09">
        <w:rPr>
          <w:rFonts w:eastAsia="Times New Roman" w:cs="Times New Roman"/>
          <w:b/>
          <w:color w:val="000000"/>
          <w:sz w:val="24"/>
          <w:szCs w:val="24"/>
        </w:rPr>
        <w:lastRenderedPageBreak/>
        <w:t>9a.</w:t>
      </w:r>
      <w:r>
        <w:rPr>
          <w:rFonts w:eastAsia="Times New Roman" w:cs="Times New Roman"/>
          <w:b/>
          <w:color w:val="000000"/>
          <w:sz w:val="24"/>
          <w:szCs w:val="24"/>
        </w:rPr>
        <w:t xml:space="preserve"> </w:t>
      </w:r>
      <w:r w:rsidRPr="00242D09">
        <w:rPr>
          <w:rFonts w:eastAsia="Times New Roman" w:cs="Times New Roman"/>
          <w:b/>
          <w:color w:val="000000"/>
          <w:sz w:val="24"/>
          <w:szCs w:val="24"/>
        </w:rPr>
        <w:t>tabula.</w:t>
      </w:r>
      <w:r w:rsidRPr="00242D09">
        <w:rPr>
          <w:rFonts w:ascii="Calibri" w:eastAsia="Times New Roman" w:hAnsi="Calibri" w:cs="Times New Roman"/>
          <w:b/>
          <w:sz w:val="24"/>
          <w:szCs w:val="20"/>
        </w:rPr>
        <w:t xml:space="preserve"> </w:t>
      </w:r>
      <w:r w:rsidR="00581441">
        <w:rPr>
          <w:rFonts w:eastAsia="Times New Roman" w:cs="Times New Roman"/>
          <w:b/>
          <w:color w:val="000000"/>
          <w:sz w:val="24"/>
          <w:szCs w:val="24"/>
        </w:rPr>
        <w:t>Garantiju apjoms</w:t>
      </w:r>
    </w:p>
    <w:tbl>
      <w:tblPr>
        <w:tblStyle w:val="GridTable6Colorful-Accent1173"/>
        <w:tblW w:w="8500" w:type="dxa"/>
        <w:tblLook w:val="04A0" w:firstRow="1" w:lastRow="0" w:firstColumn="1" w:lastColumn="0" w:noHBand="0" w:noVBand="1"/>
      </w:tblPr>
      <w:tblGrid>
        <w:gridCol w:w="2972"/>
        <w:gridCol w:w="1843"/>
        <w:gridCol w:w="2268"/>
        <w:gridCol w:w="1417"/>
      </w:tblGrid>
      <w:tr w:rsidR="00BF4753" w:rsidRPr="00242D09" w:rsidTr="002D7CA8">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972" w:type="dxa"/>
            <w:shd w:val="clear" w:color="auto" w:fill="DEEAF6"/>
            <w:noWrap/>
            <w:vAlign w:val="center"/>
          </w:tcPr>
          <w:p w:rsidR="00BF4753" w:rsidRPr="0050594C" w:rsidRDefault="00BF4753" w:rsidP="002D7CA8">
            <w:pPr>
              <w:spacing w:after="160" w:line="259" w:lineRule="auto"/>
              <w:ind w:firstLine="0"/>
              <w:jc w:val="center"/>
              <w:rPr>
                <w:rFonts w:cs="Times New Roman"/>
                <w:color w:val="000000"/>
                <w:sz w:val="20"/>
                <w:szCs w:val="20"/>
              </w:rPr>
            </w:pPr>
            <w:r w:rsidRPr="0050594C">
              <w:rPr>
                <w:rFonts w:cs="Times New Roman"/>
                <w:bCs w:val="0"/>
                <w:color w:val="000000"/>
                <w:sz w:val="20"/>
                <w:szCs w:val="20"/>
              </w:rPr>
              <w:t>Pasākums</w:t>
            </w:r>
          </w:p>
        </w:tc>
        <w:tc>
          <w:tcPr>
            <w:tcW w:w="1843" w:type="dxa"/>
            <w:shd w:val="clear" w:color="auto" w:fill="DEEAF6"/>
            <w:hideMark/>
          </w:tcPr>
          <w:p w:rsidR="00BF4753" w:rsidRPr="0050594C" w:rsidRDefault="00BF4753" w:rsidP="002D7CA8">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rPr>
            </w:pPr>
            <w:r w:rsidRPr="0050594C">
              <w:rPr>
                <w:rFonts w:cs="Times New Roman"/>
                <w:bCs w:val="0"/>
                <w:color w:val="000000"/>
                <w:sz w:val="20"/>
                <w:szCs w:val="20"/>
              </w:rPr>
              <w:t xml:space="preserve">Apstiprināšanas datums </w:t>
            </w:r>
          </w:p>
        </w:tc>
        <w:tc>
          <w:tcPr>
            <w:tcW w:w="2268" w:type="dxa"/>
            <w:shd w:val="clear" w:color="auto" w:fill="DEEAF6"/>
            <w:noWrap/>
            <w:hideMark/>
          </w:tcPr>
          <w:p w:rsidR="00BF4753" w:rsidRPr="0050594C" w:rsidRDefault="00BF4753" w:rsidP="002D7CA8">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sz w:val="20"/>
                <w:szCs w:val="20"/>
              </w:rPr>
            </w:pPr>
            <w:r w:rsidRPr="0050594C">
              <w:rPr>
                <w:rFonts w:cs="Times New Roman"/>
                <w:bCs w:val="0"/>
                <w:color w:val="000000"/>
                <w:sz w:val="20"/>
                <w:szCs w:val="20"/>
              </w:rPr>
              <w:t>Netiešo saistību maksimālais apjoms</w:t>
            </w:r>
          </w:p>
          <w:p w:rsidR="00BF4753" w:rsidRPr="0050594C" w:rsidRDefault="00BF4753" w:rsidP="00787EFE">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rPr>
            </w:pPr>
            <w:r w:rsidRPr="0050594C">
              <w:rPr>
                <w:rFonts w:cs="Times New Roman"/>
                <w:bCs w:val="0"/>
                <w:color w:val="000000"/>
                <w:sz w:val="20"/>
                <w:szCs w:val="20"/>
              </w:rPr>
              <w:t xml:space="preserve">(% no IKP)                   </w:t>
            </w:r>
          </w:p>
        </w:tc>
        <w:tc>
          <w:tcPr>
            <w:tcW w:w="1417" w:type="dxa"/>
            <w:shd w:val="clear" w:color="auto" w:fill="DEEAF6"/>
            <w:noWrap/>
            <w:hideMark/>
          </w:tcPr>
          <w:p w:rsidR="00BF4753" w:rsidRPr="0050594C" w:rsidRDefault="00BF4753" w:rsidP="002D7CA8">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rPr>
            </w:pPr>
            <w:r w:rsidRPr="0050594C">
              <w:rPr>
                <w:rFonts w:cs="Times New Roman"/>
                <w:bCs w:val="0"/>
                <w:color w:val="000000"/>
                <w:sz w:val="20"/>
                <w:szCs w:val="20"/>
              </w:rPr>
              <w:t>Faktiskais apjoms         (% no IKP)</w:t>
            </w:r>
          </w:p>
        </w:tc>
      </w:tr>
    </w:tbl>
    <w:tbl>
      <w:tblPr>
        <w:tblStyle w:val="GridTable6Colorful-Accent11831"/>
        <w:tblW w:w="8500" w:type="dxa"/>
        <w:tblInd w:w="0" w:type="dxa"/>
        <w:tblLook w:val="04A0" w:firstRow="1" w:lastRow="0" w:firstColumn="1" w:lastColumn="0" w:noHBand="0" w:noVBand="1"/>
      </w:tblPr>
      <w:tblGrid>
        <w:gridCol w:w="1135"/>
        <w:gridCol w:w="1837"/>
        <w:gridCol w:w="1843"/>
        <w:gridCol w:w="2268"/>
        <w:gridCol w:w="1417"/>
      </w:tblGrid>
      <w:tr w:rsidR="00667944" w:rsidTr="00667944">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135" w:type="dxa"/>
            <w:vMerge w:val="restart"/>
            <w:tcBorders>
              <w:top w:val="single" w:sz="4" w:space="0" w:color="9CC2E5"/>
              <w:left w:val="single" w:sz="4" w:space="0" w:color="9CC2E5"/>
              <w:bottom w:val="single" w:sz="4" w:space="0" w:color="9CC2E5"/>
              <w:right w:val="single" w:sz="4" w:space="0" w:color="9CC2E5"/>
            </w:tcBorders>
            <w:noWrap/>
            <w:vAlign w:val="center"/>
            <w:hideMark/>
          </w:tcPr>
          <w:p w:rsidR="00667944" w:rsidRDefault="00667944">
            <w:pPr>
              <w:spacing w:after="160" w:line="256" w:lineRule="auto"/>
              <w:ind w:firstLine="0"/>
              <w:jc w:val="left"/>
              <w:rPr>
                <w:rFonts w:cs="Times New Roman"/>
                <w:color w:val="000000" w:themeColor="text1"/>
                <w:sz w:val="20"/>
                <w:szCs w:val="20"/>
                <w:lang w:eastAsia="lv-LV"/>
              </w:rPr>
            </w:pPr>
            <w:r>
              <w:rPr>
                <w:rFonts w:cs="Times New Roman"/>
                <w:b w:val="0"/>
                <w:bCs w:val="0"/>
                <w:color w:val="000000" w:themeColor="text1"/>
                <w:sz w:val="20"/>
                <w:szCs w:val="20"/>
                <w:lang w:eastAsia="lv-LV"/>
              </w:rPr>
              <w:t>COVID-19</w:t>
            </w:r>
            <w:r>
              <w:rPr>
                <w:rStyle w:val="FootnoteReference"/>
                <w:rFonts w:cs="Times New Roman"/>
                <w:b w:val="0"/>
                <w:bCs w:val="0"/>
                <w:color w:val="000000" w:themeColor="text1"/>
                <w:szCs w:val="20"/>
                <w:lang w:eastAsia="lv-LV"/>
              </w:rPr>
              <w:footnoteReference w:id="24"/>
            </w:r>
            <w:r>
              <w:rPr>
                <w:rFonts w:cs="Times New Roman"/>
                <w:b w:val="0"/>
                <w:bCs w:val="0"/>
                <w:color w:val="000000" w:themeColor="text1"/>
                <w:sz w:val="20"/>
                <w:szCs w:val="20"/>
                <w:lang w:eastAsia="lv-LV"/>
              </w:rPr>
              <w:t xml:space="preserve"> </w:t>
            </w:r>
          </w:p>
        </w:tc>
        <w:tc>
          <w:tcPr>
            <w:tcW w:w="1837" w:type="dxa"/>
            <w:tcBorders>
              <w:top w:val="single" w:sz="4" w:space="0" w:color="9CC2E5"/>
              <w:left w:val="single" w:sz="4" w:space="0" w:color="9CC2E5"/>
              <w:right w:val="single" w:sz="4" w:space="0" w:color="9CC2E5"/>
            </w:tcBorders>
            <w:hideMark/>
          </w:tcPr>
          <w:p w:rsidR="00667944" w:rsidRDefault="00667944">
            <w:pPr>
              <w:spacing w:after="160" w:line="256"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Pr>
                <w:rFonts w:cs="Times New Roman"/>
                <w:b w:val="0"/>
                <w:bCs w:val="0"/>
                <w:color w:val="000000" w:themeColor="text1"/>
                <w:sz w:val="20"/>
                <w:szCs w:val="20"/>
                <w:lang w:eastAsia="lv-LV"/>
              </w:rPr>
              <w:t>Kredītu garantijas</w:t>
            </w:r>
          </w:p>
        </w:tc>
        <w:tc>
          <w:tcPr>
            <w:tcW w:w="1843" w:type="dxa"/>
            <w:tcBorders>
              <w:top w:val="single" w:sz="4" w:space="0" w:color="9CC2E5"/>
              <w:left w:val="single" w:sz="4" w:space="0" w:color="9CC2E5"/>
              <w:right w:val="single" w:sz="4" w:space="0" w:color="9CC2E5"/>
            </w:tcBorders>
            <w:noWrap/>
            <w:hideMark/>
          </w:tcPr>
          <w:p w:rsidR="00667944" w:rsidRDefault="00667944">
            <w:pPr>
              <w:spacing w:after="160" w:line="25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Pr>
                <w:rFonts w:cs="Times New Roman"/>
                <w:b w:val="0"/>
                <w:bCs w:val="0"/>
                <w:color w:val="000000" w:themeColor="text1"/>
                <w:sz w:val="20"/>
                <w:szCs w:val="20"/>
                <w:lang w:eastAsia="lv-LV"/>
              </w:rPr>
              <w:t>24.03.2020</w:t>
            </w:r>
          </w:p>
        </w:tc>
        <w:tc>
          <w:tcPr>
            <w:tcW w:w="2268" w:type="dxa"/>
            <w:tcBorders>
              <w:top w:val="single" w:sz="4" w:space="0" w:color="9CC2E5"/>
              <w:left w:val="single" w:sz="4" w:space="0" w:color="9CC2E5"/>
              <w:right w:val="single" w:sz="4" w:space="0" w:color="9CC2E5"/>
            </w:tcBorders>
            <w:noWrap/>
            <w:hideMark/>
          </w:tcPr>
          <w:p w:rsidR="00667944" w:rsidRDefault="00667944">
            <w:pPr>
              <w:spacing w:after="160" w:line="25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Pr>
                <w:rFonts w:cs="Times New Roman"/>
                <w:b w:val="0"/>
                <w:bCs w:val="0"/>
                <w:color w:val="000000" w:themeColor="text1"/>
                <w:sz w:val="20"/>
                <w:szCs w:val="20"/>
                <w:lang w:eastAsia="lv-LV"/>
              </w:rPr>
              <w:t>1,0</w:t>
            </w:r>
          </w:p>
        </w:tc>
        <w:tc>
          <w:tcPr>
            <w:tcW w:w="1417" w:type="dxa"/>
            <w:tcBorders>
              <w:top w:val="single" w:sz="4" w:space="0" w:color="9CC2E5"/>
              <w:left w:val="single" w:sz="4" w:space="0" w:color="9CC2E5"/>
              <w:right w:val="single" w:sz="4" w:space="0" w:color="9CC2E5"/>
            </w:tcBorders>
            <w:noWrap/>
            <w:hideMark/>
          </w:tcPr>
          <w:p w:rsidR="00667944" w:rsidRDefault="00667944">
            <w:pPr>
              <w:spacing w:after="160" w:line="25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Pr>
                <w:rFonts w:cs="Times New Roman"/>
                <w:b w:val="0"/>
                <w:bCs w:val="0"/>
                <w:color w:val="000000" w:themeColor="text1"/>
                <w:sz w:val="20"/>
                <w:szCs w:val="20"/>
                <w:lang w:eastAsia="lv-LV"/>
              </w:rPr>
              <w:t>0,3</w:t>
            </w:r>
          </w:p>
        </w:tc>
      </w:tr>
      <w:tr w:rsidR="00667944" w:rsidTr="006679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CC2E5"/>
              <w:left w:val="single" w:sz="4" w:space="0" w:color="9CC2E5"/>
              <w:bottom w:val="single" w:sz="4" w:space="0" w:color="9CC2E5"/>
              <w:right w:val="single" w:sz="4" w:space="0" w:color="9CC2E5"/>
            </w:tcBorders>
            <w:vAlign w:val="center"/>
            <w:hideMark/>
          </w:tcPr>
          <w:p w:rsidR="00667944" w:rsidRDefault="00667944">
            <w:pPr>
              <w:ind w:firstLine="0"/>
              <w:jc w:val="left"/>
              <w:rPr>
                <w:rFonts w:cs="Times New Roman"/>
                <w:color w:val="000000" w:themeColor="text1"/>
                <w:sz w:val="20"/>
                <w:szCs w:val="20"/>
                <w:lang w:eastAsia="lv-LV"/>
              </w:rPr>
            </w:pPr>
          </w:p>
        </w:tc>
        <w:tc>
          <w:tcPr>
            <w:tcW w:w="1837" w:type="dxa"/>
            <w:tcBorders>
              <w:top w:val="single" w:sz="4" w:space="0" w:color="9CC2E5"/>
              <w:left w:val="single" w:sz="4" w:space="0" w:color="9CC2E5"/>
              <w:bottom w:val="single" w:sz="4" w:space="0" w:color="9CC2E5"/>
              <w:right w:val="single" w:sz="4" w:space="0" w:color="9CC2E5"/>
            </w:tcBorders>
            <w:hideMark/>
          </w:tcPr>
          <w:p w:rsidR="00667944" w:rsidRDefault="00667944">
            <w:pPr>
              <w:spacing w:after="160" w:line="256"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Pr>
                <w:rFonts w:cs="Times New Roman"/>
                <w:color w:val="000000" w:themeColor="text1"/>
                <w:sz w:val="20"/>
                <w:szCs w:val="20"/>
                <w:lang w:eastAsia="lv-LV"/>
              </w:rPr>
              <w:t xml:space="preserve">Portfeļgarantijas </w:t>
            </w:r>
          </w:p>
        </w:tc>
        <w:tc>
          <w:tcPr>
            <w:tcW w:w="1843" w:type="dxa"/>
            <w:tcBorders>
              <w:top w:val="single" w:sz="4" w:space="0" w:color="9CC2E5"/>
              <w:left w:val="single" w:sz="4" w:space="0" w:color="9CC2E5"/>
              <w:bottom w:val="single" w:sz="4" w:space="0" w:color="9CC2E5"/>
              <w:right w:val="single" w:sz="4" w:space="0" w:color="9CC2E5"/>
            </w:tcBorders>
            <w:noWrap/>
            <w:hideMark/>
          </w:tcPr>
          <w:p w:rsidR="00667944" w:rsidRDefault="00667944">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Pr>
                <w:rFonts w:cs="Times New Roman"/>
                <w:color w:val="000000" w:themeColor="text1"/>
                <w:sz w:val="20"/>
                <w:szCs w:val="20"/>
                <w:lang w:eastAsia="lv-LV"/>
              </w:rPr>
              <w:t>24.03.2020</w:t>
            </w:r>
          </w:p>
        </w:tc>
        <w:tc>
          <w:tcPr>
            <w:tcW w:w="2268" w:type="dxa"/>
            <w:tcBorders>
              <w:top w:val="single" w:sz="4" w:space="0" w:color="9CC2E5"/>
              <w:left w:val="single" w:sz="4" w:space="0" w:color="9CC2E5"/>
              <w:bottom w:val="single" w:sz="4" w:space="0" w:color="9CC2E5"/>
              <w:right w:val="single" w:sz="4" w:space="0" w:color="9CC2E5"/>
            </w:tcBorders>
            <w:noWrap/>
            <w:hideMark/>
          </w:tcPr>
          <w:p w:rsidR="00667944" w:rsidRDefault="00667944">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Pr>
                <w:rFonts w:cs="Times New Roman"/>
                <w:color w:val="000000" w:themeColor="text1"/>
                <w:sz w:val="20"/>
                <w:szCs w:val="20"/>
                <w:lang w:eastAsia="lv-LV"/>
              </w:rPr>
              <w:t>0,9</w:t>
            </w:r>
          </w:p>
        </w:tc>
        <w:tc>
          <w:tcPr>
            <w:tcW w:w="1417" w:type="dxa"/>
            <w:tcBorders>
              <w:top w:val="single" w:sz="4" w:space="0" w:color="9CC2E5"/>
              <w:left w:val="single" w:sz="4" w:space="0" w:color="9CC2E5"/>
              <w:bottom w:val="single" w:sz="4" w:space="0" w:color="9CC2E5"/>
              <w:right w:val="single" w:sz="4" w:space="0" w:color="9CC2E5"/>
            </w:tcBorders>
            <w:noWrap/>
            <w:hideMark/>
          </w:tcPr>
          <w:p w:rsidR="00667944" w:rsidRDefault="00667944">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Pr>
                <w:rFonts w:cs="Times New Roman"/>
                <w:color w:val="000000" w:themeColor="text1"/>
                <w:sz w:val="20"/>
                <w:szCs w:val="20"/>
                <w:lang w:eastAsia="lv-LV"/>
              </w:rPr>
              <w:t>0,0</w:t>
            </w:r>
          </w:p>
        </w:tc>
      </w:tr>
      <w:tr w:rsidR="00667944" w:rsidTr="00667944">
        <w:trPr>
          <w:trHeight w:val="39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CC2E5"/>
              <w:left w:val="single" w:sz="4" w:space="0" w:color="9CC2E5"/>
              <w:bottom w:val="single" w:sz="4" w:space="0" w:color="9CC2E5"/>
              <w:right w:val="single" w:sz="4" w:space="0" w:color="9CC2E5"/>
            </w:tcBorders>
            <w:vAlign w:val="center"/>
            <w:hideMark/>
          </w:tcPr>
          <w:p w:rsidR="00667944" w:rsidRDefault="00667944">
            <w:pPr>
              <w:ind w:firstLine="0"/>
              <w:jc w:val="left"/>
              <w:rPr>
                <w:rFonts w:cs="Times New Roman"/>
                <w:color w:val="000000" w:themeColor="text1"/>
                <w:sz w:val="20"/>
                <w:szCs w:val="20"/>
                <w:lang w:eastAsia="lv-LV"/>
              </w:rPr>
            </w:pPr>
          </w:p>
        </w:tc>
        <w:tc>
          <w:tcPr>
            <w:tcW w:w="1837" w:type="dxa"/>
            <w:tcBorders>
              <w:top w:val="single" w:sz="4" w:space="0" w:color="9CC2E5"/>
              <w:left w:val="single" w:sz="4" w:space="0" w:color="9CC2E5"/>
              <w:bottom w:val="single" w:sz="4" w:space="0" w:color="9CC2E5"/>
              <w:right w:val="single" w:sz="4" w:space="0" w:color="9CC2E5"/>
            </w:tcBorders>
            <w:hideMark/>
          </w:tcPr>
          <w:p w:rsidR="00667944" w:rsidRDefault="00667944">
            <w:pPr>
              <w:spacing w:after="160" w:line="256"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Pr>
                <w:rFonts w:cs="Times New Roman"/>
                <w:color w:val="000000" w:themeColor="text1"/>
                <w:sz w:val="20"/>
                <w:szCs w:val="20"/>
                <w:lang w:eastAsia="lv-LV"/>
              </w:rPr>
              <w:t>Garantijas lielajiem komersantiem</w:t>
            </w:r>
          </w:p>
        </w:tc>
        <w:tc>
          <w:tcPr>
            <w:tcW w:w="1843" w:type="dxa"/>
            <w:tcBorders>
              <w:top w:val="single" w:sz="4" w:space="0" w:color="9CC2E5"/>
              <w:left w:val="single" w:sz="4" w:space="0" w:color="9CC2E5"/>
              <w:bottom w:val="single" w:sz="4" w:space="0" w:color="9CC2E5"/>
              <w:right w:val="single" w:sz="4" w:space="0" w:color="9CC2E5"/>
            </w:tcBorders>
            <w:noWrap/>
            <w:hideMark/>
          </w:tcPr>
          <w:p w:rsidR="00667944" w:rsidRDefault="00667944">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Pr>
                <w:rFonts w:cs="Times New Roman"/>
                <w:color w:val="000000" w:themeColor="text1"/>
                <w:sz w:val="20"/>
                <w:szCs w:val="20"/>
                <w:lang w:eastAsia="lv-LV"/>
              </w:rPr>
              <w:t>14.07.2020</w:t>
            </w:r>
          </w:p>
        </w:tc>
        <w:tc>
          <w:tcPr>
            <w:tcW w:w="2268" w:type="dxa"/>
            <w:tcBorders>
              <w:top w:val="single" w:sz="4" w:space="0" w:color="9CC2E5"/>
              <w:left w:val="single" w:sz="4" w:space="0" w:color="9CC2E5"/>
              <w:bottom w:val="single" w:sz="4" w:space="0" w:color="9CC2E5"/>
              <w:right w:val="single" w:sz="4" w:space="0" w:color="9CC2E5"/>
            </w:tcBorders>
            <w:noWrap/>
            <w:hideMark/>
          </w:tcPr>
          <w:p w:rsidR="00667944" w:rsidRDefault="00667944">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Pr>
                <w:rFonts w:cs="Times New Roman"/>
                <w:color w:val="000000" w:themeColor="text1"/>
                <w:sz w:val="20"/>
                <w:szCs w:val="20"/>
                <w:lang w:eastAsia="lv-LV"/>
              </w:rPr>
              <w:t>0,2</w:t>
            </w:r>
          </w:p>
        </w:tc>
        <w:tc>
          <w:tcPr>
            <w:tcW w:w="1417" w:type="dxa"/>
            <w:tcBorders>
              <w:top w:val="single" w:sz="4" w:space="0" w:color="9CC2E5"/>
              <w:left w:val="single" w:sz="4" w:space="0" w:color="9CC2E5"/>
              <w:bottom w:val="single" w:sz="4" w:space="0" w:color="9CC2E5"/>
              <w:right w:val="single" w:sz="4" w:space="0" w:color="9CC2E5"/>
            </w:tcBorders>
            <w:noWrap/>
            <w:hideMark/>
          </w:tcPr>
          <w:p w:rsidR="00667944" w:rsidRDefault="00667944">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Pr>
                <w:rFonts w:cs="Times New Roman"/>
                <w:color w:val="000000" w:themeColor="text1"/>
                <w:sz w:val="20"/>
                <w:szCs w:val="20"/>
                <w:lang w:eastAsia="lv-LV"/>
              </w:rPr>
              <w:t>0,0</w:t>
            </w:r>
          </w:p>
        </w:tc>
      </w:tr>
      <w:tr w:rsidR="00667944" w:rsidTr="006679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CC2E5"/>
              <w:left w:val="single" w:sz="4" w:space="0" w:color="9CC2E5"/>
              <w:bottom w:val="single" w:sz="4" w:space="0" w:color="9CC2E5"/>
              <w:right w:val="single" w:sz="4" w:space="0" w:color="9CC2E5"/>
            </w:tcBorders>
            <w:vAlign w:val="center"/>
            <w:hideMark/>
          </w:tcPr>
          <w:p w:rsidR="00667944" w:rsidRDefault="00667944">
            <w:pPr>
              <w:ind w:firstLine="0"/>
              <w:jc w:val="left"/>
              <w:rPr>
                <w:rFonts w:cs="Times New Roman"/>
                <w:color w:val="000000" w:themeColor="text1"/>
                <w:sz w:val="20"/>
                <w:szCs w:val="20"/>
                <w:lang w:eastAsia="lv-LV"/>
              </w:rPr>
            </w:pPr>
          </w:p>
        </w:tc>
        <w:tc>
          <w:tcPr>
            <w:tcW w:w="3680" w:type="dxa"/>
            <w:gridSpan w:val="2"/>
            <w:tcBorders>
              <w:top w:val="single" w:sz="4" w:space="0" w:color="9CC2E5"/>
              <w:left w:val="single" w:sz="4" w:space="0" w:color="9CC2E5"/>
              <w:bottom w:val="single" w:sz="4" w:space="0" w:color="9CC2E5"/>
              <w:right w:val="single" w:sz="4" w:space="0" w:color="9CC2E5"/>
            </w:tcBorders>
            <w:hideMark/>
          </w:tcPr>
          <w:p w:rsidR="00667944" w:rsidRDefault="00667944">
            <w:pPr>
              <w:spacing w:after="160" w:line="256" w:lineRule="auto"/>
              <w:ind w:firstLine="0"/>
              <w:jc w:val="right"/>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Pr>
                <w:rFonts w:cs="Times New Roman"/>
                <w:bCs/>
                <w:color w:val="000000"/>
                <w:sz w:val="20"/>
                <w:szCs w:val="20"/>
              </w:rPr>
              <w:t>Kopā</w:t>
            </w:r>
          </w:p>
        </w:tc>
        <w:tc>
          <w:tcPr>
            <w:tcW w:w="2268" w:type="dxa"/>
            <w:tcBorders>
              <w:top w:val="single" w:sz="4" w:space="0" w:color="9CC2E5"/>
              <w:left w:val="single" w:sz="4" w:space="0" w:color="9CC2E5"/>
              <w:bottom w:val="single" w:sz="4" w:space="0" w:color="9CC2E5"/>
              <w:right w:val="single" w:sz="4" w:space="0" w:color="9CC2E5"/>
            </w:tcBorders>
            <w:noWrap/>
            <w:hideMark/>
          </w:tcPr>
          <w:p w:rsidR="00667944" w:rsidRDefault="00667944">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Pr>
                <w:rFonts w:cs="Times New Roman"/>
                <w:color w:val="000000" w:themeColor="text1"/>
                <w:sz w:val="20"/>
                <w:szCs w:val="20"/>
                <w:lang w:eastAsia="lv-LV"/>
              </w:rPr>
              <w:t>2,1</w:t>
            </w:r>
          </w:p>
        </w:tc>
        <w:tc>
          <w:tcPr>
            <w:tcW w:w="1417" w:type="dxa"/>
            <w:tcBorders>
              <w:top w:val="single" w:sz="4" w:space="0" w:color="9CC2E5"/>
              <w:left w:val="single" w:sz="4" w:space="0" w:color="9CC2E5"/>
              <w:bottom w:val="single" w:sz="4" w:space="0" w:color="9CC2E5"/>
              <w:right w:val="single" w:sz="4" w:space="0" w:color="9CC2E5"/>
            </w:tcBorders>
            <w:noWrap/>
            <w:hideMark/>
          </w:tcPr>
          <w:p w:rsidR="00667944" w:rsidRDefault="00667944">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Pr>
                <w:rFonts w:cs="Times New Roman"/>
                <w:color w:val="000000" w:themeColor="text1"/>
                <w:sz w:val="20"/>
                <w:szCs w:val="20"/>
                <w:lang w:eastAsia="lv-LV"/>
              </w:rPr>
              <w:t>0,3</w:t>
            </w:r>
          </w:p>
        </w:tc>
      </w:tr>
      <w:tr w:rsidR="00667944" w:rsidTr="00667944">
        <w:trPr>
          <w:trHeight w:val="397"/>
        </w:trPr>
        <w:tc>
          <w:tcPr>
            <w:cnfStyle w:val="001000000000" w:firstRow="0" w:lastRow="0" w:firstColumn="1" w:lastColumn="0" w:oddVBand="0" w:evenVBand="0" w:oddHBand="0" w:evenHBand="0" w:firstRowFirstColumn="0" w:firstRowLastColumn="0" w:lastRowFirstColumn="0" w:lastRowLastColumn="0"/>
            <w:tcW w:w="1135" w:type="dxa"/>
            <w:vMerge w:val="restart"/>
            <w:tcBorders>
              <w:top w:val="single" w:sz="4" w:space="0" w:color="9CC2E5"/>
              <w:left w:val="single" w:sz="4" w:space="0" w:color="9CC2E5"/>
              <w:bottom w:val="single" w:sz="4" w:space="0" w:color="9CC2E5"/>
              <w:right w:val="single" w:sz="4" w:space="0" w:color="9CC2E5"/>
            </w:tcBorders>
            <w:noWrap/>
            <w:vAlign w:val="center"/>
            <w:hideMark/>
          </w:tcPr>
          <w:p w:rsidR="00667944" w:rsidRDefault="00667944">
            <w:pPr>
              <w:spacing w:after="160" w:line="256" w:lineRule="auto"/>
              <w:ind w:firstLine="0"/>
              <w:jc w:val="center"/>
              <w:rPr>
                <w:rFonts w:cs="Times New Roman"/>
                <w:color w:val="000000" w:themeColor="text1"/>
                <w:sz w:val="20"/>
                <w:szCs w:val="20"/>
                <w:lang w:eastAsia="lv-LV"/>
              </w:rPr>
            </w:pPr>
            <w:r>
              <w:rPr>
                <w:rFonts w:cs="Times New Roman"/>
                <w:b w:val="0"/>
                <w:bCs w:val="0"/>
                <w:color w:val="000000" w:themeColor="text1"/>
                <w:sz w:val="20"/>
                <w:szCs w:val="20"/>
                <w:lang w:eastAsia="lv-LV"/>
              </w:rPr>
              <w:t>Citi</w:t>
            </w:r>
            <w:r>
              <w:rPr>
                <w:rStyle w:val="FootnoteReference"/>
                <w:rFonts w:cs="Times New Roman"/>
                <w:b w:val="0"/>
                <w:bCs w:val="0"/>
                <w:color w:val="000000" w:themeColor="text1"/>
                <w:szCs w:val="20"/>
                <w:lang w:eastAsia="lv-LV"/>
              </w:rPr>
              <w:footnoteReference w:id="25"/>
            </w:r>
          </w:p>
        </w:tc>
        <w:tc>
          <w:tcPr>
            <w:tcW w:w="1837" w:type="dxa"/>
            <w:tcBorders>
              <w:top w:val="single" w:sz="4" w:space="0" w:color="9CC2E5"/>
              <w:left w:val="single" w:sz="4" w:space="0" w:color="9CC2E5"/>
              <w:bottom w:val="single" w:sz="4" w:space="0" w:color="9CC2E5"/>
              <w:right w:val="single" w:sz="4" w:space="0" w:color="9CC2E5"/>
            </w:tcBorders>
            <w:hideMark/>
          </w:tcPr>
          <w:p w:rsidR="00667944" w:rsidRDefault="00667944">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Pr>
                <w:rFonts w:cs="Times New Roman"/>
                <w:color w:val="000000" w:themeColor="text1"/>
                <w:sz w:val="20"/>
                <w:szCs w:val="20"/>
                <w:lang w:eastAsia="lv-LV"/>
              </w:rPr>
              <w:t>Centrālās valdības un pašvaldību garantijas</w:t>
            </w:r>
          </w:p>
        </w:tc>
        <w:tc>
          <w:tcPr>
            <w:tcW w:w="1843" w:type="dxa"/>
            <w:tcBorders>
              <w:top w:val="single" w:sz="4" w:space="0" w:color="9CC2E5"/>
              <w:left w:val="single" w:sz="4" w:space="0" w:color="9CC2E5"/>
              <w:bottom w:val="single" w:sz="4" w:space="0" w:color="9CC2E5"/>
              <w:right w:val="single" w:sz="4" w:space="0" w:color="9CC2E5"/>
            </w:tcBorders>
            <w:noWrap/>
            <w:vAlign w:val="center"/>
          </w:tcPr>
          <w:p w:rsidR="00667944" w:rsidRDefault="00667944">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2268" w:type="dxa"/>
            <w:tcBorders>
              <w:top w:val="single" w:sz="4" w:space="0" w:color="9CC2E5"/>
              <w:left w:val="single" w:sz="4" w:space="0" w:color="9CC2E5"/>
              <w:bottom w:val="single" w:sz="4" w:space="0" w:color="9CC2E5"/>
              <w:right w:val="single" w:sz="4" w:space="0" w:color="9CC2E5"/>
            </w:tcBorders>
            <w:noWrap/>
          </w:tcPr>
          <w:p w:rsidR="00667944" w:rsidRDefault="00667944">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p>
        </w:tc>
        <w:tc>
          <w:tcPr>
            <w:tcW w:w="1417" w:type="dxa"/>
            <w:tcBorders>
              <w:top w:val="single" w:sz="4" w:space="0" w:color="9CC2E5"/>
              <w:left w:val="single" w:sz="4" w:space="0" w:color="9CC2E5"/>
              <w:bottom w:val="single" w:sz="4" w:space="0" w:color="9CC2E5"/>
              <w:right w:val="single" w:sz="4" w:space="0" w:color="9CC2E5"/>
            </w:tcBorders>
            <w:noWrap/>
            <w:hideMark/>
          </w:tcPr>
          <w:p w:rsidR="00667944" w:rsidRDefault="00667944">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Pr>
                <w:rFonts w:cs="Times New Roman"/>
                <w:color w:val="000000" w:themeColor="text1"/>
                <w:sz w:val="20"/>
                <w:szCs w:val="20"/>
                <w:lang w:eastAsia="lv-LV"/>
              </w:rPr>
              <w:t>1,7</w:t>
            </w:r>
          </w:p>
        </w:tc>
      </w:tr>
      <w:tr w:rsidR="00667944" w:rsidTr="006679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CC2E5"/>
              <w:left w:val="single" w:sz="4" w:space="0" w:color="9CC2E5"/>
              <w:bottom w:val="single" w:sz="4" w:space="0" w:color="9CC2E5"/>
              <w:right w:val="single" w:sz="4" w:space="0" w:color="9CC2E5"/>
            </w:tcBorders>
            <w:vAlign w:val="center"/>
            <w:hideMark/>
          </w:tcPr>
          <w:p w:rsidR="00667944" w:rsidRDefault="00667944">
            <w:pPr>
              <w:ind w:firstLine="0"/>
              <w:jc w:val="left"/>
              <w:rPr>
                <w:rFonts w:cs="Times New Roman"/>
                <w:color w:val="000000" w:themeColor="text1"/>
                <w:sz w:val="20"/>
                <w:szCs w:val="20"/>
                <w:lang w:eastAsia="lv-LV"/>
              </w:rPr>
            </w:pPr>
          </w:p>
        </w:tc>
        <w:tc>
          <w:tcPr>
            <w:tcW w:w="3680" w:type="dxa"/>
            <w:gridSpan w:val="2"/>
            <w:tcBorders>
              <w:top w:val="single" w:sz="4" w:space="0" w:color="9CC2E5"/>
              <w:left w:val="single" w:sz="4" w:space="0" w:color="9CC2E5"/>
              <w:bottom w:val="single" w:sz="4" w:space="0" w:color="9CC2E5"/>
              <w:right w:val="single" w:sz="4" w:space="0" w:color="9CC2E5"/>
            </w:tcBorders>
            <w:hideMark/>
          </w:tcPr>
          <w:p w:rsidR="00667944" w:rsidRDefault="00667944">
            <w:pPr>
              <w:spacing w:after="160" w:line="256" w:lineRule="auto"/>
              <w:ind w:firstLine="0"/>
              <w:jc w:val="right"/>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Pr>
                <w:rFonts w:cs="Times New Roman"/>
                <w:bCs/>
                <w:color w:val="000000"/>
                <w:sz w:val="20"/>
                <w:szCs w:val="20"/>
              </w:rPr>
              <w:t>Kopā</w:t>
            </w:r>
          </w:p>
        </w:tc>
        <w:tc>
          <w:tcPr>
            <w:tcW w:w="2268" w:type="dxa"/>
            <w:tcBorders>
              <w:top w:val="single" w:sz="4" w:space="0" w:color="9CC2E5"/>
              <w:left w:val="single" w:sz="4" w:space="0" w:color="9CC2E5"/>
              <w:bottom w:val="single" w:sz="4" w:space="0" w:color="9CC2E5"/>
              <w:right w:val="single" w:sz="4" w:space="0" w:color="9CC2E5"/>
            </w:tcBorders>
            <w:noWrap/>
          </w:tcPr>
          <w:p w:rsidR="00667944" w:rsidRDefault="00667944">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p>
        </w:tc>
        <w:tc>
          <w:tcPr>
            <w:tcW w:w="1417" w:type="dxa"/>
            <w:tcBorders>
              <w:top w:val="single" w:sz="4" w:space="0" w:color="9CC2E5"/>
              <w:left w:val="single" w:sz="4" w:space="0" w:color="9CC2E5"/>
              <w:bottom w:val="single" w:sz="4" w:space="0" w:color="9CC2E5"/>
              <w:right w:val="single" w:sz="4" w:space="0" w:color="9CC2E5"/>
            </w:tcBorders>
            <w:noWrap/>
            <w:hideMark/>
          </w:tcPr>
          <w:p w:rsidR="00667944" w:rsidRDefault="00667944">
            <w:pPr>
              <w:spacing w:after="160" w:line="25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 w:val="20"/>
                <w:szCs w:val="20"/>
                <w:lang w:eastAsia="lv-LV"/>
              </w:rPr>
            </w:pPr>
            <w:r>
              <w:rPr>
                <w:rFonts w:cs="Times New Roman"/>
                <w:bCs/>
                <w:color w:val="000000" w:themeColor="text1"/>
                <w:sz w:val="20"/>
                <w:szCs w:val="20"/>
                <w:lang w:eastAsia="lv-LV"/>
              </w:rPr>
              <w:t>1,7</w:t>
            </w:r>
          </w:p>
        </w:tc>
      </w:tr>
      <w:tr w:rsidR="00667944" w:rsidTr="00667944">
        <w:trPr>
          <w:trHeight w:hRule="exact" w:val="397"/>
        </w:trPr>
        <w:tc>
          <w:tcPr>
            <w:cnfStyle w:val="001000000000" w:firstRow="0" w:lastRow="0" w:firstColumn="1" w:lastColumn="0" w:oddVBand="0" w:evenVBand="0" w:oddHBand="0" w:evenHBand="0" w:firstRowFirstColumn="0" w:firstRowLastColumn="0" w:lastRowFirstColumn="0" w:lastRowLastColumn="0"/>
            <w:tcW w:w="4815" w:type="dxa"/>
            <w:gridSpan w:val="3"/>
            <w:tcBorders>
              <w:top w:val="single" w:sz="4" w:space="0" w:color="9CC2E5"/>
              <w:left w:val="single" w:sz="4" w:space="0" w:color="9CC2E5"/>
              <w:bottom w:val="single" w:sz="4" w:space="0" w:color="9CC2E5"/>
              <w:right w:val="single" w:sz="4" w:space="0" w:color="9CC2E5"/>
            </w:tcBorders>
            <w:shd w:val="clear" w:color="auto" w:fill="DEEAF6" w:themeFill="accent1" w:themeFillTint="33"/>
            <w:noWrap/>
            <w:hideMark/>
          </w:tcPr>
          <w:p w:rsidR="00667944" w:rsidRDefault="00667944">
            <w:pPr>
              <w:spacing w:after="160" w:line="256" w:lineRule="auto"/>
              <w:ind w:firstLine="0"/>
              <w:jc w:val="center"/>
              <w:rPr>
                <w:rFonts w:cs="Times New Roman"/>
                <w:b w:val="0"/>
                <w:bCs w:val="0"/>
                <w:color w:val="000000"/>
                <w:sz w:val="20"/>
                <w:szCs w:val="20"/>
              </w:rPr>
            </w:pPr>
            <w:r>
              <w:rPr>
                <w:rFonts w:cs="Times New Roman"/>
                <w:b w:val="0"/>
                <w:bCs w:val="0"/>
                <w:color w:val="000000"/>
                <w:sz w:val="20"/>
                <w:szCs w:val="20"/>
              </w:rPr>
              <w:t>Kopā</w:t>
            </w:r>
          </w:p>
        </w:tc>
        <w:tc>
          <w:tcPr>
            <w:tcW w:w="2268" w:type="dxa"/>
            <w:tcBorders>
              <w:top w:val="single" w:sz="4" w:space="0" w:color="9CC2E5"/>
              <w:left w:val="single" w:sz="4" w:space="0" w:color="9CC2E5"/>
              <w:bottom w:val="single" w:sz="4" w:space="0" w:color="9CC2E5"/>
              <w:right w:val="single" w:sz="4" w:space="0" w:color="9CC2E5"/>
            </w:tcBorders>
            <w:shd w:val="clear" w:color="auto" w:fill="DEEAF6" w:themeFill="accent1" w:themeFillTint="33"/>
            <w:noWrap/>
            <w:hideMark/>
          </w:tcPr>
          <w:p w:rsidR="00667944" w:rsidRDefault="00667944">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sz w:val="20"/>
                <w:szCs w:val="20"/>
                <w:lang w:eastAsia="lv-LV"/>
              </w:rPr>
            </w:pPr>
            <w:r>
              <w:rPr>
                <w:rFonts w:cs="Times New Roman"/>
                <w:b/>
                <w:bCs/>
                <w:color w:val="000000" w:themeColor="text1"/>
                <w:sz w:val="20"/>
                <w:szCs w:val="20"/>
                <w:lang w:eastAsia="lv-LV"/>
              </w:rPr>
              <w:t>2,1</w:t>
            </w:r>
          </w:p>
        </w:tc>
        <w:tc>
          <w:tcPr>
            <w:tcW w:w="1417" w:type="dxa"/>
            <w:tcBorders>
              <w:top w:val="single" w:sz="4" w:space="0" w:color="9CC2E5"/>
              <w:left w:val="single" w:sz="4" w:space="0" w:color="9CC2E5"/>
              <w:bottom w:val="single" w:sz="4" w:space="0" w:color="9CC2E5"/>
              <w:right w:val="single" w:sz="4" w:space="0" w:color="9CC2E5"/>
            </w:tcBorders>
            <w:shd w:val="clear" w:color="auto" w:fill="DEEAF6" w:themeFill="accent1" w:themeFillTint="33"/>
            <w:noWrap/>
            <w:hideMark/>
          </w:tcPr>
          <w:p w:rsidR="00667944" w:rsidRDefault="00667944">
            <w:pPr>
              <w:spacing w:after="160" w:line="25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sz w:val="20"/>
                <w:szCs w:val="20"/>
                <w:lang w:eastAsia="lv-LV"/>
              </w:rPr>
            </w:pPr>
            <w:r>
              <w:rPr>
                <w:rFonts w:cs="Times New Roman"/>
                <w:b/>
                <w:bCs/>
                <w:color w:val="000000" w:themeColor="text1"/>
                <w:sz w:val="20"/>
                <w:szCs w:val="20"/>
                <w:lang w:eastAsia="lv-LV"/>
              </w:rPr>
              <w:t>2,0</w:t>
            </w:r>
          </w:p>
        </w:tc>
      </w:tr>
    </w:tbl>
    <w:p w:rsidR="00DF348A" w:rsidRDefault="00DF348A" w:rsidP="00BF4753">
      <w:pPr>
        <w:keepNext/>
        <w:spacing w:after="120"/>
        <w:ind w:firstLine="0"/>
        <w:jc w:val="left"/>
        <w:rPr>
          <w:rFonts w:eastAsia="Times New Roman" w:cs="Times New Roman"/>
          <w:b/>
          <w:color w:val="000000"/>
          <w:sz w:val="24"/>
          <w:szCs w:val="24"/>
        </w:rPr>
      </w:pPr>
    </w:p>
    <w:p w:rsidR="00BF4753" w:rsidRPr="00242D09" w:rsidRDefault="00BF4753" w:rsidP="00BF4753">
      <w:pPr>
        <w:keepNext/>
        <w:spacing w:after="120"/>
        <w:ind w:firstLine="0"/>
        <w:jc w:val="left"/>
        <w:rPr>
          <w:rFonts w:eastAsia="Times New Roman" w:cs="Times New Roman"/>
          <w:b/>
          <w:color w:val="000000"/>
          <w:sz w:val="24"/>
          <w:szCs w:val="24"/>
          <w:vertAlign w:val="superscript"/>
        </w:rPr>
      </w:pPr>
      <w:r w:rsidRPr="00242D09">
        <w:rPr>
          <w:rFonts w:eastAsia="Times New Roman" w:cs="Times New Roman"/>
          <w:b/>
          <w:color w:val="000000"/>
          <w:sz w:val="24"/>
          <w:szCs w:val="24"/>
        </w:rPr>
        <w:t>9b.</w:t>
      </w:r>
      <w:r>
        <w:rPr>
          <w:rFonts w:eastAsia="Times New Roman" w:cs="Times New Roman"/>
          <w:b/>
          <w:color w:val="000000"/>
          <w:sz w:val="24"/>
          <w:szCs w:val="24"/>
        </w:rPr>
        <w:t xml:space="preserve"> </w:t>
      </w:r>
      <w:r w:rsidRPr="00242D09">
        <w:rPr>
          <w:rFonts w:eastAsia="Times New Roman" w:cs="Times New Roman"/>
          <w:b/>
          <w:color w:val="000000"/>
          <w:sz w:val="24"/>
          <w:szCs w:val="24"/>
        </w:rPr>
        <w:t>tabula. Diskrecionārie pasākumi</w:t>
      </w:r>
      <w:r w:rsidRPr="00242D09">
        <w:rPr>
          <w:rFonts w:ascii="Garamond" w:eastAsia="Times New Roman" w:hAnsi="Garamond" w:cs="Times New Roman"/>
          <w:b/>
          <w:color w:val="000000"/>
          <w:sz w:val="20"/>
          <w:szCs w:val="24"/>
          <w:vertAlign w:val="superscript"/>
        </w:rPr>
        <w:footnoteReference w:id="26"/>
      </w:r>
    </w:p>
    <w:tbl>
      <w:tblPr>
        <w:tblStyle w:val="GridTable6Colorful-Accent1173"/>
        <w:tblW w:w="9493" w:type="dxa"/>
        <w:jc w:val="center"/>
        <w:tblLook w:val="04A0" w:firstRow="1" w:lastRow="0" w:firstColumn="1" w:lastColumn="0" w:noHBand="0" w:noVBand="1"/>
      </w:tblPr>
      <w:tblGrid>
        <w:gridCol w:w="4257"/>
        <w:gridCol w:w="662"/>
        <w:gridCol w:w="1606"/>
        <w:gridCol w:w="2968"/>
      </w:tblGrid>
      <w:tr w:rsidR="00BF4753" w:rsidRPr="00F009B4" w:rsidTr="00F009B4">
        <w:trPr>
          <w:cnfStyle w:val="100000000000" w:firstRow="1" w:lastRow="0" w:firstColumn="0" w:lastColumn="0" w:oddVBand="0" w:evenVBand="0" w:oddHBand="0"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4257" w:type="dxa"/>
            <w:shd w:val="clear" w:color="auto" w:fill="DEEAF6"/>
            <w:noWrap/>
            <w:vAlign w:val="center"/>
          </w:tcPr>
          <w:p w:rsidR="00BF4753" w:rsidRPr="00F009B4" w:rsidRDefault="00BF4753" w:rsidP="002D7CA8">
            <w:pPr>
              <w:spacing w:after="160" w:line="259" w:lineRule="auto"/>
              <w:ind w:firstLine="0"/>
              <w:jc w:val="center"/>
              <w:rPr>
                <w:rFonts w:cs="Times New Roman"/>
                <w:color w:val="000000"/>
                <w:sz w:val="20"/>
                <w:szCs w:val="20"/>
              </w:rPr>
            </w:pPr>
            <w:r w:rsidRPr="00F009B4">
              <w:rPr>
                <w:rFonts w:cs="Times New Roman"/>
                <w:bCs w:val="0"/>
                <w:color w:val="000000"/>
                <w:sz w:val="20"/>
                <w:szCs w:val="20"/>
              </w:rPr>
              <w:t>Atbalsta pasākums</w:t>
            </w:r>
          </w:p>
        </w:tc>
        <w:tc>
          <w:tcPr>
            <w:tcW w:w="662" w:type="dxa"/>
            <w:shd w:val="clear" w:color="auto" w:fill="DEEAF6"/>
            <w:vAlign w:val="center"/>
          </w:tcPr>
          <w:p w:rsidR="00BF4753" w:rsidRPr="00F009B4" w:rsidRDefault="00BF4753" w:rsidP="002D7CA8">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rPr>
            </w:pPr>
            <w:r w:rsidRPr="00F009B4">
              <w:rPr>
                <w:rFonts w:cs="Times New Roman"/>
                <w:bCs w:val="0"/>
                <w:color w:val="000000"/>
                <w:sz w:val="20"/>
                <w:szCs w:val="20"/>
              </w:rPr>
              <w:t xml:space="preserve">EKS kods </w:t>
            </w:r>
          </w:p>
        </w:tc>
        <w:tc>
          <w:tcPr>
            <w:tcW w:w="1606" w:type="dxa"/>
            <w:shd w:val="clear" w:color="auto" w:fill="DEEAF6"/>
            <w:noWrap/>
            <w:vAlign w:val="center"/>
          </w:tcPr>
          <w:p w:rsidR="00BF4753" w:rsidRPr="00F009B4" w:rsidRDefault="00BF4753" w:rsidP="002D7CA8">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rPr>
            </w:pPr>
            <w:r w:rsidRPr="00F009B4">
              <w:rPr>
                <w:rFonts w:cs="Times New Roman"/>
                <w:bCs w:val="0"/>
                <w:color w:val="000000"/>
                <w:sz w:val="20"/>
                <w:szCs w:val="20"/>
              </w:rPr>
              <w:t>Apstiprināšanas datums</w:t>
            </w:r>
          </w:p>
        </w:tc>
        <w:tc>
          <w:tcPr>
            <w:tcW w:w="2968" w:type="dxa"/>
            <w:shd w:val="clear" w:color="auto" w:fill="DEEAF6"/>
            <w:noWrap/>
            <w:vAlign w:val="center"/>
          </w:tcPr>
          <w:p w:rsidR="00BF4753" w:rsidRPr="00F009B4" w:rsidRDefault="00BF4753" w:rsidP="002D7CA8">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sz w:val="20"/>
                <w:szCs w:val="20"/>
              </w:rPr>
            </w:pPr>
            <w:r w:rsidRPr="00F009B4">
              <w:rPr>
                <w:rFonts w:cs="Times New Roman"/>
                <w:bCs w:val="0"/>
                <w:color w:val="000000"/>
                <w:sz w:val="20"/>
                <w:szCs w:val="20"/>
              </w:rPr>
              <w:t>Ietekme uz bilanci, % no IKP</w:t>
            </w:r>
          </w:p>
          <w:p w:rsidR="00BF4753" w:rsidRPr="00F009B4" w:rsidRDefault="00BF4753" w:rsidP="002D7CA8">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sz w:val="20"/>
                <w:szCs w:val="20"/>
              </w:rPr>
            </w:pPr>
            <w:r w:rsidRPr="00F009B4">
              <w:rPr>
                <w:rFonts w:cs="Times New Roman"/>
                <w:bCs w:val="0"/>
                <w:color w:val="000000"/>
                <w:sz w:val="20"/>
                <w:szCs w:val="20"/>
              </w:rPr>
              <w:t xml:space="preserve"> (izmaiņas pret iepriekšējo gadu)</w:t>
            </w:r>
          </w:p>
        </w:tc>
      </w:tr>
    </w:tbl>
    <w:tbl>
      <w:tblPr>
        <w:tblStyle w:val="GridTable6Colorful-Accent1183"/>
        <w:tblW w:w="9404" w:type="dxa"/>
        <w:jc w:val="center"/>
        <w:tblLook w:val="04A0" w:firstRow="1" w:lastRow="0" w:firstColumn="1" w:lastColumn="0" w:noHBand="0" w:noVBand="1"/>
      </w:tblPr>
      <w:tblGrid>
        <w:gridCol w:w="1127"/>
        <w:gridCol w:w="3125"/>
        <w:gridCol w:w="709"/>
        <w:gridCol w:w="1559"/>
        <w:gridCol w:w="851"/>
        <w:gridCol w:w="708"/>
        <w:gridCol w:w="709"/>
        <w:gridCol w:w="616"/>
      </w:tblGrid>
      <w:tr w:rsidR="00BF4753" w:rsidRPr="00F009B4" w:rsidTr="00F009B4">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6520" w:type="dxa"/>
            <w:gridSpan w:val="4"/>
            <w:noWrap/>
          </w:tcPr>
          <w:p w:rsidR="00BF4753" w:rsidRPr="00F009B4" w:rsidRDefault="00BF4753" w:rsidP="002D7CA8">
            <w:pPr>
              <w:spacing w:after="160" w:line="259" w:lineRule="auto"/>
              <w:ind w:firstLine="0"/>
              <w:jc w:val="center"/>
              <w:rPr>
                <w:rFonts w:cs="Times New Roman"/>
                <w:bCs w:val="0"/>
                <w:color w:val="000000" w:themeColor="text1"/>
                <w:sz w:val="20"/>
                <w:szCs w:val="20"/>
                <w:lang w:eastAsia="lv-LV"/>
              </w:rPr>
            </w:pPr>
          </w:p>
        </w:tc>
        <w:tc>
          <w:tcPr>
            <w:tcW w:w="851" w:type="dxa"/>
            <w:noWrap/>
          </w:tcPr>
          <w:p w:rsidR="00BF4753" w:rsidRPr="00F009B4" w:rsidRDefault="00BF4753" w:rsidP="002D7CA8">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rPr>
            </w:pPr>
            <w:r w:rsidRPr="00F009B4">
              <w:rPr>
                <w:rFonts w:cs="Times New Roman"/>
                <w:bCs w:val="0"/>
                <w:color w:val="000000"/>
                <w:sz w:val="20"/>
                <w:szCs w:val="20"/>
              </w:rPr>
              <w:t>2020</w:t>
            </w:r>
          </w:p>
        </w:tc>
        <w:tc>
          <w:tcPr>
            <w:tcW w:w="708" w:type="dxa"/>
            <w:noWrap/>
          </w:tcPr>
          <w:p w:rsidR="00BF4753" w:rsidRPr="00F009B4" w:rsidRDefault="00BF4753" w:rsidP="002D7CA8">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rPr>
            </w:pPr>
            <w:r w:rsidRPr="00F009B4">
              <w:rPr>
                <w:rFonts w:cs="Times New Roman"/>
                <w:bCs w:val="0"/>
                <w:color w:val="000000"/>
                <w:sz w:val="20"/>
                <w:szCs w:val="20"/>
              </w:rPr>
              <w:t>2021</w:t>
            </w:r>
          </w:p>
        </w:tc>
        <w:tc>
          <w:tcPr>
            <w:tcW w:w="709" w:type="dxa"/>
            <w:noWrap/>
          </w:tcPr>
          <w:p w:rsidR="00BF4753" w:rsidRPr="00F009B4" w:rsidRDefault="00BF4753" w:rsidP="002D7CA8">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rPr>
            </w:pPr>
            <w:r w:rsidRPr="00F009B4">
              <w:rPr>
                <w:rFonts w:cs="Times New Roman"/>
                <w:bCs w:val="0"/>
                <w:color w:val="000000"/>
                <w:sz w:val="20"/>
                <w:szCs w:val="20"/>
              </w:rPr>
              <w:t>2022</w:t>
            </w:r>
          </w:p>
        </w:tc>
        <w:tc>
          <w:tcPr>
            <w:tcW w:w="616" w:type="dxa"/>
            <w:noWrap/>
          </w:tcPr>
          <w:p w:rsidR="00BF4753" w:rsidRPr="00F009B4" w:rsidRDefault="00BF4753" w:rsidP="002D7CA8">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rPr>
            </w:pPr>
            <w:r w:rsidRPr="00F009B4">
              <w:rPr>
                <w:rFonts w:cs="Times New Roman"/>
                <w:bCs w:val="0"/>
                <w:color w:val="000000"/>
                <w:sz w:val="20"/>
                <w:szCs w:val="20"/>
              </w:rPr>
              <w:t>2023</w:t>
            </w:r>
          </w:p>
        </w:tc>
      </w:tr>
      <w:tr w:rsidR="00BF4753" w:rsidRPr="00242D09" w:rsidTr="00F009B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706" w:type="dxa"/>
            <w:vMerge w:val="restart"/>
            <w:noWrap/>
            <w:vAlign w:val="center"/>
          </w:tcPr>
          <w:p w:rsidR="00BF4753" w:rsidRPr="00242D09" w:rsidRDefault="00BF4753" w:rsidP="002D7CA8">
            <w:pPr>
              <w:spacing w:after="160" w:line="259" w:lineRule="auto"/>
              <w:ind w:firstLine="0"/>
              <w:jc w:val="center"/>
              <w:rPr>
                <w:rFonts w:cs="Times New Roman"/>
                <w:i/>
                <w:iCs/>
                <w:color w:val="000000" w:themeColor="text1"/>
                <w:sz w:val="20"/>
                <w:szCs w:val="20"/>
                <w:vertAlign w:val="superscript"/>
                <w:lang w:eastAsia="lv-LV"/>
              </w:rPr>
            </w:pPr>
            <w:r w:rsidRPr="00242D09">
              <w:rPr>
                <w:rFonts w:cs="Times New Roman"/>
                <w:b w:val="0"/>
                <w:bCs w:val="0"/>
                <w:i/>
                <w:iCs/>
                <w:color w:val="000000" w:themeColor="text1"/>
                <w:sz w:val="20"/>
                <w:szCs w:val="20"/>
                <w:lang w:eastAsia="lv-LV"/>
              </w:rPr>
              <w:t>Pagaidu pasākumi (Covid_19)</w:t>
            </w:r>
          </w:p>
        </w:tc>
        <w:tc>
          <w:tcPr>
            <w:tcW w:w="5814" w:type="dxa"/>
            <w:gridSpan w:val="3"/>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b/>
                <w:bCs/>
                <w:color w:val="000000"/>
                <w:sz w:val="20"/>
                <w:szCs w:val="20"/>
              </w:rPr>
              <w:t>Atbalsts nodokļu jomā</w:t>
            </w:r>
          </w:p>
        </w:tc>
        <w:tc>
          <w:tcPr>
            <w:tcW w:w="851"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-0,5</w:t>
            </w:r>
          </w:p>
        </w:tc>
        <w:tc>
          <w:tcPr>
            <w:tcW w:w="708"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0,4</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0,2</w:t>
            </w:r>
          </w:p>
        </w:tc>
        <w:tc>
          <w:tcPr>
            <w:tcW w:w="616"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-0,1</w:t>
            </w:r>
          </w:p>
        </w:tc>
      </w:tr>
      <w:tr w:rsidR="00BF4753" w:rsidRPr="00242D09" w:rsidTr="00F009B4">
        <w:trPr>
          <w:trHeigh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Nodokļu samaksas termiņa pagarināšana vai sadalīšana termiņos līdz 3 gadiem</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D2; D5; D61</w:t>
            </w:r>
          </w:p>
        </w:tc>
        <w:tc>
          <w:tcPr>
            <w:tcW w:w="155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20.03.2020</w:t>
            </w:r>
          </w:p>
        </w:tc>
        <w:tc>
          <w:tcPr>
            <w:tcW w:w="851"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-0,2</w:t>
            </w:r>
          </w:p>
        </w:tc>
        <w:tc>
          <w:tcPr>
            <w:tcW w:w="708"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616"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Iespēja nemaksāt IIN avansa maksājumus</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D5</w:t>
            </w:r>
          </w:p>
        </w:tc>
        <w:tc>
          <w:tcPr>
            <w:tcW w:w="155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20.03.2020</w:t>
            </w:r>
          </w:p>
        </w:tc>
        <w:tc>
          <w:tcPr>
            <w:tcW w:w="851"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708"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616"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r>
      <w:tr w:rsidR="00BF4753" w:rsidRPr="00242D09" w:rsidTr="00F009B4">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Ātrāka PVN pārmaksas atmaksa</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D2</w:t>
            </w:r>
          </w:p>
        </w:tc>
        <w:tc>
          <w:tcPr>
            <w:tcW w:w="155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20.03.2020</w:t>
            </w:r>
          </w:p>
        </w:tc>
        <w:tc>
          <w:tcPr>
            <w:tcW w:w="851"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-0,2</w:t>
            </w:r>
          </w:p>
        </w:tc>
        <w:tc>
          <w:tcPr>
            <w:tcW w:w="708"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0,2</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c>
          <w:tcPr>
            <w:tcW w:w="616"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5814" w:type="dxa"/>
            <w:gridSpan w:val="3"/>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themeColor="text1"/>
                <w:sz w:val="20"/>
                <w:szCs w:val="20"/>
                <w:lang w:eastAsia="lv-LV"/>
              </w:rPr>
            </w:pPr>
            <w:r w:rsidRPr="00242D09">
              <w:rPr>
                <w:rFonts w:cs="Times New Roman"/>
                <w:b/>
                <w:bCs/>
                <w:color w:val="000000"/>
                <w:sz w:val="20"/>
                <w:szCs w:val="20"/>
              </w:rPr>
              <w:t>Atbalsts pabalstu jomā</w:t>
            </w:r>
          </w:p>
        </w:tc>
        <w:tc>
          <w:tcPr>
            <w:tcW w:w="851"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-0,4</w:t>
            </w:r>
          </w:p>
        </w:tc>
        <w:tc>
          <w:tcPr>
            <w:tcW w:w="708"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-1,1</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1,5</w:t>
            </w:r>
          </w:p>
        </w:tc>
        <w:tc>
          <w:tcPr>
            <w:tcW w:w="616"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0,0</w:t>
            </w:r>
          </w:p>
        </w:tc>
      </w:tr>
      <w:tr w:rsidR="00BF4753" w:rsidRPr="00242D09" w:rsidTr="00F009B4">
        <w:trPr>
          <w:trHeigh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Dīkstāves atbalsts uzņēmumu darbiniekiem, patentmaksātājiem, pašnodarbinātajiem</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D7</w:t>
            </w:r>
          </w:p>
        </w:tc>
        <w:tc>
          <w:tcPr>
            <w:tcW w:w="155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26.03.2020</w:t>
            </w:r>
          </w:p>
        </w:tc>
        <w:tc>
          <w:tcPr>
            <w:tcW w:w="851"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-0,2</w:t>
            </w:r>
          </w:p>
        </w:tc>
        <w:tc>
          <w:tcPr>
            <w:tcW w:w="708"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0,3</w:t>
            </w:r>
          </w:p>
        </w:tc>
        <w:tc>
          <w:tcPr>
            <w:tcW w:w="616"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Algu subsīdijas</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D7</w:t>
            </w:r>
          </w:p>
        </w:tc>
        <w:tc>
          <w:tcPr>
            <w:tcW w:w="155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14.07.2020</w:t>
            </w:r>
          </w:p>
        </w:tc>
        <w:tc>
          <w:tcPr>
            <w:tcW w:w="851"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-0,2</w:t>
            </w:r>
          </w:p>
        </w:tc>
        <w:tc>
          <w:tcPr>
            <w:tcW w:w="708"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616"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Pabalsts ģimenēm ar bērniem</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D7</w:t>
            </w:r>
          </w:p>
        </w:tc>
        <w:tc>
          <w:tcPr>
            <w:tcW w:w="155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16.02.2021</w:t>
            </w:r>
          </w:p>
        </w:tc>
        <w:tc>
          <w:tcPr>
            <w:tcW w:w="851"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c>
          <w:tcPr>
            <w:tcW w:w="708"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-0,6</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0,6</w:t>
            </w:r>
          </w:p>
        </w:tc>
        <w:tc>
          <w:tcPr>
            <w:tcW w:w="616"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Pabalsts pensionāriem un personām ar invaliditāti</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D7</w:t>
            </w:r>
          </w:p>
        </w:tc>
        <w:tc>
          <w:tcPr>
            <w:tcW w:w="155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04.03.2021</w:t>
            </w:r>
          </w:p>
        </w:tc>
        <w:tc>
          <w:tcPr>
            <w:tcW w:w="851"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c>
          <w:tcPr>
            <w:tcW w:w="708"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-0,4</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0,4</w:t>
            </w:r>
          </w:p>
        </w:tc>
        <w:tc>
          <w:tcPr>
            <w:tcW w:w="616"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Citi</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155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p>
        </w:tc>
        <w:tc>
          <w:tcPr>
            <w:tcW w:w="851"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708"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616"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5814" w:type="dxa"/>
            <w:gridSpan w:val="3"/>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b/>
                <w:bCs/>
                <w:color w:val="000000"/>
                <w:sz w:val="20"/>
                <w:szCs w:val="20"/>
              </w:rPr>
              <w:t>Atbalsts aizdevumu un garantiju jomā</w:t>
            </w:r>
          </w:p>
        </w:tc>
        <w:tc>
          <w:tcPr>
            <w:tcW w:w="851"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-0,7</w:t>
            </w:r>
          </w:p>
        </w:tc>
        <w:tc>
          <w:tcPr>
            <w:tcW w:w="708"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0,4</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0,3</w:t>
            </w:r>
          </w:p>
        </w:tc>
        <w:tc>
          <w:tcPr>
            <w:tcW w:w="616"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0,0</w:t>
            </w:r>
          </w:p>
        </w:tc>
      </w:tr>
      <w:tr w:rsidR="00BF4753" w:rsidRPr="00242D09" w:rsidTr="00F009B4">
        <w:trPr>
          <w:trHeigh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Pašvaldību aizņēmumu limita palielināšana</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P51</w:t>
            </w:r>
          </w:p>
        </w:tc>
        <w:tc>
          <w:tcPr>
            <w:tcW w:w="155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30.04.2020</w:t>
            </w:r>
          </w:p>
        </w:tc>
        <w:tc>
          <w:tcPr>
            <w:tcW w:w="851"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-0,2</w:t>
            </w:r>
          </w:p>
        </w:tc>
        <w:tc>
          <w:tcPr>
            <w:tcW w:w="708"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616"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Aizdevumi apgrozāmiem līdzekļiem </w:t>
            </w:r>
          </w:p>
        </w:tc>
        <w:tc>
          <w:tcPr>
            <w:tcW w:w="709" w:type="dxa"/>
            <w:noWrap/>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D7</w:t>
            </w:r>
          </w:p>
        </w:tc>
        <w:tc>
          <w:tcPr>
            <w:tcW w:w="1559" w:type="dxa"/>
            <w:noWrap/>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24.03.2020</w:t>
            </w:r>
          </w:p>
        </w:tc>
        <w:tc>
          <w:tcPr>
            <w:tcW w:w="851"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-0,2</w:t>
            </w:r>
          </w:p>
        </w:tc>
        <w:tc>
          <w:tcPr>
            <w:tcW w:w="708"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c>
          <w:tcPr>
            <w:tcW w:w="616"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Kredītu garantijas</w:t>
            </w:r>
          </w:p>
        </w:tc>
        <w:tc>
          <w:tcPr>
            <w:tcW w:w="709" w:type="dxa"/>
            <w:noWrap/>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D7</w:t>
            </w:r>
          </w:p>
        </w:tc>
        <w:tc>
          <w:tcPr>
            <w:tcW w:w="1559" w:type="dxa"/>
            <w:noWrap/>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24.03.2020</w:t>
            </w:r>
          </w:p>
        </w:tc>
        <w:tc>
          <w:tcPr>
            <w:tcW w:w="851"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708"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c>
          <w:tcPr>
            <w:tcW w:w="616"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Portfeļgarantijas </w:t>
            </w:r>
          </w:p>
        </w:tc>
        <w:tc>
          <w:tcPr>
            <w:tcW w:w="709" w:type="dxa"/>
            <w:noWrap/>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D7</w:t>
            </w:r>
          </w:p>
        </w:tc>
        <w:tc>
          <w:tcPr>
            <w:tcW w:w="1559" w:type="dxa"/>
            <w:noWrap/>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24.03.2020</w:t>
            </w:r>
          </w:p>
        </w:tc>
        <w:tc>
          <w:tcPr>
            <w:tcW w:w="851"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708"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c>
          <w:tcPr>
            <w:tcW w:w="616"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Garantijas lielajiem komersantiem</w:t>
            </w:r>
          </w:p>
        </w:tc>
        <w:tc>
          <w:tcPr>
            <w:tcW w:w="709" w:type="dxa"/>
            <w:noWrap/>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D7</w:t>
            </w:r>
          </w:p>
        </w:tc>
        <w:tc>
          <w:tcPr>
            <w:tcW w:w="1559" w:type="dxa"/>
            <w:noWrap/>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14.07.2020</w:t>
            </w:r>
          </w:p>
        </w:tc>
        <w:tc>
          <w:tcPr>
            <w:tcW w:w="851"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708"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c>
          <w:tcPr>
            <w:tcW w:w="616"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Aizdevumi un procentu likmju subsīdijas lielajiem komersantiem</w:t>
            </w:r>
          </w:p>
        </w:tc>
        <w:tc>
          <w:tcPr>
            <w:tcW w:w="709" w:type="dxa"/>
            <w:noWrap/>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D7</w:t>
            </w:r>
          </w:p>
        </w:tc>
        <w:tc>
          <w:tcPr>
            <w:tcW w:w="1559" w:type="dxa"/>
            <w:noWrap/>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02.06.2020</w:t>
            </w:r>
          </w:p>
        </w:tc>
        <w:tc>
          <w:tcPr>
            <w:tcW w:w="851"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708"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616"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Citi</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155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p>
        </w:tc>
        <w:tc>
          <w:tcPr>
            <w:tcW w:w="851"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c>
          <w:tcPr>
            <w:tcW w:w="708"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c>
          <w:tcPr>
            <w:tcW w:w="616"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5814" w:type="dxa"/>
            <w:gridSpan w:val="3"/>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b/>
                <w:bCs/>
                <w:color w:val="000000"/>
                <w:sz w:val="20"/>
                <w:szCs w:val="20"/>
              </w:rPr>
              <w:t>Atbalsts nozarēm</w:t>
            </w:r>
          </w:p>
        </w:tc>
        <w:tc>
          <w:tcPr>
            <w:tcW w:w="851"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-2,2</w:t>
            </w:r>
          </w:p>
        </w:tc>
        <w:tc>
          <w:tcPr>
            <w:tcW w:w="708"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-2,2</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4,0</w:t>
            </w:r>
          </w:p>
        </w:tc>
        <w:tc>
          <w:tcPr>
            <w:tcW w:w="616"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0,3</w:t>
            </w:r>
          </w:p>
        </w:tc>
      </w:tr>
      <w:tr w:rsidR="00BF4753" w:rsidRPr="00242D09" w:rsidTr="00F009B4">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Atbalsts aviopārvadājumu nozarei</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D9</w:t>
            </w:r>
          </w:p>
        </w:tc>
        <w:tc>
          <w:tcPr>
            <w:tcW w:w="155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08.05.2020</w:t>
            </w:r>
          </w:p>
        </w:tc>
        <w:tc>
          <w:tcPr>
            <w:tcW w:w="851"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-0,9</w:t>
            </w:r>
          </w:p>
        </w:tc>
        <w:tc>
          <w:tcPr>
            <w:tcW w:w="708"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0,8</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616"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Ar veselības aprūpi saistīts atbalsts</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P2; P51; D1; D7</w:t>
            </w:r>
          </w:p>
        </w:tc>
        <w:tc>
          <w:tcPr>
            <w:tcW w:w="155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03.03.2020</w:t>
            </w:r>
          </w:p>
        </w:tc>
        <w:tc>
          <w:tcPr>
            <w:tcW w:w="851"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-0,5</w:t>
            </w:r>
          </w:p>
        </w:tc>
        <w:tc>
          <w:tcPr>
            <w:tcW w:w="708"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-1,5</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1,9</w:t>
            </w:r>
          </w:p>
        </w:tc>
        <w:tc>
          <w:tcPr>
            <w:tcW w:w="616"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trHeigh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Finansiālo grūtību mazināšanai lauksaimniecības, mežsaimniecības, zivsaimniecības un pārtikas ražošanas nozarēm</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D3</w:t>
            </w:r>
          </w:p>
        </w:tc>
        <w:tc>
          <w:tcPr>
            <w:tcW w:w="155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17.04.2020</w:t>
            </w:r>
          </w:p>
        </w:tc>
        <w:tc>
          <w:tcPr>
            <w:tcW w:w="851"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708"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0,2</w:t>
            </w:r>
          </w:p>
        </w:tc>
        <w:tc>
          <w:tcPr>
            <w:tcW w:w="616"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Valsts autoceļu būvniecībai un tiltu remontiem</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P51</w:t>
            </w:r>
          </w:p>
        </w:tc>
        <w:tc>
          <w:tcPr>
            <w:tcW w:w="155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29.04.2020</w:t>
            </w:r>
          </w:p>
        </w:tc>
        <w:tc>
          <w:tcPr>
            <w:tcW w:w="851"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-0,3</w:t>
            </w:r>
          </w:p>
        </w:tc>
        <w:tc>
          <w:tcPr>
            <w:tcW w:w="708"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0,3</w:t>
            </w:r>
          </w:p>
        </w:tc>
        <w:tc>
          <w:tcPr>
            <w:tcW w:w="616"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trHeigh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Atbalsts pasažieru un kravu pārvadātājiem</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D3; D7; D9</w:t>
            </w:r>
          </w:p>
        </w:tc>
        <w:tc>
          <w:tcPr>
            <w:tcW w:w="155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14.07.2020</w:t>
            </w:r>
          </w:p>
        </w:tc>
        <w:tc>
          <w:tcPr>
            <w:tcW w:w="851"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-0,3</w:t>
            </w:r>
          </w:p>
        </w:tc>
        <w:tc>
          <w:tcPr>
            <w:tcW w:w="708"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0,3</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c>
          <w:tcPr>
            <w:tcW w:w="616"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Grants apgrozāmajiem līdzekļiem</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D7</w:t>
            </w:r>
          </w:p>
        </w:tc>
        <w:tc>
          <w:tcPr>
            <w:tcW w:w="155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10.11.2020</w:t>
            </w:r>
          </w:p>
        </w:tc>
        <w:tc>
          <w:tcPr>
            <w:tcW w:w="851"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c>
          <w:tcPr>
            <w:tcW w:w="708"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-1,0</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1,0</w:t>
            </w:r>
          </w:p>
        </w:tc>
        <w:tc>
          <w:tcPr>
            <w:tcW w:w="616"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trHeigh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Augstas gatavības projekti, kas saistīti ar Covid-19 krīzes pārvarēšanu un ekonomikas atlabšanu</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P51</w:t>
            </w:r>
          </w:p>
        </w:tc>
        <w:tc>
          <w:tcPr>
            <w:tcW w:w="155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lang w:eastAsia="lv-LV"/>
              </w:rPr>
            </w:pPr>
            <w:r w:rsidRPr="00242D09">
              <w:rPr>
                <w:rFonts w:cs="Times New Roman"/>
                <w:color w:val="000000" w:themeColor="text1"/>
                <w:sz w:val="20"/>
                <w:szCs w:val="20"/>
                <w:lang w:eastAsia="lv-LV"/>
              </w:rPr>
              <w:t>18.03.2021</w:t>
            </w:r>
          </w:p>
        </w:tc>
        <w:tc>
          <w:tcPr>
            <w:tcW w:w="851"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c>
          <w:tcPr>
            <w:tcW w:w="708"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-0,4</w:t>
            </w:r>
          </w:p>
        </w:tc>
        <w:tc>
          <w:tcPr>
            <w:tcW w:w="709"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0,1</w:t>
            </w:r>
          </w:p>
        </w:tc>
        <w:tc>
          <w:tcPr>
            <w:tcW w:w="616" w:type="dxa"/>
            <w:noWrap/>
            <w:vAlign w:val="center"/>
          </w:tcPr>
          <w:p w:rsidR="00BF4753" w:rsidRPr="00242D09"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0,3</w:t>
            </w:r>
          </w:p>
        </w:tc>
      </w:tr>
      <w:tr w:rsidR="00BF4753" w:rsidRPr="00242D09" w:rsidTr="00F009B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3546" w:type="dxa"/>
          </w:tcPr>
          <w:p w:rsidR="00BF4753" w:rsidRPr="00242D09" w:rsidRDefault="00BF4753" w:rsidP="002D7CA8">
            <w:pPr>
              <w:spacing w:after="160" w:line="259"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Citi</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155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lang w:eastAsia="lv-LV"/>
              </w:rPr>
            </w:pPr>
          </w:p>
        </w:tc>
        <w:tc>
          <w:tcPr>
            <w:tcW w:w="851"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-0,2</w:t>
            </w:r>
          </w:p>
        </w:tc>
        <w:tc>
          <w:tcPr>
            <w:tcW w:w="708"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-0,2</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0,4</w:t>
            </w:r>
          </w:p>
        </w:tc>
        <w:tc>
          <w:tcPr>
            <w:tcW w:w="616"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242D09">
              <w:rPr>
                <w:rFonts w:cs="Times New Roman"/>
                <w:color w:val="000000"/>
                <w:sz w:val="20"/>
                <w:szCs w:val="20"/>
              </w:rPr>
              <w:t>0,0</w:t>
            </w:r>
          </w:p>
        </w:tc>
      </w:tr>
      <w:tr w:rsidR="00BF4753" w:rsidRPr="00242D09" w:rsidTr="00F009B4">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5814" w:type="dxa"/>
            <w:gridSpan w:val="3"/>
            <w:shd w:val="clear" w:color="auto" w:fill="DEEAF6" w:themeFill="accent1" w:themeFillTint="33"/>
          </w:tcPr>
          <w:p w:rsidR="00BF4753" w:rsidRPr="0050594C"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0"/>
                <w:szCs w:val="20"/>
                <w:lang w:eastAsia="lv-LV"/>
              </w:rPr>
            </w:pPr>
            <w:r w:rsidRPr="0050594C">
              <w:rPr>
                <w:rFonts w:cs="Times New Roman"/>
                <w:b/>
                <w:bCs/>
                <w:color w:val="000000"/>
                <w:sz w:val="20"/>
                <w:szCs w:val="20"/>
              </w:rPr>
              <w:t>ES fondu finansējuma atbalsts</w:t>
            </w:r>
          </w:p>
        </w:tc>
        <w:tc>
          <w:tcPr>
            <w:tcW w:w="851" w:type="dxa"/>
            <w:shd w:val="clear" w:color="auto" w:fill="DEEAF6" w:themeFill="accent1" w:themeFillTint="33"/>
            <w:noWrap/>
            <w:vAlign w:val="center"/>
          </w:tcPr>
          <w:p w:rsidR="00BF4753" w:rsidRPr="0050594C"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0,0</w:t>
            </w:r>
          </w:p>
        </w:tc>
        <w:tc>
          <w:tcPr>
            <w:tcW w:w="708" w:type="dxa"/>
            <w:shd w:val="clear" w:color="auto" w:fill="DEEAF6" w:themeFill="accent1" w:themeFillTint="33"/>
            <w:noWrap/>
            <w:vAlign w:val="center"/>
          </w:tcPr>
          <w:p w:rsidR="00BF4753" w:rsidRPr="0050594C"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0,0</w:t>
            </w:r>
          </w:p>
        </w:tc>
        <w:tc>
          <w:tcPr>
            <w:tcW w:w="709" w:type="dxa"/>
            <w:shd w:val="clear" w:color="auto" w:fill="DEEAF6" w:themeFill="accent1" w:themeFillTint="33"/>
            <w:noWrap/>
            <w:vAlign w:val="center"/>
          </w:tcPr>
          <w:p w:rsidR="00BF4753" w:rsidRPr="0050594C"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0,0</w:t>
            </w:r>
          </w:p>
        </w:tc>
        <w:tc>
          <w:tcPr>
            <w:tcW w:w="616" w:type="dxa"/>
            <w:shd w:val="clear" w:color="auto" w:fill="DEEAF6" w:themeFill="accent1" w:themeFillTint="33"/>
            <w:noWrap/>
            <w:vAlign w:val="center"/>
          </w:tcPr>
          <w:p w:rsidR="00BF4753" w:rsidRPr="0050594C" w:rsidRDefault="00BF4753" w:rsidP="002D7CA8">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0,0</w:t>
            </w:r>
          </w:p>
        </w:tc>
      </w:tr>
      <w:tr w:rsidR="00BF4753" w:rsidRPr="00242D09" w:rsidTr="00F009B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706" w:type="dxa"/>
            <w:vMerge/>
            <w:noWrap/>
          </w:tcPr>
          <w:p w:rsidR="00BF4753" w:rsidRPr="00242D09" w:rsidRDefault="00BF4753" w:rsidP="002D7CA8">
            <w:pPr>
              <w:spacing w:after="160" w:line="259" w:lineRule="auto"/>
              <w:ind w:firstLine="0"/>
              <w:jc w:val="left"/>
              <w:rPr>
                <w:rFonts w:cs="Times New Roman"/>
                <w:b w:val="0"/>
                <w:bCs w:val="0"/>
                <w:color w:val="000000" w:themeColor="text1"/>
                <w:sz w:val="20"/>
                <w:szCs w:val="20"/>
                <w:lang w:eastAsia="lv-LV"/>
              </w:rPr>
            </w:pPr>
          </w:p>
        </w:tc>
        <w:tc>
          <w:tcPr>
            <w:tcW w:w="5814" w:type="dxa"/>
            <w:gridSpan w:val="3"/>
          </w:tcPr>
          <w:p w:rsidR="00BF4753" w:rsidRPr="00242D09" w:rsidRDefault="00BF4753" w:rsidP="002D7CA8">
            <w:pPr>
              <w:spacing w:after="160" w:line="259" w:lineRule="auto"/>
              <w:ind w:firstLine="0"/>
              <w:jc w:val="right"/>
              <w:cnfStyle w:val="000000100000" w:firstRow="0" w:lastRow="0" w:firstColumn="0" w:lastColumn="0" w:oddVBand="0" w:evenVBand="0" w:oddHBand="1" w:evenHBand="0" w:firstRowFirstColumn="0" w:firstRowLastColumn="0" w:lastRowFirstColumn="0" w:lastRowLastColumn="0"/>
              <w:rPr>
                <w:rFonts w:cs="Times New Roman"/>
                <w:b/>
                <w:bCs/>
                <w:color w:val="000000" w:themeColor="text1"/>
                <w:sz w:val="20"/>
                <w:szCs w:val="20"/>
                <w:lang w:eastAsia="lv-LV"/>
              </w:rPr>
            </w:pPr>
            <w:r w:rsidRPr="00242D09">
              <w:rPr>
                <w:rFonts w:cs="Times New Roman"/>
                <w:b/>
                <w:bCs/>
                <w:color w:val="000000" w:themeColor="text1"/>
                <w:sz w:val="20"/>
                <w:szCs w:val="20"/>
                <w:lang w:eastAsia="lv-LV"/>
              </w:rPr>
              <w:t>Kopā</w:t>
            </w:r>
          </w:p>
        </w:tc>
        <w:tc>
          <w:tcPr>
            <w:tcW w:w="851"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-3,7</w:t>
            </w:r>
          </w:p>
        </w:tc>
        <w:tc>
          <w:tcPr>
            <w:tcW w:w="708"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-2,5</w:t>
            </w:r>
          </w:p>
        </w:tc>
        <w:tc>
          <w:tcPr>
            <w:tcW w:w="709"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6,0</w:t>
            </w:r>
          </w:p>
        </w:tc>
        <w:tc>
          <w:tcPr>
            <w:tcW w:w="616" w:type="dxa"/>
            <w:noWrap/>
            <w:vAlign w:val="center"/>
          </w:tcPr>
          <w:p w:rsidR="00BF4753" w:rsidRPr="00242D09"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242D09">
              <w:rPr>
                <w:rFonts w:cs="Times New Roman"/>
                <w:b/>
                <w:bCs/>
                <w:color w:val="000000"/>
                <w:sz w:val="20"/>
                <w:szCs w:val="20"/>
              </w:rPr>
              <w:t>0,2</w:t>
            </w:r>
          </w:p>
        </w:tc>
      </w:tr>
    </w:tbl>
    <w:p w:rsidR="00DF348A" w:rsidRPr="00DF348A" w:rsidRDefault="00DF348A" w:rsidP="00DF348A">
      <w:pPr>
        <w:ind w:left="720" w:firstLine="0"/>
      </w:pPr>
    </w:p>
    <w:p w:rsidR="00DF348A" w:rsidRPr="00DF348A" w:rsidRDefault="00DF348A" w:rsidP="00DF348A">
      <w:pPr>
        <w:ind w:left="720" w:firstLine="0"/>
      </w:pPr>
    </w:p>
    <w:p w:rsidR="00DF348A" w:rsidRPr="00DF348A" w:rsidRDefault="00DF348A" w:rsidP="00DF348A">
      <w:pPr>
        <w:ind w:left="720" w:firstLine="0"/>
      </w:pPr>
    </w:p>
    <w:p w:rsidR="00DF348A" w:rsidRPr="00DF348A" w:rsidRDefault="00DF348A" w:rsidP="00DF348A">
      <w:pPr>
        <w:ind w:left="720" w:firstLine="0"/>
      </w:pPr>
    </w:p>
    <w:p w:rsidR="00DF348A" w:rsidRDefault="00DF348A" w:rsidP="00DF348A">
      <w:pPr>
        <w:ind w:left="720" w:firstLine="0"/>
      </w:pPr>
    </w:p>
    <w:p w:rsidR="00DF348A" w:rsidRDefault="00DF348A" w:rsidP="00DF348A">
      <w:pPr>
        <w:ind w:left="720" w:firstLine="0"/>
      </w:pPr>
    </w:p>
    <w:p w:rsidR="00F009B4" w:rsidRDefault="00F009B4" w:rsidP="00DF348A">
      <w:pPr>
        <w:ind w:left="720" w:firstLine="0"/>
      </w:pPr>
    </w:p>
    <w:p w:rsidR="00F009B4" w:rsidRDefault="00F009B4" w:rsidP="00DF348A">
      <w:pPr>
        <w:ind w:left="720" w:firstLine="0"/>
      </w:pPr>
    </w:p>
    <w:p w:rsidR="00F009B4" w:rsidRDefault="00F009B4" w:rsidP="00DF348A">
      <w:pPr>
        <w:ind w:left="720" w:firstLine="0"/>
      </w:pPr>
    </w:p>
    <w:p w:rsidR="00F009B4" w:rsidRDefault="00F009B4" w:rsidP="00DF348A">
      <w:pPr>
        <w:ind w:left="720" w:firstLine="0"/>
      </w:pPr>
    </w:p>
    <w:p w:rsidR="00F009B4" w:rsidRDefault="00F009B4" w:rsidP="00DF348A">
      <w:pPr>
        <w:ind w:left="720" w:firstLine="0"/>
      </w:pPr>
    </w:p>
    <w:p w:rsidR="00F009B4" w:rsidRPr="00DF348A" w:rsidRDefault="00F009B4" w:rsidP="00DF348A">
      <w:pPr>
        <w:ind w:left="720" w:firstLine="0"/>
      </w:pPr>
    </w:p>
    <w:p w:rsidR="00DF348A" w:rsidRPr="00DF348A" w:rsidRDefault="00DF348A" w:rsidP="00DF348A">
      <w:pPr>
        <w:ind w:left="720" w:firstLine="0"/>
      </w:pPr>
    </w:p>
    <w:p w:rsidR="00BF4753" w:rsidRPr="00242D09" w:rsidRDefault="00BF4753" w:rsidP="00BF4753">
      <w:pPr>
        <w:keepNext/>
        <w:spacing w:after="120"/>
        <w:ind w:firstLine="0"/>
        <w:jc w:val="left"/>
        <w:rPr>
          <w:rFonts w:eastAsia="Times New Roman" w:cs="Times New Roman"/>
          <w:b/>
          <w:color w:val="000000"/>
          <w:sz w:val="24"/>
          <w:szCs w:val="24"/>
        </w:rPr>
      </w:pPr>
      <w:r w:rsidRPr="00242D09">
        <w:rPr>
          <w:rFonts w:eastAsia="Times New Roman" w:cs="Times New Roman"/>
          <w:b/>
          <w:color w:val="000000"/>
          <w:sz w:val="24"/>
          <w:szCs w:val="24"/>
        </w:rPr>
        <w:t>10.</w:t>
      </w:r>
      <w:r>
        <w:rPr>
          <w:rFonts w:eastAsia="Times New Roman" w:cs="Times New Roman"/>
          <w:b/>
          <w:color w:val="000000"/>
          <w:sz w:val="24"/>
          <w:szCs w:val="24"/>
        </w:rPr>
        <w:t xml:space="preserve"> </w:t>
      </w:r>
      <w:r w:rsidRPr="00242D09">
        <w:rPr>
          <w:rFonts w:eastAsia="Times New Roman" w:cs="Times New Roman"/>
          <w:b/>
          <w:color w:val="000000"/>
          <w:sz w:val="24"/>
          <w:szCs w:val="24"/>
        </w:rPr>
        <w:t xml:space="preserve">tabula. </w:t>
      </w:r>
      <w:r w:rsidRPr="0095128A">
        <w:rPr>
          <w:rFonts w:eastAsia="Times New Roman" w:cs="Times New Roman"/>
          <w:b/>
          <w:color w:val="000000"/>
          <w:sz w:val="24"/>
          <w:szCs w:val="24"/>
        </w:rPr>
        <w:t>Eiropas Atve</w:t>
      </w:r>
      <w:r>
        <w:rPr>
          <w:rFonts w:eastAsia="Times New Roman" w:cs="Times New Roman"/>
          <w:b/>
          <w:color w:val="000000"/>
          <w:sz w:val="24"/>
          <w:szCs w:val="24"/>
        </w:rPr>
        <w:t>seļoša</w:t>
      </w:r>
      <w:r w:rsidR="0050594C">
        <w:rPr>
          <w:rFonts w:eastAsia="Times New Roman" w:cs="Times New Roman"/>
          <w:b/>
          <w:color w:val="000000"/>
          <w:sz w:val="24"/>
          <w:szCs w:val="24"/>
        </w:rPr>
        <w:t>nas un noturības mehānisma</w:t>
      </w:r>
      <w:r>
        <w:rPr>
          <w:rFonts w:eastAsia="Times New Roman" w:cs="Times New Roman"/>
          <w:b/>
          <w:color w:val="000000"/>
          <w:sz w:val="24"/>
          <w:szCs w:val="24"/>
        </w:rPr>
        <w:t xml:space="preserve"> </w:t>
      </w:r>
      <w:r w:rsidRPr="00242D09">
        <w:rPr>
          <w:rFonts w:eastAsia="Times New Roman" w:cs="Times New Roman"/>
          <w:b/>
          <w:color w:val="000000"/>
          <w:sz w:val="24"/>
          <w:szCs w:val="24"/>
        </w:rPr>
        <w:t>ietekme</w:t>
      </w:r>
    </w:p>
    <w:tbl>
      <w:tblPr>
        <w:tblStyle w:val="GridTable6Colorful-Accent1173"/>
        <w:tblW w:w="9923" w:type="dxa"/>
        <w:jc w:val="center"/>
        <w:tblLook w:val="04A0" w:firstRow="1" w:lastRow="0" w:firstColumn="1" w:lastColumn="0" w:noHBand="0" w:noVBand="1"/>
      </w:tblPr>
      <w:tblGrid>
        <w:gridCol w:w="4962"/>
        <w:gridCol w:w="709"/>
        <w:gridCol w:w="708"/>
        <w:gridCol w:w="709"/>
        <w:gridCol w:w="709"/>
        <w:gridCol w:w="709"/>
        <w:gridCol w:w="708"/>
        <w:gridCol w:w="709"/>
      </w:tblGrid>
      <w:tr w:rsidR="00BF4753" w:rsidRPr="00242D09" w:rsidTr="00F009B4">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9923" w:type="dxa"/>
            <w:gridSpan w:val="8"/>
            <w:shd w:val="clear" w:color="auto" w:fill="DEEAF6"/>
            <w:noWrap/>
            <w:vAlign w:val="center"/>
          </w:tcPr>
          <w:p w:rsidR="00BF4753" w:rsidRPr="0050594C" w:rsidRDefault="00BF4753" w:rsidP="002D7CA8">
            <w:pPr>
              <w:spacing w:after="160" w:line="259" w:lineRule="auto"/>
              <w:ind w:firstLine="0"/>
              <w:jc w:val="center"/>
              <w:rPr>
                <w:rFonts w:cs="Times New Roman"/>
                <w:bCs w:val="0"/>
                <w:color w:val="000000"/>
                <w:sz w:val="20"/>
                <w:szCs w:val="20"/>
              </w:rPr>
            </w:pPr>
            <w:r w:rsidRPr="0050594C">
              <w:rPr>
                <w:rFonts w:cs="Times New Roman"/>
                <w:bCs w:val="0"/>
                <w:color w:val="000000"/>
                <w:sz w:val="20"/>
                <w:szCs w:val="20"/>
              </w:rPr>
              <w:t>Ieņēmumi no ANM pārvedumiem (% no IKP)</w:t>
            </w:r>
          </w:p>
        </w:tc>
      </w:tr>
      <w:tr w:rsidR="00BF4753" w:rsidRPr="00242D09" w:rsidTr="00F009B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rsidR="00BF4753" w:rsidRPr="00242D09" w:rsidRDefault="00BF4753" w:rsidP="002D7CA8">
            <w:pPr>
              <w:spacing w:after="160" w:line="259" w:lineRule="auto"/>
              <w:ind w:firstLine="0"/>
              <w:jc w:val="left"/>
              <w:rPr>
                <w:rFonts w:cs="Times New Roman"/>
                <w:color w:val="000000"/>
                <w:sz w:val="20"/>
                <w:szCs w:val="20"/>
              </w:rPr>
            </w:pPr>
          </w:p>
        </w:tc>
        <w:tc>
          <w:tcPr>
            <w:tcW w:w="709" w:type="dxa"/>
            <w:vAlign w:val="center"/>
          </w:tcPr>
          <w:p w:rsidR="00BF4753" w:rsidRPr="00F009B4"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F009B4">
              <w:rPr>
                <w:rFonts w:cs="Times New Roman"/>
                <w:b/>
                <w:color w:val="000000"/>
                <w:sz w:val="20"/>
                <w:szCs w:val="20"/>
              </w:rPr>
              <w:t>2020</w:t>
            </w:r>
          </w:p>
        </w:tc>
        <w:tc>
          <w:tcPr>
            <w:tcW w:w="708" w:type="dxa"/>
            <w:vAlign w:val="center"/>
            <w:hideMark/>
          </w:tcPr>
          <w:p w:rsidR="00BF4753" w:rsidRPr="00F009B4"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F009B4">
              <w:rPr>
                <w:rFonts w:cs="Times New Roman"/>
                <w:b/>
                <w:color w:val="000000"/>
                <w:sz w:val="20"/>
                <w:szCs w:val="20"/>
              </w:rPr>
              <w:t>2021</w:t>
            </w:r>
          </w:p>
        </w:tc>
        <w:tc>
          <w:tcPr>
            <w:tcW w:w="709" w:type="dxa"/>
            <w:noWrap/>
            <w:vAlign w:val="center"/>
            <w:hideMark/>
          </w:tcPr>
          <w:p w:rsidR="00BF4753" w:rsidRPr="00F009B4"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F009B4">
              <w:rPr>
                <w:rFonts w:cs="Times New Roman"/>
                <w:b/>
                <w:color w:val="000000"/>
                <w:sz w:val="20"/>
                <w:szCs w:val="20"/>
              </w:rPr>
              <w:t>2022</w:t>
            </w:r>
          </w:p>
        </w:tc>
        <w:tc>
          <w:tcPr>
            <w:tcW w:w="709" w:type="dxa"/>
            <w:noWrap/>
            <w:vAlign w:val="center"/>
            <w:hideMark/>
          </w:tcPr>
          <w:p w:rsidR="00BF4753" w:rsidRPr="00F009B4"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F009B4">
              <w:rPr>
                <w:rFonts w:cs="Times New Roman"/>
                <w:b/>
                <w:color w:val="000000"/>
                <w:sz w:val="20"/>
                <w:szCs w:val="20"/>
              </w:rPr>
              <w:t>2023</w:t>
            </w:r>
          </w:p>
        </w:tc>
        <w:tc>
          <w:tcPr>
            <w:tcW w:w="709" w:type="dxa"/>
            <w:noWrap/>
            <w:vAlign w:val="center"/>
            <w:hideMark/>
          </w:tcPr>
          <w:p w:rsidR="00BF4753" w:rsidRPr="00F009B4"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F009B4">
              <w:rPr>
                <w:rFonts w:cs="Times New Roman"/>
                <w:b/>
                <w:color w:val="000000"/>
                <w:sz w:val="20"/>
                <w:szCs w:val="20"/>
              </w:rPr>
              <w:t>2024</w:t>
            </w:r>
          </w:p>
        </w:tc>
        <w:tc>
          <w:tcPr>
            <w:tcW w:w="708" w:type="dxa"/>
            <w:noWrap/>
            <w:vAlign w:val="center"/>
            <w:hideMark/>
          </w:tcPr>
          <w:p w:rsidR="00BF4753" w:rsidRPr="00F009B4"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F009B4">
              <w:rPr>
                <w:rFonts w:cs="Times New Roman"/>
                <w:b/>
                <w:color w:val="000000"/>
                <w:sz w:val="20"/>
                <w:szCs w:val="20"/>
              </w:rPr>
              <w:t>2025</w:t>
            </w:r>
          </w:p>
        </w:tc>
        <w:tc>
          <w:tcPr>
            <w:tcW w:w="709" w:type="dxa"/>
            <w:noWrap/>
            <w:vAlign w:val="center"/>
            <w:hideMark/>
          </w:tcPr>
          <w:p w:rsidR="00BF4753" w:rsidRPr="00F009B4"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F009B4">
              <w:rPr>
                <w:rFonts w:cs="Times New Roman"/>
                <w:b/>
                <w:color w:val="000000"/>
                <w:sz w:val="20"/>
                <w:szCs w:val="20"/>
              </w:rPr>
              <w:t>2026</w:t>
            </w:r>
          </w:p>
        </w:tc>
      </w:tr>
    </w:tbl>
    <w:tbl>
      <w:tblPr>
        <w:tblStyle w:val="GridTable6Colorful-Accent1183"/>
        <w:tblW w:w="9923" w:type="dxa"/>
        <w:jc w:val="center"/>
        <w:tblLook w:val="04A0" w:firstRow="1" w:lastRow="0" w:firstColumn="1" w:lastColumn="0" w:noHBand="0" w:noVBand="1"/>
      </w:tblPr>
      <w:tblGrid>
        <w:gridCol w:w="4962"/>
        <w:gridCol w:w="709"/>
        <w:gridCol w:w="708"/>
        <w:gridCol w:w="709"/>
        <w:gridCol w:w="709"/>
        <w:gridCol w:w="709"/>
        <w:gridCol w:w="708"/>
        <w:gridCol w:w="709"/>
      </w:tblGrid>
      <w:tr w:rsidR="00BF4753" w:rsidRPr="0050594C" w:rsidTr="00F009B4">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4962" w:type="dxa"/>
            <w:noWrap/>
          </w:tcPr>
          <w:p w:rsidR="00BF4753" w:rsidRPr="0050594C" w:rsidRDefault="00BF4753" w:rsidP="002D7CA8">
            <w:pPr>
              <w:spacing w:after="160" w:line="259" w:lineRule="auto"/>
              <w:ind w:firstLine="0"/>
              <w:jc w:val="left"/>
              <w:rPr>
                <w:rFonts w:cs="Times New Roman"/>
                <w:b w:val="0"/>
                <w:color w:val="000000"/>
                <w:sz w:val="20"/>
                <w:szCs w:val="20"/>
              </w:rPr>
            </w:pPr>
            <w:r w:rsidRPr="0050594C">
              <w:rPr>
                <w:rFonts w:cs="Times New Roman"/>
                <w:b w:val="0"/>
                <w:bCs w:val="0"/>
                <w:color w:val="000000"/>
                <w:sz w:val="20"/>
                <w:szCs w:val="20"/>
              </w:rPr>
              <w:t>ANM ieņēmumi iekļauti vispārējās valdības prognozēs</w:t>
            </w:r>
          </w:p>
        </w:tc>
        <w:tc>
          <w:tcPr>
            <w:tcW w:w="709" w:type="dxa"/>
          </w:tcPr>
          <w:p w:rsidR="00BF4753" w:rsidRPr="0050594C" w:rsidRDefault="00BF4753" w:rsidP="002D7CA8">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50594C">
              <w:rPr>
                <w:rFonts w:cs="Times New Roman"/>
                <w:b w:val="0"/>
                <w:color w:val="000000"/>
                <w:sz w:val="20"/>
                <w:szCs w:val="20"/>
              </w:rPr>
              <w:t>0,0</w:t>
            </w:r>
          </w:p>
        </w:tc>
        <w:tc>
          <w:tcPr>
            <w:tcW w:w="708" w:type="dxa"/>
            <w:noWrap/>
          </w:tcPr>
          <w:p w:rsidR="00BF4753" w:rsidRPr="0050594C" w:rsidRDefault="00BF4753" w:rsidP="002D7CA8">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50594C">
              <w:rPr>
                <w:rFonts w:cs="Times New Roman"/>
                <w:b w:val="0"/>
                <w:color w:val="000000"/>
                <w:sz w:val="20"/>
                <w:szCs w:val="20"/>
              </w:rPr>
              <w:t>0,1</w:t>
            </w:r>
          </w:p>
        </w:tc>
        <w:tc>
          <w:tcPr>
            <w:tcW w:w="709" w:type="dxa"/>
            <w:noWrap/>
          </w:tcPr>
          <w:p w:rsidR="00BF4753" w:rsidRPr="0050594C" w:rsidRDefault="00BF4753" w:rsidP="002D7CA8">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50594C">
              <w:rPr>
                <w:rFonts w:cs="Times New Roman"/>
                <w:b w:val="0"/>
                <w:color w:val="000000"/>
                <w:sz w:val="20"/>
                <w:szCs w:val="20"/>
              </w:rPr>
              <w:t>0,8</w:t>
            </w:r>
          </w:p>
        </w:tc>
        <w:tc>
          <w:tcPr>
            <w:tcW w:w="709" w:type="dxa"/>
            <w:noWrap/>
          </w:tcPr>
          <w:p w:rsidR="00BF4753" w:rsidRPr="0050594C" w:rsidRDefault="00BF4753" w:rsidP="002D7CA8">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50594C">
              <w:rPr>
                <w:rFonts w:cs="Times New Roman"/>
                <w:b w:val="0"/>
                <w:color w:val="000000"/>
                <w:sz w:val="20"/>
                <w:szCs w:val="20"/>
              </w:rPr>
              <w:t>0,8</w:t>
            </w:r>
          </w:p>
        </w:tc>
        <w:tc>
          <w:tcPr>
            <w:tcW w:w="709" w:type="dxa"/>
            <w:noWrap/>
          </w:tcPr>
          <w:p w:rsidR="00BF4753" w:rsidRPr="0050594C" w:rsidRDefault="00BF4753" w:rsidP="002D7CA8">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50594C">
              <w:rPr>
                <w:rFonts w:cs="Times New Roman"/>
                <w:b w:val="0"/>
                <w:color w:val="000000"/>
                <w:sz w:val="20"/>
                <w:szCs w:val="20"/>
              </w:rPr>
              <w:t>1,1</w:t>
            </w:r>
          </w:p>
        </w:tc>
        <w:tc>
          <w:tcPr>
            <w:tcW w:w="708" w:type="dxa"/>
            <w:noWrap/>
          </w:tcPr>
          <w:p w:rsidR="00BF4753" w:rsidRPr="0050594C" w:rsidRDefault="00BF4753" w:rsidP="002D7CA8">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50594C">
              <w:rPr>
                <w:rFonts w:cs="Times New Roman"/>
                <w:b w:val="0"/>
                <w:color w:val="000000"/>
                <w:sz w:val="20"/>
                <w:szCs w:val="20"/>
              </w:rPr>
              <w:t>1,2</w:t>
            </w:r>
          </w:p>
        </w:tc>
        <w:tc>
          <w:tcPr>
            <w:tcW w:w="709" w:type="dxa"/>
            <w:noWrap/>
          </w:tcPr>
          <w:p w:rsidR="00BF4753" w:rsidRPr="0050594C" w:rsidRDefault="00BF4753" w:rsidP="002D7CA8">
            <w:pPr>
              <w:spacing w:after="160" w:line="259"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50594C">
              <w:rPr>
                <w:rFonts w:cs="Times New Roman"/>
                <w:b w:val="0"/>
                <w:color w:val="000000"/>
                <w:sz w:val="20"/>
                <w:szCs w:val="20"/>
              </w:rPr>
              <w:t>0,6</w:t>
            </w:r>
          </w:p>
        </w:tc>
      </w:tr>
      <w:tr w:rsidR="00BF4753" w:rsidRPr="0050594C" w:rsidTr="00F009B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4962" w:type="dxa"/>
            <w:noWrap/>
          </w:tcPr>
          <w:p w:rsidR="00BF4753" w:rsidRPr="0050594C" w:rsidRDefault="00BF4753" w:rsidP="002D7CA8">
            <w:pPr>
              <w:spacing w:after="160" w:line="259" w:lineRule="auto"/>
              <w:ind w:firstLine="0"/>
              <w:jc w:val="left"/>
              <w:rPr>
                <w:rFonts w:cs="Times New Roman"/>
                <w:b w:val="0"/>
                <w:color w:val="000000"/>
                <w:sz w:val="20"/>
                <w:szCs w:val="20"/>
              </w:rPr>
            </w:pPr>
            <w:r w:rsidRPr="0050594C">
              <w:rPr>
                <w:rFonts w:cs="Times New Roman"/>
                <w:b w:val="0"/>
                <w:bCs w:val="0"/>
                <w:color w:val="000000"/>
                <w:sz w:val="20"/>
                <w:szCs w:val="20"/>
              </w:rPr>
              <w:t>ANM atmaksas (naudas plūsma) no ES</w:t>
            </w:r>
          </w:p>
        </w:tc>
        <w:tc>
          <w:tcPr>
            <w:tcW w:w="709" w:type="dxa"/>
          </w:tcPr>
          <w:p w:rsidR="00BF4753" w:rsidRPr="0050594C"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50594C">
              <w:rPr>
                <w:rFonts w:cs="Times New Roman"/>
                <w:color w:val="000000"/>
                <w:sz w:val="20"/>
                <w:szCs w:val="20"/>
              </w:rPr>
              <w:t>0,0</w:t>
            </w:r>
          </w:p>
        </w:tc>
        <w:tc>
          <w:tcPr>
            <w:tcW w:w="708" w:type="dxa"/>
            <w:noWrap/>
          </w:tcPr>
          <w:p w:rsidR="00BF4753" w:rsidRPr="0050594C"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50594C">
              <w:rPr>
                <w:rFonts w:cs="Times New Roman"/>
                <w:color w:val="000000"/>
                <w:sz w:val="20"/>
                <w:szCs w:val="20"/>
              </w:rPr>
              <w:t>0,7</w:t>
            </w:r>
          </w:p>
        </w:tc>
        <w:tc>
          <w:tcPr>
            <w:tcW w:w="709" w:type="dxa"/>
            <w:noWrap/>
          </w:tcPr>
          <w:p w:rsidR="00BF4753" w:rsidRPr="0050594C"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50594C">
              <w:rPr>
                <w:rFonts w:cs="Times New Roman"/>
                <w:color w:val="000000"/>
                <w:sz w:val="20"/>
                <w:szCs w:val="20"/>
              </w:rPr>
              <w:t>0,5</w:t>
            </w:r>
          </w:p>
        </w:tc>
        <w:tc>
          <w:tcPr>
            <w:tcW w:w="709" w:type="dxa"/>
            <w:noWrap/>
          </w:tcPr>
          <w:p w:rsidR="00BF4753" w:rsidRPr="0050594C"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50594C">
              <w:rPr>
                <w:rFonts w:cs="Times New Roman"/>
                <w:color w:val="000000"/>
                <w:sz w:val="20"/>
                <w:szCs w:val="20"/>
              </w:rPr>
              <w:t>0,8</w:t>
            </w:r>
          </w:p>
        </w:tc>
        <w:tc>
          <w:tcPr>
            <w:tcW w:w="709" w:type="dxa"/>
            <w:noWrap/>
          </w:tcPr>
          <w:p w:rsidR="00BF4753" w:rsidRPr="0050594C"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50594C">
              <w:rPr>
                <w:rFonts w:cs="Times New Roman"/>
                <w:color w:val="000000"/>
                <w:sz w:val="20"/>
                <w:szCs w:val="20"/>
              </w:rPr>
              <w:t>0,9</w:t>
            </w:r>
          </w:p>
        </w:tc>
        <w:tc>
          <w:tcPr>
            <w:tcW w:w="708" w:type="dxa"/>
            <w:noWrap/>
          </w:tcPr>
          <w:p w:rsidR="00BF4753" w:rsidRPr="0050594C"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50594C">
              <w:rPr>
                <w:rFonts w:cs="Times New Roman"/>
                <w:color w:val="000000"/>
                <w:sz w:val="20"/>
                <w:szCs w:val="20"/>
              </w:rPr>
              <w:t>1,1</w:t>
            </w:r>
          </w:p>
        </w:tc>
        <w:tc>
          <w:tcPr>
            <w:tcW w:w="709" w:type="dxa"/>
            <w:noWrap/>
          </w:tcPr>
          <w:p w:rsidR="00BF4753" w:rsidRPr="0050594C" w:rsidRDefault="00BF4753" w:rsidP="002D7CA8">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50594C">
              <w:rPr>
                <w:rFonts w:cs="Times New Roman"/>
                <w:color w:val="000000"/>
                <w:sz w:val="20"/>
                <w:szCs w:val="20"/>
              </w:rPr>
              <w:t>0,6</w:t>
            </w:r>
          </w:p>
        </w:tc>
      </w:tr>
      <w:tr w:rsidR="00F009B4" w:rsidRPr="0050594C" w:rsidTr="00F009B4">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9923" w:type="dxa"/>
            <w:gridSpan w:val="8"/>
            <w:noWrap/>
          </w:tcPr>
          <w:p w:rsidR="00F009B4" w:rsidRPr="0050594C" w:rsidRDefault="00F009B4" w:rsidP="002D7CA8">
            <w:pPr>
              <w:spacing w:after="160" w:line="259" w:lineRule="auto"/>
              <w:ind w:firstLine="0"/>
              <w:jc w:val="center"/>
              <w:rPr>
                <w:rFonts w:cs="Times New Roman"/>
                <w:color w:val="000000"/>
                <w:sz w:val="20"/>
                <w:szCs w:val="20"/>
              </w:rPr>
            </w:pPr>
            <w:r w:rsidRPr="0050594C">
              <w:rPr>
                <w:rFonts w:cs="Times New Roman"/>
                <w:bCs w:val="0"/>
                <w:color w:val="000000"/>
                <w:sz w:val="20"/>
                <w:szCs w:val="20"/>
              </w:rPr>
              <w:t>Izdevumi, kas tiek finansēti no ANM pārvedumiem (% no IKP)</w:t>
            </w:r>
          </w:p>
        </w:tc>
      </w:tr>
      <w:tr w:rsidR="00F009B4" w:rsidRPr="0050594C" w:rsidTr="00F009B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4962" w:type="dxa"/>
            <w:noWrap/>
          </w:tcPr>
          <w:p w:rsidR="00F009B4" w:rsidRPr="0050594C" w:rsidRDefault="00F009B4" w:rsidP="00F009B4">
            <w:pPr>
              <w:spacing w:after="160" w:line="259" w:lineRule="auto"/>
              <w:ind w:firstLine="0"/>
              <w:jc w:val="left"/>
              <w:rPr>
                <w:rFonts w:cs="Times New Roman"/>
                <w:color w:val="000000"/>
                <w:sz w:val="20"/>
                <w:szCs w:val="20"/>
              </w:rPr>
            </w:pPr>
          </w:p>
        </w:tc>
        <w:tc>
          <w:tcPr>
            <w:tcW w:w="709" w:type="dxa"/>
            <w:vAlign w:val="center"/>
          </w:tcPr>
          <w:p w:rsidR="00F009B4" w:rsidRPr="00F009B4"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F009B4">
              <w:rPr>
                <w:rFonts w:cs="Times New Roman"/>
                <w:b/>
                <w:color w:val="000000"/>
                <w:sz w:val="20"/>
                <w:szCs w:val="20"/>
              </w:rPr>
              <w:t>2020</w:t>
            </w:r>
          </w:p>
        </w:tc>
        <w:tc>
          <w:tcPr>
            <w:tcW w:w="708" w:type="dxa"/>
            <w:noWrap/>
            <w:vAlign w:val="center"/>
          </w:tcPr>
          <w:p w:rsidR="00F009B4" w:rsidRPr="00F009B4"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F009B4">
              <w:rPr>
                <w:rFonts w:cs="Times New Roman"/>
                <w:b/>
                <w:color w:val="000000"/>
                <w:sz w:val="20"/>
                <w:szCs w:val="20"/>
              </w:rPr>
              <w:t>2021</w:t>
            </w:r>
          </w:p>
        </w:tc>
        <w:tc>
          <w:tcPr>
            <w:tcW w:w="709" w:type="dxa"/>
            <w:noWrap/>
            <w:vAlign w:val="center"/>
          </w:tcPr>
          <w:p w:rsidR="00F009B4" w:rsidRPr="00F009B4"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F009B4">
              <w:rPr>
                <w:rFonts w:cs="Times New Roman"/>
                <w:b/>
                <w:color w:val="000000"/>
                <w:sz w:val="20"/>
                <w:szCs w:val="20"/>
              </w:rPr>
              <w:t>2022</w:t>
            </w:r>
          </w:p>
        </w:tc>
        <w:tc>
          <w:tcPr>
            <w:tcW w:w="709" w:type="dxa"/>
            <w:noWrap/>
            <w:vAlign w:val="center"/>
          </w:tcPr>
          <w:p w:rsidR="00F009B4" w:rsidRPr="00F009B4"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F009B4">
              <w:rPr>
                <w:rFonts w:cs="Times New Roman"/>
                <w:b/>
                <w:color w:val="000000"/>
                <w:sz w:val="20"/>
                <w:szCs w:val="20"/>
              </w:rPr>
              <w:t>2023</w:t>
            </w:r>
          </w:p>
        </w:tc>
        <w:tc>
          <w:tcPr>
            <w:tcW w:w="709" w:type="dxa"/>
            <w:noWrap/>
            <w:vAlign w:val="center"/>
          </w:tcPr>
          <w:p w:rsidR="00F009B4" w:rsidRPr="00F009B4"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F009B4">
              <w:rPr>
                <w:rFonts w:cs="Times New Roman"/>
                <w:b/>
                <w:color w:val="000000"/>
                <w:sz w:val="20"/>
                <w:szCs w:val="20"/>
              </w:rPr>
              <w:t>2024</w:t>
            </w:r>
          </w:p>
        </w:tc>
        <w:tc>
          <w:tcPr>
            <w:tcW w:w="708" w:type="dxa"/>
            <w:noWrap/>
            <w:vAlign w:val="center"/>
          </w:tcPr>
          <w:p w:rsidR="00F009B4" w:rsidRPr="00F009B4"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F009B4">
              <w:rPr>
                <w:rFonts w:cs="Times New Roman"/>
                <w:b/>
                <w:color w:val="000000"/>
                <w:sz w:val="20"/>
                <w:szCs w:val="20"/>
              </w:rPr>
              <w:t>2025</w:t>
            </w:r>
          </w:p>
        </w:tc>
        <w:tc>
          <w:tcPr>
            <w:tcW w:w="709" w:type="dxa"/>
            <w:noWrap/>
            <w:vAlign w:val="center"/>
          </w:tcPr>
          <w:p w:rsidR="00F009B4" w:rsidRPr="00F009B4"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rPr>
            </w:pPr>
            <w:r w:rsidRPr="00F009B4">
              <w:rPr>
                <w:rFonts w:cs="Times New Roman"/>
                <w:b/>
                <w:color w:val="000000"/>
                <w:sz w:val="20"/>
                <w:szCs w:val="20"/>
              </w:rPr>
              <w:t>2026</w:t>
            </w:r>
          </w:p>
        </w:tc>
      </w:tr>
      <w:tr w:rsidR="00F009B4" w:rsidRPr="0050594C" w:rsidTr="00F009B4">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4962" w:type="dxa"/>
            <w:noWrap/>
          </w:tcPr>
          <w:p w:rsidR="00F009B4" w:rsidRPr="0050594C" w:rsidRDefault="00F009B4" w:rsidP="00F009B4">
            <w:pPr>
              <w:spacing w:after="160" w:line="259" w:lineRule="auto"/>
              <w:ind w:firstLine="0"/>
              <w:jc w:val="left"/>
              <w:rPr>
                <w:rFonts w:cs="Times New Roman"/>
                <w:b w:val="0"/>
                <w:color w:val="000000"/>
                <w:sz w:val="20"/>
                <w:szCs w:val="20"/>
              </w:rPr>
            </w:pPr>
            <w:r w:rsidRPr="0050594C">
              <w:rPr>
                <w:rFonts w:cs="Times New Roman"/>
                <w:b w:val="0"/>
                <w:bCs w:val="0"/>
                <w:color w:val="000000"/>
                <w:sz w:val="20"/>
                <w:szCs w:val="20"/>
              </w:rPr>
              <w:t>Kārtējie izdevumi</w:t>
            </w:r>
          </w:p>
        </w:tc>
        <w:tc>
          <w:tcPr>
            <w:tcW w:w="709" w:type="dxa"/>
          </w:tcPr>
          <w:p w:rsidR="00F009B4" w:rsidRPr="0050594C" w:rsidRDefault="00F009B4" w:rsidP="00F009B4">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r w:rsidRPr="0050594C">
              <w:rPr>
                <w:rFonts w:cs="Times New Roman"/>
                <w:color w:val="000000"/>
                <w:sz w:val="20"/>
                <w:szCs w:val="20"/>
              </w:rPr>
              <w:t>0,0</w:t>
            </w:r>
          </w:p>
        </w:tc>
        <w:tc>
          <w:tcPr>
            <w:tcW w:w="708" w:type="dxa"/>
            <w:noWrap/>
          </w:tcPr>
          <w:p w:rsidR="00F009B4" w:rsidRPr="0050594C" w:rsidRDefault="00F009B4" w:rsidP="00F009B4">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r w:rsidRPr="0050594C">
              <w:rPr>
                <w:rFonts w:cs="Times New Roman"/>
                <w:color w:val="000000"/>
                <w:sz w:val="20"/>
                <w:szCs w:val="20"/>
              </w:rPr>
              <w:t>0,03</w:t>
            </w:r>
          </w:p>
        </w:tc>
        <w:tc>
          <w:tcPr>
            <w:tcW w:w="709" w:type="dxa"/>
            <w:noWrap/>
          </w:tcPr>
          <w:p w:rsidR="00F009B4" w:rsidRPr="0050594C" w:rsidRDefault="00F009B4" w:rsidP="00F009B4">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r w:rsidRPr="0050594C">
              <w:rPr>
                <w:rFonts w:cs="Times New Roman"/>
                <w:color w:val="000000"/>
                <w:sz w:val="20"/>
                <w:szCs w:val="20"/>
              </w:rPr>
              <w:t>0,3</w:t>
            </w:r>
          </w:p>
        </w:tc>
        <w:tc>
          <w:tcPr>
            <w:tcW w:w="709" w:type="dxa"/>
            <w:noWrap/>
          </w:tcPr>
          <w:p w:rsidR="00F009B4" w:rsidRPr="0050594C" w:rsidRDefault="00F009B4" w:rsidP="00F009B4">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r w:rsidRPr="0050594C">
              <w:rPr>
                <w:rFonts w:cs="Times New Roman"/>
                <w:color w:val="000000"/>
                <w:sz w:val="20"/>
                <w:szCs w:val="20"/>
              </w:rPr>
              <w:t>0,3</w:t>
            </w:r>
          </w:p>
        </w:tc>
        <w:tc>
          <w:tcPr>
            <w:tcW w:w="709" w:type="dxa"/>
            <w:noWrap/>
          </w:tcPr>
          <w:p w:rsidR="00F009B4" w:rsidRPr="0050594C" w:rsidRDefault="00F009B4" w:rsidP="00F009B4">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r w:rsidRPr="0050594C">
              <w:rPr>
                <w:rFonts w:cs="Times New Roman"/>
                <w:color w:val="000000"/>
                <w:sz w:val="20"/>
                <w:szCs w:val="20"/>
              </w:rPr>
              <w:t>0,4</w:t>
            </w:r>
          </w:p>
        </w:tc>
        <w:tc>
          <w:tcPr>
            <w:tcW w:w="708" w:type="dxa"/>
            <w:noWrap/>
          </w:tcPr>
          <w:p w:rsidR="00F009B4" w:rsidRPr="0050594C" w:rsidRDefault="00F009B4" w:rsidP="00F009B4">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r w:rsidRPr="0050594C">
              <w:rPr>
                <w:rFonts w:cs="Times New Roman"/>
                <w:color w:val="000000"/>
                <w:sz w:val="20"/>
                <w:szCs w:val="20"/>
              </w:rPr>
              <w:t>0,4</w:t>
            </w:r>
          </w:p>
        </w:tc>
        <w:tc>
          <w:tcPr>
            <w:tcW w:w="709" w:type="dxa"/>
            <w:noWrap/>
          </w:tcPr>
          <w:p w:rsidR="00F009B4" w:rsidRPr="0050594C" w:rsidRDefault="00F009B4" w:rsidP="00F009B4">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r w:rsidRPr="0050594C">
              <w:rPr>
                <w:rFonts w:cs="Times New Roman"/>
                <w:color w:val="000000"/>
                <w:sz w:val="20"/>
                <w:szCs w:val="20"/>
              </w:rPr>
              <w:t>0,2</w:t>
            </w:r>
          </w:p>
        </w:tc>
      </w:tr>
      <w:tr w:rsidR="00F009B4" w:rsidRPr="0050594C" w:rsidTr="00F009B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4962" w:type="dxa"/>
            <w:noWrap/>
          </w:tcPr>
          <w:p w:rsidR="00F009B4" w:rsidRPr="0050594C" w:rsidRDefault="00F009B4" w:rsidP="00F009B4">
            <w:pPr>
              <w:spacing w:after="160" w:line="259" w:lineRule="auto"/>
              <w:ind w:firstLine="0"/>
              <w:jc w:val="left"/>
              <w:rPr>
                <w:rFonts w:cs="Times New Roman"/>
                <w:b w:val="0"/>
                <w:bCs w:val="0"/>
                <w:color w:val="000000"/>
                <w:sz w:val="20"/>
                <w:szCs w:val="20"/>
              </w:rPr>
            </w:pPr>
            <w:r w:rsidRPr="0050594C">
              <w:rPr>
                <w:rFonts w:cs="Times New Roman"/>
                <w:b w:val="0"/>
                <w:bCs w:val="0"/>
                <w:color w:val="000000"/>
                <w:sz w:val="20"/>
                <w:szCs w:val="20"/>
              </w:rPr>
              <w:t>Bruto pamatkapitāla veidošana P.51g</w:t>
            </w:r>
          </w:p>
        </w:tc>
        <w:tc>
          <w:tcPr>
            <w:tcW w:w="709" w:type="dxa"/>
          </w:tcPr>
          <w:p w:rsidR="00F009B4" w:rsidRPr="0050594C"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50594C">
              <w:rPr>
                <w:rFonts w:cs="Times New Roman"/>
                <w:color w:val="000000"/>
                <w:sz w:val="20"/>
                <w:szCs w:val="20"/>
              </w:rPr>
              <w:t>0,0</w:t>
            </w:r>
          </w:p>
        </w:tc>
        <w:tc>
          <w:tcPr>
            <w:tcW w:w="708" w:type="dxa"/>
            <w:noWrap/>
          </w:tcPr>
          <w:p w:rsidR="00F009B4" w:rsidRPr="0050594C"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50594C">
              <w:rPr>
                <w:rFonts w:cs="Times New Roman"/>
                <w:color w:val="000000"/>
                <w:sz w:val="20"/>
                <w:szCs w:val="20"/>
              </w:rPr>
              <w:t>0,05</w:t>
            </w:r>
          </w:p>
        </w:tc>
        <w:tc>
          <w:tcPr>
            <w:tcW w:w="709" w:type="dxa"/>
            <w:noWrap/>
          </w:tcPr>
          <w:p w:rsidR="00F009B4" w:rsidRPr="0050594C"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50594C">
              <w:rPr>
                <w:rFonts w:cs="Times New Roman"/>
                <w:color w:val="000000"/>
                <w:sz w:val="20"/>
                <w:szCs w:val="20"/>
              </w:rPr>
              <w:t>0,6</w:t>
            </w:r>
          </w:p>
        </w:tc>
        <w:tc>
          <w:tcPr>
            <w:tcW w:w="709" w:type="dxa"/>
            <w:noWrap/>
          </w:tcPr>
          <w:p w:rsidR="00F009B4" w:rsidRPr="0050594C"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50594C">
              <w:rPr>
                <w:rFonts w:cs="Times New Roman"/>
                <w:color w:val="000000"/>
                <w:sz w:val="20"/>
                <w:szCs w:val="20"/>
              </w:rPr>
              <w:t>0,6</w:t>
            </w:r>
          </w:p>
        </w:tc>
        <w:tc>
          <w:tcPr>
            <w:tcW w:w="709" w:type="dxa"/>
            <w:noWrap/>
          </w:tcPr>
          <w:p w:rsidR="00F009B4" w:rsidRPr="0050594C"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50594C">
              <w:rPr>
                <w:rFonts w:cs="Times New Roman"/>
                <w:color w:val="000000"/>
                <w:sz w:val="20"/>
                <w:szCs w:val="20"/>
              </w:rPr>
              <w:t>0,7</w:t>
            </w:r>
          </w:p>
        </w:tc>
        <w:tc>
          <w:tcPr>
            <w:tcW w:w="708" w:type="dxa"/>
            <w:noWrap/>
          </w:tcPr>
          <w:p w:rsidR="00F009B4" w:rsidRPr="0050594C"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50594C">
              <w:rPr>
                <w:rFonts w:cs="Times New Roman"/>
                <w:color w:val="000000"/>
                <w:sz w:val="20"/>
                <w:szCs w:val="20"/>
              </w:rPr>
              <w:t>0,8</w:t>
            </w:r>
          </w:p>
        </w:tc>
        <w:tc>
          <w:tcPr>
            <w:tcW w:w="709" w:type="dxa"/>
            <w:noWrap/>
          </w:tcPr>
          <w:p w:rsidR="00F009B4" w:rsidRPr="0050594C"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50594C">
              <w:rPr>
                <w:rFonts w:cs="Times New Roman"/>
                <w:color w:val="000000"/>
                <w:sz w:val="20"/>
                <w:szCs w:val="20"/>
              </w:rPr>
              <w:t>0,4</w:t>
            </w:r>
          </w:p>
        </w:tc>
      </w:tr>
      <w:tr w:rsidR="00F009B4" w:rsidRPr="0050594C" w:rsidTr="00F009B4">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4962" w:type="dxa"/>
            <w:noWrap/>
          </w:tcPr>
          <w:p w:rsidR="00F009B4" w:rsidRPr="0050594C" w:rsidRDefault="00F009B4" w:rsidP="00F009B4">
            <w:pPr>
              <w:spacing w:after="160" w:line="259" w:lineRule="auto"/>
              <w:ind w:firstLine="0"/>
              <w:jc w:val="left"/>
              <w:rPr>
                <w:rFonts w:cs="Times New Roman"/>
                <w:b w:val="0"/>
                <w:bCs w:val="0"/>
                <w:color w:val="000000"/>
                <w:sz w:val="20"/>
                <w:szCs w:val="20"/>
              </w:rPr>
            </w:pPr>
            <w:r w:rsidRPr="0050594C">
              <w:rPr>
                <w:rFonts w:cs="Times New Roman"/>
                <w:b w:val="0"/>
                <w:bCs w:val="0"/>
                <w:color w:val="000000"/>
                <w:sz w:val="20"/>
                <w:szCs w:val="20"/>
              </w:rPr>
              <w:t>Kapitāla pārvedumi D.9</w:t>
            </w:r>
          </w:p>
        </w:tc>
        <w:tc>
          <w:tcPr>
            <w:tcW w:w="709" w:type="dxa"/>
          </w:tcPr>
          <w:p w:rsidR="00F009B4" w:rsidRPr="0050594C" w:rsidRDefault="00F009B4" w:rsidP="00F009B4">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8" w:type="dxa"/>
            <w:noWrap/>
          </w:tcPr>
          <w:p w:rsidR="00F009B4" w:rsidRPr="0050594C" w:rsidRDefault="00F009B4" w:rsidP="00F009B4">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9" w:type="dxa"/>
            <w:noWrap/>
          </w:tcPr>
          <w:p w:rsidR="00F009B4" w:rsidRPr="0050594C" w:rsidRDefault="00F009B4" w:rsidP="00F009B4">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9" w:type="dxa"/>
            <w:noWrap/>
          </w:tcPr>
          <w:p w:rsidR="00F009B4" w:rsidRPr="0050594C" w:rsidRDefault="00F009B4" w:rsidP="00F009B4">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9" w:type="dxa"/>
            <w:noWrap/>
          </w:tcPr>
          <w:p w:rsidR="00F009B4" w:rsidRPr="0050594C" w:rsidRDefault="00F009B4" w:rsidP="00F009B4">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8" w:type="dxa"/>
            <w:noWrap/>
          </w:tcPr>
          <w:p w:rsidR="00F009B4" w:rsidRPr="0050594C" w:rsidRDefault="00F009B4" w:rsidP="00F009B4">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c>
          <w:tcPr>
            <w:tcW w:w="709" w:type="dxa"/>
            <w:noWrap/>
          </w:tcPr>
          <w:p w:rsidR="00F009B4" w:rsidRPr="0050594C" w:rsidRDefault="00F009B4" w:rsidP="00F009B4">
            <w:pPr>
              <w:spacing w:after="160" w:line="259"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p>
        </w:tc>
      </w:tr>
      <w:tr w:rsidR="00F009B4" w:rsidRPr="0050594C" w:rsidTr="00F009B4">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4962" w:type="dxa"/>
            <w:noWrap/>
          </w:tcPr>
          <w:p w:rsidR="00F009B4" w:rsidRPr="0050594C" w:rsidRDefault="00F009B4" w:rsidP="00F009B4">
            <w:pPr>
              <w:spacing w:after="160" w:line="259" w:lineRule="auto"/>
              <w:ind w:firstLine="0"/>
              <w:jc w:val="left"/>
              <w:rPr>
                <w:rFonts w:cs="Times New Roman"/>
                <w:b w:val="0"/>
                <w:color w:val="000000"/>
                <w:sz w:val="20"/>
                <w:szCs w:val="20"/>
              </w:rPr>
            </w:pPr>
            <w:r w:rsidRPr="0050594C">
              <w:rPr>
                <w:rFonts w:cs="Times New Roman"/>
                <w:b w:val="0"/>
                <w:bCs w:val="0"/>
                <w:color w:val="000000"/>
                <w:sz w:val="20"/>
                <w:szCs w:val="20"/>
              </w:rPr>
              <w:t>Kapitālie izdevumi</w:t>
            </w:r>
          </w:p>
        </w:tc>
        <w:tc>
          <w:tcPr>
            <w:tcW w:w="709" w:type="dxa"/>
          </w:tcPr>
          <w:p w:rsidR="00F009B4" w:rsidRPr="0050594C"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0,0</w:t>
            </w:r>
          </w:p>
        </w:tc>
        <w:tc>
          <w:tcPr>
            <w:tcW w:w="708" w:type="dxa"/>
            <w:noWrap/>
          </w:tcPr>
          <w:p w:rsidR="00F009B4" w:rsidRPr="0050594C"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0,05</w:t>
            </w:r>
          </w:p>
        </w:tc>
        <w:tc>
          <w:tcPr>
            <w:tcW w:w="709" w:type="dxa"/>
            <w:noWrap/>
          </w:tcPr>
          <w:p w:rsidR="00F009B4" w:rsidRPr="0050594C"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0,6</w:t>
            </w:r>
          </w:p>
        </w:tc>
        <w:tc>
          <w:tcPr>
            <w:tcW w:w="709" w:type="dxa"/>
            <w:noWrap/>
          </w:tcPr>
          <w:p w:rsidR="00F009B4" w:rsidRPr="0050594C"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0,6</w:t>
            </w:r>
          </w:p>
        </w:tc>
        <w:tc>
          <w:tcPr>
            <w:tcW w:w="709" w:type="dxa"/>
            <w:noWrap/>
          </w:tcPr>
          <w:p w:rsidR="00F009B4" w:rsidRPr="0050594C"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0,7</w:t>
            </w:r>
          </w:p>
        </w:tc>
        <w:tc>
          <w:tcPr>
            <w:tcW w:w="708" w:type="dxa"/>
            <w:noWrap/>
          </w:tcPr>
          <w:p w:rsidR="00F009B4" w:rsidRPr="0050594C"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0,8</w:t>
            </w:r>
          </w:p>
        </w:tc>
        <w:tc>
          <w:tcPr>
            <w:tcW w:w="709" w:type="dxa"/>
            <w:noWrap/>
          </w:tcPr>
          <w:p w:rsidR="00F009B4" w:rsidRPr="0050594C" w:rsidRDefault="00F009B4" w:rsidP="00F009B4">
            <w:pPr>
              <w:spacing w:after="160" w:line="259"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rPr>
            </w:pPr>
            <w:r w:rsidRPr="0050594C">
              <w:rPr>
                <w:rFonts w:cs="Times New Roman"/>
                <w:bCs/>
                <w:color w:val="000000"/>
                <w:sz w:val="20"/>
                <w:szCs w:val="20"/>
              </w:rPr>
              <w:t>0,4</w:t>
            </w:r>
          </w:p>
        </w:tc>
      </w:tr>
    </w:tbl>
    <w:p w:rsidR="00BF4753" w:rsidRPr="00242D09" w:rsidRDefault="00BF4753" w:rsidP="00BF4753">
      <w:pPr>
        <w:keepNext/>
        <w:ind w:firstLine="0"/>
        <w:jc w:val="left"/>
        <w:rPr>
          <w:rFonts w:eastAsia="Times New Roman" w:cs="Times New Roman"/>
          <w:bCs/>
          <w:color w:val="000000"/>
          <w:sz w:val="20"/>
          <w:szCs w:val="20"/>
        </w:rPr>
        <w:sectPr w:rsidR="00BF4753" w:rsidRPr="00242D09" w:rsidSect="00BB526F">
          <w:footerReference w:type="default" r:id="rId54"/>
          <w:type w:val="continuous"/>
          <w:pgSz w:w="11906" w:h="16838" w:code="9"/>
          <w:pgMar w:top="1418" w:right="1134" w:bottom="1134" w:left="1701" w:header="0" w:footer="478" w:gutter="0"/>
          <w:cols w:space="708"/>
          <w:titlePg/>
          <w:docGrid w:linePitch="360"/>
        </w:sectPr>
      </w:pPr>
    </w:p>
    <w:p w:rsidR="00BF4753" w:rsidRDefault="00BF4753" w:rsidP="00BF4753">
      <w:pPr>
        <w:ind w:firstLine="0"/>
        <w:rPr>
          <w:rFonts w:eastAsia="Times New Roman" w:cs="Times New Roman"/>
          <w:b/>
          <w:bCs/>
          <w:color w:val="000000"/>
          <w:sz w:val="24"/>
          <w:szCs w:val="24"/>
          <w:lang w:eastAsia="lv-LV"/>
        </w:rPr>
      </w:pPr>
    </w:p>
    <w:p w:rsidR="00DF348A" w:rsidRDefault="00DF348A" w:rsidP="00BF4753">
      <w:pPr>
        <w:ind w:firstLine="0"/>
        <w:rPr>
          <w:rFonts w:eastAsia="Times New Roman" w:cs="Times New Roman"/>
          <w:b/>
          <w:bCs/>
          <w:color w:val="000000"/>
          <w:sz w:val="24"/>
          <w:szCs w:val="24"/>
          <w:lang w:eastAsia="lv-LV"/>
        </w:rPr>
      </w:pPr>
    </w:p>
    <w:p w:rsidR="00DF348A" w:rsidRDefault="00DF348A" w:rsidP="00BF4753">
      <w:pPr>
        <w:ind w:firstLine="0"/>
        <w:rPr>
          <w:rFonts w:eastAsia="Times New Roman" w:cs="Times New Roman"/>
          <w:b/>
          <w:bCs/>
          <w:color w:val="000000"/>
          <w:sz w:val="24"/>
          <w:szCs w:val="24"/>
          <w:lang w:eastAsia="lv-LV"/>
        </w:rPr>
      </w:pPr>
    </w:p>
    <w:p w:rsidR="00DF348A" w:rsidRDefault="00DF348A" w:rsidP="00BF4753">
      <w:pPr>
        <w:ind w:firstLine="0"/>
        <w:rPr>
          <w:rFonts w:eastAsia="Times New Roman" w:cs="Times New Roman"/>
          <w:b/>
          <w:bCs/>
          <w:color w:val="000000"/>
          <w:sz w:val="24"/>
          <w:szCs w:val="24"/>
          <w:lang w:eastAsia="lv-LV"/>
        </w:rPr>
      </w:pPr>
    </w:p>
    <w:p w:rsidR="00F009B4" w:rsidRDefault="00F009B4" w:rsidP="00BF4753">
      <w:pPr>
        <w:ind w:firstLine="0"/>
        <w:rPr>
          <w:rFonts w:eastAsia="Times New Roman" w:cs="Times New Roman"/>
          <w:b/>
          <w:bCs/>
          <w:color w:val="000000"/>
          <w:sz w:val="24"/>
          <w:szCs w:val="24"/>
          <w:lang w:eastAsia="lv-LV"/>
        </w:rPr>
      </w:pPr>
    </w:p>
    <w:p w:rsidR="00F009B4" w:rsidRDefault="00F009B4" w:rsidP="00BF4753">
      <w:pPr>
        <w:ind w:firstLine="0"/>
        <w:rPr>
          <w:rFonts w:eastAsia="Times New Roman" w:cs="Times New Roman"/>
          <w:b/>
          <w:bCs/>
          <w:color w:val="000000"/>
          <w:sz w:val="24"/>
          <w:szCs w:val="24"/>
          <w:lang w:eastAsia="lv-LV"/>
        </w:rPr>
      </w:pPr>
    </w:p>
    <w:p w:rsidR="00F009B4" w:rsidRDefault="00F009B4" w:rsidP="00BF4753">
      <w:pPr>
        <w:ind w:firstLine="0"/>
        <w:rPr>
          <w:rFonts w:eastAsia="Times New Roman" w:cs="Times New Roman"/>
          <w:b/>
          <w:bCs/>
          <w:color w:val="000000"/>
          <w:sz w:val="24"/>
          <w:szCs w:val="24"/>
          <w:lang w:eastAsia="lv-LV"/>
        </w:rPr>
      </w:pPr>
    </w:p>
    <w:p w:rsidR="00F009B4" w:rsidRDefault="00F009B4" w:rsidP="00BF4753">
      <w:pPr>
        <w:ind w:firstLine="0"/>
        <w:rPr>
          <w:rFonts w:eastAsia="Times New Roman" w:cs="Times New Roman"/>
          <w:b/>
          <w:bCs/>
          <w:color w:val="000000"/>
          <w:sz w:val="24"/>
          <w:szCs w:val="24"/>
          <w:lang w:eastAsia="lv-LV"/>
        </w:rPr>
      </w:pPr>
    </w:p>
    <w:p w:rsidR="00DF348A" w:rsidRDefault="00DF348A" w:rsidP="00BF4753">
      <w:pPr>
        <w:ind w:firstLine="0"/>
        <w:rPr>
          <w:rFonts w:eastAsia="Times New Roman" w:cs="Times New Roman"/>
          <w:b/>
          <w:bCs/>
          <w:color w:val="000000"/>
          <w:sz w:val="24"/>
          <w:szCs w:val="24"/>
          <w:lang w:eastAsia="lv-LV"/>
        </w:rPr>
      </w:pPr>
    </w:p>
    <w:p w:rsidR="00DF348A" w:rsidRPr="00242D09" w:rsidRDefault="00DF348A" w:rsidP="00BF4753">
      <w:pPr>
        <w:ind w:firstLine="0"/>
        <w:rPr>
          <w:rFonts w:eastAsia="Times New Roman" w:cs="Times New Roman"/>
          <w:b/>
          <w:bCs/>
          <w:color w:val="000000"/>
          <w:sz w:val="24"/>
          <w:szCs w:val="24"/>
          <w:lang w:eastAsia="lv-LV"/>
        </w:rPr>
      </w:pPr>
    </w:p>
    <w:p w:rsidR="00581441" w:rsidRDefault="00581441" w:rsidP="00581441">
      <w:pPr>
        <w:tabs>
          <w:tab w:val="left" w:pos="851"/>
          <w:tab w:val="left" w:pos="6663"/>
        </w:tabs>
        <w:ind w:firstLine="0"/>
        <w:rPr>
          <w:rFonts w:eastAsia="Times New Roman" w:cs="Times New Roman"/>
          <w:b/>
          <w:bCs/>
          <w:color w:val="000000"/>
          <w:sz w:val="24"/>
          <w:szCs w:val="24"/>
          <w:lang w:eastAsia="lv-LV"/>
        </w:rPr>
      </w:pPr>
    </w:p>
    <w:p w:rsidR="00581441" w:rsidRDefault="00581441" w:rsidP="00581441">
      <w:pPr>
        <w:tabs>
          <w:tab w:val="left" w:pos="851"/>
          <w:tab w:val="left" w:pos="6663"/>
        </w:tabs>
        <w:ind w:firstLine="0"/>
        <w:rPr>
          <w:rFonts w:eastAsia="Times New Roman" w:cs="Times New Roman"/>
          <w:b/>
          <w:bCs/>
          <w:color w:val="000000"/>
          <w:sz w:val="24"/>
          <w:szCs w:val="24"/>
          <w:lang w:eastAsia="lv-LV"/>
        </w:rPr>
      </w:pPr>
    </w:p>
    <w:p w:rsidR="00BF4753" w:rsidRPr="00B81B74" w:rsidRDefault="00581441" w:rsidP="00581441">
      <w:pPr>
        <w:tabs>
          <w:tab w:val="left" w:pos="851"/>
          <w:tab w:val="left" w:pos="6663"/>
        </w:tabs>
        <w:ind w:firstLine="0"/>
        <w:rPr>
          <w:szCs w:val="28"/>
        </w:rPr>
      </w:pPr>
      <w:r>
        <w:rPr>
          <w:rFonts w:eastAsia="Times New Roman" w:cs="Times New Roman"/>
          <w:b/>
          <w:bCs/>
          <w:color w:val="000000"/>
          <w:sz w:val="24"/>
          <w:szCs w:val="24"/>
          <w:lang w:eastAsia="lv-LV"/>
        </w:rPr>
        <w:tab/>
      </w:r>
      <w:r w:rsidR="00BF4753" w:rsidRPr="00B81B74">
        <w:rPr>
          <w:szCs w:val="28"/>
        </w:rPr>
        <w:t xml:space="preserve">Finanšu ministrs </w:t>
      </w:r>
      <w:r w:rsidR="00BF4753" w:rsidRPr="00B81B74">
        <w:rPr>
          <w:szCs w:val="28"/>
        </w:rPr>
        <w:tab/>
      </w:r>
      <w:r w:rsidR="00BF4753" w:rsidRPr="00B81B74">
        <w:rPr>
          <w:szCs w:val="28"/>
        </w:rPr>
        <w:tab/>
        <w:t>J. Reirs</w:t>
      </w:r>
    </w:p>
    <w:p w:rsidR="00BF4753" w:rsidRPr="00284BE8" w:rsidRDefault="00BF4753" w:rsidP="00BF4753">
      <w:pPr>
        <w:tabs>
          <w:tab w:val="left" w:pos="851"/>
          <w:tab w:val="left" w:pos="6663"/>
        </w:tabs>
        <w:rPr>
          <w:sz w:val="24"/>
          <w:szCs w:val="24"/>
        </w:rPr>
      </w:pPr>
      <w:r>
        <w:rPr>
          <w:sz w:val="24"/>
          <w:szCs w:val="24"/>
        </w:rPr>
        <w:tab/>
      </w:r>
      <w:r w:rsidRPr="00284BE8">
        <w:rPr>
          <w:sz w:val="24"/>
          <w:szCs w:val="24"/>
        </w:rPr>
        <w:t xml:space="preserve"> </w:t>
      </w:r>
      <w:r>
        <w:rPr>
          <w:sz w:val="24"/>
          <w:szCs w:val="24"/>
        </w:rPr>
        <w:tab/>
      </w:r>
      <w:r>
        <w:rPr>
          <w:sz w:val="24"/>
          <w:szCs w:val="24"/>
        </w:rPr>
        <w:tab/>
      </w:r>
      <w:r>
        <w:rPr>
          <w:sz w:val="24"/>
          <w:szCs w:val="24"/>
        </w:rPr>
        <w:tab/>
      </w:r>
      <w:r>
        <w:rPr>
          <w:sz w:val="24"/>
          <w:szCs w:val="24"/>
        </w:rPr>
        <w:tab/>
      </w:r>
      <w:r w:rsidRPr="00284BE8">
        <w:rPr>
          <w:sz w:val="24"/>
          <w:szCs w:val="24"/>
        </w:rPr>
        <w:t xml:space="preserve">  </w:t>
      </w:r>
    </w:p>
    <w:p w:rsidR="00BF4753" w:rsidRDefault="00BF4753" w:rsidP="00BF4753">
      <w:pPr>
        <w:tabs>
          <w:tab w:val="left" w:pos="988"/>
        </w:tabs>
        <w:rPr>
          <w:rFonts w:cs="Times New Roman"/>
          <w:sz w:val="20"/>
        </w:rPr>
      </w:pPr>
    </w:p>
    <w:p w:rsidR="00BF4753" w:rsidRDefault="00BF4753" w:rsidP="00BF4753">
      <w:pPr>
        <w:tabs>
          <w:tab w:val="left" w:pos="988"/>
        </w:tabs>
        <w:rPr>
          <w:rFonts w:cs="Times New Roman"/>
          <w:sz w:val="24"/>
          <w:szCs w:val="16"/>
        </w:rPr>
      </w:pPr>
    </w:p>
    <w:p w:rsidR="00437D0F" w:rsidRDefault="00437D0F" w:rsidP="00BF4753">
      <w:pPr>
        <w:tabs>
          <w:tab w:val="left" w:pos="988"/>
        </w:tabs>
        <w:rPr>
          <w:rFonts w:cs="Times New Roman"/>
          <w:sz w:val="24"/>
          <w:szCs w:val="16"/>
        </w:rPr>
      </w:pPr>
    </w:p>
    <w:p w:rsidR="00437D0F" w:rsidRDefault="00437D0F" w:rsidP="00BF4753">
      <w:pPr>
        <w:tabs>
          <w:tab w:val="left" w:pos="988"/>
        </w:tabs>
        <w:rPr>
          <w:rFonts w:cs="Times New Roman"/>
          <w:sz w:val="24"/>
          <w:szCs w:val="16"/>
        </w:rPr>
      </w:pPr>
    </w:p>
    <w:p w:rsidR="00BF4753" w:rsidRDefault="00BF4753" w:rsidP="00BF4753">
      <w:pPr>
        <w:tabs>
          <w:tab w:val="left" w:pos="988"/>
        </w:tabs>
        <w:rPr>
          <w:rFonts w:cs="Times New Roman"/>
          <w:sz w:val="24"/>
          <w:szCs w:val="16"/>
        </w:rPr>
      </w:pPr>
    </w:p>
    <w:p w:rsidR="00BF4753" w:rsidRDefault="00BF4753" w:rsidP="00BF4753">
      <w:pPr>
        <w:tabs>
          <w:tab w:val="left" w:pos="988"/>
        </w:tabs>
        <w:rPr>
          <w:rFonts w:cs="Times New Roman"/>
          <w:sz w:val="24"/>
          <w:szCs w:val="16"/>
        </w:rPr>
      </w:pPr>
    </w:p>
    <w:p w:rsidR="00BF4753" w:rsidRPr="008313E0" w:rsidRDefault="00BF4753" w:rsidP="00BF4753">
      <w:pPr>
        <w:tabs>
          <w:tab w:val="left" w:pos="988"/>
        </w:tabs>
        <w:rPr>
          <w:rFonts w:cs="Times New Roman"/>
          <w:color w:val="000000" w:themeColor="text1"/>
          <w:sz w:val="20"/>
          <w:szCs w:val="20"/>
        </w:rPr>
      </w:pPr>
      <w:r w:rsidRPr="008313E0">
        <w:rPr>
          <w:rFonts w:cs="Times New Roman"/>
          <w:color w:val="000000" w:themeColor="text1"/>
          <w:sz w:val="20"/>
          <w:szCs w:val="20"/>
        </w:rPr>
        <w:t>Deksne 67083823</w:t>
      </w:r>
    </w:p>
    <w:p w:rsidR="00BF4753" w:rsidRPr="008313E0" w:rsidRDefault="00BF3A4C" w:rsidP="00BF4753">
      <w:pPr>
        <w:tabs>
          <w:tab w:val="left" w:pos="988"/>
        </w:tabs>
        <w:rPr>
          <w:rFonts w:cs="Times New Roman"/>
          <w:color w:val="000000" w:themeColor="text1"/>
          <w:sz w:val="20"/>
          <w:szCs w:val="20"/>
        </w:rPr>
      </w:pPr>
      <w:hyperlink r:id="rId55" w:history="1">
        <w:r w:rsidR="00BF4753" w:rsidRPr="008313E0">
          <w:rPr>
            <w:rStyle w:val="Hyperlink"/>
            <w:rFonts w:cs="Times New Roman"/>
            <w:color w:val="000000" w:themeColor="text1"/>
            <w:sz w:val="20"/>
            <w:szCs w:val="20"/>
            <w:u w:val="none"/>
          </w:rPr>
          <w:t>Anna.Deksne@fm.gov.lv</w:t>
        </w:r>
      </w:hyperlink>
    </w:p>
    <w:p w:rsidR="00C57955" w:rsidRDefault="00C57955"/>
    <w:sectPr w:rsidR="00C57955" w:rsidSect="002D7CA8">
      <w:type w:val="continuous"/>
      <w:pgSz w:w="11906" w:h="16838" w:code="9"/>
      <w:pgMar w:top="1418" w:right="1134" w:bottom="709" w:left="1701" w:header="0" w:footer="14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441" w:rsidRDefault="00581441" w:rsidP="00BF4753">
      <w:r>
        <w:separator/>
      </w:r>
    </w:p>
  </w:endnote>
  <w:endnote w:type="continuationSeparator" w:id="0">
    <w:p w:rsidR="00581441" w:rsidRDefault="00581441" w:rsidP="00BF4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Consolas">
    <w:panose1 w:val="020B0609020204030204"/>
    <w:charset w:val="BA"/>
    <w:family w:val="modern"/>
    <w:pitch w:val="fixed"/>
    <w:sig w:usb0="E00006FF" w:usb1="0000FCFF" w:usb2="00000001" w:usb3="00000000" w:csb0="0000019F" w:csb1="00000000"/>
  </w:font>
  <w:font w:name="Verdana">
    <w:panose1 w:val="020B0604030504040204"/>
    <w:charset w:val="BA"/>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90A" w:rsidRDefault="002719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441" w:rsidRPr="00BB526F" w:rsidRDefault="0027190A" w:rsidP="003249D1">
    <w:pPr>
      <w:pStyle w:val="Footer"/>
      <w:tabs>
        <w:tab w:val="clear" w:pos="8306"/>
        <w:tab w:val="right" w:pos="8364"/>
      </w:tabs>
      <w:ind w:firstLine="0"/>
    </w:pPr>
    <w:r>
      <w:rPr>
        <w:sz w:val="20"/>
      </w:rPr>
      <w:t>FMInf_07</w:t>
    </w:r>
    <w:r w:rsidR="00581441" w:rsidRPr="006D39DB">
      <w:rPr>
        <w:sz w:val="20"/>
      </w:rPr>
      <w:t>042021_SP</w:t>
    </w:r>
    <w:r w:rsidR="00581441">
      <w:rPr>
        <w:sz w:val="20"/>
      </w:rPr>
      <w:tab/>
    </w:r>
    <w:r w:rsidR="00581441">
      <w:rPr>
        <w:sz w:val="20"/>
      </w:rPr>
      <w:tab/>
    </w:r>
    <w:r w:rsidR="00581441" w:rsidRPr="00A471A1">
      <w:fldChar w:fldCharType="begin"/>
    </w:r>
    <w:r w:rsidR="00581441" w:rsidRPr="00A471A1">
      <w:instrText xml:space="preserve"> PAGE   \* MERGEFORMAT </w:instrText>
    </w:r>
    <w:r w:rsidR="00581441" w:rsidRPr="00A471A1">
      <w:fldChar w:fldCharType="separate"/>
    </w:r>
    <w:r w:rsidR="00BF3A4C">
      <w:rPr>
        <w:noProof/>
      </w:rPr>
      <w:t>40</w:t>
    </w:r>
    <w:r w:rsidR="00581441" w:rsidRPr="00A471A1">
      <w:rPr>
        <w:noProof/>
      </w:rPr>
      <w:fldChar w:fldCharType="end"/>
    </w:r>
    <w:r w:rsidR="00581441">
      <w:rPr>
        <w:sz w:val="20"/>
      </w:rPr>
      <w:tab/>
    </w:r>
    <w:r w:rsidR="00581441" w:rsidRPr="00A471A1">
      <w:rPr>
        <w:sz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441" w:rsidRPr="00A471A1" w:rsidRDefault="0027190A" w:rsidP="00A471A1">
    <w:pPr>
      <w:pStyle w:val="Footer"/>
      <w:tabs>
        <w:tab w:val="left" w:pos="7960"/>
      </w:tabs>
      <w:ind w:firstLine="0"/>
      <w:jc w:val="left"/>
      <w:rPr>
        <w:sz w:val="36"/>
      </w:rPr>
    </w:pPr>
    <w:r>
      <w:rPr>
        <w:sz w:val="20"/>
      </w:rPr>
      <w:t>FMInf_07</w:t>
    </w:r>
    <w:r w:rsidR="00581441" w:rsidRPr="006D39DB">
      <w:rPr>
        <w:sz w:val="20"/>
      </w:rPr>
      <w:t>042021_SP</w:t>
    </w:r>
    <w:r w:rsidR="00581441">
      <w:rPr>
        <w:sz w:val="20"/>
      </w:rPr>
      <w:tab/>
    </w:r>
    <w:r w:rsidR="00581441">
      <w:rPr>
        <w:sz w:val="20"/>
      </w:rPr>
      <w:tab/>
    </w:r>
    <w:r w:rsidR="00581441">
      <w:rPr>
        <w:sz w:val="20"/>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840" w:rsidRDefault="002C38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C3840" w:rsidRDefault="002C384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840" w:rsidRDefault="002C3840" w:rsidP="00CF68FC">
    <w:pPr>
      <w:pStyle w:val="Footer"/>
      <w:ind w:right="360" w:firstLine="0"/>
    </w:pPr>
    <w:r>
      <w:rPr>
        <w:sz w:val="20"/>
      </w:rPr>
      <w:t>FMInf_06</w:t>
    </w:r>
    <w:r w:rsidRPr="006D39DB">
      <w:rPr>
        <w:sz w:val="20"/>
      </w:rPr>
      <w:t>042021_SP</w:t>
    </w:r>
    <w:r>
      <w:rPr>
        <w:sz w:val="20"/>
      </w:rPr>
      <w:tab/>
    </w:r>
    <w:r>
      <w:rPr>
        <w:sz w:val="20"/>
      </w:rPr>
      <w:tab/>
    </w:r>
    <w:r w:rsidRPr="00A471A1">
      <w:fldChar w:fldCharType="begin"/>
    </w:r>
    <w:r w:rsidRPr="00A471A1">
      <w:instrText xml:space="preserve"> PAGE   \* MERGEFORMAT </w:instrText>
    </w:r>
    <w:r w:rsidRPr="00A471A1">
      <w:fldChar w:fldCharType="separate"/>
    </w:r>
    <w:r>
      <w:rPr>
        <w:noProof/>
      </w:rPr>
      <w:t>53</w:t>
    </w:r>
    <w:r w:rsidRPr="00A471A1">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441" w:rsidRDefault="005814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81441" w:rsidRDefault="00581441">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441" w:rsidRDefault="0027190A" w:rsidP="00CF68FC">
    <w:pPr>
      <w:pStyle w:val="Footer"/>
      <w:ind w:right="360" w:firstLine="0"/>
    </w:pPr>
    <w:r>
      <w:rPr>
        <w:sz w:val="20"/>
      </w:rPr>
      <w:t>FMInf_07</w:t>
    </w:r>
    <w:r w:rsidR="00581441" w:rsidRPr="006D39DB">
      <w:rPr>
        <w:sz w:val="20"/>
      </w:rPr>
      <w:t>042021_SP</w:t>
    </w:r>
    <w:r w:rsidR="00581441">
      <w:rPr>
        <w:sz w:val="20"/>
      </w:rPr>
      <w:tab/>
    </w:r>
    <w:r w:rsidR="00581441">
      <w:rPr>
        <w:sz w:val="20"/>
      </w:rPr>
      <w:tab/>
    </w:r>
    <w:r w:rsidR="00581441" w:rsidRPr="00A471A1">
      <w:fldChar w:fldCharType="begin"/>
    </w:r>
    <w:r w:rsidR="00581441" w:rsidRPr="00A471A1">
      <w:instrText xml:space="preserve"> PAGE   \* MERGEFORMAT </w:instrText>
    </w:r>
    <w:r w:rsidR="00581441" w:rsidRPr="00A471A1">
      <w:fldChar w:fldCharType="separate"/>
    </w:r>
    <w:r w:rsidR="00BF3A4C">
      <w:rPr>
        <w:noProof/>
      </w:rPr>
      <w:t>69</w:t>
    </w:r>
    <w:r w:rsidR="00581441" w:rsidRPr="00A471A1">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sz w:val="24"/>
      </w:rPr>
      <w:id w:val="-1446761671"/>
      <w:docPartObj>
        <w:docPartGallery w:val="Page Numbers (Bottom of Page)"/>
        <w:docPartUnique/>
      </w:docPartObj>
    </w:sdtPr>
    <w:sdtEndPr>
      <w:rPr>
        <w:noProof/>
      </w:rPr>
    </w:sdtEndPr>
    <w:sdtContent>
      <w:p w:rsidR="00581441" w:rsidRPr="00E829CD" w:rsidRDefault="00581441" w:rsidP="002D7CA8">
        <w:pPr>
          <w:pStyle w:val="Footer"/>
          <w:spacing w:before="120"/>
          <w:ind w:firstLine="0"/>
          <w:rPr>
            <w:rFonts w:cs="Times New Roman"/>
            <w:noProof/>
            <w:sz w:val="20"/>
          </w:rPr>
        </w:pPr>
        <w:r>
          <w:rPr>
            <w:rFonts w:cs="Times New Roman"/>
            <w:noProof/>
            <w:sz w:val="20"/>
          </w:rPr>
          <w:fldChar w:fldCharType="begin"/>
        </w:r>
        <w:r>
          <w:rPr>
            <w:rFonts w:cs="Times New Roman"/>
            <w:noProof/>
            <w:sz w:val="20"/>
          </w:rPr>
          <w:instrText xml:space="preserve"> FILENAME   \* MERGEFORMAT </w:instrText>
        </w:r>
        <w:r>
          <w:rPr>
            <w:rFonts w:cs="Times New Roman"/>
            <w:noProof/>
            <w:sz w:val="20"/>
          </w:rPr>
          <w:fldChar w:fldCharType="separate"/>
        </w:r>
        <w:r>
          <w:rPr>
            <w:rFonts w:cs="Times New Roman"/>
            <w:noProof/>
            <w:sz w:val="20"/>
          </w:rPr>
          <w:t>FMinfo_01042021_SP</w:t>
        </w:r>
        <w:r>
          <w:rPr>
            <w:rFonts w:cs="Times New Roman"/>
            <w:noProof/>
            <w:sz w:val="20"/>
          </w:rPr>
          <w:fldChar w:fldCharType="end"/>
        </w:r>
        <w:r w:rsidRPr="00B71182">
          <w:rPr>
            <w:rFonts w:cs="Times New Roman"/>
            <w:sz w:val="20"/>
          </w:rPr>
          <w:t xml:space="preserve">; </w:t>
        </w:r>
      </w:p>
      <w:p w:rsidR="00581441" w:rsidRPr="002D4AED" w:rsidRDefault="00581441" w:rsidP="002D7CA8">
        <w:pPr>
          <w:pStyle w:val="Footer"/>
          <w:tabs>
            <w:tab w:val="right" w:pos="9071"/>
          </w:tabs>
          <w:jc w:val="right"/>
          <w:rPr>
            <w:rFonts w:cs="Times New Roman"/>
            <w:sz w:val="24"/>
          </w:rPr>
        </w:pPr>
        <w:r>
          <w:rPr>
            <w:rFonts w:cs="Times New Roman"/>
            <w:sz w:val="24"/>
          </w:rPr>
          <w:tab/>
        </w:r>
        <w:r>
          <w:rPr>
            <w:rFonts w:cs="Times New Roman"/>
            <w:sz w:val="24"/>
          </w:rPr>
          <w:tab/>
        </w:r>
        <w:r>
          <w:rPr>
            <w:rFonts w:cs="Times New Roman"/>
            <w:sz w:val="24"/>
          </w:rPr>
          <w:tab/>
        </w:r>
        <w:r w:rsidRPr="002D4AED">
          <w:rPr>
            <w:rFonts w:cs="Times New Roman"/>
            <w:sz w:val="24"/>
          </w:rPr>
          <w:fldChar w:fldCharType="begin"/>
        </w:r>
        <w:r w:rsidRPr="002D4AED">
          <w:rPr>
            <w:rFonts w:cs="Times New Roman"/>
            <w:sz w:val="24"/>
          </w:rPr>
          <w:instrText xml:space="preserve"> PAGE   \* MERGEFORMAT </w:instrText>
        </w:r>
        <w:r w:rsidRPr="002D4AED">
          <w:rPr>
            <w:rFonts w:cs="Times New Roman"/>
            <w:sz w:val="24"/>
          </w:rPr>
          <w:fldChar w:fldCharType="separate"/>
        </w:r>
        <w:r>
          <w:rPr>
            <w:rFonts w:cs="Times New Roman"/>
            <w:noProof/>
            <w:sz w:val="24"/>
          </w:rPr>
          <w:t>93</w:t>
        </w:r>
        <w:r w:rsidRPr="002D4AED">
          <w:rPr>
            <w:rFonts w:cs="Times New Roman"/>
            <w:noProof/>
            <w:sz w:val="24"/>
          </w:rPr>
          <w:fldChar w:fldCharType="end"/>
        </w:r>
      </w:p>
    </w:sdtContent>
  </w:sdt>
  <w:p w:rsidR="00581441" w:rsidRDefault="00581441"/>
  <w:p w:rsidR="00581441" w:rsidRDefault="00581441"/>
  <w:p w:rsidR="00581441" w:rsidRDefault="00581441"/>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sz w:val="24"/>
      </w:rPr>
      <w:id w:val="-159006593"/>
      <w:docPartObj>
        <w:docPartGallery w:val="Page Numbers (Bottom of Page)"/>
        <w:docPartUnique/>
      </w:docPartObj>
    </w:sdtPr>
    <w:sdtEndPr>
      <w:rPr>
        <w:noProof/>
      </w:rPr>
    </w:sdtEndPr>
    <w:sdtContent>
      <w:p w:rsidR="00581441" w:rsidRPr="00E829CD" w:rsidRDefault="0027190A" w:rsidP="00CF68FC">
        <w:pPr>
          <w:pStyle w:val="Footer"/>
          <w:spacing w:before="120"/>
          <w:ind w:firstLine="0"/>
          <w:rPr>
            <w:rFonts w:cs="Times New Roman"/>
            <w:noProof/>
            <w:sz w:val="20"/>
          </w:rPr>
        </w:pPr>
        <w:r>
          <w:rPr>
            <w:sz w:val="20"/>
          </w:rPr>
          <w:t>FMInf_07</w:t>
        </w:r>
        <w:r w:rsidR="00581441" w:rsidRPr="006D39DB">
          <w:rPr>
            <w:sz w:val="20"/>
          </w:rPr>
          <w:t>042021_SP</w:t>
        </w:r>
        <w:r w:rsidR="00581441">
          <w:rPr>
            <w:sz w:val="20"/>
          </w:rPr>
          <w:tab/>
        </w:r>
        <w:r w:rsidR="00581441">
          <w:rPr>
            <w:sz w:val="20"/>
          </w:rPr>
          <w:tab/>
        </w:r>
        <w:r w:rsidR="00581441" w:rsidRPr="00DF7465">
          <w:fldChar w:fldCharType="begin"/>
        </w:r>
        <w:r w:rsidR="00581441" w:rsidRPr="00DF7465">
          <w:instrText xml:space="preserve"> PAGE   \* MERGEFORMAT </w:instrText>
        </w:r>
        <w:r w:rsidR="00581441" w:rsidRPr="00DF7465">
          <w:fldChar w:fldCharType="separate"/>
        </w:r>
        <w:r w:rsidR="00BF3A4C">
          <w:rPr>
            <w:noProof/>
          </w:rPr>
          <w:t>95</w:t>
        </w:r>
        <w:r w:rsidR="00581441" w:rsidRPr="00DF7465">
          <w:rPr>
            <w:noProof/>
          </w:rPr>
          <w:fldChar w:fldCharType="end"/>
        </w:r>
      </w:p>
      <w:p w:rsidR="00581441" w:rsidRPr="002D4AED" w:rsidRDefault="00581441" w:rsidP="002D7CA8">
        <w:pPr>
          <w:pStyle w:val="Footer"/>
          <w:tabs>
            <w:tab w:val="right" w:pos="9071"/>
          </w:tabs>
          <w:jc w:val="right"/>
          <w:rPr>
            <w:rFonts w:cs="Times New Roman"/>
            <w:sz w:val="24"/>
          </w:rPr>
        </w:pPr>
        <w:r>
          <w:rPr>
            <w:rFonts w:cs="Times New Roman"/>
            <w:sz w:val="24"/>
          </w:rPr>
          <w:tab/>
        </w:r>
        <w:r>
          <w:rPr>
            <w:rFonts w:cs="Times New Roman"/>
            <w:sz w:val="24"/>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441" w:rsidRDefault="00581441" w:rsidP="00BF4753">
      <w:r>
        <w:separator/>
      </w:r>
    </w:p>
  </w:footnote>
  <w:footnote w:type="continuationSeparator" w:id="0">
    <w:p w:rsidR="00581441" w:rsidRDefault="00581441" w:rsidP="00BF4753">
      <w:r>
        <w:continuationSeparator/>
      </w:r>
    </w:p>
  </w:footnote>
  <w:footnote w:id="1">
    <w:p w:rsidR="00581441" w:rsidRDefault="00581441" w:rsidP="00BF4753">
      <w:pPr>
        <w:pStyle w:val="FootnoteText"/>
      </w:pPr>
      <w:r>
        <w:rPr>
          <w:rStyle w:val="FootnoteReference"/>
          <w:rFonts w:eastAsiaTheme="majorEastAsia"/>
        </w:rPr>
        <w:footnoteRef/>
      </w:r>
      <w:r>
        <w:t xml:space="preserve"> Datu avots: Latvijas Banka </w:t>
      </w:r>
    </w:p>
  </w:footnote>
  <w:footnote w:id="2">
    <w:p w:rsidR="00581441" w:rsidRDefault="00581441" w:rsidP="00BF4753">
      <w:pPr>
        <w:pStyle w:val="FootnoteText"/>
      </w:pPr>
      <w:r>
        <w:rPr>
          <w:rStyle w:val="FootnoteReference"/>
        </w:rPr>
        <w:footnoteRef/>
      </w:r>
      <w:r>
        <w:t xml:space="preserve"> Datu avots: Centrālā statistikas pārvalde, Finanšu ministrijas aprēķini </w:t>
      </w:r>
    </w:p>
  </w:footnote>
  <w:footnote w:id="3">
    <w:p w:rsidR="00581441" w:rsidRPr="00625CA7" w:rsidRDefault="00581441" w:rsidP="00BF4753">
      <w:pPr>
        <w:pStyle w:val="FootnoteText"/>
        <w:rPr>
          <w:color w:val="auto"/>
        </w:rPr>
      </w:pPr>
      <w:r w:rsidRPr="00625CA7">
        <w:rPr>
          <w:rStyle w:val="FootnoteReference"/>
        </w:rPr>
        <w:footnoteRef/>
      </w:r>
      <w:r w:rsidRPr="00625CA7">
        <w:t xml:space="preserve"> Ska</w:t>
      </w:r>
      <w:r w:rsidRPr="00625CA7">
        <w:rPr>
          <w:color w:val="auto"/>
        </w:rPr>
        <w:t xml:space="preserve">t. </w:t>
      </w:r>
      <w:hyperlink r:id="rId1" w:history="1">
        <w:r w:rsidRPr="00625CA7">
          <w:rPr>
            <w:rStyle w:val="Hyperlink"/>
            <w:rFonts w:eastAsiaTheme="majorEastAsia"/>
            <w:color w:val="auto"/>
            <w:u w:val="none"/>
          </w:rPr>
          <w:t>https://www.ecdc.europa.eu/en/publications-data/data-national-14-day-notification-rate-covid-19</w:t>
        </w:r>
      </w:hyperlink>
    </w:p>
  </w:footnote>
  <w:footnote w:id="4">
    <w:p w:rsidR="00581441" w:rsidRPr="00625CA7" w:rsidRDefault="00581441" w:rsidP="00BF4753">
      <w:pPr>
        <w:pStyle w:val="FootnoteText"/>
        <w:rPr>
          <w:color w:val="auto"/>
        </w:rPr>
      </w:pPr>
      <w:r w:rsidRPr="00625CA7">
        <w:rPr>
          <w:rStyle w:val="FootnoteReference"/>
          <w:color w:val="auto"/>
        </w:rPr>
        <w:footnoteRef/>
      </w:r>
      <w:r w:rsidRPr="00625CA7">
        <w:rPr>
          <w:color w:val="auto"/>
        </w:rPr>
        <w:t xml:space="preserve"> Skat. </w:t>
      </w:r>
      <w:hyperlink r:id="rId2" w:history="1">
        <w:r w:rsidRPr="00625CA7">
          <w:rPr>
            <w:rStyle w:val="Hyperlink"/>
            <w:rFonts w:eastAsiaTheme="majorEastAsia"/>
            <w:color w:val="auto"/>
            <w:u w:val="none"/>
          </w:rPr>
          <w:t>https://covid19.gov.lv/index.php/covid-19/covid-19-statistika/covid-19-vakcinacijas-statistika</w:t>
        </w:r>
      </w:hyperlink>
    </w:p>
    <w:p w:rsidR="00581441" w:rsidRDefault="00581441" w:rsidP="00BF4753">
      <w:pPr>
        <w:pStyle w:val="FootnoteText"/>
      </w:pPr>
    </w:p>
  </w:footnote>
  <w:footnote w:id="5">
    <w:p w:rsidR="00581441" w:rsidRDefault="00581441" w:rsidP="00BF4753">
      <w:pPr>
        <w:pStyle w:val="FootnoteText"/>
        <w:ind w:left="0" w:hanging="142"/>
        <w:rPr>
          <w:sz w:val="18"/>
          <w:szCs w:val="18"/>
        </w:rPr>
      </w:pPr>
      <w:r w:rsidRPr="00F01A06">
        <w:rPr>
          <w:rStyle w:val="FootnoteCharacters"/>
          <w:sz w:val="18"/>
          <w:szCs w:val="18"/>
        </w:rPr>
        <w:footnoteRef/>
      </w:r>
      <w:r w:rsidRPr="00F01A06">
        <w:rPr>
          <w:sz w:val="18"/>
          <w:szCs w:val="18"/>
        </w:rPr>
        <w:tab/>
        <w:t>Nodokļu slogs (D</w:t>
      </w:r>
      <w:r>
        <w:rPr>
          <w:sz w:val="18"/>
          <w:szCs w:val="18"/>
        </w:rPr>
        <w:t>.2 (iesk.ES daļu)+D.5+D.61+D91).</w:t>
      </w:r>
    </w:p>
    <w:p w:rsidR="00581441" w:rsidRDefault="00581441" w:rsidP="00BF4753">
      <w:pPr>
        <w:pStyle w:val="FootnoteText"/>
        <w:ind w:left="0" w:hanging="142"/>
        <w:rPr>
          <w:sz w:val="18"/>
          <w:szCs w:val="18"/>
        </w:rPr>
      </w:pPr>
    </w:p>
    <w:p w:rsidR="00581441" w:rsidRDefault="00581441" w:rsidP="00BF4753">
      <w:pPr>
        <w:pStyle w:val="FootnoteText"/>
        <w:ind w:left="0" w:hanging="142"/>
        <w:rPr>
          <w:sz w:val="18"/>
          <w:szCs w:val="18"/>
        </w:rPr>
      </w:pPr>
    </w:p>
    <w:p w:rsidR="00581441" w:rsidRDefault="00581441" w:rsidP="00BF4753">
      <w:pPr>
        <w:pStyle w:val="FootnoteText"/>
        <w:ind w:left="0" w:hanging="142"/>
        <w:rPr>
          <w:sz w:val="18"/>
          <w:szCs w:val="18"/>
        </w:rPr>
      </w:pPr>
    </w:p>
    <w:p w:rsidR="00581441" w:rsidRPr="00F01A06" w:rsidRDefault="00581441" w:rsidP="00BF4753">
      <w:pPr>
        <w:pStyle w:val="FootnoteText"/>
        <w:ind w:left="0" w:hanging="142"/>
        <w:rPr>
          <w:sz w:val="18"/>
          <w:szCs w:val="18"/>
        </w:rPr>
      </w:pPr>
    </w:p>
  </w:footnote>
  <w:footnote w:id="6">
    <w:p w:rsidR="00581441" w:rsidRPr="0070018B" w:rsidRDefault="00581441" w:rsidP="002C3840">
      <w:pPr>
        <w:pStyle w:val="FootnoteText"/>
        <w:ind w:left="142" w:hanging="142"/>
        <w:rPr>
          <w:sz w:val="18"/>
          <w:szCs w:val="18"/>
        </w:rPr>
      </w:pPr>
      <w:r w:rsidRPr="0070018B">
        <w:rPr>
          <w:rStyle w:val="FootnoteReference"/>
          <w:sz w:val="18"/>
          <w:szCs w:val="18"/>
        </w:rPr>
        <w:footnoteRef/>
      </w:r>
      <w:r w:rsidRPr="0070018B">
        <w:rPr>
          <w:sz w:val="18"/>
          <w:szCs w:val="18"/>
        </w:rPr>
        <w:t xml:space="preserve"> Valsts un pašvaldību struktūru kontrolētās un </w:t>
      </w:r>
      <w:r>
        <w:rPr>
          <w:sz w:val="18"/>
          <w:szCs w:val="18"/>
        </w:rPr>
        <w:t>finansētās komercsabiedrības (Finanšu ministrijas</w:t>
      </w:r>
      <w:r w:rsidRPr="0070018B">
        <w:rPr>
          <w:sz w:val="18"/>
          <w:szCs w:val="18"/>
        </w:rPr>
        <w:t xml:space="preserve"> izlases aptaujas rezultāts). Pilns </w:t>
      </w:r>
      <w:r w:rsidRPr="0070018B">
        <w:rPr>
          <w:noProof/>
          <w:sz w:val="18"/>
          <w:szCs w:val="18"/>
          <w:lang w:val="en-US"/>
        </w:rPr>
        <w:t>kom</w:t>
      </w:r>
      <w:r>
        <w:rPr>
          <w:noProof/>
          <w:sz w:val="18"/>
          <w:szCs w:val="18"/>
          <w:lang w:val="en-US"/>
        </w:rPr>
        <w:t>ersantu saraksts ir pieejams Centrālās statistikas pārvaldes</w:t>
      </w:r>
      <w:r w:rsidRPr="0070018B">
        <w:rPr>
          <w:noProof/>
          <w:sz w:val="18"/>
          <w:szCs w:val="18"/>
          <w:lang w:val="en-US"/>
        </w:rPr>
        <w:t xml:space="preserve"> mājas lapā </w:t>
      </w:r>
      <w:hyperlink r:id="rId3" w:history="1">
        <w:r w:rsidRPr="00625CA7">
          <w:rPr>
            <w:rStyle w:val="Hyperlink"/>
            <w:noProof/>
            <w:color w:val="auto"/>
            <w:sz w:val="18"/>
            <w:szCs w:val="18"/>
            <w:u w:val="none"/>
            <w:lang w:val="en-US"/>
          </w:rPr>
          <w:t>https://www.csb.gov.lv/lv/statistika/klasifikacijas/institucionalo-sektoru-klasifikacija/kodi</w:t>
        </w:r>
      </w:hyperlink>
    </w:p>
  </w:footnote>
  <w:footnote w:id="7">
    <w:p w:rsidR="00581441" w:rsidRPr="0070018B" w:rsidRDefault="00581441" w:rsidP="00BF4753">
      <w:pPr>
        <w:pStyle w:val="FootnoteText"/>
        <w:ind w:left="142" w:hanging="142"/>
        <w:rPr>
          <w:noProof/>
          <w:sz w:val="18"/>
          <w:szCs w:val="18"/>
          <w:lang w:val="en-US"/>
        </w:rPr>
      </w:pPr>
      <w:r w:rsidRPr="0070018B">
        <w:rPr>
          <w:rStyle w:val="FootnoteReference"/>
          <w:noProof/>
          <w:sz w:val="18"/>
          <w:szCs w:val="18"/>
          <w:lang w:val="en-US"/>
        </w:rPr>
        <w:footnoteRef/>
      </w:r>
      <w:r w:rsidRPr="0070018B">
        <w:rPr>
          <w:noProof/>
          <w:sz w:val="18"/>
          <w:szCs w:val="18"/>
          <w:lang w:val="en-US"/>
        </w:rPr>
        <w:t xml:space="preserve"> Budžeta bilances cikliskās komponentes aprēķinā izmantota budžeta pus-elastība 0,378 (Datu avots: </w:t>
      </w:r>
      <w:r w:rsidRPr="0023565D">
        <w:rPr>
          <w:i/>
          <w:noProof/>
          <w:sz w:val="18"/>
          <w:szCs w:val="18"/>
          <w:lang w:val="en-US"/>
        </w:rPr>
        <w:t>G.Mourre ao. European Commission. The Semi-Elasticities Underlying the Cyclically-Adjusted Budget Balance: An Update &amp; Further Analysis. May 2019</w:t>
      </w:r>
      <w:r w:rsidRPr="0070018B">
        <w:rPr>
          <w:noProof/>
          <w:sz w:val="18"/>
          <w:szCs w:val="18"/>
          <w:lang w:val="en-US"/>
        </w:rPr>
        <w:t>).</w:t>
      </w:r>
    </w:p>
  </w:footnote>
  <w:footnote w:id="8">
    <w:p w:rsidR="00581441" w:rsidRPr="002A4F3D" w:rsidRDefault="00581441" w:rsidP="00BF4753">
      <w:pPr>
        <w:pStyle w:val="FootnoteText"/>
        <w:ind w:left="142" w:hanging="142"/>
        <w:rPr>
          <w:noProof/>
          <w:color w:val="auto"/>
          <w:sz w:val="18"/>
          <w:szCs w:val="18"/>
          <w:lang w:val="en-US"/>
        </w:rPr>
      </w:pPr>
      <w:r w:rsidRPr="00044B8B">
        <w:rPr>
          <w:rStyle w:val="FootnoteReference"/>
          <w:noProof/>
          <w:color w:val="auto"/>
          <w:sz w:val="18"/>
          <w:szCs w:val="18"/>
          <w:lang w:val="en-US"/>
        </w:rPr>
        <w:footnoteRef/>
      </w:r>
      <w:r w:rsidRPr="00044B8B">
        <w:rPr>
          <w:noProof/>
          <w:color w:val="auto"/>
          <w:sz w:val="18"/>
          <w:szCs w:val="18"/>
          <w:lang w:val="en-US"/>
        </w:rPr>
        <w:t xml:space="preserve"> Lai atvieglotu datu s</w:t>
      </w:r>
      <w:r>
        <w:rPr>
          <w:noProof/>
          <w:color w:val="auto"/>
          <w:sz w:val="18"/>
          <w:szCs w:val="18"/>
          <w:lang w:val="en-US"/>
        </w:rPr>
        <w:t>alīdzināmību starp Latviju un Eiropas Komisiju</w:t>
      </w:r>
      <w:r w:rsidRPr="00044B8B">
        <w:rPr>
          <w:noProof/>
          <w:color w:val="auto"/>
          <w:sz w:val="18"/>
          <w:szCs w:val="18"/>
          <w:lang w:val="en-US"/>
        </w:rPr>
        <w:t>, strukturālā bilance 2020.</w:t>
      </w:r>
      <w:r>
        <w:rPr>
          <w:noProof/>
          <w:color w:val="auto"/>
          <w:sz w:val="18"/>
          <w:szCs w:val="18"/>
          <w:lang w:val="en-US"/>
        </w:rPr>
        <w:t xml:space="preserve"> </w:t>
      </w:r>
      <w:r w:rsidRPr="00044B8B">
        <w:rPr>
          <w:noProof/>
          <w:color w:val="auto"/>
          <w:sz w:val="18"/>
          <w:szCs w:val="18"/>
          <w:lang w:val="en-US"/>
        </w:rPr>
        <w:t>gadā ir parādīta kopā ar nodokļu reformas neto i</w:t>
      </w:r>
      <w:r>
        <w:rPr>
          <w:noProof/>
          <w:color w:val="auto"/>
          <w:sz w:val="18"/>
          <w:szCs w:val="18"/>
          <w:lang w:val="en-US"/>
        </w:rPr>
        <w:t xml:space="preserve">eņēmumu samazinājumu 0,3% no </w:t>
      </w:r>
      <w:r w:rsidRPr="0023565D">
        <w:rPr>
          <w:noProof/>
          <w:color w:val="auto"/>
          <w:sz w:val="18"/>
          <w:szCs w:val="18"/>
          <w:lang w:val="en-US"/>
        </w:rPr>
        <w:t>iekšzemes kopprodukta</w:t>
      </w:r>
      <w:r w:rsidRPr="00044B8B">
        <w:rPr>
          <w:noProof/>
          <w:color w:val="auto"/>
          <w:sz w:val="18"/>
          <w:szCs w:val="18"/>
          <w:lang w:val="en-US"/>
        </w:rPr>
        <w:t xml:space="preserve">, kas ir īslaicīgs un Latvijas fiskālajā ietvarā tiek atzīts </w:t>
      </w:r>
      <w:r>
        <w:rPr>
          <w:noProof/>
          <w:color w:val="auto"/>
          <w:sz w:val="18"/>
          <w:szCs w:val="18"/>
          <w:lang w:val="en-US"/>
        </w:rPr>
        <w:t>par vienreizējo pasākumu, bet Eiropas Komisija</w:t>
      </w:r>
      <w:r w:rsidRPr="00044B8B">
        <w:rPr>
          <w:noProof/>
          <w:color w:val="auto"/>
          <w:sz w:val="18"/>
          <w:szCs w:val="18"/>
          <w:lang w:val="en-US"/>
        </w:rPr>
        <w:t xml:space="preserve"> šo efektu ietver strukturālajā bilancē, jo ieņēmumus samazinošos/ izd</w:t>
      </w:r>
      <w:r>
        <w:rPr>
          <w:noProof/>
          <w:color w:val="auto"/>
          <w:sz w:val="18"/>
          <w:szCs w:val="18"/>
          <w:lang w:val="en-US"/>
        </w:rPr>
        <w:t>evumus palielinošos pasākumus Eiropas Komisija</w:t>
      </w:r>
      <w:r w:rsidRPr="00044B8B">
        <w:rPr>
          <w:noProof/>
          <w:color w:val="auto"/>
          <w:sz w:val="18"/>
          <w:szCs w:val="18"/>
          <w:lang w:val="en-US"/>
        </w:rPr>
        <w:t xml:space="preserve"> neatzīst par vienreizējiem/ īslaicīgajiem pasākumiem.</w:t>
      </w:r>
      <w:r>
        <w:rPr>
          <w:noProof/>
          <w:color w:val="auto"/>
          <w:sz w:val="18"/>
          <w:szCs w:val="18"/>
          <w:lang w:val="en-US"/>
        </w:rPr>
        <w:t xml:space="preserve"> 0,1% no </w:t>
      </w:r>
      <w:r w:rsidRPr="0023565D">
        <w:rPr>
          <w:noProof/>
          <w:color w:val="auto"/>
          <w:sz w:val="18"/>
          <w:szCs w:val="18"/>
          <w:lang w:val="en-US"/>
        </w:rPr>
        <w:t>iekšzemes kopprodukta</w:t>
      </w:r>
      <w:r w:rsidRPr="00044B8B">
        <w:rPr>
          <w:noProof/>
          <w:color w:val="auto"/>
          <w:sz w:val="18"/>
          <w:szCs w:val="18"/>
          <w:lang w:val="en-US"/>
        </w:rPr>
        <w:t xml:space="preserve"> uzlabojums</w:t>
      </w:r>
      <w:r>
        <w:rPr>
          <w:noProof/>
          <w:color w:val="auto"/>
          <w:sz w:val="18"/>
          <w:szCs w:val="18"/>
          <w:lang w:val="en-US"/>
        </w:rPr>
        <w:t xml:space="preserve"> 2020. gadā</w:t>
      </w:r>
      <w:r w:rsidRPr="00044B8B">
        <w:rPr>
          <w:noProof/>
          <w:color w:val="auto"/>
          <w:sz w:val="18"/>
          <w:szCs w:val="18"/>
          <w:lang w:val="en-US"/>
        </w:rPr>
        <w:t xml:space="preserve"> saistīts ar noziedzīgi iegūtu līdzekļu konfiskāciju.</w:t>
      </w:r>
      <w:r>
        <w:rPr>
          <w:noProof/>
          <w:color w:val="auto"/>
          <w:sz w:val="18"/>
          <w:szCs w:val="18"/>
          <w:lang w:val="en-US"/>
        </w:rPr>
        <w:t xml:space="preserve"> </w:t>
      </w:r>
    </w:p>
  </w:footnote>
  <w:footnote w:id="9">
    <w:p w:rsidR="00581441" w:rsidRDefault="00581441" w:rsidP="00BF4753">
      <w:pPr>
        <w:pStyle w:val="FootnoteText"/>
        <w:ind w:left="142" w:hanging="142"/>
      </w:pPr>
      <w:r>
        <w:rPr>
          <w:rStyle w:val="FootnoteReference"/>
        </w:rPr>
        <w:footnoteRef/>
      </w:r>
      <w:r>
        <w:t xml:space="preserve"> I</w:t>
      </w:r>
      <w:r w:rsidRPr="00F25C0E">
        <w:t>nformācija par vispārējās valdības parāda faktisko izpildi būs pieejama 2021.</w:t>
      </w:r>
      <w:r>
        <w:t xml:space="preserve"> </w:t>
      </w:r>
      <w:r w:rsidRPr="00F25C0E">
        <w:t>gada aprīlī atbilstoši vispārējās valdības budžeta un parāda notifikācijai</w:t>
      </w:r>
    </w:p>
  </w:footnote>
  <w:footnote w:id="10">
    <w:p w:rsidR="00581441" w:rsidRDefault="00581441" w:rsidP="00BF4753">
      <w:pPr>
        <w:pStyle w:val="FootnoteText"/>
        <w:ind w:left="142" w:hanging="142"/>
      </w:pPr>
      <w:r>
        <w:rPr>
          <w:rStyle w:val="FootnoteReference"/>
        </w:rPr>
        <w:footnoteRef/>
      </w:r>
      <w:r>
        <w:t xml:space="preserve"> </w:t>
      </w:r>
      <w:r w:rsidRPr="009775E7">
        <w:t>Nominālvērtībā</w:t>
      </w:r>
      <w:r>
        <w:t>,</w:t>
      </w:r>
      <w:r w:rsidRPr="009775E7">
        <w:t xml:space="preserve"> </w:t>
      </w:r>
      <w:r>
        <w:t>ņ</w:t>
      </w:r>
      <w:r w:rsidRPr="0039031D">
        <w:t>emot vērā Valsts kases administrētajiem ārējiem aizņēmumiem un parāda vērtspapīriem piesaistīto atvasināto finanšu instrumentu valūtas rezultātu</w:t>
      </w:r>
    </w:p>
  </w:footnote>
  <w:footnote w:id="11">
    <w:p w:rsidR="00581441" w:rsidRPr="00461783" w:rsidRDefault="00581441" w:rsidP="00BF4753">
      <w:pPr>
        <w:pStyle w:val="FootnoteText"/>
      </w:pPr>
      <w:r>
        <w:rPr>
          <w:rStyle w:val="FootnoteReference"/>
        </w:rPr>
        <w:footnoteRef/>
      </w:r>
      <w:r>
        <w:t xml:space="preserve"> Atskaitot iemaksas valsts fondēto pensiju shēmā un iemaksas 3. pensiju līmenī</w:t>
      </w:r>
    </w:p>
  </w:footnote>
  <w:footnote w:id="12">
    <w:p w:rsidR="00581441" w:rsidRPr="00461783" w:rsidRDefault="00581441" w:rsidP="00BF4753">
      <w:pPr>
        <w:pStyle w:val="FootnoteText"/>
      </w:pPr>
      <w:r>
        <w:rPr>
          <w:rStyle w:val="FootnoteReference"/>
        </w:rPr>
        <w:footnoteRef/>
      </w:r>
      <w:r>
        <w:t xml:space="preserve"> Atskaitot iemaksas valsts fondēto pensiju shēmā un iemaksas 3. pensiju līmenī</w:t>
      </w:r>
    </w:p>
  </w:footnote>
  <w:footnote w:id="13">
    <w:p w:rsidR="00581441" w:rsidRPr="00182E2D" w:rsidRDefault="00581441" w:rsidP="00BF4753">
      <w:pPr>
        <w:pStyle w:val="FootnoteText"/>
      </w:pPr>
      <w:r w:rsidRPr="00492A61">
        <w:rPr>
          <w:rStyle w:val="FootnoteReference"/>
        </w:rPr>
        <w:footnoteRef/>
      </w:r>
      <w:r w:rsidRPr="00182E2D">
        <w:t xml:space="preserve"> Šeit un turpmākajās nodokļu politikas izmaiņu ietekmes tabulās atspoguļota ieviešanas gada ietekme</w:t>
      </w:r>
    </w:p>
  </w:footnote>
  <w:footnote w:id="14">
    <w:p w:rsidR="00581441" w:rsidRPr="00182E2D" w:rsidRDefault="00581441" w:rsidP="00BF4753">
      <w:pPr>
        <w:pStyle w:val="FootnoteText"/>
      </w:pPr>
      <w:r w:rsidRPr="00492A61">
        <w:rPr>
          <w:rStyle w:val="FootnoteReference"/>
        </w:rPr>
        <w:footnoteRef/>
      </w:r>
      <w:r w:rsidRPr="00182E2D">
        <w:t xml:space="preserve"> Neskaitot iemaksas valsts fondēto pensiju shēmā.</w:t>
      </w:r>
    </w:p>
  </w:footnote>
  <w:footnote w:id="15">
    <w:p w:rsidR="00581441" w:rsidRPr="00907B96" w:rsidRDefault="00581441" w:rsidP="00BF4753">
      <w:pPr>
        <w:ind w:left="142" w:hanging="284"/>
        <w:rPr>
          <w:rFonts w:cs="Times New Roman"/>
          <w:sz w:val="20"/>
          <w:szCs w:val="20"/>
        </w:rPr>
      </w:pPr>
      <w:r w:rsidRPr="00907B96">
        <w:rPr>
          <w:rStyle w:val="FootnoteReference"/>
          <w:rFonts w:cs="Times New Roman"/>
          <w:szCs w:val="20"/>
        </w:rPr>
        <w:footnoteRef/>
      </w:r>
      <w:r>
        <w:rPr>
          <w:rFonts w:cs="Times New Roman"/>
          <w:sz w:val="20"/>
          <w:szCs w:val="20"/>
        </w:rPr>
        <w:t xml:space="preserve"> </w:t>
      </w:r>
      <w:r w:rsidRPr="00907B96">
        <w:rPr>
          <w:rFonts w:cs="Times New Roman"/>
          <w:sz w:val="20"/>
          <w:szCs w:val="20"/>
        </w:rPr>
        <w:t>S</w:t>
      </w:r>
      <w:r w:rsidRPr="00907B96">
        <w:rPr>
          <w:rFonts w:cs="Times New Roman"/>
          <w:iCs/>
          <w:sz w:val="20"/>
          <w:szCs w:val="20"/>
        </w:rPr>
        <w:t>askaņā ar</w:t>
      </w:r>
      <w:r>
        <w:rPr>
          <w:rFonts w:cs="Times New Roman"/>
          <w:sz w:val="20"/>
          <w:szCs w:val="20"/>
        </w:rPr>
        <w:t xml:space="preserve"> </w:t>
      </w:r>
      <w:r w:rsidRPr="00C803AC">
        <w:rPr>
          <w:rFonts w:cs="Times New Roman"/>
          <w:sz w:val="20"/>
          <w:szCs w:val="20"/>
        </w:rPr>
        <w:t>Eiropas naci</w:t>
      </w:r>
      <w:r>
        <w:rPr>
          <w:rFonts w:cs="Times New Roman"/>
          <w:sz w:val="20"/>
          <w:szCs w:val="20"/>
        </w:rPr>
        <w:t>onālo un reģionālo kontu sistēmas</w:t>
      </w:r>
      <w:r w:rsidRPr="00C803AC">
        <w:rPr>
          <w:rFonts w:cs="Times New Roman"/>
          <w:sz w:val="20"/>
          <w:szCs w:val="20"/>
        </w:rPr>
        <w:t xml:space="preserve"> Eiropas Savienībā</w:t>
      </w:r>
      <w:r>
        <w:rPr>
          <w:rFonts w:cs="Times New Roman"/>
          <w:sz w:val="20"/>
          <w:szCs w:val="20"/>
        </w:rPr>
        <w:t xml:space="preserve"> metodoloģiju</w:t>
      </w:r>
      <w:r w:rsidRPr="00907B96">
        <w:rPr>
          <w:rFonts w:cs="Times New Roman"/>
          <w:sz w:val="20"/>
          <w:szCs w:val="20"/>
        </w:rPr>
        <w:t xml:space="preserve"> sociālās apdrošināšanas iemaksas, kas tiek novirzītas valsts fondēto pensiju shēmā, netiek uzskaitītas kā vispārējās valdības budžeta ieņēmumi.</w:t>
      </w:r>
    </w:p>
  </w:footnote>
  <w:footnote w:id="16">
    <w:p w:rsidR="00581441" w:rsidRPr="00182E2D" w:rsidRDefault="00581441" w:rsidP="00BF4753">
      <w:pPr>
        <w:pStyle w:val="FootnoteText"/>
      </w:pPr>
      <w:r w:rsidRPr="00492A61">
        <w:rPr>
          <w:rStyle w:val="FootnoteReference"/>
        </w:rPr>
        <w:footnoteRef/>
      </w:r>
      <w:r w:rsidRPr="00182E2D">
        <w:t xml:space="preserve"> Neskaitot iemaksas valsts fondēto pensiju shēmā un maksājumu pamatbudžetā veselības aprūpes finansēšanai</w:t>
      </w:r>
    </w:p>
  </w:footnote>
  <w:footnote w:id="17">
    <w:p w:rsidR="00581441" w:rsidRDefault="00581441" w:rsidP="00BF4753">
      <w:pPr>
        <w:pStyle w:val="FootnoteText"/>
      </w:pPr>
      <w:r w:rsidRPr="00F009B4">
        <w:rPr>
          <w:rStyle w:val="FootnoteReference"/>
          <w:sz w:val="18"/>
        </w:rPr>
        <w:footnoteRef/>
      </w:r>
      <w:r w:rsidRPr="00F009B4">
        <w:rPr>
          <w:sz w:val="18"/>
        </w:rPr>
        <w:t xml:space="preserve"> Ņemot vērā 3.1.2. nodaļā sniegto informāciju, šajā tabulā budžeta rādītāji 2023. un 2024. gadā ir atspoguļoti pie nemainīgas politikas</w:t>
      </w:r>
    </w:p>
  </w:footnote>
  <w:footnote w:id="18">
    <w:p w:rsidR="00581441" w:rsidRPr="00173FAC" w:rsidRDefault="00581441" w:rsidP="00BF4753">
      <w:pPr>
        <w:pStyle w:val="FootnoteText"/>
        <w:rPr>
          <w:sz w:val="18"/>
          <w:szCs w:val="18"/>
        </w:rPr>
      </w:pPr>
      <w:r>
        <w:rPr>
          <w:rStyle w:val="FootnoteReference"/>
        </w:rPr>
        <w:footnoteRef/>
      </w:r>
      <w:r>
        <w:t xml:space="preserve"> </w:t>
      </w:r>
      <w:r w:rsidRPr="00173FAC">
        <w:rPr>
          <w:sz w:val="18"/>
          <w:szCs w:val="18"/>
        </w:rPr>
        <w:t>Finanšu ministrijas novērtējums</w:t>
      </w:r>
    </w:p>
  </w:footnote>
  <w:footnote w:id="19">
    <w:p w:rsidR="00581441" w:rsidRPr="00D21908" w:rsidRDefault="00581441" w:rsidP="00BF4753">
      <w:pPr>
        <w:pStyle w:val="FootnoteText"/>
        <w:rPr>
          <w:sz w:val="18"/>
          <w:szCs w:val="18"/>
        </w:rPr>
      </w:pPr>
      <w:r w:rsidRPr="00D21908">
        <w:rPr>
          <w:rStyle w:val="FootnoteReference"/>
          <w:rFonts w:ascii="Times New Roman" w:hAnsi="Times New Roman"/>
          <w:sz w:val="18"/>
          <w:szCs w:val="18"/>
        </w:rPr>
        <w:footnoteRef/>
      </w:r>
      <w:r w:rsidRPr="00D21908">
        <w:rPr>
          <w:sz w:val="18"/>
          <w:szCs w:val="18"/>
        </w:rPr>
        <w:t xml:space="preserve"> </w:t>
      </w:r>
      <w:r>
        <w:rPr>
          <w:sz w:val="18"/>
          <w:szCs w:val="18"/>
        </w:rPr>
        <w:t>Ieskaitot Eiropas Savienības budžetā iekasēto nodokļu daļu.</w:t>
      </w:r>
    </w:p>
  </w:footnote>
  <w:footnote w:id="20">
    <w:p w:rsidR="00581441" w:rsidRPr="002C3840" w:rsidRDefault="00581441" w:rsidP="00BF4753">
      <w:pPr>
        <w:pStyle w:val="FootnoteText"/>
      </w:pPr>
      <w:r w:rsidRPr="00DF348A">
        <w:rPr>
          <w:rStyle w:val="FootnoteReference"/>
          <w:rFonts w:ascii="Times New Roman" w:hAnsi="Times New Roman"/>
          <w:sz w:val="18"/>
        </w:rPr>
        <w:footnoteRef/>
      </w:r>
      <w:r w:rsidRPr="00DF348A">
        <w:rPr>
          <w:sz w:val="18"/>
        </w:rPr>
        <w:t xml:space="preserve"> </w:t>
      </w:r>
      <w:r w:rsidRPr="00DF348A">
        <w:rPr>
          <w:color w:val="auto"/>
          <w:sz w:val="18"/>
        </w:rPr>
        <w:t>Ņemot vērā 3.1.2. nodaļā sniegto informāciju, šajā tabulā budžeta izdevumi 2024. gadā ir atspoguļoti pie nemainīgas politikas</w:t>
      </w:r>
    </w:p>
  </w:footnote>
  <w:footnote w:id="21">
    <w:p w:rsidR="00581441" w:rsidRPr="00DF348A" w:rsidRDefault="00581441" w:rsidP="00BF4753">
      <w:pPr>
        <w:pStyle w:val="FootnoteText"/>
        <w:rPr>
          <w:sz w:val="18"/>
          <w:szCs w:val="18"/>
        </w:rPr>
      </w:pPr>
      <w:r w:rsidRPr="00DF348A">
        <w:rPr>
          <w:rStyle w:val="FootnoteReference"/>
          <w:sz w:val="18"/>
          <w:szCs w:val="18"/>
        </w:rPr>
        <w:footnoteRef/>
      </w:r>
      <w:r w:rsidRPr="00DF348A">
        <w:rPr>
          <w:sz w:val="18"/>
          <w:szCs w:val="18"/>
        </w:rPr>
        <w:t xml:space="preserve"> Ņemot vērā 3.1.2. nodaļā sniegto informāciju, šajā tabulā budžeta rādītāji 2023. un 2024. gadā ir atspoguļoti pie nemainīgas politikas</w:t>
      </w:r>
    </w:p>
  </w:footnote>
  <w:footnote w:id="22">
    <w:p w:rsidR="00581441" w:rsidRDefault="00581441" w:rsidP="00BF4753">
      <w:pPr>
        <w:pStyle w:val="FootnoteText"/>
        <w:ind w:left="142" w:hanging="142"/>
      </w:pPr>
      <w:r>
        <w:rPr>
          <w:rStyle w:val="FootnoteReference"/>
        </w:rPr>
        <w:footnoteRef/>
      </w:r>
      <w:r>
        <w:t xml:space="preserve"> </w:t>
      </w:r>
      <w:r w:rsidRPr="00A433B2">
        <w:rPr>
          <w:sz w:val="18"/>
          <w:szCs w:val="18"/>
        </w:rPr>
        <w:t xml:space="preserve">Vienreizējie pasākumi -55 milj. </w:t>
      </w:r>
      <w:r w:rsidRPr="00242D09">
        <w:rPr>
          <w:i/>
          <w:sz w:val="18"/>
          <w:szCs w:val="18"/>
        </w:rPr>
        <w:t>euro</w:t>
      </w:r>
      <w:r w:rsidRPr="00A433B2">
        <w:rPr>
          <w:sz w:val="18"/>
          <w:szCs w:val="18"/>
        </w:rPr>
        <w:t xml:space="preserve">, tajā skaitā ieņēmumu daļa 33 milj. </w:t>
      </w:r>
      <w:r w:rsidRPr="00242D09">
        <w:rPr>
          <w:i/>
          <w:sz w:val="18"/>
          <w:szCs w:val="18"/>
        </w:rPr>
        <w:t>euro</w:t>
      </w:r>
      <w:r w:rsidRPr="00A433B2">
        <w:rPr>
          <w:sz w:val="18"/>
          <w:szCs w:val="18"/>
        </w:rPr>
        <w:t xml:space="preserve"> apmērā no noziedzīgi iegūtu līdzekļu konfiskācijas un nodokļu reformas. Lai atvieglotu datu salīdzināmību starp Latviju un </w:t>
      </w:r>
      <w:r>
        <w:rPr>
          <w:sz w:val="18"/>
          <w:szCs w:val="18"/>
        </w:rPr>
        <w:t>Eiropas Komisiju</w:t>
      </w:r>
      <w:r w:rsidRPr="00A433B2">
        <w:rPr>
          <w:sz w:val="18"/>
          <w:szCs w:val="18"/>
        </w:rPr>
        <w:t>, strukturālā bilance 2020. gadā ir parādīta kopā ar nodokļu reformas neto i</w:t>
      </w:r>
      <w:r>
        <w:rPr>
          <w:sz w:val="18"/>
          <w:szCs w:val="18"/>
        </w:rPr>
        <w:t>eņēmumu samazinājumu 0,3% no iekšzemes kopprodukta</w:t>
      </w:r>
      <w:r w:rsidRPr="00A433B2">
        <w:rPr>
          <w:sz w:val="18"/>
          <w:szCs w:val="18"/>
        </w:rPr>
        <w:t xml:space="preserve">, kas ir īslaicīgs un Latvijas fiskālajā ietvarā tiek atzīts </w:t>
      </w:r>
      <w:r>
        <w:rPr>
          <w:sz w:val="18"/>
          <w:szCs w:val="18"/>
        </w:rPr>
        <w:t>par vienreizējo pasākumu, bet Eiropas Komisija</w:t>
      </w:r>
      <w:r w:rsidRPr="00A433B2">
        <w:rPr>
          <w:sz w:val="18"/>
          <w:szCs w:val="18"/>
        </w:rPr>
        <w:t xml:space="preserve"> šo efektu ietver strukturālajā bilancē, jo ieņēmumus samazinošos/ izd</w:t>
      </w:r>
      <w:r>
        <w:rPr>
          <w:sz w:val="18"/>
          <w:szCs w:val="18"/>
        </w:rPr>
        <w:t>evumus palielinošos pasākumus Eiropas Komisija</w:t>
      </w:r>
      <w:r w:rsidRPr="00A433B2">
        <w:rPr>
          <w:sz w:val="18"/>
          <w:szCs w:val="18"/>
        </w:rPr>
        <w:t xml:space="preserve"> neatzīst par vienreizējiem/ īslaicīgajiem pasākumiem.</w:t>
      </w:r>
    </w:p>
  </w:footnote>
  <w:footnote w:id="23">
    <w:p w:rsidR="00581441" w:rsidRPr="00DB1AEB" w:rsidRDefault="00581441" w:rsidP="00BF4753">
      <w:pPr>
        <w:ind w:firstLine="0"/>
        <w:rPr>
          <w:color w:val="000000" w:themeColor="text1"/>
          <w:sz w:val="20"/>
        </w:rPr>
      </w:pPr>
      <w:r w:rsidRPr="008B42CA">
        <w:rPr>
          <w:rStyle w:val="FootnoteReference"/>
          <w:rFonts w:ascii="Times New Roman" w:hAnsi="Times New Roman" w:cs="Times New Roman"/>
          <w:color w:val="000000" w:themeColor="text1"/>
          <w:szCs w:val="20"/>
          <w:lang w:val="en-GB"/>
        </w:rPr>
        <w:footnoteRef/>
      </w:r>
      <w:r w:rsidRPr="008B42CA">
        <w:rPr>
          <w:rFonts w:cs="Times New Roman"/>
          <w:color w:val="000000" w:themeColor="text1"/>
          <w:sz w:val="20"/>
          <w:szCs w:val="20"/>
          <w:lang w:val="en-GB"/>
        </w:rPr>
        <w:t xml:space="preserve"> </w:t>
      </w:r>
      <w:r w:rsidRPr="00FF2E1A">
        <w:rPr>
          <w:rFonts w:eastAsia="Times New Roman" w:cs="Times New Roman"/>
          <w:color w:val="000000" w:themeColor="text1"/>
          <w:sz w:val="18"/>
          <w:szCs w:val="18"/>
          <w:lang w:eastAsia="lv-LV"/>
        </w:rPr>
        <w:t xml:space="preserve">Datu avots: </w:t>
      </w:r>
      <w:r w:rsidRPr="00570C27">
        <w:rPr>
          <w:rFonts w:eastAsia="Times New Roman" w:cs="Times New Roman"/>
          <w:i/>
          <w:color w:val="000000" w:themeColor="text1"/>
          <w:sz w:val="18"/>
          <w:szCs w:val="18"/>
          <w:lang w:eastAsia="lv-LV"/>
        </w:rPr>
        <w:t>Ekonomiskās politikas komitejas Iedzīvotāju novecošanās darba grupa</w:t>
      </w:r>
      <w:r w:rsidRPr="00B01C2E">
        <w:rPr>
          <w:rFonts w:eastAsia="Times New Roman" w:cs="Times New Roman"/>
          <w:i/>
          <w:color w:val="000000" w:themeColor="text1"/>
          <w:sz w:val="18"/>
          <w:szCs w:val="18"/>
          <w:lang w:eastAsia="lv-LV"/>
        </w:rPr>
        <w:t>, The 2021 Ageing Report: Underlying Assumptions and Projection Methodologies</w:t>
      </w:r>
      <w:r>
        <w:rPr>
          <w:rFonts w:eastAsia="Times New Roman" w:cs="Times New Roman"/>
          <w:color w:val="000000" w:themeColor="text1"/>
          <w:sz w:val="18"/>
          <w:szCs w:val="18"/>
          <w:lang w:eastAsia="lv-LV"/>
        </w:rPr>
        <w:t>.</w:t>
      </w:r>
    </w:p>
  </w:footnote>
  <w:footnote w:id="24">
    <w:p w:rsidR="00667944" w:rsidRDefault="00667944" w:rsidP="00667944">
      <w:pPr>
        <w:pStyle w:val="FootnoteText"/>
      </w:pPr>
      <w:r>
        <w:rPr>
          <w:rStyle w:val="FootnoteReference"/>
          <w:rFonts w:eastAsiaTheme="majorEastAsia"/>
        </w:rPr>
        <w:footnoteRef/>
      </w:r>
      <w:r>
        <w:t xml:space="preserve"> </w:t>
      </w:r>
      <w:r>
        <w:rPr>
          <w:sz w:val="18"/>
          <w:szCs w:val="18"/>
        </w:rPr>
        <w:t>Izmantots 2021. gada iekšzemes kopprodukts.</w:t>
      </w:r>
    </w:p>
  </w:footnote>
  <w:footnote w:id="25">
    <w:p w:rsidR="00667944" w:rsidRDefault="00667944" w:rsidP="00667944">
      <w:pPr>
        <w:pStyle w:val="FootnoteText"/>
      </w:pPr>
      <w:r>
        <w:rPr>
          <w:rStyle w:val="FootnoteReference"/>
          <w:rFonts w:eastAsiaTheme="majorEastAsia"/>
        </w:rPr>
        <w:footnoteRef/>
      </w:r>
      <w:r>
        <w:t xml:space="preserve"> Uz 31.12.2020</w:t>
      </w:r>
    </w:p>
  </w:footnote>
  <w:footnote w:id="26">
    <w:p w:rsidR="00581441" w:rsidRPr="00FF2E1A" w:rsidRDefault="00581441" w:rsidP="00BF4753">
      <w:pPr>
        <w:pStyle w:val="FootnoteText"/>
        <w:rPr>
          <w:sz w:val="18"/>
          <w:szCs w:val="18"/>
        </w:rPr>
      </w:pPr>
      <w:r w:rsidRPr="00CF6325">
        <w:rPr>
          <w:rStyle w:val="FootnoteReference"/>
          <w:rFonts w:ascii="Times New Roman" w:hAnsi="Times New Roman"/>
          <w:sz w:val="18"/>
          <w:szCs w:val="18"/>
        </w:rPr>
        <w:footnoteRef/>
      </w:r>
      <w:r w:rsidRPr="00CF6325">
        <w:rPr>
          <w:sz w:val="18"/>
          <w:szCs w:val="18"/>
        </w:rPr>
        <w:t xml:space="preserve"> Izņemot tos pasākumus, kurus plāno</w:t>
      </w:r>
      <w:r>
        <w:rPr>
          <w:sz w:val="18"/>
          <w:szCs w:val="18"/>
        </w:rPr>
        <w:t>ts finansēt no Eiropas Atveseļošanas un noturības mehānisma</w:t>
      </w:r>
      <w:r w:rsidRPr="00CF6325">
        <w:rPr>
          <w:sz w:val="18"/>
          <w:szCs w:val="18"/>
        </w:rPr>
        <w:t xml:space="preserve"> pārvedumiem.</w:t>
      </w:r>
      <w:r w:rsidRPr="00FF2E1A">
        <w:rPr>
          <w:sz w:val="18"/>
          <w:szCs w:val="18"/>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90A" w:rsidRDefault="002719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90A" w:rsidRDefault="002719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90A" w:rsidRDefault="002719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840" w:rsidRDefault="002C384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C3840" w:rsidRDefault="002C38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840" w:rsidRDefault="002C3840">
    <w:pPr>
      <w:pStyle w:val="Header"/>
      <w:jc w:val="center"/>
    </w:pPr>
  </w:p>
  <w:p w:rsidR="002C3840" w:rsidRDefault="002C38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840" w:rsidRPr="00484732" w:rsidRDefault="002C3840" w:rsidP="002D7CA8">
    <w:pPr>
      <w:pStyle w:val="Header"/>
      <w:ind w:left="5760"/>
      <w:rPr>
        <w:i/>
        <w:u w:val="single"/>
      </w:rPr>
    </w:pPr>
  </w:p>
  <w:p w:rsidR="002C3840" w:rsidRDefault="002C3840">
    <w:pPr>
      <w:pStyle w:val="Header"/>
    </w:pPr>
  </w:p>
  <w:p w:rsidR="002C3840" w:rsidRDefault="002C38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441" w:rsidRDefault="0058144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81441" w:rsidRDefault="0058144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441" w:rsidRDefault="00581441">
    <w:pPr>
      <w:pStyle w:val="Header"/>
      <w:jc w:val="center"/>
    </w:pPr>
  </w:p>
  <w:p w:rsidR="00581441" w:rsidRDefault="0058144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441" w:rsidRPr="00484732" w:rsidRDefault="00581441" w:rsidP="002D7CA8">
    <w:pPr>
      <w:pStyle w:val="Header"/>
      <w:ind w:left="5760"/>
      <w:rPr>
        <w:i/>
        <w:u w:val="single"/>
      </w:rPr>
    </w:pPr>
  </w:p>
  <w:p w:rsidR="00581441" w:rsidRDefault="00581441">
    <w:pPr>
      <w:pStyle w:val="Header"/>
    </w:pPr>
  </w:p>
  <w:p w:rsidR="00581441" w:rsidRDefault="005814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82AA6"/>
    <w:multiLevelType w:val="multilevel"/>
    <w:tmpl w:val="A3A2220E"/>
    <w:lvl w:ilvl="0">
      <w:start w:val="3"/>
      <w:numFmt w:val="decimal"/>
      <w:lvlText w:val="%1."/>
      <w:lvlJc w:val="left"/>
      <w:pPr>
        <w:ind w:left="360" w:hanging="360"/>
      </w:pPr>
      <w:rPr>
        <w:rFonts w:hint="default"/>
      </w:rPr>
    </w:lvl>
    <w:lvl w:ilvl="1">
      <w:start w:val="9"/>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72C517C"/>
    <w:multiLevelType w:val="hybridMultilevel"/>
    <w:tmpl w:val="35464F8C"/>
    <w:lvl w:ilvl="0" w:tplc="04260003">
      <w:start w:val="1"/>
      <w:numFmt w:val="bullet"/>
      <w:lvlText w:val="o"/>
      <w:lvlJc w:val="left"/>
      <w:pPr>
        <w:ind w:left="1899" w:hanging="360"/>
      </w:pPr>
      <w:rPr>
        <w:rFonts w:ascii="Courier New" w:hAnsi="Courier New" w:cs="Courier New" w:hint="default"/>
      </w:rPr>
    </w:lvl>
    <w:lvl w:ilvl="1" w:tplc="04260003" w:tentative="1">
      <w:start w:val="1"/>
      <w:numFmt w:val="bullet"/>
      <w:lvlText w:val="o"/>
      <w:lvlJc w:val="left"/>
      <w:pPr>
        <w:ind w:left="2619" w:hanging="360"/>
      </w:pPr>
      <w:rPr>
        <w:rFonts w:ascii="Courier New" w:hAnsi="Courier New" w:cs="Courier New" w:hint="default"/>
      </w:rPr>
    </w:lvl>
    <w:lvl w:ilvl="2" w:tplc="04260005" w:tentative="1">
      <w:start w:val="1"/>
      <w:numFmt w:val="bullet"/>
      <w:lvlText w:val=""/>
      <w:lvlJc w:val="left"/>
      <w:pPr>
        <w:ind w:left="3339" w:hanging="360"/>
      </w:pPr>
      <w:rPr>
        <w:rFonts w:ascii="Wingdings" w:hAnsi="Wingdings" w:hint="default"/>
      </w:rPr>
    </w:lvl>
    <w:lvl w:ilvl="3" w:tplc="04260001" w:tentative="1">
      <w:start w:val="1"/>
      <w:numFmt w:val="bullet"/>
      <w:lvlText w:val=""/>
      <w:lvlJc w:val="left"/>
      <w:pPr>
        <w:ind w:left="4059" w:hanging="360"/>
      </w:pPr>
      <w:rPr>
        <w:rFonts w:ascii="Symbol" w:hAnsi="Symbol" w:hint="default"/>
      </w:rPr>
    </w:lvl>
    <w:lvl w:ilvl="4" w:tplc="04260003" w:tentative="1">
      <w:start w:val="1"/>
      <w:numFmt w:val="bullet"/>
      <w:lvlText w:val="o"/>
      <w:lvlJc w:val="left"/>
      <w:pPr>
        <w:ind w:left="4779" w:hanging="360"/>
      </w:pPr>
      <w:rPr>
        <w:rFonts w:ascii="Courier New" w:hAnsi="Courier New" w:cs="Courier New" w:hint="default"/>
      </w:rPr>
    </w:lvl>
    <w:lvl w:ilvl="5" w:tplc="04260005" w:tentative="1">
      <w:start w:val="1"/>
      <w:numFmt w:val="bullet"/>
      <w:lvlText w:val=""/>
      <w:lvlJc w:val="left"/>
      <w:pPr>
        <w:ind w:left="5499" w:hanging="360"/>
      </w:pPr>
      <w:rPr>
        <w:rFonts w:ascii="Wingdings" w:hAnsi="Wingdings" w:hint="default"/>
      </w:rPr>
    </w:lvl>
    <w:lvl w:ilvl="6" w:tplc="04260001" w:tentative="1">
      <w:start w:val="1"/>
      <w:numFmt w:val="bullet"/>
      <w:lvlText w:val=""/>
      <w:lvlJc w:val="left"/>
      <w:pPr>
        <w:ind w:left="6219" w:hanging="360"/>
      </w:pPr>
      <w:rPr>
        <w:rFonts w:ascii="Symbol" w:hAnsi="Symbol" w:hint="default"/>
      </w:rPr>
    </w:lvl>
    <w:lvl w:ilvl="7" w:tplc="04260003" w:tentative="1">
      <w:start w:val="1"/>
      <w:numFmt w:val="bullet"/>
      <w:lvlText w:val="o"/>
      <w:lvlJc w:val="left"/>
      <w:pPr>
        <w:ind w:left="6939" w:hanging="360"/>
      </w:pPr>
      <w:rPr>
        <w:rFonts w:ascii="Courier New" w:hAnsi="Courier New" w:cs="Courier New" w:hint="default"/>
      </w:rPr>
    </w:lvl>
    <w:lvl w:ilvl="8" w:tplc="04260005" w:tentative="1">
      <w:start w:val="1"/>
      <w:numFmt w:val="bullet"/>
      <w:lvlText w:val=""/>
      <w:lvlJc w:val="left"/>
      <w:pPr>
        <w:ind w:left="7659" w:hanging="360"/>
      </w:pPr>
      <w:rPr>
        <w:rFonts w:ascii="Wingdings" w:hAnsi="Wingdings" w:hint="default"/>
      </w:rPr>
    </w:lvl>
  </w:abstractNum>
  <w:abstractNum w:abstractNumId="2" w15:restartNumberingAfterBreak="0">
    <w:nsid w:val="0A813916"/>
    <w:multiLevelType w:val="hybridMultilevel"/>
    <w:tmpl w:val="697E87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B305630"/>
    <w:multiLevelType w:val="hybridMultilevel"/>
    <w:tmpl w:val="586A5AFE"/>
    <w:lvl w:ilvl="0" w:tplc="35E61B94">
      <w:start w:val="1"/>
      <w:numFmt w:val="bullet"/>
      <w:lvlText w:val=""/>
      <w:lvlJc w:val="left"/>
      <w:pPr>
        <w:ind w:left="720" w:hanging="360"/>
      </w:pPr>
      <w:rPr>
        <w:rFonts w:ascii="Symbol" w:hAnsi="Symbol"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C0729E3"/>
    <w:multiLevelType w:val="hybridMultilevel"/>
    <w:tmpl w:val="4B94C42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CA42138"/>
    <w:multiLevelType w:val="hybridMultilevel"/>
    <w:tmpl w:val="32345C1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15:restartNumberingAfterBreak="0">
    <w:nsid w:val="11064C3E"/>
    <w:multiLevelType w:val="hybridMultilevel"/>
    <w:tmpl w:val="5E4C1546"/>
    <w:lvl w:ilvl="0" w:tplc="04260005">
      <w:start w:val="1"/>
      <w:numFmt w:val="bullet"/>
      <w:lvlText w:val=""/>
      <w:lvlJc w:val="left"/>
      <w:pPr>
        <w:ind w:left="786" w:hanging="360"/>
      </w:pPr>
      <w:rPr>
        <w:rFonts w:ascii="Wingdings" w:hAnsi="Wingdings" w:hint="default"/>
      </w:rPr>
    </w:lvl>
    <w:lvl w:ilvl="1" w:tplc="04260001">
      <w:start w:val="1"/>
      <w:numFmt w:val="bullet"/>
      <w:lvlText w:val=""/>
      <w:lvlJc w:val="left"/>
      <w:pPr>
        <w:ind w:left="1506" w:hanging="360"/>
      </w:pPr>
      <w:rPr>
        <w:rFonts w:ascii="Symbol" w:hAnsi="Symbol"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7" w15:restartNumberingAfterBreak="0">
    <w:nsid w:val="14105CA9"/>
    <w:multiLevelType w:val="hybridMultilevel"/>
    <w:tmpl w:val="D89EE4A2"/>
    <w:lvl w:ilvl="0" w:tplc="BD841C0E">
      <w:start w:val="1"/>
      <w:numFmt w:val="decimal"/>
      <w:pStyle w:val="ParagraphNumbering"/>
      <w:lvlText w:val="%1.     "/>
      <w:lvlJc w:val="left"/>
      <w:pPr>
        <w:tabs>
          <w:tab w:val="num" w:pos="720"/>
        </w:tabs>
        <w:ind w:left="0" w:firstLine="0"/>
      </w:pPr>
      <w:rPr>
        <w:rFonts w:hint="default"/>
        <w:b/>
        <w:strike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82775B"/>
    <w:multiLevelType w:val="multilevel"/>
    <w:tmpl w:val="CB8EAC52"/>
    <w:lvl w:ilvl="0">
      <w:start w:val="1"/>
      <w:numFmt w:val="decimal"/>
      <w:lvlText w:val="%1."/>
      <w:lvlJc w:val="left"/>
      <w:pPr>
        <w:ind w:left="360" w:hanging="360"/>
      </w:pPr>
      <w:rPr>
        <w:rFonts w:ascii="Times New Roman" w:hAnsi="Times New Roman" w:hint="default"/>
        <w:b/>
        <w:i w:val="0"/>
        <w:sz w:val="36"/>
      </w:rPr>
    </w:lvl>
    <w:lvl w:ilvl="1">
      <w:start w:val="1"/>
      <w:numFmt w:val="decimal"/>
      <w:pStyle w:val="Heading2"/>
      <w:lvlText w:val="%1.%2"/>
      <w:lvlJc w:val="left"/>
      <w:pPr>
        <w:ind w:left="576" w:hanging="576"/>
      </w:pPr>
      <w:rPr>
        <w:rFonts w:ascii="Times New Roman" w:hAnsi="Times New Roman" w:hint="default"/>
        <w:b/>
        <w:i w:val="0"/>
        <w:sz w:val="32"/>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17584AE8"/>
    <w:multiLevelType w:val="multilevel"/>
    <w:tmpl w:val="0426001F"/>
    <w:numStyleLink w:val="111111"/>
  </w:abstractNum>
  <w:abstractNum w:abstractNumId="10" w15:restartNumberingAfterBreak="0">
    <w:nsid w:val="1B350033"/>
    <w:multiLevelType w:val="multilevel"/>
    <w:tmpl w:val="C716210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CB76165"/>
    <w:multiLevelType w:val="hybridMultilevel"/>
    <w:tmpl w:val="6ED6753A"/>
    <w:lvl w:ilvl="0" w:tplc="0426000F">
      <w:start w:val="1"/>
      <w:numFmt w:val="decimal"/>
      <w:lvlText w:val="%1."/>
      <w:lvlJc w:val="left"/>
      <w:pPr>
        <w:ind w:left="720" w:hanging="360"/>
      </w:pPr>
    </w:lvl>
    <w:lvl w:ilvl="1" w:tplc="E4B4502C">
      <w:start w:val="1"/>
      <w:numFmt w:val="bullet"/>
      <w:lvlText w:val=""/>
      <w:lvlJc w:val="left"/>
      <w:pPr>
        <w:ind w:left="1440" w:hanging="360"/>
      </w:pPr>
      <w:rPr>
        <w:rFonts w:ascii="Symbol" w:hAnsi="Symbol" w:hint="default"/>
      </w:rPr>
    </w:lvl>
    <w:lvl w:ilvl="2" w:tplc="04260001">
      <w:start w:val="1"/>
      <w:numFmt w:val="bullet"/>
      <w:lvlText w:val=""/>
      <w:lvlJc w:val="left"/>
      <w:pPr>
        <w:ind w:left="2160" w:hanging="180"/>
      </w:pPr>
      <w:rPr>
        <w:rFonts w:ascii="Symbol" w:hAnsi="Symbol"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A472AAA"/>
    <w:multiLevelType w:val="multilevel"/>
    <w:tmpl w:val="042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125877"/>
    <w:multiLevelType w:val="hybridMultilevel"/>
    <w:tmpl w:val="209C47CE"/>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4" w15:restartNumberingAfterBreak="0">
    <w:nsid w:val="332C650E"/>
    <w:multiLevelType w:val="multilevel"/>
    <w:tmpl w:val="32B80FDC"/>
    <w:lvl w:ilvl="0">
      <w:start w:val="4"/>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3550CB8"/>
    <w:multiLevelType w:val="hybridMultilevel"/>
    <w:tmpl w:val="2F8C974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379F200E"/>
    <w:multiLevelType w:val="hybridMultilevel"/>
    <w:tmpl w:val="052E10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CB077AB"/>
    <w:multiLevelType w:val="hybridMultilevel"/>
    <w:tmpl w:val="4BB2474C"/>
    <w:lvl w:ilvl="0" w:tplc="04260005">
      <w:start w:val="1"/>
      <w:numFmt w:val="bullet"/>
      <w:lvlText w:val=""/>
      <w:lvlJc w:val="left"/>
      <w:pPr>
        <w:ind w:left="720" w:hanging="360"/>
      </w:pPr>
      <w:rPr>
        <w:rFonts w:ascii="Wingdings" w:hAnsi="Wingdings"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07B7BB0"/>
    <w:multiLevelType w:val="multilevel"/>
    <w:tmpl w:val="E4D2D21C"/>
    <w:lvl w:ilvl="0">
      <w:start w:val="7"/>
      <w:numFmt w:val="decimal"/>
      <w:lvlText w:val="%1."/>
      <w:lvlJc w:val="left"/>
      <w:pPr>
        <w:ind w:left="504" w:hanging="504"/>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44F1138F"/>
    <w:multiLevelType w:val="multilevel"/>
    <w:tmpl w:val="FA9CD528"/>
    <w:lvl w:ilvl="0">
      <w:start w:val="4"/>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84676AB"/>
    <w:multiLevelType w:val="hybridMultilevel"/>
    <w:tmpl w:val="2A8A5126"/>
    <w:lvl w:ilvl="0" w:tplc="04260005">
      <w:start w:val="1"/>
      <w:numFmt w:val="bullet"/>
      <w:lvlText w:val=""/>
      <w:lvlJc w:val="left"/>
      <w:pPr>
        <w:ind w:left="1500" w:hanging="360"/>
      </w:pPr>
      <w:rPr>
        <w:rFonts w:ascii="Wingdings" w:hAnsi="Wingdings" w:hint="default"/>
      </w:rPr>
    </w:lvl>
    <w:lvl w:ilvl="1" w:tplc="04260003">
      <w:start w:val="1"/>
      <w:numFmt w:val="bullet"/>
      <w:lvlText w:val="o"/>
      <w:lvlJc w:val="left"/>
      <w:pPr>
        <w:ind w:left="2220" w:hanging="360"/>
      </w:pPr>
      <w:rPr>
        <w:rFonts w:ascii="Courier New" w:hAnsi="Courier New" w:cs="Courier New" w:hint="default"/>
      </w:rPr>
    </w:lvl>
    <w:lvl w:ilvl="2" w:tplc="04260005">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21" w15:restartNumberingAfterBreak="0">
    <w:nsid w:val="48DE22C6"/>
    <w:multiLevelType w:val="multilevel"/>
    <w:tmpl w:val="6A5E0FEE"/>
    <w:lvl w:ilvl="0">
      <w:start w:val="3"/>
      <w:numFmt w:val="decimal"/>
      <w:lvlText w:val="%1."/>
      <w:lvlJc w:val="left"/>
      <w:pPr>
        <w:ind w:left="504" w:hanging="504"/>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2" w15:restartNumberingAfterBreak="0">
    <w:nsid w:val="4CBD43B0"/>
    <w:multiLevelType w:val="multilevel"/>
    <w:tmpl w:val="DA908588"/>
    <w:lvl w:ilvl="0">
      <w:start w:val="3"/>
      <w:numFmt w:val="decimal"/>
      <w:lvlText w:val="%1."/>
      <w:lvlJc w:val="left"/>
      <w:pPr>
        <w:ind w:left="648" w:hanging="648"/>
      </w:pPr>
      <w:rPr>
        <w:rFonts w:hint="default"/>
      </w:rPr>
    </w:lvl>
    <w:lvl w:ilvl="1">
      <w:start w:val="1"/>
      <w:numFmt w:val="decimal"/>
      <w:lvlText w:val="%1.%2."/>
      <w:lvlJc w:val="left"/>
      <w:pPr>
        <w:ind w:left="3077" w:hanging="720"/>
      </w:pPr>
      <w:rPr>
        <w:rFonts w:hint="default"/>
      </w:rPr>
    </w:lvl>
    <w:lvl w:ilvl="2">
      <w:start w:val="3"/>
      <w:numFmt w:val="decimal"/>
      <w:lvlText w:val="%1.%2.%3."/>
      <w:lvlJc w:val="left"/>
      <w:pPr>
        <w:ind w:left="5434" w:hanging="720"/>
      </w:pPr>
      <w:rPr>
        <w:rFonts w:hint="default"/>
      </w:rPr>
    </w:lvl>
    <w:lvl w:ilvl="3">
      <w:start w:val="1"/>
      <w:numFmt w:val="decimal"/>
      <w:lvlText w:val="%1.%2.%3.%4."/>
      <w:lvlJc w:val="left"/>
      <w:pPr>
        <w:ind w:left="8151" w:hanging="1080"/>
      </w:pPr>
      <w:rPr>
        <w:rFonts w:hint="default"/>
      </w:rPr>
    </w:lvl>
    <w:lvl w:ilvl="4">
      <w:start w:val="1"/>
      <w:numFmt w:val="decimal"/>
      <w:lvlText w:val="%1.%2.%3.%4.%5."/>
      <w:lvlJc w:val="left"/>
      <w:pPr>
        <w:ind w:left="10508" w:hanging="1080"/>
      </w:pPr>
      <w:rPr>
        <w:rFonts w:hint="default"/>
      </w:rPr>
    </w:lvl>
    <w:lvl w:ilvl="5">
      <w:start w:val="1"/>
      <w:numFmt w:val="decimal"/>
      <w:lvlText w:val="%1.%2.%3.%4.%5.%6."/>
      <w:lvlJc w:val="left"/>
      <w:pPr>
        <w:ind w:left="13225" w:hanging="1440"/>
      </w:pPr>
      <w:rPr>
        <w:rFonts w:hint="default"/>
      </w:rPr>
    </w:lvl>
    <w:lvl w:ilvl="6">
      <w:start w:val="1"/>
      <w:numFmt w:val="decimal"/>
      <w:lvlText w:val="%1.%2.%3.%4.%5.%6.%7."/>
      <w:lvlJc w:val="left"/>
      <w:pPr>
        <w:ind w:left="15942" w:hanging="1800"/>
      </w:pPr>
      <w:rPr>
        <w:rFonts w:hint="default"/>
      </w:rPr>
    </w:lvl>
    <w:lvl w:ilvl="7">
      <w:start w:val="1"/>
      <w:numFmt w:val="decimal"/>
      <w:lvlText w:val="%1.%2.%3.%4.%5.%6.%7.%8."/>
      <w:lvlJc w:val="left"/>
      <w:pPr>
        <w:ind w:left="18299" w:hanging="1800"/>
      </w:pPr>
      <w:rPr>
        <w:rFonts w:hint="default"/>
      </w:rPr>
    </w:lvl>
    <w:lvl w:ilvl="8">
      <w:start w:val="1"/>
      <w:numFmt w:val="decimal"/>
      <w:lvlText w:val="%1.%2.%3.%4.%5.%6.%7.%8.%9."/>
      <w:lvlJc w:val="left"/>
      <w:pPr>
        <w:ind w:left="21016" w:hanging="2160"/>
      </w:pPr>
      <w:rPr>
        <w:rFonts w:hint="default"/>
      </w:rPr>
    </w:lvl>
  </w:abstractNum>
  <w:abstractNum w:abstractNumId="23" w15:restartNumberingAfterBreak="0">
    <w:nsid w:val="4E56023C"/>
    <w:multiLevelType w:val="multilevel"/>
    <w:tmpl w:val="CB48FF6A"/>
    <w:lvl w:ilvl="0">
      <w:start w:val="3"/>
      <w:numFmt w:val="decimal"/>
      <w:lvlText w:val="%1."/>
      <w:lvlJc w:val="left"/>
      <w:pPr>
        <w:ind w:left="648" w:hanging="648"/>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512137BD"/>
    <w:multiLevelType w:val="hybridMultilevel"/>
    <w:tmpl w:val="24FC34EE"/>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15:restartNumberingAfterBreak="0">
    <w:nsid w:val="53B175FA"/>
    <w:multiLevelType w:val="multilevel"/>
    <w:tmpl w:val="727C7920"/>
    <w:lvl w:ilvl="0">
      <w:start w:val="3"/>
      <w:numFmt w:val="decimal"/>
      <w:lvlText w:val="%1"/>
      <w:lvlJc w:val="left"/>
      <w:pPr>
        <w:ind w:left="576" w:hanging="576"/>
      </w:pPr>
      <w:rPr>
        <w:rFonts w:hint="default"/>
      </w:rPr>
    </w:lvl>
    <w:lvl w:ilvl="1">
      <w:start w:val="1"/>
      <w:numFmt w:val="decimal"/>
      <w:lvlText w:val="%1.%2"/>
      <w:lvlJc w:val="left"/>
      <w:pPr>
        <w:ind w:left="2573" w:hanging="576"/>
      </w:pPr>
      <w:rPr>
        <w:rFonts w:hint="default"/>
      </w:rPr>
    </w:lvl>
    <w:lvl w:ilvl="2">
      <w:start w:val="1"/>
      <w:numFmt w:val="decimal"/>
      <w:lvlText w:val="%1.%2.%3"/>
      <w:lvlJc w:val="left"/>
      <w:pPr>
        <w:ind w:left="4714" w:hanging="720"/>
      </w:pPr>
      <w:rPr>
        <w:rFonts w:hint="default"/>
      </w:rPr>
    </w:lvl>
    <w:lvl w:ilvl="3">
      <w:start w:val="1"/>
      <w:numFmt w:val="decimal"/>
      <w:lvlText w:val="%1.%2.%3.%4"/>
      <w:lvlJc w:val="left"/>
      <w:pPr>
        <w:ind w:left="7071" w:hanging="1080"/>
      </w:pPr>
      <w:rPr>
        <w:rFonts w:hint="default"/>
      </w:rPr>
    </w:lvl>
    <w:lvl w:ilvl="4">
      <w:start w:val="1"/>
      <w:numFmt w:val="decimal"/>
      <w:lvlText w:val="%1.%2.%3.%4.%5"/>
      <w:lvlJc w:val="left"/>
      <w:pPr>
        <w:ind w:left="9068" w:hanging="1080"/>
      </w:pPr>
      <w:rPr>
        <w:rFonts w:hint="default"/>
      </w:rPr>
    </w:lvl>
    <w:lvl w:ilvl="5">
      <w:start w:val="1"/>
      <w:numFmt w:val="decimal"/>
      <w:lvlText w:val="%1.%2.%3.%4.%5.%6"/>
      <w:lvlJc w:val="left"/>
      <w:pPr>
        <w:ind w:left="11425" w:hanging="1440"/>
      </w:pPr>
      <w:rPr>
        <w:rFonts w:hint="default"/>
      </w:rPr>
    </w:lvl>
    <w:lvl w:ilvl="6">
      <w:start w:val="1"/>
      <w:numFmt w:val="decimal"/>
      <w:lvlText w:val="%1.%2.%3.%4.%5.%6.%7"/>
      <w:lvlJc w:val="left"/>
      <w:pPr>
        <w:ind w:left="13422" w:hanging="1440"/>
      </w:pPr>
      <w:rPr>
        <w:rFonts w:hint="default"/>
      </w:rPr>
    </w:lvl>
    <w:lvl w:ilvl="7">
      <w:start w:val="1"/>
      <w:numFmt w:val="decimal"/>
      <w:lvlText w:val="%1.%2.%3.%4.%5.%6.%7.%8"/>
      <w:lvlJc w:val="left"/>
      <w:pPr>
        <w:ind w:left="15779" w:hanging="1800"/>
      </w:pPr>
      <w:rPr>
        <w:rFonts w:hint="default"/>
      </w:rPr>
    </w:lvl>
    <w:lvl w:ilvl="8">
      <w:start w:val="1"/>
      <w:numFmt w:val="decimal"/>
      <w:lvlText w:val="%1.%2.%3.%4.%5.%6.%7.%8.%9"/>
      <w:lvlJc w:val="left"/>
      <w:pPr>
        <w:ind w:left="18136" w:hanging="2160"/>
      </w:pPr>
      <w:rPr>
        <w:rFonts w:hint="default"/>
      </w:rPr>
    </w:lvl>
  </w:abstractNum>
  <w:abstractNum w:abstractNumId="26" w15:restartNumberingAfterBreak="0">
    <w:nsid w:val="55D525A2"/>
    <w:multiLevelType w:val="hybridMultilevel"/>
    <w:tmpl w:val="D21894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A8D2BB9"/>
    <w:multiLevelType w:val="multilevel"/>
    <w:tmpl w:val="45007F1A"/>
    <w:lvl w:ilvl="0">
      <w:start w:val="2"/>
      <w:numFmt w:val="decimal"/>
      <w:lvlText w:val="%1."/>
      <w:lvlJc w:val="left"/>
      <w:pPr>
        <w:ind w:left="504" w:hanging="504"/>
      </w:pPr>
      <w:rPr>
        <w:rFonts w:hint="default"/>
      </w:rPr>
    </w:lvl>
    <w:lvl w:ilvl="1">
      <w:start w:val="3"/>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28" w15:restartNumberingAfterBreak="0">
    <w:nsid w:val="5B546F03"/>
    <w:multiLevelType w:val="hybridMultilevel"/>
    <w:tmpl w:val="1B2CD8D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E856CF0"/>
    <w:multiLevelType w:val="hybridMultilevel"/>
    <w:tmpl w:val="26A040B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 w15:restartNumberingAfterBreak="0">
    <w:nsid w:val="62952C47"/>
    <w:multiLevelType w:val="hybridMultilevel"/>
    <w:tmpl w:val="DDA6CC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6BC0495"/>
    <w:multiLevelType w:val="multilevel"/>
    <w:tmpl w:val="EBF834AC"/>
    <w:lvl w:ilvl="0">
      <w:start w:val="3"/>
      <w:numFmt w:val="decimal"/>
      <w:lvlText w:val="%1."/>
      <w:lvlJc w:val="left"/>
      <w:pPr>
        <w:ind w:left="648" w:hanging="648"/>
      </w:pPr>
      <w:rPr>
        <w:rFonts w:eastAsia="Times New Roman" w:hint="default"/>
        <w:color w:val="000000"/>
      </w:rPr>
    </w:lvl>
    <w:lvl w:ilvl="1">
      <w:start w:val="1"/>
      <w:numFmt w:val="decimal"/>
      <w:lvlText w:val="%1.%2."/>
      <w:lvlJc w:val="left"/>
      <w:pPr>
        <w:ind w:left="1074" w:hanging="720"/>
      </w:pPr>
      <w:rPr>
        <w:rFonts w:eastAsia="Times New Roman" w:hint="default"/>
        <w:color w:val="000000"/>
      </w:rPr>
    </w:lvl>
    <w:lvl w:ilvl="2">
      <w:start w:val="2"/>
      <w:numFmt w:val="decimal"/>
      <w:lvlText w:val="%1.%2.%3."/>
      <w:lvlJc w:val="left"/>
      <w:pPr>
        <w:ind w:left="1428" w:hanging="720"/>
      </w:pPr>
      <w:rPr>
        <w:rFonts w:eastAsia="Times New Roman" w:hint="default"/>
        <w:color w:val="000000"/>
      </w:rPr>
    </w:lvl>
    <w:lvl w:ilvl="3">
      <w:start w:val="1"/>
      <w:numFmt w:val="decimal"/>
      <w:lvlText w:val="%1.%2.%3.%4."/>
      <w:lvlJc w:val="left"/>
      <w:pPr>
        <w:ind w:left="2142" w:hanging="1080"/>
      </w:pPr>
      <w:rPr>
        <w:rFonts w:eastAsia="Times New Roman" w:hint="default"/>
        <w:color w:val="000000"/>
      </w:rPr>
    </w:lvl>
    <w:lvl w:ilvl="4">
      <w:start w:val="1"/>
      <w:numFmt w:val="decimal"/>
      <w:lvlText w:val="%1.%2.%3.%4.%5."/>
      <w:lvlJc w:val="left"/>
      <w:pPr>
        <w:ind w:left="2496" w:hanging="1080"/>
      </w:pPr>
      <w:rPr>
        <w:rFonts w:eastAsia="Times New Roman" w:hint="default"/>
        <w:color w:val="000000"/>
      </w:rPr>
    </w:lvl>
    <w:lvl w:ilvl="5">
      <w:start w:val="1"/>
      <w:numFmt w:val="decimal"/>
      <w:lvlText w:val="%1.%2.%3.%4.%5.%6."/>
      <w:lvlJc w:val="left"/>
      <w:pPr>
        <w:ind w:left="3210" w:hanging="1440"/>
      </w:pPr>
      <w:rPr>
        <w:rFonts w:eastAsia="Times New Roman" w:hint="default"/>
        <w:color w:val="000000"/>
      </w:rPr>
    </w:lvl>
    <w:lvl w:ilvl="6">
      <w:start w:val="1"/>
      <w:numFmt w:val="decimal"/>
      <w:lvlText w:val="%1.%2.%3.%4.%5.%6.%7."/>
      <w:lvlJc w:val="left"/>
      <w:pPr>
        <w:ind w:left="3924" w:hanging="1800"/>
      </w:pPr>
      <w:rPr>
        <w:rFonts w:eastAsia="Times New Roman" w:hint="default"/>
        <w:color w:val="000000"/>
      </w:rPr>
    </w:lvl>
    <w:lvl w:ilvl="7">
      <w:start w:val="1"/>
      <w:numFmt w:val="decimal"/>
      <w:lvlText w:val="%1.%2.%3.%4.%5.%6.%7.%8."/>
      <w:lvlJc w:val="left"/>
      <w:pPr>
        <w:ind w:left="4278" w:hanging="1800"/>
      </w:pPr>
      <w:rPr>
        <w:rFonts w:eastAsia="Times New Roman" w:hint="default"/>
        <w:color w:val="000000"/>
      </w:rPr>
    </w:lvl>
    <w:lvl w:ilvl="8">
      <w:start w:val="1"/>
      <w:numFmt w:val="decimal"/>
      <w:lvlText w:val="%1.%2.%3.%4.%5.%6.%7.%8.%9."/>
      <w:lvlJc w:val="left"/>
      <w:pPr>
        <w:ind w:left="4992" w:hanging="2160"/>
      </w:pPr>
      <w:rPr>
        <w:rFonts w:eastAsia="Times New Roman" w:hint="default"/>
        <w:color w:val="000000"/>
      </w:rPr>
    </w:lvl>
  </w:abstractNum>
  <w:abstractNum w:abstractNumId="32" w15:restartNumberingAfterBreak="0">
    <w:nsid w:val="6BB706FD"/>
    <w:multiLevelType w:val="multilevel"/>
    <w:tmpl w:val="886C0726"/>
    <w:lvl w:ilvl="0">
      <w:start w:val="1"/>
      <w:numFmt w:val="decimal"/>
      <w:lvlText w:val="%1."/>
      <w:lvlJc w:val="left"/>
      <w:pPr>
        <w:ind w:left="720" w:hanging="360"/>
      </w:pPr>
      <w:rPr>
        <w:rFonts w:hint="default"/>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664"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56" w:hanging="1800"/>
      </w:pPr>
      <w:rPr>
        <w:rFonts w:hint="default"/>
      </w:rPr>
    </w:lvl>
    <w:lvl w:ilvl="7">
      <w:start w:val="1"/>
      <w:numFmt w:val="decimal"/>
      <w:isLgl/>
      <w:lvlText w:val="%1.%2.%3.%4.%5.%6.%7.%8."/>
      <w:lvlJc w:val="left"/>
      <w:pPr>
        <w:ind w:left="4032" w:hanging="2160"/>
      </w:pPr>
      <w:rPr>
        <w:rFonts w:hint="default"/>
      </w:rPr>
    </w:lvl>
    <w:lvl w:ilvl="8">
      <w:start w:val="1"/>
      <w:numFmt w:val="decimal"/>
      <w:isLgl/>
      <w:lvlText w:val="%1.%2.%3.%4.%5.%6.%7.%8.%9."/>
      <w:lvlJc w:val="left"/>
      <w:pPr>
        <w:ind w:left="4248" w:hanging="2160"/>
      </w:pPr>
      <w:rPr>
        <w:rFonts w:hint="default"/>
      </w:rPr>
    </w:lvl>
  </w:abstractNum>
  <w:abstractNum w:abstractNumId="33" w15:restartNumberingAfterBreak="0">
    <w:nsid w:val="6C0F41F2"/>
    <w:multiLevelType w:val="hybridMultilevel"/>
    <w:tmpl w:val="36D6403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C524320"/>
    <w:multiLevelType w:val="hybridMultilevel"/>
    <w:tmpl w:val="E4CA96DA"/>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CBE069E"/>
    <w:multiLevelType w:val="hybridMultilevel"/>
    <w:tmpl w:val="1D0A883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6" w15:restartNumberingAfterBreak="0">
    <w:nsid w:val="7791595E"/>
    <w:multiLevelType w:val="hybridMultilevel"/>
    <w:tmpl w:val="80EC4010"/>
    <w:lvl w:ilvl="0" w:tplc="04260001">
      <w:start w:val="1"/>
      <w:numFmt w:val="bullet"/>
      <w:lvlText w:val=""/>
      <w:lvlJc w:val="left"/>
      <w:pPr>
        <w:ind w:left="720" w:hanging="360"/>
      </w:pPr>
      <w:rPr>
        <w:rFonts w:ascii="Symbol" w:hAnsi="Symbol" w:hint="default"/>
      </w:rPr>
    </w:lvl>
    <w:lvl w:ilvl="1" w:tplc="A948C952">
      <w:start w:val="5"/>
      <w:numFmt w:val="bullet"/>
      <w:lvlText w:val="-"/>
      <w:lvlJc w:val="left"/>
      <w:pPr>
        <w:ind w:left="1800" w:hanging="720"/>
      </w:pPr>
      <w:rPr>
        <w:rFonts w:ascii="Times New Roman" w:eastAsiaTheme="minorEastAsia"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ACC2972"/>
    <w:multiLevelType w:val="hybridMultilevel"/>
    <w:tmpl w:val="8BB05AF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8" w15:restartNumberingAfterBreak="0">
    <w:nsid w:val="7C8D7599"/>
    <w:multiLevelType w:val="hybridMultilevel"/>
    <w:tmpl w:val="5E88FC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DEB6A0E"/>
    <w:multiLevelType w:val="hybridMultilevel"/>
    <w:tmpl w:val="926EECD4"/>
    <w:lvl w:ilvl="0" w:tplc="35E61B94">
      <w:start w:val="1"/>
      <w:numFmt w:val="bullet"/>
      <w:lvlText w:val=""/>
      <w:lvlJc w:val="left"/>
      <w:pPr>
        <w:ind w:left="360" w:hanging="360"/>
      </w:pPr>
      <w:rPr>
        <w:rFonts w:ascii="Symbol" w:hAnsi="Symbol"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FC46675"/>
    <w:multiLevelType w:val="hybridMultilevel"/>
    <w:tmpl w:val="1A44E604"/>
    <w:lvl w:ilvl="0" w:tplc="2B269E8E">
      <w:start w:val="1"/>
      <w:numFmt w:val="low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8"/>
  </w:num>
  <w:num w:numId="2">
    <w:abstractNumId w:val="7"/>
  </w:num>
  <w:num w:numId="3">
    <w:abstractNumId w:val="39"/>
  </w:num>
  <w:num w:numId="4">
    <w:abstractNumId w:val="36"/>
  </w:num>
  <w:num w:numId="5">
    <w:abstractNumId w:val="3"/>
  </w:num>
  <w:num w:numId="6">
    <w:abstractNumId w:val="37"/>
  </w:num>
  <w:num w:numId="7">
    <w:abstractNumId w:val="2"/>
  </w:num>
  <w:num w:numId="8">
    <w:abstractNumId w:val="9"/>
    <w:lvlOverride w:ilvl="0">
      <w:startOverride w:val="7"/>
    </w:lvlOverride>
    <w:lvlOverride w:ilvl="1">
      <w:startOverride w:val="3"/>
    </w:lvlOverride>
  </w:num>
  <w:num w:numId="9">
    <w:abstractNumId w:val="4"/>
  </w:num>
  <w:num w:numId="10">
    <w:abstractNumId w:val="40"/>
  </w:num>
  <w:num w:numId="11">
    <w:abstractNumId w:val="25"/>
  </w:num>
  <w:num w:numId="12">
    <w:abstractNumId w:val="12"/>
  </w:num>
  <w:num w:numId="13">
    <w:abstractNumId w:val="23"/>
  </w:num>
  <w:num w:numId="14">
    <w:abstractNumId w:val="32"/>
  </w:num>
  <w:num w:numId="15">
    <w:abstractNumId w:val="21"/>
  </w:num>
  <w:num w:numId="16">
    <w:abstractNumId w:val="6"/>
  </w:num>
  <w:num w:numId="17">
    <w:abstractNumId w:val="34"/>
  </w:num>
  <w:num w:numId="18">
    <w:abstractNumId w:val="17"/>
  </w:num>
  <w:num w:numId="19">
    <w:abstractNumId w:val="0"/>
  </w:num>
  <w:num w:numId="20">
    <w:abstractNumId w:val="27"/>
  </w:num>
  <w:num w:numId="21">
    <w:abstractNumId w:val="19"/>
  </w:num>
  <w:num w:numId="22">
    <w:abstractNumId w:val="11"/>
  </w:num>
  <w:num w:numId="23">
    <w:abstractNumId w:val="29"/>
  </w:num>
  <w:num w:numId="24">
    <w:abstractNumId w:val="26"/>
  </w:num>
  <w:num w:numId="25">
    <w:abstractNumId w:val="13"/>
  </w:num>
  <w:num w:numId="26">
    <w:abstractNumId w:val="15"/>
  </w:num>
  <w:num w:numId="27">
    <w:abstractNumId w:val="28"/>
  </w:num>
  <w:num w:numId="28">
    <w:abstractNumId w:val="33"/>
  </w:num>
  <w:num w:numId="29">
    <w:abstractNumId w:val="1"/>
  </w:num>
  <w:num w:numId="30">
    <w:abstractNumId w:val="24"/>
  </w:num>
  <w:num w:numId="31">
    <w:abstractNumId w:val="35"/>
  </w:num>
  <w:num w:numId="32">
    <w:abstractNumId w:val="10"/>
  </w:num>
  <w:num w:numId="33">
    <w:abstractNumId w:val="30"/>
  </w:num>
  <w:num w:numId="34">
    <w:abstractNumId w:val="38"/>
  </w:num>
  <w:num w:numId="35">
    <w:abstractNumId w:val="5"/>
  </w:num>
  <w:num w:numId="36">
    <w:abstractNumId w:val="16"/>
  </w:num>
  <w:num w:numId="37">
    <w:abstractNumId w:val="31"/>
  </w:num>
  <w:num w:numId="38">
    <w:abstractNumId w:val="18"/>
  </w:num>
  <w:num w:numId="39">
    <w:abstractNumId w:val="20"/>
  </w:num>
  <w:num w:numId="40">
    <w:abstractNumId w:val="22"/>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GrammaticalError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753"/>
    <w:rsid w:val="000611BE"/>
    <w:rsid w:val="00114304"/>
    <w:rsid w:val="001E5BEF"/>
    <w:rsid w:val="0026647B"/>
    <w:rsid w:val="0027190A"/>
    <w:rsid w:val="002834E9"/>
    <w:rsid w:val="002C3840"/>
    <w:rsid w:val="002D7CA8"/>
    <w:rsid w:val="003249D1"/>
    <w:rsid w:val="00340EC6"/>
    <w:rsid w:val="003F1C79"/>
    <w:rsid w:val="00437D0F"/>
    <w:rsid w:val="00457EA4"/>
    <w:rsid w:val="00485F04"/>
    <w:rsid w:val="004F5A19"/>
    <w:rsid w:val="0050594C"/>
    <w:rsid w:val="0051766D"/>
    <w:rsid w:val="00550450"/>
    <w:rsid w:val="00581441"/>
    <w:rsid w:val="005B1B99"/>
    <w:rsid w:val="00625CA7"/>
    <w:rsid w:val="00660ED9"/>
    <w:rsid w:val="00667944"/>
    <w:rsid w:val="0069120C"/>
    <w:rsid w:val="00787EFE"/>
    <w:rsid w:val="00794987"/>
    <w:rsid w:val="008313E0"/>
    <w:rsid w:val="00881520"/>
    <w:rsid w:val="009306C1"/>
    <w:rsid w:val="009367D5"/>
    <w:rsid w:val="009618E6"/>
    <w:rsid w:val="00963777"/>
    <w:rsid w:val="009C6E7B"/>
    <w:rsid w:val="00A25649"/>
    <w:rsid w:val="00A471A1"/>
    <w:rsid w:val="00AD2871"/>
    <w:rsid w:val="00AE26E5"/>
    <w:rsid w:val="00BB526F"/>
    <w:rsid w:val="00BF3A4C"/>
    <w:rsid w:val="00BF4753"/>
    <w:rsid w:val="00C57955"/>
    <w:rsid w:val="00C73578"/>
    <w:rsid w:val="00C9790F"/>
    <w:rsid w:val="00CC612D"/>
    <w:rsid w:val="00CF68FC"/>
    <w:rsid w:val="00D87722"/>
    <w:rsid w:val="00DF348A"/>
    <w:rsid w:val="00DF7465"/>
    <w:rsid w:val="00DF7903"/>
    <w:rsid w:val="00E3405D"/>
    <w:rsid w:val="00E70B4D"/>
    <w:rsid w:val="00EA45C8"/>
    <w:rsid w:val="00EC27F2"/>
    <w:rsid w:val="00F009B4"/>
    <w:rsid w:val="00FD7E8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0EE87B6"/>
  <w15:chartTrackingRefBased/>
  <w15:docId w15:val="{03E8C352-D422-4CB1-A8DB-EA328DEFE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753"/>
    <w:pPr>
      <w:spacing w:after="0" w:line="240" w:lineRule="auto"/>
      <w:ind w:firstLine="720"/>
      <w:jc w:val="both"/>
    </w:pPr>
    <w:rPr>
      <w:rFonts w:ascii="Times New Roman" w:eastAsiaTheme="minorEastAsia" w:hAnsi="Times New Roman"/>
      <w:sz w:val="28"/>
    </w:rPr>
  </w:style>
  <w:style w:type="paragraph" w:styleId="Heading1">
    <w:name w:val="heading 1"/>
    <w:basedOn w:val="Normal"/>
    <w:next w:val="Normal"/>
    <w:link w:val="Heading1Char"/>
    <w:uiPriority w:val="9"/>
    <w:qFormat/>
    <w:rsid w:val="00BF4753"/>
    <w:pPr>
      <w:keepNext/>
      <w:keepLines/>
      <w:pBdr>
        <w:bottom w:val="single" w:sz="4" w:space="1" w:color="595959" w:themeColor="text1" w:themeTint="A6"/>
      </w:pBdr>
      <w:spacing w:before="360"/>
      <w:ind w:firstLine="0"/>
      <w:jc w:val="center"/>
      <w:outlineLvl w:val="0"/>
    </w:pPr>
    <w:rPr>
      <w:rFonts w:eastAsia="Times New Roman" w:cs="Times New Roman"/>
      <w:b/>
      <w:bCs/>
      <w:smallCaps/>
      <w:color w:val="000000"/>
      <w:sz w:val="36"/>
      <w:szCs w:val="36"/>
      <w:lang w:eastAsia="lv-LV"/>
    </w:rPr>
  </w:style>
  <w:style w:type="paragraph" w:styleId="Heading2">
    <w:name w:val="heading 2"/>
    <w:basedOn w:val="Normal"/>
    <w:next w:val="Normal"/>
    <w:link w:val="Heading2Char"/>
    <w:uiPriority w:val="9"/>
    <w:unhideWhenUsed/>
    <w:qFormat/>
    <w:rsid w:val="00BF4753"/>
    <w:pPr>
      <w:keepNext/>
      <w:keepLines/>
      <w:numPr>
        <w:ilvl w:val="1"/>
        <w:numId w:val="1"/>
      </w:numPr>
      <w:spacing w:before="360"/>
      <w:jc w:val="center"/>
      <w:outlineLvl w:val="1"/>
    </w:pPr>
    <w:rPr>
      <w:rFonts w:eastAsiaTheme="majorEastAsia" w:cstheme="majorBidi"/>
      <w:b/>
      <w:bCs/>
      <w:color w:val="000000" w:themeColor="text1"/>
      <w:sz w:val="32"/>
      <w:szCs w:val="28"/>
    </w:rPr>
  </w:style>
  <w:style w:type="paragraph" w:styleId="Heading3">
    <w:name w:val="heading 3"/>
    <w:basedOn w:val="Normal"/>
    <w:next w:val="Normal"/>
    <w:link w:val="Heading3Char"/>
    <w:uiPriority w:val="9"/>
    <w:unhideWhenUsed/>
    <w:qFormat/>
    <w:rsid w:val="00BF4753"/>
    <w:pPr>
      <w:keepNext/>
      <w:keepLines/>
      <w:numPr>
        <w:ilvl w:val="2"/>
        <w:numId w:val="1"/>
      </w:numPr>
      <w:spacing w:before="200"/>
      <w:outlineLvl w:val="2"/>
    </w:pPr>
    <w:rPr>
      <w:rFonts w:eastAsiaTheme="majorEastAsia" w:cstheme="majorBidi"/>
      <w:b/>
      <w:bCs/>
      <w:color w:val="000000" w:themeColor="text1"/>
    </w:rPr>
  </w:style>
  <w:style w:type="paragraph" w:styleId="Heading4">
    <w:name w:val="heading 4"/>
    <w:basedOn w:val="Normal"/>
    <w:next w:val="Normal"/>
    <w:link w:val="Heading4Char"/>
    <w:uiPriority w:val="9"/>
    <w:semiHidden/>
    <w:unhideWhenUsed/>
    <w:qFormat/>
    <w:rsid w:val="00BF4753"/>
    <w:pPr>
      <w:keepNext/>
      <w:keepLines/>
      <w:numPr>
        <w:ilvl w:val="3"/>
        <w:numId w:val="1"/>
      </w:numPr>
      <w:spacing w:before="20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BF4753"/>
    <w:pPr>
      <w:keepNext/>
      <w:keepLines/>
      <w:numPr>
        <w:ilvl w:val="4"/>
        <w:numId w:val="1"/>
      </w:numPr>
      <w:spacing w:before="20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BF4753"/>
    <w:pPr>
      <w:keepNext/>
      <w:keepLines/>
      <w:numPr>
        <w:ilvl w:val="5"/>
        <w:numId w:val="1"/>
      </w:numPr>
      <w:spacing w:before="20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BF475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F475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F475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753"/>
    <w:rPr>
      <w:rFonts w:ascii="Times New Roman" w:eastAsia="Times New Roman" w:hAnsi="Times New Roman" w:cs="Times New Roman"/>
      <w:b/>
      <w:bCs/>
      <w:smallCaps/>
      <w:color w:val="000000"/>
      <w:sz w:val="36"/>
      <w:szCs w:val="36"/>
      <w:lang w:eastAsia="lv-LV"/>
    </w:rPr>
  </w:style>
  <w:style w:type="character" w:customStyle="1" w:styleId="Heading2Char">
    <w:name w:val="Heading 2 Char"/>
    <w:basedOn w:val="DefaultParagraphFont"/>
    <w:link w:val="Heading2"/>
    <w:uiPriority w:val="9"/>
    <w:rsid w:val="00BF4753"/>
    <w:rPr>
      <w:rFonts w:ascii="Times New Roman" w:eastAsiaTheme="majorEastAsia" w:hAnsi="Times New Roman" w:cstheme="majorBidi"/>
      <w:b/>
      <w:bCs/>
      <w:color w:val="000000" w:themeColor="text1"/>
      <w:sz w:val="32"/>
      <w:szCs w:val="28"/>
    </w:rPr>
  </w:style>
  <w:style w:type="character" w:customStyle="1" w:styleId="Heading3Char">
    <w:name w:val="Heading 3 Char"/>
    <w:basedOn w:val="DefaultParagraphFont"/>
    <w:link w:val="Heading3"/>
    <w:uiPriority w:val="9"/>
    <w:rsid w:val="00BF4753"/>
    <w:rPr>
      <w:rFonts w:ascii="Times New Roman" w:eastAsiaTheme="majorEastAsia" w:hAnsi="Times New Roman" w:cstheme="majorBidi"/>
      <w:b/>
      <w:bCs/>
      <w:color w:val="000000" w:themeColor="text1"/>
      <w:sz w:val="28"/>
    </w:rPr>
  </w:style>
  <w:style w:type="character" w:customStyle="1" w:styleId="Heading4Char">
    <w:name w:val="Heading 4 Char"/>
    <w:basedOn w:val="DefaultParagraphFont"/>
    <w:link w:val="Heading4"/>
    <w:uiPriority w:val="9"/>
    <w:semiHidden/>
    <w:rsid w:val="00BF4753"/>
    <w:rPr>
      <w:rFonts w:asciiTheme="majorHAnsi" w:eastAsiaTheme="majorEastAsia" w:hAnsiTheme="majorHAnsi" w:cstheme="majorBidi"/>
      <w:b/>
      <w:bCs/>
      <w:i/>
      <w:iCs/>
      <w:color w:val="000000" w:themeColor="text1"/>
      <w:sz w:val="28"/>
    </w:rPr>
  </w:style>
  <w:style w:type="character" w:customStyle="1" w:styleId="Heading5Char">
    <w:name w:val="Heading 5 Char"/>
    <w:basedOn w:val="DefaultParagraphFont"/>
    <w:link w:val="Heading5"/>
    <w:uiPriority w:val="9"/>
    <w:semiHidden/>
    <w:rsid w:val="00BF4753"/>
    <w:rPr>
      <w:rFonts w:asciiTheme="majorHAnsi" w:eastAsiaTheme="majorEastAsia" w:hAnsiTheme="majorHAnsi" w:cstheme="majorBidi"/>
      <w:color w:val="323E4F" w:themeColor="text2" w:themeShade="BF"/>
      <w:sz w:val="28"/>
    </w:rPr>
  </w:style>
  <w:style w:type="character" w:customStyle="1" w:styleId="Heading6Char">
    <w:name w:val="Heading 6 Char"/>
    <w:basedOn w:val="DefaultParagraphFont"/>
    <w:link w:val="Heading6"/>
    <w:uiPriority w:val="9"/>
    <w:semiHidden/>
    <w:rsid w:val="00BF4753"/>
    <w:rPr>
      <w:rFonts w:asciiTheme="majorHAnsi" w:eastAsiaTheme="majorEastAsia" w:hAnsiTheme="majorHAnsi" w:cstheme="majorBidi"/>
      <w:i/>
      <w:iCs/>
      <w:color w:val="323E4F" w:themeColor="text2" w:themeShade="BF"/>
      <w:sz w:val="28"/>
    </w:rPr>
  </w:style>
  <w:style w:type="character" w:customStyle="1" w:styleId="Heading7Char">
    <w:name w:val="Heading 7 Char"/>
    <w:basedOn w:val="DefaultParagraphFont"/>
    <w:link w:val="Heading7"/>
    <w:uiPriority w:val="9"/>
    <w:semiHidden/>
    <w:rsid w:val="00BF4753"/>
    <w:rPr>
      <w:rFonts w:asciiTheme="majorHAnsi" w:eastAsiaTheme="majorEastAsia" w:hAnsiTheme="majorHAnsi" w:cstheme="majorBidi"/>
      <w:i/>
      <w:iCs/>
      <w:color w:val="404040" w:themeColor="text1" w:themeTint="BF"/>
      <w:sz w:val="28"/>
    </w:rPr>
  </w:style>
  <w:style w:type="character" w:customStyle="1" w:styleId="Heading8Char">
    <w:name w:val="Heading 8 Char"/>
    <w:basedOn w:val="DefaultParagraphFont"/>
    <w:link w:val="Heading8"/>
    <w:uiPriority w:val="9"/>
    <w:semiHidden/>
    <w:rsid w:val="00BF475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F4753"/>
    <w:rPr>
      <w:rFonts w:asciiTheme="majorHAnsi" w:eastAsiaTheme="majorEastAsia" w:hAnsiTheme="majorHAnsi" w:cstheme="majorBidi"/>
      <w:i/>
      <w:iCs/>
      <w:color w:val="404040" w:themeColor="text1" w:themeTint="BF"/>
      <w:sz w:val="20"/>
      <w:szCs w:val="20"/>
    </w:rPr>
  </w:style>
  <w:style w:type="paragraph" w:styleId="IntenseQuote">
    <w:name w:val="Intense Quote"/>
    <w:basedOn w:val="Normal"/>
    <w:next w:val="Normal"/>
    <w:link w:val="IntenseQuoteChar"/>
    <w:uiPriority w:val="30"/>
    <w:qFormat/>
    <w:rsid w:val="00BF4753"/>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BF4753"/>
    <w:rPr>
      <w:rFonts w:ascii="Times New Roman" w:eastAsiaTheme="minorEastAsia" w:hAnsi="Times New Roman"/>
      <w:color w:val="000000" w:themeColor="text1"/>
      <w:sz w:val="28"/>
      <w:shd w:val="clear" w:color="auto" w:fill="F2F2F2" w:themeFill="background1" w:themeFillShade="F2"/>
    </w:rPr>
  </w:style>
  <w:style w:type="paragraph" w:styleId="Caption">
    <w:name w:val="caption"/>
    <w:basedOn w:val="Normal"/>
    <w:next w:val="Normal"/>
    <w:uiPriority w:val="35"/>
    <w:semiHidden/>
    <w:unhideWhenUsed/>
    <w:qFormat/>
    <w:rsid w:val="00BF4753"/>
    <w:pPr>
      <w:spacing w:after="200"/>
    </w:pPr>
    <w:rPr>
      <w:i/>
      <w:iCs/>
      <w:color w:val="44546A" w:themeColor="text2"/>
      <w:sz w:val="18"/>
      <w:szCs w:val="18"/>
    </w:rPr>
  </w:style>
  <w:style w:type="paragraph" w:styleId="Title">
    <w:name w:val="Title"/>
    <w:basedOn w:val="Normal"/>
    <w:next w:val="Normal"/>
    <w:link w:val="TitleChar"/>
    <w:uiPriority w:val="10"/>
    <w:qFormat/>
    <w:rsid w:val="00BF4753"/>
    <w:pPr>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BF4753"/>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BF4753"/>
    <w:pPr>
      <w:numPr>
        <w:ilvl w:val="1"/>
      </w:numPr>
      <w:ind w:firstLine="720"/>
    </w:pPr>
    <w:rPr>
      <w:color w:val="5A5A5A" w:themeColor="text1" w:themeTint="A5"/>
      <w:spacing w:val="10"/>
    </w:rPr>
  </w:style>
  <w:style w:type="character" w:customStyle="1" w:styleId="SubtitleChar">
    <w:name w:val="Subtitle Char"/>
    <w:basedOn w:val="DefaultParagraphFont"/>
    <w:link w:val="Subtitle"/>
    <w:uiPriority w:val="11"/>
    <w:rsid w:val="00BF4753"/>
    <w:rPr>
      <w:rFonts w:ascii="Times New Roman" w:eastAsiaTheme="minorEastAsia" w:hAnsi="Times New Roman"/>
      <w:color w:val="5A5A5A" w:themeColor="text1" w:themeTint="A5"/>
      <w:spacing w:val="10"/>
      <w:sz w:val="28"/>
    </w:rPr>
  </w:style>
  <w:style w:type="character" w:styleId="Strong">
    <w:name w:val="Strong"/>
    <w:basedOn w:val="DefaultParagraphFont"/>
    <w:uiPriority w:val="22"/>
    <w:qFormat/>
    <w:rsid w:val="00BF4753"/>
    <w:rPr>
      <w:b/>
      <w:bCs/>
      <w:color w:val="000000" w:themeColor="text1"/>
    </w:rPr>
  </w:style>
  <w:style w:type="character" w:styleId="Emphasis">
    <w:name w:val="Emphasis"/>
    <w:basedOn w:val="DefaultParagraphFont"/>
    <w:uiPriority w:val="20"/>
    <w:qFormat/>
    <w:rsid w:val="00BF4753"/>
    <w:rPr>
      <w:i/>
      <w:iCs/>
      <w:color w:val="auto"/>
    </w:rPr>
  </w:style>
  <w:style w:type="paragraph" w:styleId="NoSpacing">
    <w:name w:val="No Spacing"/>
    <w:aliases w:val="Normal1,No Spacing1,Parastais"/>
    <w:link w:val="NoSpacingChar"/>
    <w:uiPriority w:val="1"/>
    <w:qFormat/>
    <w:rsid w:val="00BF4753"/>
    <w:pPr>
      <w:spacing w:after="0" w:line="240" w:lineRule="auto"/>
    </w:pPr>
    <w:rPr>
      <w:rFonts w:eastAsiaTheme="minorEastAsia"/>
    </w:rPr>
  </w:style>
  <w:style w:type="paragraph" w:styleId="Quote">
    <w:name w:val="Quote"/>
    <w:basedOn w:val="Normal"/>
    <w:next w:val="Normal"/>
    <w:link w:val="QuoteChar"/>
    <w:uiPriority w:val="29"/>
    <w:qFormat/>
    <w:rsid w:val="00BF4753"/>
    <w:pPr>
      <w:spacing w:before="160"/>
      <w:ind w:left="720" w:right="720"/>
    </w:pPr>
    <w:rPr>
      <w:i/>
      <w:iCs/>
      <w:color w:val="000000" w:themeColor="text1"/>
    </w:rPr>
  </w:style>
  <w:style w:type="character" w:customStyle="1" w:styleId="QuoteChar">
    <w:name w:val="Quote Char"/>
    <w:basedOn w:val="DefaultParagraphFont"/>
    <w:link w:val="Quote"/>
    <w:uiPriority w:val="29"/>
    <w:rsid w:val="00BF4753"/>
    <w:rPr>
      <w:rFonts w:ascii="Times New Roman" w:eastAsiaTheme="minorEastAsia" w:hAnsi="Times New Roman"/>
      <w:i/>
      <w:iCs/>
      <w:color w:val="000000" w:themeColor="text1"/>
      <w:sz w:val="28"/>
    </w:rPr>
  </w:style>
  <w:style w:type="character" w:styleId="SubtleEmphasis">
    <w:name w:val="Subtle Emphasis"/>
    <w:basedOn w:val="DefaultParagraphFont"/>
    <w:uiPriority w:val="19"/>
    <w:qFormat/>
    <w:rsid w:val="00BF4753"/>
    <w:rPr>
      <w:i/>
      <w:iCs/>
      <w:color w:val="404040" w:themeColor="text1" w:themeTint="BF"/>
    </w:rPr>
  </w:style>
  <w:style w:type="character" w:styleId="IntenseEmphasis">
    <w:name w:val="Intense Emphasis"/>
    <w:basedOn w:val="DefaultParagraphFont"/>
    <w:uiPriority w:val="21"/>
    <w:qFormat/>
    <w:rsid w:val="00BF4753"/>
    <w:rPr>
      <w:b/>
      <w:bCs/>
      <w:i/>
      <w:iCs/>
      <w:caps/>
    </w:rPr>
  </w:style>
  <w:style w:type="character" w:styleId="SubtleReference">
    <w:name w:val="Subtle Reference"/>
    <w:basedOn w:val="DefaultParagraphFont"/>
    <w:uiPriority w:val="31"/>
    <w:qFormat/>
    <w:rsid w:val="00BF475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F4753"/>
    <w:rPr>
      <w:b/>
      <w:bCs/>
      <w:smallCaps/>
      <w:u w:val="single"/>
    </w:rPr>
  </w:style>
  <w:style w:type="character" w:styleId="BookTitle">
    <w:name w:val="Book Title"/>
    <w:basedOn w:val="DefaultParagraphFont"/>
    <w:uiPriority w:val="33"/>
    <w:qFormat/>
    <w:rsid w:val="00BF4753"/>
    <w:rPr>
      <w:b w:val="0"/>
      <w:bCs w:val="0"/>
      <w:smallCaps/>
      <w:spacing w:val="5"/>
    </w:rPr>
  </w:style>
  <w:style w:type="paragraph" w:styleId="TOCHeading">
    <w:name w:val="TOC Heading"/>
    <w:basedOn w:val="Heading1"/>
    <w:next w:val="Normal"/>
    <w:uiPriority w:val="39"/>
    <w:unhideWhenUsed/>
    <w:qFormat/>
    <w:rsid w:val="00BF4753"/>
    <w:pPr>
      <w:outlineLvl w:val="9"/>
    </w:pPr>
  </w:style>
  <w:style w:type="character" w:customStyle="1" w:styleId="NoSpacingChar">
    <w:name w:val="No Spacing Char"/>
    <w:aliases w:val="Normal1 Char,No Spacing1 Char,Parastais Char"/>
    <w:basedOn w:val="DefaultParagraphFont"/>
    <w:link w:val="NoSpacing"/>
    <w:uiPriority w:val="1"/>
    <w:rsid w:val="00BF4753"/>
    <w:rPr>
      <w:rFonts w:eastAsiaTheme="minorEastAsia"/>
    </w:rPr>
  </w:style>
  <w:style w:type="paragraph" w:styleId="Header">
    <w:name w:val="header"/>
    <w:basedOn w:val="Normal"/>
    <w:link w:val="HeaderChar"/>
    <w:uiPriority w:val="99"/>
    <w:unhideWhenUsed/>
    <w:rsid w:val="00BF4753"/>
    <w:pPr>
      <w:tabs>
        <w:tab w:val="center" w:pos="4153"/>
        <w:tab w:val="right" w:pos="8306"/>
      </w:tabs>
    </w:pPr>
  </w:style>
  <w:style w:type="character" w:customStyle="1" w:styleId="HeaderChar">
    <w:name w:val="Header Char"/>
    <w:basedOn w:val="DefaultParagraphFont"/>
    <w:link w:val="Header"/>
    <w:uiPriority w:val="99"/>
    <w:rsid w:val="00BF4753"/>
    <w:rPr>
      <w:rFonts w:ascii="Times New Roman" w:eastAsiaTheme="minorEastAsia" w:hAnsi="Times New Roman"/>
      <w:sz w:val="28"/>
    </w:rPr>
  </w:style>
  <w:style w:type="paragraph" w:styleId="Footer">
    <w:name w:val="footer"/>
    <w:basedOn w:val="Normal"/>
    <w:link w:val="FooterChar"/>
    <w:uiPriority w:val="99"/>
    <w:unhideWhenUsed/>
    <w:rsid w:val="00BF4753"/>
    <w:pPr>
      <w:tabs>
        <w:tab w:val="center" w:pos="4153"/>
        <w:tab w:val="right" w:pos="8306"/>
      </w:tabs>
    </w:pPr>
  </w:style>
  <w:style w:type="character" w:customStyle="1" w:styleId="FooterChar">
    <w:name w:val="Footer Char"/>
    <w:basedOn w:val="DefaultParagraphFont"/>
    <w:link w:val="Footer"/>
    <w:uiPriority w:val="99"/>
    <w:rsid w:val="00BF4753"/>
    <w:rPr>
      <w:rFonts w:ascii="Times New Roman" w:eastAsiaTheme="minorEastAsia" w:hAnsi="Times New Roman"/>
      <w:sz w:val="28"/>
    </w:rPr>
  </w:style>
  <w:style w:type="paragraph" w:styleId="ListParagraph">
    <w:name w:val="List Paragraph"/>
    <w:aliases w:val="2,Akapit z listą BS,Numbered Para 1,Dot pt,List Paragraph Char Char Char,Indicator Text,List Paragraph1,Bullet 1,Bullet Points,MAIN CONTENT,IFCL - List Paragraph,List Paragraph12,OBC Bullet,F5 List Paragraph,Strip,Punkti ar numuriem"/>
    <w:basedOn w:val="Normal"/>
    <w:link w:val="ListParagraphChar"/>
    <w:uiPriority w:val="34"/>
    <w:qFormat/>
    <w:rsid w:val="00BF4753"/>
    <w:pPr>
      <w:ind w:left="720"/>
      <w:contextualSpacing/>
    </w:pPr>
  </w:style>
  <w:style w:type="paragraph" w:customStyle="1" w:styleId="PIRMAIS">
    <w:name w:val="PIRMAIS"/>
    <w:basedOn w:val="Normal"/>
    <w:link w:val="PIRMAISChar"/>
    <w:qFormat/>
    <w:rsid w:val="00BF4753"/>
    <w:pPr>
      <w:keepNext/>
      <w:keepLines/>
      <w:pageBreakBefore/>
      <w:pBdr>
        <w:bottom w:val="thickThinLargeGap" w:sz="24" w:space="1" w:color="17365D"/>
      </w:pBdr>
      <w:tabs>
        <w:tab w:val="left" w:pos="567"/>
      </w:tabs>
      <w:spacing w:after="120"/>
      <w:ind w:left="567" w:hanging="567"/>
      <w:outlineLvl w:val="0"/>
    </w:pPr>
    <w:rPr>
      <w:rFonts w:eastAsia="Times New Roman" w:cs="Times New Roman"/>
      <w:b/>
      <w:sz w:val="36"/>
      <w:szCs w:val="20"/>
    </w:rPr>
  </w:style>
  <w:style w:type="character" w:customStyle="1" w:styleId="PIRMAISChar">
    <w:name w:val="PIRMAIS Char"/>
    <w:basedOn w:val="DefaultParagraphFont"/>
    <w:link w:val="PIRMAIS"/>
    <w:rsid w:val="00BF4753"/>
    <w:rPr>
      <w:rFonts w:ascii="Times New Roman" w:eastAsia="Times New Roman" w:hAnsi="Times New Roman" w:cs="Times New Roman"/>
      <w:b/>
      <w:sz w:val="36"/>
      <w:szCs w:val="20"/>
    </w:rPr>
  </w:style>
  <w:style w:type="character" w:styleId="PageNumber">
    <w:name w:val="page number"/>
    <w:basedOn w:val="DefaultParagraphFont"/>
    <w:rsid w:val="00BF4753"/>
  </w:style>
  <w:style w:type="character" w:customStyle="1" w:styleId="HeaderChar1">
    <w:name w:val="Header Char1"/>
    <w:uiPriority w:val="99"/>
    <w:semiHidden/>
    <w:rsid w:val="00BF4753"/>
    <w:rPr>
      <w:rFonts w:eastAsia="Times New Roman" w:cs="Times New Roman"/>
      <w:sz w:val="24"/>
      <w:szCs w:val="20"/>
    </w:rPr>
  </w:style>
  <w:style w:type="paragraph" w:customStyle="1" w:styleId="H1">
    <w:name w:val="H1"/>
    <w:link w:val="H1Char"/>
    <w:rsid w:val="00BF4753"/>
    <w:pPr>
      <w:keepNext/>
      <w:keepLines/>
      <w:pageBreakBefore/>
      <w:pBdr>
        <w:bottom w:val="thickThinLargeGap" w:sz="24" w:space="1" w:color="17365D"/>
      </w:pBdr>
      <w:tabs>
        <w:tab w:val="left" w:pos="1134"/>
      </w:tabs>
      <w:spacing w:after="120" w:line="240" w:lineRule="auto"/>
      <w:ind w:left="1134" w:hanging="567"/>
      <w:outlineLvl w:val="0"/>
    </w:pPr>
    <w:rPr>
      <w:rFonts w:ascii="Times New Roman" w:eastAsia="Times New Roman" w:hAnsi="Times New Roman" w:cs="Times New Roman"/>
      <w:b/>
      <w:sz w:val="36"/>
      <w:szCs w:val="20"/>
    </w:rPr>
  </w:style>
  <w:style w:type="character" w:customStyle="1" w:styleId="H1Char">
    <w:name w:val="H1 Char"/>
    <w:link w:val="H1"/>
    <w:rsid w:val="00BF4753"/>
    <w:rPr>
      <w:rFonts w:ascii="Times New Roman" w:eastAsia="Times New Roman" w:hAnsi="Times New Roman" w:cs="Times New Roman"/>
      <w:b/>
      <w:sz w:val="36"/>
      <w:szCs w:val="20"/>
    </w:rPr>
  </w:style>
  <w:style w:type="character" w:styleId="CommentReference">
    <w:name w:val="annotation reference"/>
    <w:uiPriority w:val="99"/>
    <w:unhideWhenUsed/>
    <w:rsid w:val="00BF4753"/>
    <w:rPr>
      <w:sz w:val="16"/>
      <w:szCs w:val="16"/>
    </w:rPr>
  </w:style>
  <w:style w:type="paragraph" w:styleId="CommentText">
    <w:name w:val="annotation text"/>
    <w:basedOn w:val="Normal"/>
    <w:link w:val="CommentTextChar"/>
    <w:uiPriority w:val="99"/>
    <w:unhideWhenUsed/>
    <w:rsid w:val="00BF4753"/>
    <w:pPr>
      <w:spacing w:after="120"/>
      <w:ind w:firstLine="567"/>
    </w:pPr>
    <w:rPr>
      <w:rFonts w:eastAsia="Times New Roman" w:cs="Times New Roman"/>
      <w:sz w:val="20"/>
      <w:szCs w:val="20"/>
    </w:rPr>
  </w:style>
  <w:style w:type="character" w:customStyle="1" w:styleId="CommentTextChar">
    <w:name w:val="Comment Text Char"/>
    <w:basedOn w:val="DefaultParagraphFont"/>
    <w:link w:val="CommentText"/>
    <w:uiPriority w:val="99"/>
    <w:rsid w:val="00BF475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BF4753"/>
    <w:pPr>
      <w:ind w:firstLine="567"/>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BF4753"/>
    <w:rPr>
      <w:rFonts w:ascii="Tahoma" w:eastAsia="Times New Roman" w:hAnsi="Tahoma" w:cs="Times New Roman"/>
      <w:sz w:val="16"/>
      <w:szCs w:val="16"/>
    </w:rPr>
  </w:style>
  <w:style w:type="paragraph" w:customStyle="1" w:styleId="H2">
    <w:name w:val="H2"/>
    <w:link w:val="H2Char"/>
    <w:uiPriority w:val="99"/>
    <w:rsid w:val="00BF4753"/>
    <w:pPr>
      <w:keepNext/>
      <w:tabs>
        <w:tab w:val="left" w:pos="1134"/>
      </w:tabs>
      <w:spacing w:before="480" w:after="240" w:line="240" w:lineRule="auto"/>
      <w:ind w:left="1134" w:hanging="567"/>
      <w:outlineLvl w:val="1"/>
    </w:pPr>
    <w:rPr>
      <w:rFonts w:ascii="Calibri" w:eastAsia="Times New Roman" w:hAnsi="Calibri" w:cs="Times New Roman"/>
      <w:b/>
      <w:sz w:val="32"/>
      <w:szCs w:val="20"/>
    </w:rPr>
  </w:style>
  <w:style w:type="character" w:customStyle="1" w:styleId="H2Char">
    <w:name w:val="H2 Char"/>
    <w:link w:val="H2"/>
    <w:uiPriority w:val="99"/>
    <w:rsid w:val="00BF4753"/>
    <w:rPr>
      <w:rFonts w:ascii="Calibri" w:eastAsia="Times New Roman" w:hAnsi="Calibri" w:cs="Times New Roman"/>
      <w:b/>
      <w:sz w:val="32"/>
      <w:szCs w:val="20"/>
    </w:rPr>
  </w:style>
  <w:style w:type="paragraph" w:customStyle="1" w:styleId="H4">
    <w:name w:val="H4"/>
    <w:uiPriority w:val="99"/>
    <w:rsid w:val="00BF4753"/>
    <w:pPr>
      <w:spacing w:before="120" w:after="120" w:line="240" w:lineRule="auto"/>
      <w:ind w:left="567"/>
      <w:outlineLvl w:val="3"/>
    </w:pPr>
    <w:rPr>
      <w:rFonts w:ascii="Calibri" w:eastAsia="Times New Roman" w:hAnsi="Calibri" w:cs="Times New Roman"/>
      <w:b/>
      <w:sz w:val="28"/>
      <w:szCs w:val="20"/>
    </w:rPr>
  </w:style>
  <w:style w:type="paragraph" w:customStyle="1" w:styleId="H3">
    <w:name w:val="H3"/>
    <w:link w:val="H3Char"/>
    <w:rsid w:val="00BF4753"/>
    <w:pPr>
      <w:keepNext/>
      <w:spacing w:before="480" w:after="120" w:line="240" w:lineRule="auto"/>
      <w:ind w:left="1701" w:hanging="1134"/>
      <w:outlineLvl w:val="2"/>
    </w:pPr>
    <w:rPr>
      <w:rFonts w:ascii="Calibri" w:eastAsia="Times New Roman" w:hAnsi="Calibri" w:cs="Times New Roman"/>
      <w:b/>
      <w:sz w:val="28"/>
      <w:szCs w:val="20"/>
    </w:rPr>
  </w:style>
  <w:style w:type="character" w:customStyle="1" w:styleId="H3Char">
    <w:name w:val="H3 Char"/>
    <w:link w:val="H3"/>
    <w:rsid w:val="00BF4753"/>
    <w:rPr>
      <w:rFonts w:ascii="Calibri" w:eastAsia="Times New Roman" w:hAnsi="Calibri" w:cs="Times New Roman"/>
      <w:b/>
      <w:sz w:val="28"/>
      <w:szCs w:val="20"/>
    </w:rPr>
  </w:style>
  <w:style w:type="paragraph" w:customStyle="1" w:styleId="T">
    <w:name w:val="T"/>
    <w:basedOn w:val="Normal"/>
    <w:rsid w:val="00BF4753"/>
    <w:pPr>
      <w:keepNext/>
      <w:spacing w:after="120"/>
      <w:ind w:left="567"/>
    </w:pPr>
    <w:rPr>
      <w:rFonts w:ascii="Calibri" w:eastAsia="Times New Roman" w:hAnsi="Calibri" w:cs="Times New Roman"/>
      <w:b/>
      <w:sz w:val="24"/>
      <w:szCs w:val="20"/>
    </w:rPr>
  </w:style>
  <w:style w:type="paragraph" w:customStyle="1" w:styleId="Z">
    <w:name w:val="Z"/>
    <w:basedOn w:val="T"/>
    <w:uiPriority w:val="99"/>
    <w:qFormat/>
    <w:rsid w:val="00BF4753"/>
    <w:pPr>
      <w:ind w:right="1701"/>
    </w:pPr>
    <w:rPr>
      <w:b w:val="0"/>
      <w:sz w:val="20"/>
    </w:rPr>
  </w:style>
  <w:style w:type="paragraph" w:customStyle="1" w:styleId="tabteksts">
    <w:name w:val="tab_teksts"/>
    <w:basedOn w:val="Normal"/>
    <w:uiPriority w:val="99"/>
    <w:rsid w:val="00BF4753"/>
    <w:rPr>
      <w:rFonts w:eastAsia="Times New Roman" w:cs="Times New Roman"/>
      <w:sz w:val="20"/>
      <w:szCs w:val="20"/>
    </w:rPr>
  </w:style>
  <w:style w:type="paragraph" w:styleId="FootnoteText">
    <w:name w:val="footnote text"/>
    <w:aliases w:val="Footnote,Fußnote,Fußnote Char Char Char,single space,ft Rakstz. Rakstz.,ft Rakstz.,ft,-E Fußnotentext,Fußnotentext Ursprung,Vēres teksts Char Char Char Char Char,Char Char Char Char Char Char Char Char Char Char Char Char,footnote tex,Char"/>
    <w:basedOn w:val="Normal"/>
    <w:link w:val="FootnoteTextChar"/>
    <w:uiPriority w:val="99"/>
    <w:qFormat/>
    <w:rsid w:val="00BF4753"/>
    <w:pPr>
      <w:keepLines/>
      <w:widowControl w:val="0"/>
      <w:ind w:left="340" w:hanging="340"/>
    </w:pPr>
    <w:rPr>
      <w:rFonts w:eastAsia="Times New Roman" w:cs="Times New Roman"/>
      <w:snapToGrid w:val="0"/>
      <w:color w:val="000000"/>
      <w:sz w:val="20"/>
      <w:szCs w:val="20"/>
    </w:rPr>
  </w:style>
  <w:style w:type="character" w:customStyle="1" w:styleId="FootnoteTextChar">
    <w:name w:val="Footnote Text Char"/>
    <w:aliases w:val="Footnote Char,Fußnote Char,Fußnote Char Char Char Char,single space Char,ft Rakstz. Rakstz. Char,ft Rakstz. Char,ft Char,-E Fußnotentext Char,Fußnotentext Ursprung Char,Vēres teksts Char Char Char Char Char Char,footnote tex Char"/>
    <w:basedOn w:val="DefaultParagraphFont"/>
    <w:link w:val="FootnoteText"/>
    <w:uiPriority w:val="99"/>
    <w:rsid w:val="00BF4753"/>
    <w:rPr>
      <w:rFonts w:ascii="Times New Roman" w:eastAsia="Times New Roman" w:hAnsi="Times New Roman" w:cs="Times New Roman"/>
      <w:snapToGrid w:val="0"/>
      <w:color w:val="000000"/>
      <w:sz w:val="20"/>
      <w:szCs w:val="20"/>
    </w:rPr>
  </w:style>
  <w:style w:type="character" w:styleId="FootnoteReference">
    <w:name w:val="footnote reference"/>
    <w:aliases w:val="Footnote Reference Number,Footnote symbol,Footnote Reference Superscript,ftref,Footnote Refernece,Odwołanie przypisu,BVI fnr,Footnotes refss,SUPERS,Ref,de nota al pie,-E Fußnotenzeichen,Footnote reference number,Times 10 Point,E,E FNZ"/>
    <w:link w:val="Char2"/>
    <w:qFormat/>
    <w:rsid w:val="00BF4753"/>
    <w:rPr>
      <w:rFonts w:ascii="Garamond" w:hAnsi="Garamond"/>
      <w:sz w:val="20"/>
      <w:vertAlign w:val="superscript"/>
    </w:rPr>
  </w:style>
  <w:style w:type="paragraph" w:customStyle="1" w:styleId="Zpar">
    <w:name w:val="Z_par"/>
    <w:basedOn w:val="Z"/>
    <w:rsid w:val="00BF4753"/>
    <w:pPr>
      <w:spacing w:after="480"/>
      <w:ind w:left="1418" w:hanging="851"/>
    </w:pPr>
    <w:rPr>
      <w:i/>
    </w:rPr>
  </w:style>
  <w:style w:type="character" w:customStyle="1" w:styleId="ListParagraphChar">
    <w:name w:val="List Paragraph Char"/>
    <w:aliases w:val="2 Char,Akapit z listą BS Char,Numbered Para 1 Char,Dot pt Char,List Paragraph Char Char Char Char,Indicator Text Char,List Paragraph1 Char,Bullet 1 Char,Bullet Points Char,MAIN CONTENT Char,IFCL - List Paragraph Char,OBC Bullet Char"/>
    <w:link w:val="ListParagraph"/>
    <w:uiPriority w:val="34"/>
    <w:qFormat/>
    <w:locked/>
    <w:rsid w:val="00BF4753"/>
    <w:rPr>
      <w:rFonts w:ascii="Times New Roman" w:eastAsiaTheme="minorEastAsia" w:hAnsi="Times New Roman"/>
      <w:sz w:val="28"/>
    </w:rPr>
  </w:style>
  <w:style w:type="paragraph" w:styleId="BodyTextIndent2">
    <w:name w:val="Body Text Indent 2"/>
    <w:basedOn w:val="Normal"/>
    <w:link w:val="BodyTextIndent2Char"/>
    <w:semiHidden/>
    <w:rsid w:val="00BF4753"/>
    <w:pPr>
      <w:spacing w:before="120" w:after="120"/>
      <w:ind w:firstLine="706"/>
    </w:pPr>
    <w:rPr>
      <w:rFonts w:eastAsia="Times New Roman" w:cs="Times New Roman"/>
      <w:sz w:val="24"/>
      <w:szCs w:val="20"/>
    </w:rPr>
  </w:style>
  <w:style w:type="character" w:customStyle="1" w:styleId="BodyTextIndent2Char">
    <w:name w:val="Body Text Indent 2 Char"/>
    <w:basedOn w:val="DefaultParagraphFont"/>
    <w:link w:val="BodyTextIndent2"/>
    <w:semiHidden/>
    <w:rsid w:val="00BF4753"/>
    <w:rPr>
      <w:rFonts w:ascii="Times New Roman" w:eastAsia="Times New Roman" w:hAnsi="Times New Roman" w:cs="Times New Roman"/>
      <w:sz w:val="24"/>
      <w:szCs w:val="20"/>
    </w:rPr>
  </w:style>
  <w:style w:type="paragraph" w:customStyle="1" w:styleId="Default">
    <w:name w:val="Default"/>
    <w:rsid w:val="00BF4753"/>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BodyTextIndent">
    <w:name w:val="Body Text Indent"/>
    <w:basedOn w:val="Normal"/>
    <w:link w:val="BodyTextIndentChar"/>
    <w:unhideWhenUsed/>
    <w:rsid w:val="00BF4753"/>
    <w:pPr>
      <w:spacing w:after="120"/>
      <w:ind w:left="283" w:firstLine="567"/>
    </w:pPr>
    <w:rPr>
      <w:rFonts w:eastAsia="Times New Roman" w:cs="Times New Roman"/>
      <w:sz w:val="24"/>
      <w:szCs w:val="20"/>
    </w:rPr>
  </w:style>
  <w:style w:type="character" w:customStyle="1" w:styleId="BodyTextIndentChar">
    <w:name w:val="Body Text Indent Char"/>
    <w:basedOn w:val="DefaultParagraphFont"/>
    <w:link w:val="BodyTextIndent"/>
    <w:rsid w:val="00BF4753"/>
    <w:rPr>
      <w:rFonts w:ascii="Times New Roman" w:eastAsia="Times New Roman" w:hAnsi="Times New Roman" w:cs="Times New Roman"/>
      <w:sz w:val="24"/>
      <w:szCs w:val="20"/>
    </w:rPr>
  </w:style>
  <w:style w:type="paragraph" w:customStyle="1" w:styleId="ridk">
    <w:name w:val="ridk"/>
    <w:basedOn w:val="Normal"/>
    <w:rsid w:val="00BF4753"/>
    <w:pPr>
      <w:spacing w:before="100" w:beforeAutospacing="1" w:after="100" w:afterAutospacing="1"/>
    </w:pPr>
    <w:rPr>
      <w:rFonts w:ascii="Arial Unicode MS" w:eastAsia="Arial Unicode MS" w:hAnsi="Arial Unicode MS" w:cs="Arial Unicode MS"/>
      <w:sz w:val="24"/>
      <w:szCs w:val="24"/>
      <w:lang w:val="en-US"/>
    </w:rPr>
  </w:style>
  <w:style w:type="table" w:styleId="TableGrid">
    <w:name w:val="Table Grid"/>
    <w:basedOn w:val="TableNormal"/>
    <w:uiPriority w:val="39"/>
    <w:rsid w:val="00BF4753"/>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1">
    <w:name w:val="Virsraksts1"/>
    <w:basedOn w:val="Heading1"/>
    <w:rsid w:val="00BF4753"/>
    <w:pPr>
      <w:keepLines w:val="0"/>
      <w:pBdr>
        <w:bottom w:val="none" w:sz="0" w:space="0" w:color="auto"/>
      </w:pBdr>
      <w:spacing w:before="240" w:after="60"/>
      <w:ind w:firstLine="709"/>
      <w:jc w:val="both"/>
    </w:pPr>
    <w:rPr>
      <w:rFonts w:eastAsia="Calibri"/>
      <w:smallCaps w:val="0"/>
      <w:color w:val="auto"/>
      <w:kern w:val="32"/>
      <w:sz w:val="40"/>
      <w:szCs w:val="40"/>
    </w:rPr>
  </w:style>
  <w:style w:type="character" w:customStyle="1" w:styleId="spelle">
    <w:name w:val="spelle"/>
    <w:basedOn w:val="DefaultParagraphFont"/>
    <w:rsid w:val="00BF4753"/>
  </w:style>
  <w:style w:type="paragraph" w:customStyle="1" w:styleId="ParagraphNumbering">
    <w:name w:val="Paragraph Numbering"/>
    <w:basedOn w:val="Normal"/>
    <w:uiPriority w:val="1"/>
    <w:qFormat/>
    <w:rsid w:val="00BF4753"/>
    <w:pPr>
      <w:numPr>
        <w:numId w:val="2"/>
      </w:numPr>
      <w:spacing w:after="240" w:line="264" w:lineRule="auto"/>
    </w:pPr>
    <w:rPr>
      <w:rFonts w:eastAsia="Calibri"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BF4753"/>
    <w:rPr>
      <w:b/>
      <w:bCs/>
    </w:rPr>
  </w:style>
  <w:style w:type="character" w:customStyle="1" w:styleId="CommentSubjectChar">
    <w:name w:val="Comment Subject Char"/>
    <w:basedOn w:val="CommentTextChar"/>
    <w:link w:val="CommentSubject"/>
    <w:uiPriority w:val="99"/>
    <w:semiHidden/>
    <w:rsid w:val="00BF4753"/>
    <w:rPr>
      <w:rFonts w:ascii="Times New Roman" w:eastAsia="Times New Roman" w:hAnsi="Times New Roman" w:cs="Times New Roman"/>
      <w:b/>
      <w:bCs/>
      <w:sz w:val="20"/>
      <w:szCs w:val="20"/>
    </w:rPr>
  </w:style>
  <w:style w:type="paragraph" w:customStyle="1" w:styleId="otrais">
    <w:name w:val="otrais"/>
    <w:basedOn w:val="H2"/>
    <w:link w:val="otraisChar"/>
    <w:qFormat/>
    <w:rsid w:val="00BF4753"/>
    <w:pPr>
      <w:tabs>
        <w:tab w:val="clear" w:pos="1134"/>
        <w:tab w:val="left" w:pos="567"/>
      </w:tabs>
      <w:ind w:left="567"/>
    </w:pPr>
    <w:rPr>
      <w:rFonts w:ascii="Times New Roman" w:hAnsi="Times New Roman"/>
    </w:rPr>
  </w:style>
  <w:style w:type="character" w:customStyle="1" w:styleId="otraisChar">
    <w:name w:val="otrais Char"/>
    <w:basedOn w:val="H2Char"/>
    <w:link w:val="otrais"/>
    <w:rsid w:val="00BF4753"/>
    <w:rPr>
      <w:rFonts w:ascii="Times New Roman" w:eastAsia="Times New Roman" w:hAnsi="Times New Roman" w:cs="Times New Roman"/>
      <w:b/>
      <w:sz w:val="32"/>
      <w:szCs w:val="20"/>
    </w:rPr>
  </w:style>
  <w:style w:type="paragraph" w:customStyle="1" w:styleId="tresais">
    <w:name w:val="tresais"/>
    <w:basedOn w:val="H3"/>
    <w:link w:val="tresaisChar"/>
    <w:qFormat/>
    <w:rsid w:val="00BF4753"/>
    <w:pPr>
      <w:ind w:left="0" w:firstLine="0"/>
    </w:pPr>
    <w:rPr>
      <w:rFonts w:ascii="Times New Roman" w:hAnsi="Times New Roman"/>
    </w:rPr>
  </w:style>
  <w:style w:type="character" w:customStyle="1" w:styleId="tresaisChar">
    <w:name w:val="tresais Char"/>
    <w:basedOn w:val="H3Char"/>
    <w:link w:val="tresais"/>
    <w:rsid w:val="00BF4753"/>
    <w:rPr>
      <w:rFonts w:ascii="Times New Roman" w:eastAsia="Times New Roman" w:hAnsi="Times New Roman" w:cs="Times New Roman"/>
      <w:b/>
      <w:sz w:val="28"/>
      <w:szCs w:val="20"/>
    </w:rPr>
  </w:style>
  <w:style w:type="paragraph" w:styleId="TOC1">
    <w:name w:val="toc 1"/>
    <w:basedOn w:val="Normal"/>
    <w:next w:val="Normal"/>
    <w:autoRedefine/>
    <w:uiPriority w:val="39"/>
    <w:unhideWhenUsed/>
    <w:rsid w:val="00BF4753"/>
    <w:pPr>
      <w:tabs>
        <w:tab w:val="left" w:pos="284"/>
        <w:tab w:val="right" w:leader="dot" w:pos="9072"/>
      </w:tabs>
      <w:ind w:left="284" w:hanging="284"/>
    </w:pPr>
    <w:rPr>
      <w:rFonts w:eastAsia="Times New Roman" w:cs="Times New Roman"/>
      <w:sz w:val="24"/>
      <w:szCs w:val="20"/>
    </w:rPr>
  </w:style>
  <w:style w:type="paragraph" w:styleId="TOC2">
    <w:name w:val="toc 2"/>
    <w:basedOn w:val="Normal"/>
    <w:next w:val="Normal"/>
    <w:autoRedefine/>
    <w:uiPriority w:val="39"/>
    <w:unhideWhenUsed/>
    <w:rsid w:val="00BF4753"/>
    <w:pPr>
      <w:tabs>
        <w:tab w:val="left" w:pos="1134"/>
        <w:tab w:val="right" w:leader="dot" w:pos="9072"/>
      </w:tabs>
      <w:ind w:left="993" w:hanging="567"/>
    </w:pPr>
    <w:rPr>
      <w:rFonts w:eastAsia="Times New Roman" w:cs="Times New Roman"/>
      <w:sz w:val="24"/>
      <w:szCs w:val="20"/>
    </w:rPr>
  </w:style>
  <w:style w:type="paragraph" w:styleId="TOC3">
    <w:name w:val="toc 3"/>
    <w:basedOn w:val="Normal"/>
    <w:next w:val="Normal"/>
    <w:autoRedefine/>
    <w:uiPriority w:val="39"/>
    <w:unhideWhenUsed/>
    <w:rsid w:val="00BF4753"/>
    <w:pPr>
      <w:tabs>
        <w:tab w:val="left" w:pos="1418"/>
        <w:tab w:val="right" w:leader="dot" w:pos="9061"/>
      </w:tabs>
      <w:ind w:left="1418" w:hanging="709"/>
    </w:pPr>
    <w:rPr>
      <w:rFonts w:eastAsia="Times New Roman" w:cs="Times New Roman"/>
      <w:sz w:val="24"/>
      <w:szCs w:val="20"/>
    </w:rPr>
  </w:style>
  <w:style w:type="character" w:styleId="Hyperlink">
    <w:name w:val="Hyperlink"/>
    <w:uiPriority w:val="99"/>
    <w:unhideWhenUsed/>
    <w:rsid w:val="00BF4753"/>
    <w:rPr>
      <w:color w:val="0000FF"/>
      <w:u w:val="single"/>
    </w:rPr>
  </w:style>
  <w:style w:type="paragraph" w:customStyle="1" w:styleId="naisf">
    <w:name w:val="naisf"/>
    <w:basedOn w:val="Normal"/>
    <w:rsid w:val="00BF4753"/>
    <w:pPr>
      <w:spacing w:before="100" w:beforeAutospacing="1" w:after="100" w:afterAutospacing="1"/>
    </w:pPr>
    <w:rPr>
      <w:rFonts w:eastAsia="Times New Roman" w:cs="Times New Roman"/>
      <w:sz w:val="24"/>
      <w:szCs w:val="24"/>
      <w:lang w:eastAsia="lv-LV"/>
    </w:rPr>
  </w:style>
  <w:style w:type="paragraph" w:customStyle="1" w:styleId="teksts">
    <w:name w:val="teksts"/>
    <w:rsid w:val="00BF4753"/>
    <w:pPr>
      <w:spacing w:after="120" w:line="240" w:lineRule="auto"/>
      <w:jc w:val="both"/>
    </w:pPr>
    <w:rPr>
      <w:rFonts w:ascii="Garamond" w:eastAsia="Times New Roman" w:hAnsi="Garamond" w:cs="Times New Roman"/>
      <w:sz w:val="24"/>
      <w:szCs w:val="20"/>
    </w:rPr>
  </w:style>
  <w:style w:type="paragraph" w:customStyle="1" w:styleId="EE-paragr">
    <w:name w:val="EE-paragr"/>
    <w:basedOn w:val="Normal"/>
    <w:autoRedefine/>
    <w:uiPriority w:val="99"/>
    <w:rsid w:val="00BF4753"/>
    <w:pPr>
      <w:spacing w:before="120" w:after="120"/>
    </w:pPr>
    <w:rPr>
      <w:rFonts w:eastAsia="Times New Roman" w:cs="Times New Roman"/>
      <w:iCs/>
      <w:sz w:val="24"/>
      <w:szCs w:val="24"/>
      <w:lang w:eastAsia="lv-LV" w:bidi="lo-LA"/>
    </w:rPr>
  </w:style>
  <w:style w:type="paragraph" w:customStyle="1" w:styleId="tabtekst">
    <w:name w:val="tab_tekst"/>
    <w:basedOn w:val="Normal"/>
    <w:rsid w:val="00BF4753"/>
    <w:rPr>
      <w:rFonts w:eastAsia="Times New Roman" w:cs="Times New Roman"/>
      <w:color w:val="000000"/>
      <w:sz w:val="20"/>
      <w:szCs w:val="20"/>
    </w:rPr>
  </w:style>
  <w:style w:type="paragraph" w:styleId="NormalWeb">
    <w:name w:val="Normal (Web)"/>
    <w:basedOn w:val="Normal"/>
    <w:uiPriority w:val="99"/>
    <w:unhideWhenUsed/>
    <w:rsid w:val="00BF4753"/>
    <w:pPr>
      <w:spacing w:before="100" w:beforeAutospacing="1" w:after="100" w:afterAutospacing="1"/>
    </w:pPr>
    <w:rPr>
      <w:rFonts w:eastAsia="Times New Roman" w:cs="Times New Roman"/>
      <w:sz w:val="24"/>
      <w:szCs w:val="24"/>
      <w:lang w:eastAsia="lv-LV"/>
    </w:rPr>
  </w:style>
  <w:style w:type="paragraph" w:customStyle="1" w:styleId="Normal11pt">
    <w:name w:val="Normal + 11 pt"/>
    <w:aliases w:val="Bold,Justified,Line spacing:  1.5 lines"/>
    <w:basedOn w:val="Normal"/>
    <w:rsid w:val="00BF4753"/>
    <w:pPr>
      <w:widowControl w:val="0"/>
      <w:adjustRightInd w:val="0"/>
      <w:spacing w:line="360" w:lineRule="auto"/>
      <w:textAlignment w:val="baseline"/>
    </w:pPr>
    <w:rPr>
      <w:rFonts w:eastAsia="Times New Roman" w:cs="Times New Roman"/>
      <w:b/>
      <w:lang w:val="en-GB" w:eastAsia="lv-LV"/>
    </w:rPr>
  </w:style>
  <w:style w:type="paragraph" w:styleId="BodyText">
    <w:name w:val="Body Text"/>
    <w:basedOn w:val="Normal"/>
    <w:link w:val="BodyTextChar"/>
    <w:uiPriority w:val="99"/>
    <w:unhideWhenUsed/>
    <w:rsid w:val="00BF4753"/>
    <w:pPr>
      <w:spacing w:after="120"/>
      <w:ind w:firstLine="567"/>
    </w:pPr>
    <w:rPr>
      <w:rFonts w:eastAsia="Times New Roman" w:cs="Times New Roman"/>
      <w:sz w:val="24"/>
      <w:szCs w:val="20"/>
    </w:rPr>
  </w:style>
  <w:style w:type="character" w:customStyle="1" w:styleId="BodyTextChar">
    <w:name w:val="Body Text Char"/>
    <w:basedOn w:val="DefaultParagraphFont"/>
    <w:link w:val="BodyText"/>
    <w:uiPriority w:val="99"/>
    <w:rsid w:val="00BF4753"/>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BF4753"/>
    <w:pPr>
      <w:spacing w:after="120"/>
      <w:ind w:firstLine="567"/>
    </w:pPr>
    <w:rPr>
      <w:rFonts w:eastAsia="Times New Roman" w:cs="Times New Roman"/>
      <w:sz w:val="16"/>
      <w:szCs w:val="16"/>
    </w:rPr>
  </w:style>
  <w:style w:type="character" w:customStyle="1" w:styleId="BodyText3Char">
    <w:name w:val="Body Text 3 Char"/>
    <w:basedOn w:val="DefaultParagraphFont"/>
    <w:link w:val="BodyText3"/>
    <w:uiPriority w:val="99"/>
    <w:semiHidden/>
    <w:rsid w:val="00BF4753"/>
    <w:rPr>
      <w:rFonts w:ascii="Times New Roman" w:eastAsia="Times New Roman" w:hAnsi="Times New Roman" w:cs="Times New Roman"/>
      <w:sz w:val="16"/>
      <w:szCs w:val="16"/>
    </w:rPr>
  </w:style>
  <w:style w:type="paragraph" w:styleId="TOC8">
    <w:name w:val="toc 8"/>
    <w:basedOn w:val="Normal"/>
    <w:next w:val="Normal"/>
    <w:autoRedefine/>
    <w:uiPriority w:val="39"/>
    <w:semiHidden/>
    <w:unhideWhenUsed/>
    <w:rsid w:val="00BF4753"/>
    <w:pPr>
      <w:spacing w:after="120"/>
      <w:ind w:left="1680" w:firstLine="567"/>
    </w:pPr>
    <w:rPr>
      <w:rFonts w:eastAsia="Times New Roman" w:cs="Times New Roman"/>
      <w:sz w:val="24"/>
      <w:szCs w:val="20"/>
    </w:rPr>
  </w:style>
  <w:style w:type="paragraph" w:styleId="PlainText">
    <w:name w:val="Plain Text"/>
    <w:basedOn w:val="Normal"/>
    <w:link w:val="PlainTextChar"/>
    <w:uiPriority w:val="99"/>
    <w:unhideWhenUsed/>
    <w:rsid w:val="00BF4753"/>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BF4753"/>
    <w:rPr>
      <w:rFonts w:ascii="Consolas" w:eastAsia="Calibri" w:hAnsi="Consolas" w:cs="Times New Roman"/>
      <w:sz w:val="21"/>
      <w:szCs w:val="21"/>
    </w:rPr>
  </w:style>
  <w:style w:type="paragraph" w:customStyle="1" w:styleId="Text1">
    <w:name w:val="Text 1"/>
    <w:basedOn w:val="Normal"/>
    <w:uiPriority w:val="99"/>
    <w:rsid w:val="00BF4753"/>
    <w:pPr>
      <w:spacing w:before="120" w:after="120"/>
      <w:ind w:left="850"/>
    </w:pPr>
    <w:rPr>
      <w:rFonts w:eastAsia="Times New Roman" w:cs="Times New Roman"/>
      <w:sz w:val="24"/>
      <w:szCs w:val="20"/>
      <w:lang w:val="en-GB" w:eastAsia="de-DE"/>
    </w:rPr>
  </w:style>
  <w:style w:type="character" w:styleId="FollowedHyperlink">
    <w:name w:val="FollowedHyperlink"/>
    <w:uiPriority w:val="99"/>
    <w:semiHidden/>
    <w:unhideWhenUsed/>
    <w:rsid w:val="00BF4753"/>
    <w:rPr>
      <w:color w:val="800080"/>
      <w:u w:val="single"/>
    </w:rPr>
  </w:style>
  <w:style w:type="paragraph" w:styleId="Revision">
    <w:name w:val="Revision"/>
    <w:hidden/>
    <w:uiPriority w:val="99"/>
    <w:semiHidden/>
    <w:rsid w:val="00BF4753"/>
    <w:pPr>
      <w:spacing w:after="0" w:line="240" w:lineRule="auto"/>
    </w:pPr>
    <w:rPr>
      <w:rFonts w:ascii="Times New Roman" w:eastAsia="Times New Roman" w:hAnsi="Times New Roman" w:cs="Times New Roman"/>
      <w:sz w:val="24"/>
      <w:szCs w:val="20"/>
    </w:rPr>
  </w:style>
  <w:style w:type="paragraph" w:customStyle="1" w:styleId="tv2131">
    <w:name w:val="tv2131"/>
    <w:basedOn w:val="Normal"/>
    <w:rsid w:val="00BF4753"/>
    <w:pPr>
      <w:spacing w:before="240" w:line="360" w:lineRule="auto"/>
      <w:ind w:firstLine="300"/>
    </w:pPr>
    <w:rPr>
      <w:rFonts w:ascii="Verdana" w:eastAsia="Times New Roman" w:hAnsi="Verdana" w:cs="Times New Roman"/>
      <w:sz w:val="18"/>
      <w:szCs w:val="18"/>
      <w:lang w:eastAsia="lv-LV"/>
    </w:rPr>
  </w:style>
  <w:style w:type="paragraph" w:customStyle="1" w:styleId="CM1">
    <w:name w:val="CM1"/>
    <w:basedOn w:val="Default"/>
    <w:next w:val="Default"/>
    <w:uiPriority w:val="99"/>
    <w:rsid w:val="00BF4753"/>
    <w:rPr>
      <w:rFonts w:ascii="EUAlbertina" w:eastAsia="Calibri" w:hAnsi="EUAlbertina"/>
      <w:color w:val="auto"/>
      <w:lang w:val="en-GB" w:eastAsia="en-GB"/>
    </w:rPr>
  </w:style>
  <w:style w:type="character" w:customStyle="1" w:styleId="st1">
    <w:name w:val="st1"/>
    <w:basedOn w:val="DefaultParagraphFont"/>
    <w:rsid w:val="00BF4753"/>
  </w:style>
  <w:style w:type="paragraph" w:customStyle="1" w:styleId="mt-translation1">
    <w:name w:val="mt-translation1"/>
    <w:basedOn w:val="Normal"/>
    <w:rsid w:val="00BF4753"/>
    <w:rPr>
      <w:rFonts w:ascii="Segoe UI" w:eastAsia="Times New Roman" w:hAnsi="Segoe UI" w:cs="Segoe UI"/>
      <w:lang w:eastAsia="lv-LV"/>
    </w:rPr>
  </w:style>
  <w:style w:type="table" w:customStyle="1" w:styleId="ListTable3-Accent11">
    <w:name w:val="List Table 3 - Accent 11"/>
    <w:basedOn w:val="TableNormal"/>
    <w:uiPriority w:val="48"/>
    <w:rsid w:val="00BF4753"/>
    <w:pPr>
      <w:spacing w:after="0" w:line="240" w:lineRule="auto"/>
    </w:pPr>
    <w:rPr>
      <w:rFonts w:eastAsiaTheme="minorEastAsia"/>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2-Accent11">
    <w:name w:val="Grid Table 2 - Accent 11"/>
    <w:basedOn w:val="TableNormal"/>
    <w:uiPriority w:val="47"/>
    <w:rsid w:val="00BF4753"/>
    <w:pPr>
      <w:spacing w:after="0" w:line="240" w:lineRule="auto"/>
    </w:pPr>
    <w:rPr>
      <w:rFonts w:eastAsiaTheme="minorEastAsia"/>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
    <w:name w:val="Grid Table 1 Light - Accent 11"/>
    <w:basedOn w:val="TableNormal"/>
    <w:uiPriority w:val="46"/>
    <w:rsid w:val="00BF4753"/>
    <w:pPr>
      <w:spacing w:after="0" w:line="240" w:lineRule="auto"/>
    </w:pPr>
    <w:rPr>
      <w:rFonts w:eastAsiaTheme="minorEastAsi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F4753"/>
    <w:pPr>
      <w:spacing w:after="0" w:line="240" w:lineRule="auto"/>
    </w:pPr>
    <w:rPr>
      <w:rFonts w:eastAsiaTheme="minorEastAsia"/>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BF4753"/>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BF4753"/>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F4753"/>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BF4753"/>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BF4753"/>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F4753"/>
  </w:style>
  <w:style w:type="table" w:customStyle="1" w:styleId="TableGrid2">
    <w:name w:val="Table Grid2"/>
    <w:basedOn w:val="TableNormal"/>
    <w:next w:val="TableGrid"/>
    <w:uiPriority w:val="39"/>
    <w:rsid w:val="00BF4753"/>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F4753"/>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uiPriority w:val="51"/>
    <w:rsid w:val="00BF4753"/>
    <w:pPr>
      <w:spacing w:after="0" w:line="240" w:lineRule="auto"/>
    </w:pPr>
    <w:rPr>
      <w:rFonts w:eastAsiaTheme="minorEastAsia"/>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1">
    <w:name w:val="Grid Table 6 Colorful - Accent 51"/>
    <w:basedOn w:val="TableNormal"/>
    <w:uiPriority w:val="51"/>
    <w:rsid w:val="00BF4753"/>
    <w:pPr>
      <w:spacing w:after="0" w:line="240" w:lineRule="auto"/>
    </w:pPr>
    <w:rPr>
      <w:rFonts w:eastAsiaTheme="minorEastAsia"/>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BF4753"/>
    <w:pPr>
      <w:spacing w:after="0" w:line="240" w:lineRule="auto"/>
    </w:pPr>
    <w:rPr>
      <w:rFonts w:eastAsiaTheme="minorEastAsi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ps">
    <w:name w:val="hps"/>
    <w:basedOn w:val="DefaultParagraphFont"/>
    <w:rsid w:val="00BF4753"/>
  </w:style>
  <w:style w:type="numbering" w:customStyle="1" w:styleId="NoList2">
    <w:name w:val="No List2"/>
    <w:next w:val="NoList"/>
    <w:uiPriority w:val="99"/>
    <w:semiHidden/>
    <w:unhideWhenUsed/>
    <w:rsid w:val="00BF4753"/>
  </w:style>
  <w:style w:type="character" w:customStyle="1" w:styleId="apple-converted-space">
    <w:name w:val="apple-converted-space"/>
    <w:basedOn w:val="DefaultParagraphFont"/>
    <w:rsid w:val="00BF4753"/>
  </w:style>
  <w:style w:type="numbering" w:customStyle="1" w:styleId="NoList3">
    <w:name w:val="No List3"/>
    <w:next w:val="NoList"/>
    <w:uiPriority w:val="99"/>
    <w:semiHidden/>
    <w:unhideWhenUsed/>
    <w:rsid w:val="00BF4753"/>
  </w:style>
  <w:style w:type="table" w:customStyle="1" w:styleId="TableGrid4">
    <w:name w:val="Table Grid4"/>
    <w:basedOn w:val="TableNormal"/>
    <w:next w:val="TableGrid"/>
    <w:uiPriority w:val="39"/>
    <w:rsid w:val="00BF4753"/>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F4753"/>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3">
    <w:name w:val="Grid Table 6 Colorful - Accent 13"/>
    <w:basedOn w:val="TableNormal"/>
    <w:next w:val="GridTable6Colorful-Accent11"/>
    <w:uiPriority w:val="51"/>
    <w:rsid w:val="00BF4753"/>
    <w:pPr>
      <w:spacing w:after="0" w:line="240" w:lineRule="auto"/>
    </w:pPr>
    <w:rPr>
      <w:rFonts w:eastAsiaTheme="minorEastAsia"/>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2">
    <w:name w:val="Grid Table 6 Colorful - Accent 12"/>
    <w:basedOn w:val="TableNormal"/>
    <w:next w:val="GridTable6Colorful-Accent11"/>
    <w:uiPriority w:val="51"/>
    <w:rsid w:val="00BF4753"/>
    <w:pPr>
      <w:spacing w:after="0" w:line="240" w:lineRule="auto"/>
    </w:pPr>
    <w:rPr>
      <w:rFonts w:eastAsiaTheme="minorEastAsia"/>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Style3">
    <w:name w:val="Style3"/>
    <w:basedOn w:val="Heading3"/>
    <w:link w:val="Style3Char"/>
    <w:qFormat/>
    <w:rsid w:val="00BF4753"/>
    <w:pPr>
      <w:numPr>
        <w:ilvl w:val="0"/>
        <w:numId w:val="0"/>
      </w:numPr>
      <w:jc w:val="center"/>
    </w:pPr>
    <w:rPr>
      <w:rFonts w:cs="Times New Roman"/>
      <w:szCs w:val="32"/>
    </w:rPr>
  </w:style>
  <w:style w:type="table" w:customStyle="1" w:styleId="GridTable4-Accent51">
    <w:name w:val="Grid Table 4 - Accent 51"/>
    <w:basedOn w:val="TableNormal"/>
    <w:uiPriority w:val="49"/>
    <w:rsid w:val="00BF47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3Char">
    <w:name w:val="Style3 Char"/>
    <w:basedOn w:val="Heading3Char"/>
    <w:link w:val="Style3"/>
    <w:rsid w:val="00BF4753"/>
    <w:rPr>
      <w:rFonts w:ascii="Times New Roman" w:eastAsiaTheme="majorEastAsia" w:hAnsi="Times New Roman" w:cs="Times New Roman"/>
      <w:b/>
      <w:bCs/>
      <w:color w:val="000000" w:themeColor="text1"/>
      <w:sz w:val="28"/>
      <w:szCs w:val="32"/>
    </w:rPr>
  </w:style>
  <w:style w:type="table" w:customStyle="1" w:styleId="ListTable3-Accent51">
    <w:name w:val="List Table 3 - Accent 51"/>
    <w:basedOn w:val="TableNormal"/>
    <w:uiPriority w:val="48"/>
    <w:rsid w:val="00BF4753"/>
    <w:pPr>
      <w:spacing w:after="0" w:line="240" w:lineRule="auto"/>
    </w:pPr>
    <w:rPr>
      <w:rFonts w:eastAsiaTheme="minorEastAsia"/>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5">
    <w:name w:val="Table Grid5"/>
    <w:basedOn w:val="TableNormal"/>
    <w:next w:val="TableGrid"/>
    <w:uiPriority w:val="39"/>
    <w:rsid w:val="00BF475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BF4753"/>
    <w:pPr>
      <w:spacing w:after="0" w:line="240" w:lineRule="auto"/>
    </w:pPr>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har2">
    <w:name w:val="Char2"/>
    <w:aliases w:val="Char Char Char Char"/>
    <w:basedOn w:val="Normal"/>
    <w:next w:val="Normal"/>
    <w:link w:val="FootnoteReference"/>
    <w:rsid w:val="00BF4753"/>
    <w:pPr>
      <w:spacing w:line="240" w:lineRule="exact"/>
      <w:textAlignment w:val="baseline"/>
    </w:pPr>
    <w:rPr>
      <w:rFonts w:ascii="Garamond" w:eastAsiaTheme="minorHAnsi" w:hAnsi="Garamond"/>
      <w:sz w:val="20"/>
      <w:vertAlign w:val="superscript"/>
    </w:rPr>
  </w:style>
  <w:style w:type="character" w:styleId="HTMLCite">
    <w:name w:val="HTML Cite"/>
    <w:basedOn w:val="DefaultParagraphFont"/>
    <w:uiPriority w:val="99"/>
    <w:semiHidden/>
    <w:unhideWhenUsed/>
    <w:rsid w:val="00BF4753"/>
    <w:rPr>
      <w:i/>
      <w:iCs/>
    </w:rPr>
  </w:style>
  <w:style w:type="table" w:customStyle="1" w:styleId="ListTable1Light-Accent41">
    <w:name w:val="List Table 1 Light - Accent 41"/>
    <w:basedOn w:val="TableNormal"/>
    <w:uiPriority w:val="46"/>
    <w:rsid w:val="00BF4753"/>
    <w:pPr>
      <w:spacing w:after="0" w:line="240" w:lineRule="auto"/>
    </w:pPr>
    <w:rPr>
      <w:rFonts w:eastAsiaTheme="minorEastAsia"/>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21">
    <w:name w:val="Grid Table 6 Colorful - Accent 21"/>
    <w:basedOn w:val="TableNormal"/>
    <w:uiPriority w:val="51"/>
    <w:rsid w:val="00BF4753"/>
    <w:pPr>
      <w:spacing w:after="0" w:line="240" w:lineRule="auto"/>
    </w:pPr>
    <w:rPr>
      <w:rFonts w:eastAsiaTheme="minorEastAsia"/>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15">
    <w:name w:val="Grid Table 6 Colorful - Accent 15"/>
    <w:basedOn w:val="TableNormal"/>
    <w:next w:val="GridTable6Colorful-Accent11"/>
    <w:uiPriority w:val="51"/>
    <w:rsid w:val="00BF4753"/>
    <w:pPr>
      <w:spacing w:after="0" w:line="240" w:lineRule="auto"/>
    </w:pPr>
    <w:rPr>
      <w:rFonts w:eastAsiaTheme="minorEastAsia"/>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4">
    <w:name w:val="Grid Table 6 Colorful - Accent 14"/>
    <w:basedOn w:val="TableNormal"/>
    <w:next w:val="GridTable6Colorful-Accent11"/>
    <w:uiPriority w:val="51"/>
    <w:rsid w:val="00BF4753"/>
    <w:pPr>
      <w:spacing w:after="0" w:line="240" w:lineRule="auto"/>
    </w:pPr>
    <w:rPr>
      <w:rFonts w:eastAsiaTheme="minorEastAsia"/>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6Colorful-Accent1">
    <w:name w:val="Grid Table 6 Colorful Accent 1"/>
    <w:basedOn w:val="TableNormal"/>
    <w:uiPriority w:val="51"/>
    <w:rsid w:val="00BF4753"/>
    <w:pPr>
      <w:spacing w:after="0" w:line="240" w:lineRule="auto"/>
    </w:pPr>
    <w:rPr>
      <w:rFonts w:eastAsiaTheme="minorEastAsia"/>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otnoteCharacters">
    <w:name w:val="Footnote Characters"/>
    <w:rsid w:val="00BF4753"/>
    <w:rPr>
      <w:rFonts w:ascii="Garamond" w:hAnsi="Garamond"/>
      <w:sz w:val="20"/>
      <w:vertAlign w:val="superscript"/>
    </w:rPr>
  </w:style>
  <w:style w:type="table" w:customStyle="1" w:styleId="TableGrid6">
    <w:name w:val="Table Grid6"/>
    <w:basedOn w:val="TableNormal"/>
    <w:next w:val="TableGrid"/>
    <w:uiPriority w:val="39"/>
    <w:rsid w:val="00BF475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6">
    <w:name w:val="Grid Table 6 Colorful - Accent 16"/>
    <w:basedOn w:val="TableNormal"/>
    <w:next w:val="GridTable6Colorful-Accent1"/>
    <w:uiPriority w:val="51"/>
    <w:rsid w:val="00BF4753"/>
    <w:pPr>
      <w:spacing w:after="0" w:line="240" w:lineRule="auto"/>
    </w:pPr>
    <w:rPr>
      <w:rFonts w:eastAsiaTheme="minorEastAsia"/>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1">
    <w:name w:val="Grid Table 6 Colorful - Accent 111"/>
    <w:basedOn w:val="TableNormal"/>
    <w:uiPriority w:val="51"/>
    <w:rsid w:val="00BF4753"/>
    <w:pPr>
      <w:spacing w:after="0" w:line="240" w:lineRule="auto"/>
    </w:pPr>
    <w:rPr>
      <w:rFonts w:eastAsiaTheme="minorEastAsia"/>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7">
    <w:name w:val="Table Grid7"/>
    <w:basedOn w:val="TableNormal"/>
    <w:next w:val="TableGrid"/>
    <w:uiPriority w:val="39"/>
    <w:rsid w:val="00BF475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3">
    <w:name w:val="Grid Table 6 Colorful - Accent 113"/>
    <w:basedOn w:val="TableNormal"/>
    <w:uiPriority w:val="51"/>
    <w:rsid w:val="00BF4753"/>
    <w:pPr>
      <w:spacing w:after="0" w:line="240" w:lineRule="auto"/>
    </w:pPr>
    <w:rPr>
      <w:rFonts w:ascii="Calibri" w:eastAsia="Times New Roman" w:hAnsi="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4">
    <w:name w:val="Grid Table 6 Colorful - Accent 114"/>
    <w:basedOn w:val="TableNormal"/>
    <w:uiPriority w:val="51"/>
    <w:rsid w:val="00BF4753"/>
    <w:pPr>
      <w:spacing w:after="0" w:line="240" w:lineRule="auto"/>
    </w:pPr>
    <w:rPr>
      <w:rFonts w:ascii="Calibri" w:eastAsia="Times New Roman" w:hAnsi="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7">
    <w:name w:val="Grid Table 6 Colorful - Accent 117"/>
    <w:basedOn w:val="TableNormal"/>
    <w:uiPriority w:val="51"/>
    <w:rsid w:val="00BF4753"/>
    <w:pPr>
      <w:spacing w:after="0" w:line="240" w:lineRule="auto"/>
    </w:pPr>
    <w:rPr>
      <w:rFonts w:ascii="Calibri" w:eastAsia="Times New Roman" w:hAnsi="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8">
    <w:name w:val="Grid Table 6 Colorful - Accent 118"/>
    <w:basedOn w:val="TableNormal"/>
    <w:uiPriority w:val="51"/>
    <w:rsid w:val="00BF4753"/>
    <w:pPr>
      <w:spacing w:after="0" w:line="240" w:lineRule="auto"/>
    </w:pPr>
    <w:rPr>
      <w:rFonts w:ascii="Calibri" w:eastAsia="Times New Roman" w:hAnsi="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4">
    <w:name w:val="No List4"/>
    <w:next w:val="NoList"/>
    <w:uiPriority w:val="99"/>
    <w:semiHidden/>
    <w:unhideWhenUsed/>
    <w:rsid w:val="00BF4753"/>
  </w:style>
  <w:style w:type="table" w:customStyle="1" w:styleId="TableGrid8">
    <w:name w:val="Table Grid8"/>
    <w:basedOn w:val="TableNormal"/>
    <w:next w:val="TableGrid"/>
    <w:uiPriority w:val="39"/>
    <w:rsid w:val="00BF4753"/>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1">
    <w:name w:val="List Table 3 - Accent 111"/>
    <w:basedOn w:val="TableNormal"/>
    <w:uiPriority w:val="48"/>
    <w:rsid w:val="00BF4753"/>
    <w:pPr>
      <w:spacing w:after="0" w:line="240" w:lineRule="auto"/>
    </w:pPr>
    <w:rPr>
      <w:rFonts w:eastAsiaTheme="minorEastAsia"/>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2-Accent111">
    <w:name w:val="Grid Table 2 - Accent 111"/>
    <w:basedOn w:val="TableNormal"/>
    <w:uiPriority w:val="47"/>
    <w:rsid w:val="00BF4753"/>
    <w:pPr>
      <w:spacing w:after="0" w:line="240" w:lineRule="auto"/>
    </w:pPr>
    <w:rPr>
      <w:rFonts w:eastAsiaTheme="minorEastAsia"/>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1">
    <w:name w:val="Grid Table 1 Light - Accent 111"/>
    <w:basedOn w:val="TableNormal"/>
    <w:uiPriority w:val="46"/>
    <w:rsid w:val="00BF4753"/>
    <w:pPr>
      <w:spacing w:after="0" w:line="240" w:lineRule="auto"/>
    </w:pPr>
    <w:rPr>
      <w:rFonts w:eastAsiaTheme="minorEastAsi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BF4753"/>
    <w:pPr>
      <w:spacing w:after="0" w:line="240" w:lineRule="auto"/>
    </w:pPr>
    <w:rPr>
      <w:rFonts w:eastAsiaTheme="minorEastAsia"/>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1">
    <w:name w:val="Grid Table 1 Light11"/>
    <w:basedOn w:val="TableNormal"/>
    <w:uiPriority w:val="46"/>
    <w:rsid w:val="00BF4753"/>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1">
    <w:name w:val="Plain Table 111"/>
    <w:basedOn w:val="TableNormal"/>
    <w:uiPriority w:val="41"/>
    <w:rsid w:val="00BF4753"/>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BF4753"/>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1">
    <w:name w:val="Table Grid Light11"/>
    <w:basedOn w:val="TableNormal"/>
    <w:uiPriority w:val="40"/>
    <w:rsid w:val="00BF4753"/>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2">
    <w:name w:val="Table Grid12"/>
    <w:basedOn w:val="TableNormal"/>
    <w:next w:val="TableGrid"/>
    <w:uiPriority w:val="39"/>
    <w:rsid w:val="00BF4753"/>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F4753"/>
  </w:style>
  <w:style w:type="table" w:customStyle="1" w:styleId="TableGrid21">
    <w:name w:val="Table Grid21"/>
    <w:basedOn w:val="TableNormal"/>
    <w:next w:val="TableGrid"/>
    <w:uiPriority w:val="39"/>
    <w:rsid w:val="00BF4753"/>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F4753"/>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2">
    <w:name w:val="Grid Table 6 Colorful - Accent 112"/>
    <w:basedOn w:val="TableNormal"/>
    <w:uiPriority w:val="51"/>
    <w:rsid w:val="00BF4753"/>
    <w:pPr>
      <w:spacing w:after="0" w:line="240" w:lineRule="auto"/>
    </w:pPr>
    <w:rPr>
      <w:rFonts w:eastAsiaTheme="minorEastAsia"/>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11">
    <w:name w:val="Grid Table 6 Colorful - Accent 511"/>
    <w:basedOn w:val="TableNormal"/>
    <w:uiPriority w:val="51"/>
    <w:rsid w:val="00BF4753"/>
    <w:pPr>
      <w:spacing w:after="0" w:line="240" w:lineRule="auto"/>
    </w:pPr>
    <w:rPr>
      <w:rFonts w:eastAsiaTheme="minorEastAsia"/>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1">
    <w:name w:val="Grid Table 4 - Accent 111"/>
    <w:basedOn w:val="TableNormal"/>
    <w:uiPriority w:val="49"/>
    <w:rsid w:val="00BF4753"/>
    <w:pPr>
      <w:spacing w:after="0" w:line="240" w:lineRule="auto"/>
    </w:pPr>
    <w:rPr>
      <w:rFonts w:eastAsiaTheme="minorEastAsi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21">
    <w:name w:val="No List21"/>
    <w:next w:val="NoList"/>
    <w:uiPriority w:val="99"/>
    <w:semiHidden/>
    <w:unhideWhenUsed/>
    <w:rsid w:val="00BF4753"/>
  </w:style>
  <w:style w:type="table" w:customStyle="1" w:styleId="GridTable6Colorful-Accent115">
    <w:name w:val="Grid Table 6 Colorful - Accent 115"/>
    <w:basedOn w:val="TableNormal"/>
    <w:uiPriority w:val="51"/>
    <w:rsid w:val="00BF4753"/>
    <w:pPr>
      <w:spacing w:after="0" w:line="240" w:lineRule="auto"/>
    </w:pPr>
    <w:rPr>
      <w:rFonts w:eastAsiaTheme="minorEastAsia"/>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31">
    <w:name w:val="No List31"/>
    <w:next w:val="NoList"/>
    <w:uiPriority w:val="99"/>
    <w:semiHidden/>
    <w:unhideWhenUsed/>
    <w:rsid w:val="00BF4753"/>
  </w:style>
  <w:style w:type="table" w:customStyle="1" w:styleId="TableGrid41">
    <w:name w:val="Table Grid41"/>
    <w:basedOn w:val="TableNormal"/>
    <w:next w:val="TableGrid"/>
    <w:uiPriority w:val="39"/>
    <w:rsid w:val="00BF4753"/>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BF4753"/>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31">
    <w:name w:val="Grid Table 6 Colorful - Accent 131"/>
    <w:basedOn w:val="TableNormal"/>
    <w:next w:val="GridTable6Colorful-Accent11"/>
    <w:uiPriority w:val="51"/>
    <w:rsid w:val="00BF4753"/>
    <w:pPr>
      <w:spacing w:after="0" w:line="240" w:lineRule="auto"/>
    </w:pPr>
    <w:rPr>
      <w:rFonts w:eastAsiaTheme="minorEastAsia"/>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21">
    <w:name w:val="Grid Table 6 Colorful - Accent 121"/>
    <w:basedOn w:val="TableNormal"/>
    <w:next w:val="GridTable6Colorful-Accent11"/>
    <w:uiPriority w:val="51"/>
    <w:rsid w:val="00BF4753"/>
    <w:pPr>
      <w:spacing w:after="0" w:line="240" w:lineRule="auto"/>
    </w:pPr>
    <w:rPr>
      <w:rFonts w:eastAsiaTheme="minorEastAsia"/>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1">
    <w:name w:val="Grid Table 4 - Accent 511"/>
    <w:basedOn w:val="TableNormal"/>
    <w:uiPriority w:val="49"/>
    <w:rsid w:val="00BF47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3-Accent511">
    <w:name w:val="List Table 3 - Accent 511"/>
    <w:basedOn w:val="TableNormal"/>
    <w:uiPriority w:val="48"/>
    <w:rsid w:val="00BF4753"/>
    <w:pPr>
      <w:spacing w:after="0" w:line="240" w:lineRule="auto"/>
    </w:pPr>
    <w:rPr>
      <w:rFonts w:eastAsiaTheme="minorEastAsia"/>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51">
    <w:name w:val="Table Grid51"/>
    <w:basedOn w:val="TableNormal"/>
    <w:next w:val="TableGrid"/>
    <w:uiPriority w:val="39"/>
    <w:rsid w:val="00BF475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
    <w:name w:val="Plain Table 311"/>
    <w:basedOn w:val="TableNormal"/>
    <w:uiPriority w:val="43"/>
    <w:rsid w:val="00BF4753"/>
    <w:pPr>
      <w:spacing w:after="0" w:line="240" w:lineRule="auto"/>
    </w:pPr>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411">
    <w:name w:val="List Table 1 Light - Accent 411"/>
    <w:basedOn w:val="TableNormal"/>
    <w:uiPriority w:val="46"/>
    <w:rsid w:val="00BF4753"/>
    <w:pPr>
      <w:spacing w:after="0" w:line="240" w:lineRule="auto"/>
    </w:pPr>
    <w:rPr>
      <w:rFonts w:eastAsiaTheme="minorEastAsia"/>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211">
    <w:name w:val="Grid Table 6 Colorful - Accent 211"/>
    <w:basedOn w:val="TableNormal"/>
    <w:uiPriority w:val="51"/>
    <w:rsid w:val="00BF4753"/>
    <w:pPr>
      <w:spacing w:after="0" w:line="240" w:lineRule="auto"/>
    </w:pPr>
    <w:rPr>
      <w:rFonts w:eastAsiaTheme="minorEastAsia"/>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151">
    <w:name w:val="Grid Table 6 Colorful - Accent 151"/>
    <w:basedOn w:val="TableNormal"/>
    <w:next w:val="GridTable6Colorful-Accent11"/>
    <w:uiPriority w:val="51"/>
    <w:rsid w:val="00BF4753"/>
    <w:pPr>
      <w:spacing w:after="0" w:line="240" w:lineRule="auto"/>
    </w:pPr>
    <w:rPr>
      <w:rFonts w:eastAsiaTheme="minorEastAsia"/>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41">
    <w:name w:val="Grid Table 6 Colorful - Accent 141"/>
    <w:basedOn w:val="TableNormal"/>
    <w:next w:val="GridTable6Colorful-Accent11"/>
    <w:uiPriority w:val="51"/>
    <w:rsid w:val="00BF4753"/>
    <w:pPr>
      <w:spacing w:after="0" w:line="240" w:lineRule="auto"/>
    </w:pPr>
    <w:rPr>
      <w:rFonts w:eastAsiaTheme="minorEastAsia"/>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7">
    <w:name w:val="Grid Table 6 Colorful - Accent 17"/>
    <w:basedOn w:val="TableNormal"/>
    <w:next w:val="GridTable6Colorful-Accent1"/>
    <w:uiPriority w:val="51"/>
    <w:rsid w:val="00BF4753"/>
    <w:pPr>
      <w:spacing w:after="0" w:line="240" w:lineRule="auto"/>
    </w:pPr>
    <w:rPr>
      <w:rFonts w:eastAsiaTheme="minorEastAsia"/>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dnoteText">
    <w:name w:val="endnote text"/>
    <w:basedOn w:val="Normal"/>
    <w:link w:val="EndnoteTextChar"/>
    <w:uiPriority w:val="99"/>
    <w:semiHidden/>
    <w:unhideWhenUsed/>
    <w:rsid w:val="00BF4753"/>
    <w:rPr>
      <w:sz w:val="20"/>
      <w:szCs w:val="20"/>
    </w:rPr>
  </w:style>
  <w:style w:type="character" w:customStyle="1" w:styleId="EndnoteTextChar">
    <w:name w:val="Endnote Text Char"/>
    <w:basedOn w:val="DefaultParagraphFont"/>
    <w:link w:val="EndnoteText"/>
    <w:uiPriority w:val="99"/>
    <w:semiHidden/>
    <w:rsid w:val="00BF4753"/>
    <w:rPr>
      <w:rFonts w:ascii="Times New Roman" w:eastAsiaTheme="minorEastAsia" w:hAnsi="Times New Roman"/>
      <w:sz w:val="20"/>
      <w:szCs w:val="20"/>
    </w:rPr>
  </w:style>
  <w:style w:type="character" w:styleId="EndnoteReference">
    <w:name w:val="endnote reference"/>
    <w:basedOn w:val="DefaultParagraphFont"/>
    <w:uiPriority w:val="99"/>
    <w:semiHidden/>
    <w:unhideWhenUsed/>
    <w:rsid w:val="00BF4753"/>
    <w:rPr>
      <w:vertAlign w:val="superscript"/>
    </w:rPr>
  </w:style>
  <w:style w:type="numbering" w:customStyle="1" w:styleId="NoList5">
    <w:name w:val="No List5"/>
    <w:next w:val="NoList"/>
    <w:uiPriority w:val="99"/>
    <w:semiHidden/>
    <w:unhideWhenUsed/>
    <w:rsid w:val="00BF4753"/>
  </w:style>
  <w:style w:type="table" w:customStyle="1" w:styleId="GridTable6Colorful1">
    <w:name w:val="Grid Table 6 Colorful1"/>
    <w:basedOn w:val="TableNormal"/>
    <w:next w:val="GridTable6Colorful"/>
    <w:uiPriority w:val="51"/>
    <w:rsid w:val="00BF4753"/>
    <w:pPr>
      <w:spacing w:after="0" w:line="240" w:lineRule="auto"/>
    </w:pPr>
    <w:rPr>
      <w:rFonts w:ascii="Times New Roman" w:eastAsia="Calibri" w:hAnsi="Times New Roman"/>
      <w:color w:val="000000"/>
      <w:sz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2">
    <w:name w:val="List Table 3 - Accent 12"/>
    <w:basedOn w:val="TableNormal"/>
    <w:next w:val="ListTable3-Accent1"/>
    <w:uiPriority w:val="48"/>
    <w:rsid w:val="00BF4753"/>
    <w:pPr>
      <w:spacing w:after="0" w:line="240" w:lineRule="auto"/>
    </w:pPr>
    <w:rPr>
      <w:rFonts w:eastAsiaTheme="minorEastAsia"/>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2-Accent12">
    <w:name w:val="Grid Table 2 - Accent 12"/>
    <w:basedOn w:val="TableNormal"/>
    <w:next w:val="GridTable2-Accent1"/>
    <w:uiPriority w:val="47"/>
    <w:rsid w:val="00BF4753"/>
    <w:pPr>
      <w:spacing w:after="0" w:line="240" w:lineRule="auto"/>
    </w:pPr>
    <w:rPr>
      <w:rFonts w:eastAsiaTheme="minorEastAsi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2">
    <w:name w:val="Grid Table 1 Light - Accent 12"/>
    <w:basedOn w:val="TableNormal"/>
    <w:next w:val="GridTable1Light-Accent1"/>
    <w:uiPriority w:val="46"/>
    <w:rsid w:val="00BF4753"/>
    <w:pPr>
      <w:spacing w:after="0" w:line="240" w:lineRule="auto"/>
    </w:pPr>
    <w:rPr>
      <w:rFonts w:eastAsiaTheme="minorEastAsia"/>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BF4753"/>
    <w:pPr>
      <w:spacing w:after="0" w:line="240" w:lineRule="auto"/>
    </w:pPr>
    <w:rPr>
      <w:rFonts w:eastAsiaTheme="minorEastAsia"/>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2">
    <w:name w:val="Grid Table 1 Light2"/>
    <w:basedOn w:val="TableNormal"/>
    <w:next w:val="GridTable1Light"/>
    <w:uiPriority w:val="46"/>
    <w:rsid w:val="00BF4753"/>
    <w:pPr>
      <w:spacing w:after="0" w:line="240" w:lineRule="auto"/>
    </w:pPr>
    <w:rPr>
      <w:rFonts w:eastAsiaTheme="minorEastAsi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2">
    <w:name w:val="Plain Table 12"/>
    <w:basedOn w:val="TableNormal"/>
    <w:next w:val="PlainTable1"/>
    <w:uiPriority w:val="41"/>
    <w:rsid w:val="00BF4753"/>
    <w:pPr>
      <w:spacing w:after="0" w:line="240" w:lineRule="auto"/>
    </w:pPr>
    <w:rPr>
      <w:rFonts w:eastAsiaTheme="minorEastAsi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eNormal"/>
    <w:next w:val="PlainTable2"/>
    <w:uiPriority w:val="42"/>
    <w:rsid w:val="00BF4753"/>
    <w:pPr>
      <w:spacing w:after="0" w:line="240" w:lineRule="auto"/>
    </w:pPr>
    <w:rPr>
      <w:rFonts w:eastAsiaTheme="minorEastAs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2">
    <w:name w:val="Table Grid Light2"/>
    <w:basedOn w:val="TableNormal"/>
    <w:next w:val="TableGridLight"/>
    <w:uiPriority w:val="40"/>
    <w:rsid w:val="00BF4753"/>
    <w:pPr>
      <w:spacing w:after="0" w:line="240" w:lineRule="auto"/>
    </w:pPr>
    <w:rPr>
      <w:rFonts w:eastAsiaTheme="minorEastAs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2">
    <w:name w:val="No List12"/>
    <w:next w:val="NoList"/>
    <w:uiPriority w:val="99"/>
    <w:semiHidden/>
    <w:unhideWhenUsed/>
    <w:rsid w:val="00BF4753"/>
  </w:style>
  <w:style w:type="table" w:customStyle="1" w:styleId="GridTable6Colorful-Accent52">
    <w:name w:val="Grid Table 6 Colorful - Accent 52"/>
    <w:basedOn w:val="TableNormal"/>
    <w:next w:val="GridTable6Colorful-Accent5"/>
    <w:uiPriority w:val="51"/>
    <w:rsid w:val="00BF4753"/>
    <w:pPr>
      <w:spacing w:after="0" w:line="240" w:lineRule="auto"/>
    </w:pPr>
    <w:rPr>
      <w:rFonts w:eastAsiaTheme="minorEastAsia"/>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
    <w:name w:val="Grid Table 4 - Accent 12"/>
    <w:basedOn w:val="TableNormal"/>
    <w:next w:val="GridTable4-Accent1"/>
    <w:uiPriority w:val="49"/>
    <w:rsid w:val="00BF4753"/>
    <w:pPr>
      <w:spacing w:after="0" w:line="240" w:lineRule="auto"/>
    </w:pPr>
    <w:rPr>
      <w:rFonts w:eastAsiaTheme="minorEastAsi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22">
    <w:name w:val="No List22"/>
    <w:next w:val="NoList"/>
    <w:uiPriority w:val="99"/>
    <w:semiHidden/>
    <w:unhideWhenUsed/>
    <w:rsid w:val="00BF4753"/>
  </w:style>
  <w:style w:type="numbering" w:customStyle="1" w:styleId="NoList32">
    <w:name w:val="No List32"/>
    <w:next w:val="NoList"/>
    <w:uiPriority w:val="99"/>
    <w:semiHidden/>
    <w:unhideWhenUsed/>
    <w:rsid w:val="00BF4753"/>
  </w:style>
  <w:style w:type="table" w:customStyle="1" w:styleId="GridTable4-Accent52">
    <w:name w:val="Grid Table 4 - Accent 52"/>
    <w:basedOn w:val="TableNormal"/>
    <w:next w:val="GridTable4-Accent5"/>
    <w:uiPriority w:val="49"/>
    <w:rsid w:val="00BF4753"/>
    <w:pPr>
      <w:spacing w:after="0" w:line="240" w:lineRule="auto"/>
    </w:pPr>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2">
    <w:name w:val="List Table 3 - Accent 52"/>
    <w:basedOn w:val="TableNormal"/>
    <w:next w:val="ListTable3-Accent5"/>
    <w:uiPriority w:val="48"/>
    <w:rsid w:val="00BF4753"/>
    <w:pPr>
      <w:spacing w:after="0" w:line="240" w:lineRule="auto"/>
    </w:pPr>
    <w:rPr>
      <w:rFonts w:eastAsiaTheme="minorEastAsia"/>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PlainTable32">
    <w:name w:val="Plain Table 32"/>
    <w:basedOn w:val="TableNormal"/>
    <w:next w:val="PlainTable3"/>
    <w:uiPriority w:val="43"/>
    <w:rsid w:val="00BF4753"/>
    <w:pPr>
      <w:spacing w:after="0" w:line="240" w:lineRule="auto"/>
    </w:pPr>
    <w:rPr>
      <w:rFonts w:eastAsiaTheme="minorEastAsi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1Light-Accent42">
    <w:name w:val="List Table 1 Light - Accent 42"/>
    <w:basedOn w:val="TableNormal"/>
    <w:next w:val="ListTable1Light-Accent4"/>
    <w:uiPriority w:val="46"/>
    <w:rsid w:val="00BF4753"/>
    <w:pPr>
      <w:spacing w:after="0" w:line="240" w:lineRule="auto"/>
    </w:pPr>
    <w:rPr>
      <w:rFonts w:eastAsiaTheme="minorEastAsia"/>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22">
    <w:name w:val="Grid Table 6 Colorful - Accent 22"/>
    <w:basedOn w:val="TableNormal"/>
    <w:next w:val="GridTable6Colorful-Accent2"/>
    <w:uiPriority w:val="51"/>
    <w:rsid w:val="00BF4753"/>
    <w:pPr>
      <w:spacing w:after="0" w:line="240" w:lineRule="auto"/>
    </w:pPr>
    <w:rPr>
      <w:rFonts w:eastAsiaTheme="minorEastAsia"/>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8">
    <w:name w:val="Table Grid18"/>
    <w:basedOn w:val="TableNormal"/>
    <w:next w:val="TableGrid"/>
    <w:uiPriority w:val="59"/>
    <w:rsid w:val="00BF4753"/>
    <w:pPr>
      <w:spacing w:after="0" w:line="240" w:lineRule="auto"/>
    </w:pPr>
    <w:rPr>
      <w:rFonts w:ascii="Times New Roman" w:eastAsia="Calibri" w:hAnsi="Times New Roman" w:cs="Times New Roman"/>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BF4753"/>
    <w:pPr>
      <w:spacing w:after="0" w:line="240" w:lineRule="auto"/>
    </w:pPr>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BF4753"/>
    <w:pPr>
      <w:spacing w:after="0" w:line="240" w:lineRule="auto"/>
    </w:pPr>
    <w:rPr>
      <w:rFonts w:eastAsiaTheme="minorEastAsia"/>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2-Accent1">
    <w:name w:val="Grid Table 2 Accent 1"/>
    <w:basedOn w:val="TableNormal"/>
    <w:uiPriority w:val="47"/>
    <w:rsid w:val="00BF4753"/>
    <w:pPr>
      <w:spacing w:after="0" w:line="240" w:lineRule="auto"/>
    </w:pPr>
    <w:rPr>
      <w:rFonts w:eastAsiaTheme="minorEastAsia"/>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BF4753"/>
    <w:pPr>
      <w:spacing w:after="0" w:line="240" w:lineRule="auto"/>
    </w:pPr>
    <w:rPr>
      <w:rFonts w:eastAsiaTheme="minorEastAsi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F4753"/>
    <w:pPr>
      <w:spacing w:after="0" w:line="240" w:lineRule="auto"/>
    </w:pPr>
    <w:rPr>
      <w:rFonts w:eastAsiaTheme="minorEastAsia"/>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F4753"/>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BF4753"/>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F4753"/>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BF4753"/>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6Colorful-Accent5">
    <w:name w:val="Grid Table 6 Colorful Accent 5"/>
    <w:basedOn w:val="TableNormal"/>
    <w:uiPriority w:val="51"/>
    <w:rsid w:val="00BF4753"/>
    <w:pPr>
      <w:spacing w:after="0" w:line="240" w:lineRule="auto"/>
    </w:pPr>
    <w:rPr>
      <w:rFonts w:eastAsiaTheme="minorEastAsia"/>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BF4753"/>
    <w:pPr>
      <w:spacing w:after="0" w:line="240" w:lineRule="auto"/>
    </w:pPr>
    <w:rPr>
      <w:rFonts w:eastAsiaTheme="minorEastAsi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BF4753"/>
    <w:pPr>
      <w:spacing w:after="0" w:line="240" w:lineRule="auto"/>
    </w:pPr>
    <w:rPr>
      <w:rFonts w:eastAsiaTheme="minorEastAsi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5">
    <w:name w:val="List Table 3 Accent 5"/>
    <w:basedOn w:val="TableNormal"/>
    <w:uiPriority w:val="48"/>
    <w:rsid w:val="00BF4753"/>
    <w:pPr>
      <w:spacing w:after="0" w:line="240" w:lineRule="auto"/>
    </w:pPr>
    <w:rPr>
      <w:rFonts w:eastAsiaTheme="minorEastAsia"/>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PlainTable3">
    <w:name w:val="Plain Table 3"/>
    <w:basedOn w:val="TableNormal"/>
    <w:uiPriority w:val="43"/>
    <w:rsid w:val="00BF4753"/>
    <w:pPr>
      <w:spacing w:after="0" w:line="240" w:lineRule="auto"/>
    </w:pPr>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4">
    <w:name w:val="List Table 1 Light Accent 4"/>
    <w:basedOn w:val="TableNormal"/>
    <w:uiPriority w:val="46"/>
    <w:rsid w:val="00BF4753"/>
    <w:pPr>
      <w:spacing w:after="0" w:line="240" w:lineRule="auto"/>
    </w:pPr>
    <w:rPr>
      <w:rFonts w:eastAsiaTheme="minorEastAsia"/>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2">
    <w:name w:val="Grid Table 6 Colorful Accent 2"/>
    <w:basedOn w:val="TableNormal"/>
    <w:uiPriority w:val="51"/>
    <w:rsid w:val="00BF4753"/>
    <w:pPr>
      <w:spacing w:after="0" w:line="240" w:lineRule="auto"/>
    </w:pPr>
    <w:rPr>
      <w:rFonts w:eastAsiaTheme="minorEastAsia"/>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18">
    <w:name w:val="Grid Table 6 Colorful - Accent 18"/>
    <w:basedOn w:val="TableNormal"/>
    <w:next w:val="GridTable6Colorful-Accent1"/>
    <w:uiPriority w:val="51"/>
    <w:rsid w:val="00BF4753"/>
    <w:pPr>
      <w:spacing w:after="0" w:line="240" w:lineRule="auto"/>
    </w:pPr>
    <w:rPr>
      <w:rFonts w:eastAsiaTheme="minorEastAsia"/>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Virsraksts">
    <w:name w:val="Virsraksts"/>
    <w:basedOn w:val="Heading1"/>
    <w:link w:val="VirsrakstsChar"/>
    <w:qFormat/>
    <w:rsid w:val="00BF4753"/>
    <w:pPr>
      <w:ind w:left="361" w:hanging="360"/>
    </w:pPr>
  </w:style>
  <w:style w:type="character" w:customStyle="1" w:styleId="VirsrakstsChar">
    <w:name w:val="Virsraksts Char"/>
    <w:basedOn w:val="Heading1Char"/>
    <w:link w:val="Virsraksts"/>
    <w:rsid w:val="00BF4753"/>
    <w:rPr>
      <w:rFonts w:ascii="Times New Roman" w:eastAsia="Times New Roman" w:hAnsi="Times New Roman" w:cs="Times New Roman"/>
      <w:b/>
      <w:bCs/>
      <w:smallCaps/>
      <w:color w:val="000000"/>
      <w:sz w:val="36"/>
      <w:szCs w:val="36"/>
      <w:lang w:eastAsia="lv-LV"/>
    </w:rPr>
  </w:style>
  <w:style w:type="numbering" w:styleId="111111">
    <w:name w:val="Outline List 2"/>
    <w:basedOn w:val="NoList"/>
    <w:uiPriority w:val="99"/>
    <w:semiHidden/>
    <w:unhideWhenUsed/>
    <w:rsid w:val="00BF4753"/>
    <w:pPr>
      <w:numPr>
        <w:numId w:val="12"/>
      </w:numPr>
    </w:pPr>
  </w:style>
  <w:style w:type="table" w:customStyle="1" w:styleId="TableGrid13">
    <w:name w:val="Table Grid13"/>
    <w:basedOn w:val="TableNormal"/>
    <w:next w:val="TableGrid"/>
    <w:uiPriority w:val="39"/>
    <w:rsid w:val="00BF4753"/>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BF475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BF4753"/>
  </w:style>
  <w:style w:type="table" w:customStyle="1" w:styleId="GridTable6Colorful2">
    <w:name w:val="Grid Table 6 Colorful2"/>
    <w:basedOn w:val="TableNormal"/>
    <w:next w:val="GridTable6Colorful"/>
    <w:uiPriority w:val="51"/>
    <w:rsid w:val="00BF4753"/>
    <w:pPr>
      <w:spacing w:after="0" w:line="240" w:lineRule="auto"/>
    </w:pPr>
    <w:rPr>
      <w:rFonts w:ascii="Times New Roman" w:eastAsia="Calibri" w:hAnsi="Times New Roman"/>
      <w:color w:val="000000"/>
      <w:sz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
    <w:name w:val="No List13"/>
    <w:next w:val="NoList"/>
    <w:uiPriority w:val="99"/>
    <w:semiHidden/>
    <w:unhideWhenUsed/>
    <w:rsid w:val="00BF4753"/>
  </w:style>
  <w:style w:type="numbering" w:customStyle="1" w:styleId="NoList23">
    <w:name w:val="No List23"/>
    <w:next w:val="NoList"/>
    <w:uiPriority w:val="99"/>
    <w:semiHidden/>
    <w:unhideWhenUsed/>
    <w:rsid w:val="00BF4753"/>
  </w:style>
  <w:style w:type="numbering" w:customStyle="1" w:styleId="NoList33">
    <w:name w:val="No List33"/>
    <w:next w:val="NoList"/>
    <w:uiPriority w:val="99"/>
    <w:semiHidden/>
    <w:unhideWhenUsed/>
    <w:rsid w:val="00BF4753"/>
  </w:style>
  <w:style w:type="table" w:customStyle="1" w:styleId="GridTable4-Accent53">
    <w:name w:val="Grid Table 4 - Accent 53"/>
    <w:basedOn w:val="TableNormal"/>
    <w:next w:val="GridTable4-Accent5"/>
    <w:uiPriority w:val="49"/>
    <w:rsid w:val="00BF4753"/>
    <w:pPr>
      <w:spacing w:after="0" w:line="240" w:lineRule="auto"/>
    </w:pPr>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131">
    <w:name w:val="Grid Table 6 Colorful - Accent 1131"/>
    <w:basedOn w:val="TableNormal"/>
    <w:uiPriority w:val="51"/>
    <w:rsid w:val="00BF4753"/>
    <w:pPr>
      <w:spacing w:after="0" w:line="240" w:lineRule="auto"/>
    </w:pPr>
    <w:rPr>
      <w:rFonts w:ascii="Calibri" w:eastAsia="Times New Roman" w:hAnsi="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41">
    <w:name w:val="Grid Table 6 Colorful - Accent 1141"/>
    <w:basedOn w:val="TableNormal"/>
    <w:uiPriority w:val="51"/>
    <w:rsid w:val="00BF4753"/>
    <w:pPr>
      <w:spacing w:after="0" w:line="240" w:lineRule="auto"/>
    </w:pPr>
    <w:rPr>
      <w:rFonts w:ascii="Calibri" w:eastAsia="Times New Roman" w:hAnsi="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71">
    <w:name w:val="Grid Table 6 Colorful - Accent 1171"/>
    <w:basedOn w:val="TableNormal"/>
    <w:uiPriority w:val="51"/>
    <w:rsid w:val="00BF4753"/>
    <w:pPr>
      <w:spacing w:after="0" w:line="240" w:lineRule="auto"/>
    </w:pPr>
    <w:rPr>
      <w:rFonts w:ascii="Calibri" w:eastAsia="Times New Roman" w:hAnsi="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81">
    <w:name w:val="Grid Table 6 Colorful - Accent 1181"/>
    <w:basedOn w:val="TableNormal"/>
    <w:uiPriority w:val="51"/>
    <w:rsid w:val="00BF4753"/>
    <w:pPr>
      <w:spacing w:after="0" w:line="240" w:lineRule="auto"/>
    </w:pPr>
    <w:rPr>
      <w:rFonts w:ascii="Calibri" w:eastAsia="Times New Roman" w:hAnsi="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2">
    <w:name w:val="Grid Table 6 Colorful - Accent 512"/>
    <w:basedOn w:val="TableNormal"/>
    <w:uiPriority w:val="51"/>
    <w:rsid w:val="00BF4753"/>
    <w:pPr>
      <w:spacing w:after="0" w:line="240" w:lineRule="auto"/>
    </w:pPr>
    <w:rPr>
      <w:rFonts w:eastAsiaTheme="minorEastAsia"/>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172">
    <w:name w:val="Grid Table 6 Colorful - Accent 1172"/>
    <w:basedOn w:val="TableNormal"/>
    <w:uiPriority w:val="51"/>
    <w:rsid w:val="00BF4753"/>
    <w:pPr>
      <w:spacing w:after="0" w:line="240" w:lineRule="auto"/>
    </w:pPr>
    <w:rPr>
      <w:rFonts w:ascii="Calibri" w:eastAsia="Times New Roman" w:hAnsi="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82">
    <w:name w:val="Grid Table 6 Colorful - Accent 1182"/>
    <w:basedOn w:val="TableNormal"/>
    <w:uiPriority w:val="51"/>
    <w:rsid w:val="00BF4753"/>
    <w:pPr>
      <w:spacing w:after="0" w:line="240" w:lineRule="auto"/>
    </w:pPr>
    <w:rPr>
      <w:rFonts w:ascii="Calibri" w:eastAsia="Times New Roman" w:hAnsi="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73">
    <w:name w:val="Grid Table 6 Colorful - Accent 1173"/>
    <w:basedOn w:val="TableNormal"/>
    <w:uiPriority w:val="51"/>
    <w:rsid w:val="00BF4753"/>
    <w:pPr>
      <w:spacing w:after="0" w:line="240" w:lineRule="auto"/>
    </w:pPr>
    <w:rPr>
      <w:rFonts w:ascii="Calibri" w:eastAsia="Times New Roman" w:hAnsi="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83">
    <w:name w:val="Grid Table 6 Colorful - Accent 1183"/>
    <w:basedOn w:val="TableNormal"/>
    <w:uiPriority w:val="51"/>
    <w:rsid w:val="00BF4753"/>
    <w:pPr>
      <w:spacing w:after="0" w:line="240" w:lineRule="auto"/>
    </w:pPr>
    <w:rPr>
      <w:rFonts w:ascii="Calibri" w:eastAsia="Times New Roman" w:hAnsi="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831">
    <w:name w:val="Grid Table 6 Colorful - Accent 11831"/>
    <w:basedOn w:val="TableNormal"/>
    <w:uiPriority w:val="51"/>
    <w:rsid w:val="00667944"/>
    <w:pPr>
      <w:spacing w:after="0" w:line="240" w:lineRule="auto"/>
    </w:pPr>
    <w:rPr>
      <w:rFonts w:ascii="Calibri" w:eastAsia="Times New Roman" w:hAnsi="Calibri"/>
      <w:color w:val="2E74B5"/>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936054">
      <w:bodyDiv w:val="1"/>
      <w:marLeft w:val="0"/>
      <w:marRight w:val="0"/>
      <w:marTop w:val="0"/>
      <w:marBottom w:val="0"/>
      <w:divBdr>
        <w:top w:val="none" w:sz="0" w:space="0" w:color="auto"/>
        <w:left w:val="none" w:sz="0" w:space="0" w:color="auto"/>
        <w:bottom w:val="none" w:sz="0" w:space="0" w:color="auto"/>
        <w:right w:val="none" w:sz="0" w:space="0" w:color="auto"/>
      </w:divBdr>
    </w:div>
    <w:div w:id="157515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image" Target="media/image12.emf"/><Relationship Id="rId21" Type="http://schemas.openxmlformats.org/officeDocument/2006/relationships/header" Target="header3.xml"/><Relationship Id="rId34" Type="http://schemas.openxmlformats.org/officeDocument/2006/relationships/image" Target="media/image8.emf"/><Relationship Id="rId42" Type="http://schemas.openxmlformats.org/officeDocument/2006/relationships/header" Target="header8.xml"/><Relationship Id="rId47" Type="http://schemas.openxmlformats.org/officeDocument/2006/relationships/image" Target="media/image15.emf"/><Relationship Id="rId50" Type="http://schemas.openxmlformats.org/officeDocument/2006/relationships/footer" Target="footer8.xml"/><Relationship Id="rId55" Type="http://schemas.openxmlformats.org/officeDocument/2006/relationships/hyperlink" Target="mailto:Anna.Deksne@fm.gov.lv" TargetMode="Externa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header" Target="header6.xml"/><Relationship Id="rId38" Type="http://schemas.openxmlformats.org/officeDocument/2006/relationships/chart" Target="charts/chart8.xml"/><Relationship Id="rId46"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footer" Target="footer2.xml"/><Relationship Id="rId29" Type="http://schemas.openxmlformats.org/officeDocument/2006/relationships/header" Target="header4.xml"/><Relationship Id="rId41" Type="http://schemas.openxmlformats.org/officeDocument/2006/relationships/header" Target="header7.xm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3.emf"/><Relationship Id="rId32" Type="http://schemas.openxmlformats.org/officeDocument/2006/relationships/footer" Target="footer5.xml"/><Relationship Id="rId37" Type="http://schemas.openxmlformats.org/officeDocument/2006/relationships/image" Target="media/image11.emf"/><Relationship Id="rId40" Type="http://schemas.openxmlformats.org/officeDocument/2006/relationships/image" Target="media/image13.jpeg"/><Relationship Id="rId45" Type="http://schemas.openxmlformats.org/officeDocument/2006/relationships/header" Target="header9.xml"/><Relationship Id="rId53"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0.png"/><Relationship Id="rId49" Type="http://schemas.openxmlformats.org/officeDocument/2006/relationships/image" Target="media/image17.emf"/><Relationship Id="rId57"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footer" Target="footer7.xml"/><Relationship Id="rId52" Type="http://schemas.openxmlformats.org/officeDocument/2006/relationships/hyperlink" Target="https://likumi.lv/ta/id/270323-attistibas-finansu-institucijas-likum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header" Target="header5.xml"/><Relationship Id="rId35" Type="http://schemas.openxmlformats.org/officeDocument/2006/relationships/image" Target="media/image9.png"/><Relationship Id="rId43" Type="http://schemas.openxmlformats.org/officeDocument/2006/relationships/footer" Target="footer6.xml"/><Relationship Id="rId48" Type="http://schemas.openxmlformats.org/officeDocument/2006/relationships/image" Target="media/image16.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likumi.lv/ta/id/87480-lauksaimniecibas-un-lauku-attistibas-likums"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csb.gov.lv/lv/statistika/klasifikacijas/institucionalo-sektoru-klasifikacija/kodi" TargetMode="External"/><Relationship Id="rId2" Type="http://schemas.openxmlformats.org/officeDocument/2006/relationships/hyperlink" Target="https://covid19.gov.lv/index.php/covid-19/covid-19-statistika/covid-19-vakcinacijas-statistika" TargetMode="External"/><Relationship Id="rId1" Type="http://schemas.openxmlformats.org/officeDocument/2006/relationships/hyperlink" Target="https://www.ecdc.europa.eu/en/publications-data/data-national-14-day-notification-rate-covid-19"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file:///\\fk\tand\TAND\_Prezentacija\Prezentacijas-DATA.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fk\tand\TAND\_Prezentacija\Prezentacijas-DATA.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'[nama_10_gdp (1).xls]Data (2)'!$Q$10</c:f>
              <c:strCache>
                <c:ptCount val="1"/>
                <c:pt idx="0">
                  <c:v>2020.</c:v>
                </c:pt>
              </c:strCache>
            </c:strRef>
          </c:tx>
          <c:spPr>
            <a:solidFill>
              <a:srgbClr val="002060"/>
            </a:solidFill>
            <a:ln>
              <a:noFill/>
            </a:ln>
            <a:effectLst/>
          </c:spPr>
          <c:invertIfNegative val="0"/>
          <c:dPt>
            <c:idx val="1"/>
            <c:invertIfNegative val="0"/>
            <c:bubble3D val="0"/>
            <c:spPr>
              <a:solidFill>
                <a:srgbClr val="002060"/>
              </a:solidFill>
              <a:ln>
                <a:noFill/>
              </a:ln>
              <a:effectLst/>
            </c:spPr>
            <c:extLst>
              <c:ext xmlns:c16="http://schemas.microsoft.com/office/drawing/2014/chart" uri="{C3380CC4-5D6E-409C-BE32-E72D297353CC}">
                <c16:uniqueId val="{00000001-E6BB-4777-A89B-F181D91E40CE}"/>
              </c:ext>
            </c:extLst>
          </c:dPt>
          <c:dPt>
            <c:idx val="3"/>
            <c:invertIfNegative val="0"/>
            <c:bubble3D val="0"/>
            <c:spPr>
              <a:solidFill>
                <a:srgbClr val="002060"/>
              </a:solidFill>
              <a:ln>
                <a:noFill/>
              </a:ln>
              <a:effectLst/>
            </c:spPr>
            <c:extLst>
              <c:ext xmlns:c16="http://schemas.microsoft.com/office/drawing/2014/chart" uri="{C3380CC4-5D6E-409C-BE32-E72D297353CC}">
                <c16:uniqueId val="{00000003-E6BB-4777-A89B-F181D91E40CE}"/>
              </c:ext>
            </c:extLst>
          </c:dPt>
          <c:dPt>
            <c:idx val="5"/>
            <c:invertIfNegative val="0"/>
            <c:bubble3D val="0"/>
            <c:spPr>
              <a:solidFill>
                <a:srgbClr val="002060"/>
              </a:solidFill>
              <a:ln>
                <a:noFill/>
              </a:ln>
              <a:effectLst/>
            </c:spPr>
            <c:extLst>
              <c:ext xmlns:c16="http://schemas.microsoft.com/office/drawing/2014/chart" uri="{C3380CC4-5D6E-409C-BE32-E72D297353CC}">
                <c16:uniqueId val="{00000005-E6BB-4777-A89B-F181D91E40CE}"/>
              </c:ext>
            </c:extLst>
          </c:dPt>
          <c:dPt>
            <c:idx val="6"/>
            <c:invertIfNegative val="0"/>
            <c:bubble3D val="0"/>
            <c:spPr>
              <a:solidFill>
                <a:srgbClr val="002060"/>
              </a:solidFill>
              <a:ln>
                <a:noFill/>
              </a:ln>
              <a:effectLst/>
            </c:spPr>
            <c:extLst>
              <c:ext xmlns:c16="http://schemas.microsoft.com/office/drawing/2014/chart" uri="{C3380CC4-5D6E-409C-BE32-E72D297353CC}">
                <c16:uniqueId val="{00000007-E6BB-4777-A89B-F181D91E40CE}"/>
              </c:ext>
            </c:extLst>
          </c:dPt>
          <c:dPt>
            <c:idx val="7"/>
            <c:invertIfNegative val="0"/>
            <c:bubble3D val="0"/>
            <c:spPr>
              <a:solidFill>
                <a:srgbClr val="002060"/>
              </a:solidFill>
              <a:ln>
                <a:noFill/>
              </a:ln>
              <a:effectLst/>
            </c:spPr>
            <c:extLst>
              <c:ext xmlns:c16="http://schemas.microsoft.com/office/drawing/2014/chart" uri="{C3380CC4-5D6E-409C-BE32-E72D297353CC}">
                <c16:uniqueId val="{00000009-E6BB-4777-A89B-F181D91E40CE}"/>
              </c:ext>
            </c:extLst>
          </c:dPt>
          <c:dPt>
            <c:idx val="8"/>
            <c:invertIfNegative val="0"/>
            <c:bubble3D val="0"/>
            <c:spPr>
              <a:solidFill>
                <a:srgbClr val="002060"/>
              </a:solidFill>
              <a:ln>
                <a:noFill/>
              </a:ln>
              <a:effectLst/>
            </c:spPr>
            <c:extLst>
              <c:ext xmlns:c16="http://schemas.microsoft.com/office/drawing/2014/chart" uri="{C3380CC4-5D6E-409C-BE32-E72D297353CC}">
                <c16:uniqueId val="{0000000B-E6BB-4777-A89B-F181D91E40CE}"/>
              </c:ext>
            </c:extLst>
          </c:dPt>
          <c:dPt>
            <c:idx val="9"/>
            <c:invertIfNegative val="0"/>
            <c:bubble3D val="0"/>
            <c:spPr>
              <a:solidFill>
                <a:srgbClr val="002060"/>
              </a:solidFill>
              <a:ln>
                <a:noFill/>
              </a:ln>
              <a:effectLst/>
            </c:spPr>
            <c:extLst>
              <c:ext xmlns:c16="http://schemas.microsoft.com/office/drawing/2014/chart" uri="{C3380CC4-5D6E-409C-BE32-E72D297353CC}">
                <c16:uniqueId val="{0000000D-E6BB-4777-A89B-F181D91E40CE}"/>
              </c:ext>
            </c:extLst>
          </c:dPt>
          <c:dPt>
            <c:idx val="12"/>
            <c:invertIfNegative val="0"/>
            <c:bubble3D val="0"/>
            <c:spPr>
              <a:solidFill>
                <a:srgbClr val="002060"/>
              </a:solidFill>
              <a:ln>
                <a:noFill/>
              </a:ln>
              <a:effectLst/>
            </c:spPr>
            <c:extLst>
              <c:ext xmlns:c16="http://schemas.microsoft.com/office/drawing/2014/chart" uri="{C3380CC4-5D6E-409C-BE32-E72D297353CC}">
                <c16:uniqueId val="{0000000F-E6BB-4777-A89B-F181D91E40CE}"/>
              </c:ext>
            </c:extLst>
          </c:dPt>
          <c:dPt>
            <c:idx val="18"/>
            <c:invertIfNegative val="0"/>
            <c:bubble3D val="0"/>
            <c:spPr>
              <a:solidFill>
                <a:srgbClr val="002060"/>
              </a:solidFill>
              <a:ln>
                <a:noFill/>
              </a:ln>
              <a:effectLst/>
            </c:spPr>
            <c:extLst>
              <c:ext xmlns:c16="http://schemas.microsoft.com/office/drawing/2014/chart" uri="{C3380CC4-5D6E-409C-BE32-E72D297353CC}">
                <c16:uniqueId val="{00000011-E6BB-4777-A89B-F181D91E40CE}"/>
              </c:ext>
            </c:extLst>
          </c:dPt>
          <c:dPt>
            <c:idx val="20"/>
            <c:invertIfNegative val="0"/>
            <c:bubble3D val="0"/>
            <c:spPr>
              <a:solidFill>
                <a:srgbClr val="002060"/>
              </a:solidFill>
              <a:ln>
                <a:noFill/>
              </a:ln>
              <a:effectLst/>
            </c:spPr>
            <c:extLst>
              <c:ext xmlns:c16="http://schemas.microsoft.com/office/drawing/2014/chart" uri="{C3380CC4-5D6E-409C-BE32-E72D297353CC}">
                <c16:uniqueId val="{00000013-E6BB-4777-A89B-F181D91E40CE}"/>
              </c:ext>
            </c:extLst>
          </c:dPt>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BB-4777-A89B-F181D91E40CE}"/>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BB-4777-A89B-F181D91E40CE}"/>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6BB-4777-A89B-F181D91E40CE}"/>
                </c:ext>
              </c:extLst>
            </c:dLbl>
            <c:dLbl>
              <c:idx val="5"/>
              <c:layout>
                <c:manualLayout>
                  <c:x val="-7.2236937153864677E-3"/>
                  <c:y val="6.84199348667616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BB-4777-A89B-F181D91E40CE}"/>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BB-4777-A89B-F181D91E40CE}"/>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BB-4777-A89B-F181D91E40CE}"/>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6BB-4777-A89B-F181D91E40CE}"/>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6BB-4777-A89B-F181D91E40CE}"/>
                </c:ext>
              </c:extLst>
            </c:dLbl>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6BB-4777-A89B-F181D91E40CE}"/>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6BB-4777-A89B-F181D91E40CE}"/>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'[nama_10_gdp (1).xls]Data (2)'!$P$11:$P$39</c:f>
              <c:strCache>
                <c:ptCount val="29"/>
                <c:pt idx="0">
                  <c:v>Īrija</c:v>
                </c:pt>
                <c:pt idx="1">
                  <c:v>Lietuva</c:v>
                </c:pt>
                <c:pt idx="2">
                  <c:v>Luksemburga</c:v>
                </c:pt>
                <c:pt idx="3">
                  <c:v>Polija</c:v>
                </c:pt>
                <c:pt idx="4">
                  <c:v>Somija</c:v>
                </c:pt>
                <c:pt idx="5">
                  <c:v>Zviedrija</c:v>
                </c:pt>
                <c:pt idx="6">
                  <c:v>Igaunija</c:v>
                </c:pt>
                <c:pt idx="7">
                  <c:v>Dānija</c:v>
                </c:pt>
                <c:pt idx="8">
                  <c:v>Latvija</c:v>
                </c:pt>
                <c:pt idx="9">
                  <c:v>Nīderlande</c:v>
                </c:pt>
                <c:pt idx="10">
                  <c:v>Rumānija</c:v>
                </c:pt>
                <c:pt idx="11">
                  <c:v>Bulgārija</c:v>
                </c:pt>
                <c:pt idx="12">
                  <c:v>Vācija</c:v>
                </c:pt>
                <c:pt idx="13">
                  <c:v>Ungārija</c:v>
                </c:pt>
                <c:pt idx="14">
                  <c:v>Kipra</c:v>
                </c:pt>
                <c:pt idx="15">
                  <c:v>Slovākija</c:v>
                </c:pt>
                <c:pt idx="16">
                  <c:v>Slovēnija</c:v>
                </c:pt>
                <c:pt idx="17">
                  <c:v>Čehija</c:v>
                </c:pt>
                <c:pt idx="18">
                  <c:v>ES27</c:v>
                </c:pt>
                <c:pt idx="19">
                  <c:v>Beļģija</c:v>
                </c:pt>
                <c:pt idx="20">
                  <c:v>Eirozona</c:v>
                </c:pt>
                <c:pt idx="21">
                  <c:v>Austrija</c:v>
                </c:pt>
                <c:pt idx="22">
                  <c:v>Malta</c:v>
                </c:pt>
                <c:pt idx="23">
                  <c:v>Portugāle</c:v>
                </c:pt>
                <c:pt idx="24">
                  <c:v>Francija</c:v>
                </c:pt>
                <c:pt idx="25">
                  <c:v>Grieķija</c:v>
                </c:pt>
                <c:pt idx="26">
                  <c:v>Horvātija</c:v>
                </c:pt>
                <c:pt idx="27">
                  <c:v>Itālija</c:v>
                </c:pt>
                <c:pt idx="28">
                  <c:v>Spānija</c:v>
                </c:pt>
              </c:strCache>
            </c:strRef>
          </c:cat>
          <c:val>
            <c:numRef>
              <c:f>'[nama_10_gdp (1).xls]Data (2)'!$Q$11:$Q$39</c:f>
              <c:numCache>
                <c:formatCode>#\ ##0.0</c:formatCode>
                <c:ptCount val="29"/>
                <c:pt idx="0">
                  <c:v>3.4</c:v>
                </c:pt>
                <c:pt idx="1">
                  <c:v>-0.8</c:v>
                </c:pt>
                <c:pt idx="2">
                  <c:v>-1.3</c:v>
                </c:pt>
                <c:pt idx="3">
                  <c:v>-2.7</c:v>
                </c:pt>
                <c:pt idx="4">
                  <c:v>-2.8</c:v>
                </c:pt>
                <c:pt idx="5">
                  <c:v>-2.8</c:v>
                </c:pt>
                <c:pt idx="6">
                  <c:v>-2.9</c:v>
                </c:pt>
                <c:pt idx="7">
                  <c:v>-3.3</c:v>
                </c:pt>
                <c:pt idx="8">
                  <c:v>-3.6</c:v>
                </c:pt>
                <c:pt idx="9">
                  <c:v>-3.8</c:v>
                </c:pt>
                <c:pt idx="10">
                  <c:v>-3.9</c:v>
                </c:pt>
                <c:pt idx="11">
                  <c:v>-4.2</c:v>
                </c:pt>
                <c:pt idx="12">
                  <c:v>-4.9000000000000004</c:v>
                </c:pt>
                <c:pt idx="13">
                  <c:v>-5</c:v>
                </c:pt>
                <c:pt idx="14">
                  <c:v>-5.0999999999999996</c:v>
                </c:pt>
                <c:pt idx="15">
                  <c:v>-5.2</c:v>
                </c:pt>
                <c:pt idx="16">
                  <c:v>-5.5</c:v>
                </c:pt>
                <c:pt idx="17">
                  <c:v>-5.6</c:v>
                </c:pt>
                <c:pt idx="18">
                  <c:v>-6.2</c:v>
                </c:pt>
                <c:pt idx="19">
                  <c:v>-6.4</c:v>
                </c:pt>
                <c:pt idx="20">
                  <c:v>-6.6</c:v>
                </c:pt>
                <c:pt idx="21">
                  <c:v>-6.6</c:v>
                </c:pt>
                <c:pt idx="22">
                  <c:v>-7</c:v>
                </c:pt>
                <c:pt idx="23">
                  <c:v>-7.6</c:v>
                </c:pt>
                <c:pt idx="24">
                  <c:v>-8.1</c:v>
                </c:pt>
                <c:pt idx="25">
                  <c:v>-8.1999999999999993</c:v>
                </c:pt>
                <c:pt idx="26">
                  <c:v>-8.4</c:v>
                </c:pt>
                <c:pt idx="27">
                  <c:v>-8.9</c:v>
                </c:pt>
                <c:pt idx="28">
                  <c:v>-11</c:v>
                </c:pt>
              </c:numCache>
            </c:numRef>
          </c:val>
          <c:extLst>
            <c:ext xmlns:c16="http://schemas.microsoft.com/office/drawing/2014/chart" uri="{C3380CC4-5D6E-409C-BE32-E72D297353CC}">
              <c16:uniqueId val="{00000015-E6BB-4777-A89B-F181D91E40CE}"/>
            </c:ext>
          </c:extLst>
        </c:ser>
        <c:ser>
          <c:idx val="1"/>
          <c:order val="1"/>
          <c:tx>
            <c:strRef>
              <c:f>'[nama_10_gdp (1).xls]Data (2)'!$R$10</c:f>
              <c:strCache>
                <c:ptCount val="1"/>
                <c:pt idx="0">
                  <c:v>2021. (EK prognoze)</c:v>
                </c:pt>
              </c:strCache>
            </c:strRef>
          </c:tx>
          <c:spPr>
            <a:solidFill>
              <a:schemeClr val="accent2">
                <a:lumMod val="75000"/>
              </a:schemeClr>
            </a:solidFill>
            <a:ln>
              <a:noFill/>
            </a:ln>
            <a:effectLst/>
          </c:spPr>
          <c:invertIfNegative val="0"/>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17-E6BB-4777-A89B-F181D91E40CE}"/>
              </c:ext>
            </c:extLst>
          </c:dPt>
          <c:dPt>
            <c:idx val="3"/>
            <c:invertIfNegative val="0"/>
            <c:bubble3D val="0"/>
            <c:spPr>
              <a:solidFill>
                <a:schemeClr val="accent2">
                  <a:lumMod val="75000"/>
                </a:schemeClr>
              </a:solidFill>
              <a:ln>
                <a:noFill/>
              </a:ln>
              <a:effectLst/>
            </c:spPr>
            <c:extLst>
              <c:ext xmlns:c16="http://schemas.microsoft.com/office/drawing/2014/chart" uri="{C3380CC4-5D6E-409C-BE32-E72D297353CC}">
                <c16:uniqueId val="{00000019-E6BB-4777-A89B-F181D91E40CE}"/>
              </c:ext>
            </c:extLst>
          </c:dPt>
          <c:dPt>
            <c:idx val="5"/>
            <c:invertIfNegative val="0"/>
            <c:bubble3D val="0"/>
            <c:spPr>
              <a:solidFill>
                <a:schemeClr val="accent2">
                  <a:lumMod val="75000"/>
                </a:schemeClr>
              </a:solidFill>
              <a:ln>
                <a:noFill/>
              </a:ln>
              <a:effectLst/>
            </c:spPr>
            <c:extLst>
              <c:ext xmlns:c16="http://schemas.microsoft.com/office/drawing/2014/chart" uri="{C3380CC4-5D6E-409C-BE32-E72D297353CC}">
                <c16:uniqueId val="{0000001B-E6BB-4777-A89B-F181D91E40CE}"/>
              </c:ext>
            </c:extLst>
          </c:dPt>
          <c:dPt>
            <c:idx val="6"/>
            <c:invertIfNegative val="0"/>
            <c:bubble3D val="0"/>
            <c:spPr>
              <a:solidFill>
                <a:schemeClr val="accent2">
                  <a:lumMod val="75000"/>
                </a:schemeClr>
              </a:solidFill>
              <a:ln>
                <a:noFill/>
              </a:ln>
              <a:effectLst/>
            </c:spPr>
            <c:extLst>
              <c:ext xmlns:c16="http://schemas.microsoft.com/office/drawing/2014/chart" uri="{C3380CC4-5D6E-409C-BE32-E72D297353CC}">
                <c16:uniqueId val="{0000001D-E6BB-4777-A89B-F181D91E40CE}"/>
              </c:ext>
            </c:extLst>
          </c:dPt>
          <c:dPt>
            <c:idx val="7"/>
            <c:invertIfNegative val="0"/>
            <c:bubble3D val="0"/>
            <c:spPr>
              <a:solidFill>
                <a:schemeClr val="accent2">
                  <a:lumMod val="75000"/>
                </a:schemeClr>
              </a:solidFill>
              <a:ln>
                <a:noFill/>
              </a:ln>
              <a:effectLst/>
            </c:spPr>
            <c:extLst>
              <c:ext xmlns:c16="http://schemas.microsoft.com/office/drawing/2014/chart" uri="{C3380CC4-5D6E-409C-BE32-E72D297353CC}">
                <c16:uniqueId val="{0000001F-E6BB-4777-A89B-F181D91E40CE}"/>
              </c:ext>
            </c:extLst>
          </c:dPt>
          <c:dPt>
            <c:idx val="8"/>
            <c:invertIfNegative val="0"/>
            <c:bubble3D val="0"/>
            <c:spPr>
              <a:solidFill>
                <a:schemeClr val="accent2">
                  <a:lumMod val="75000"/>
                </a:schemeClr>
              </a:solidFill>
              <a:ln>
                <a:noFill/>
              </a:ln>
              <a:effectLst/>
            </c:spPr>
            <c:extLst>
              <c:ext xmlns:c16="http://schemas.microsoft.com/office/drawing/2014/chart" uri="{C3380CC4-5D6E-409C-BE32-E72D297353CC}">
                <c16:uniqueId val="{00000021-E6BB-4777-A89B-F181D91E40CE}"/>
              </c:ext>
            </c:extLst>
          </c:dPt>
          <c:dPt>
            <c:idx val="9"/>
            <c:invertIfNegative val="0"/>
            <c:bubble3D val="0"/>
            <c:spPr>
              <a:solidFill>
                <a:schemeClr val="accent2">
                  <a:lumMod val="75000"/>
                </a:schemeClr>
              </a:solidFill>
              <a:ln>
                <a:noFill/>
              </a:ln>
              <a:effectLst/>
            </c:spPr>
            <c:extLst>
              <c:ext xmlns:c16="http://schemas.microsoft.com/office/drawing/2014/chart" uri="{C3380CC4-5D6E-409C-BE32-E72D297353CC}">
                <c16:uniqueId val="{00000023-E6BB-4777-A89B-F181D91E40CE}"/>
              </c:ext>
            </c:extLst>
          </c:dPt>
          <c:dPt>
            <c:idx val="12"/>
            <c:invertIfNegative val="0"/>
            <c:bubble3D val="0"/>
            <c:spPr>
              <a:solidFill>
                <a:schemeClr val="accent2">
                  <a:lumMod val="75000"/>
                </a:schemeClr>
              </a:solidFill>
              <a:ln>
                <a:noFill/>
              </a:ln>
              <a:effectLst/>
            </c:spPr>
            <c:extLst>
              <c:ext xmlns:c16="http://schemas.microsoft.com/office/drawing/2014/chart" uri="{C3380CC4-5D6E-409C-BE32-E72D297353CC}">
                <c16:uniqueId val="{00000025-E6BB-4777-A89B-F181D91E40CE}"/>
              </c:ext>
            </c:extLst>
          </c:dPt>
          <c:cat>
            <c:strRef>
              <c:f>'[nama_10_gdp (1).xls]Data (2)'!$P$11:$P$39</c:f>
              <c:strCache>
                <c:ptCount val="29"/>
                <c:pt idx="0">
                  <c:v>Īrija</c:v>
                </c:pt>
                <c:pt idx="1">
                  <c:v>Lietuva</c:v>
                </c:pt>
                <c:pt idx="2">
                  <c:v>Luksemburga</c:v>
                </c:pt>
                <c:pt idx="3">
                  <c:v>Polija</c:v>
                </c:pt>
                <c:pt idx="4">
                  <c:v>Somija</c:v>
                </c:pt>
                <c:pt idx="5">
                  <c:v>Zviedrija</c:v>
                </c:pt>
                <c:pt idx="6">
                  <c:v>Igaunija</c:v>
                </c:pt>
                <c:pt idx="7">
                  <c:v>Dānija</c:v>
                </c:pt>
                <c:pt idx="8">
                  <c:v>Latvija</c:v>
                </c:pt>
                <c:pt idx="9">
                  <c:v>Nīderlande</c:v>
                </c:pt>
                <c:pt idx="10">
                  <c:v>Rumānija</c:v>
                </c:pt>
                <c:pt idx="11">
                  <c:v>Bulgārija</c:v>
                </c:pt>
                <c:pt idx="12">
                  <c:v>Vācija</c:v>
                </c:pt>
                <c:pt idx="13">
                  <c:v>Ungārija</c:v>
                </c:pt>
                <c:pt idx="14">
                  <c:v>Kipra</c:v>
                </c:pt>
                <c:pt idx="15">
                  <c:v>Slovākija</c:v>
                </c:pt>
                <c:pt idx="16">
                  <c:v>Slovēnija</c:v>
                </c:pt>
                <c:pt idx="17">
                  <c:v>Čehija</c:v>
                </c:pt>
                <c:pt idx="18">
                  <c:v>ES27</c:v>
                </c:pt>
                <c:pt idx="19">
                  <c:v>Beļģija</c:v>
                </c:pt>
                <c:pt idx="20">
                  <c:v>Eirozona</c:v>
                </c:pt>
                <c:pt idx="21">
                  <c:v>Austrija</c:v>
                </c:pt>
                <c:pt idx="22">
                  <c:v>Malta</c:v>
                </c:pt>
                <c:pt idx="23">
                  <c:v>Portugāle</c:v>
                </c:pt>
                <c:pt idx="24">
                  <c:v>Francija</c:v>
                </c:pt>
                <c:pt idx="25">
                  <c:v>Grieķija</c:v>
                </c:pt>
                <c:pt idx="26">
                  <c:v>Horvātija</c:v>
                </c:pt>
                <c:pt idx="27">
                  <c:v>Itālija</c:v>
                </c:pt>
                <c:pt idx="28">
                  <c:v>Spānija</c:v>
                </c:pt>
              </c:strCache>
            </c:strRef>
          </c:cat>
          <c:val>
            <c:numRef>
              <c:f>'[nama_10_gdp (1).xls]Data (2)'!$R$11:$R$39</c:f>
              <c:numCache>
                <c:formatCode>General</c:formatCode>
                <c:ptCount val="29"/>
                <c:pt idx="0">
                  <c:v>3.4</c:v>
                </c:pt>
                <c:pt idx="1">
                  <c:v>2.2000000000000002</c:v>
                </c:pt>
                <c:pt idx="2">
                  <c:v>3.2</c:v>
                </c:pt>
                <c:pt idx="3">
                  <c:v>3.1</c:v>
                </c:pt>
                <c:pt idx="4">
                  <c:v>2.8</c:v>
                </c:pt>
                <c:pt idx="5">
                  <c:v>2.7</c:v>
                </c:pt>
                <c:pt idx="6">
                  <c:v>2.6</c:v>
                </c:pt>
                <c:pt idx="7">
                  <c:v>2.9</c:v>
                </c:pt>
                <c:pt idx="8">
                  <c:v>3.5</c:v>
                </c:pt>
                <c:pt idx="9">
                  <c:v>1.8</c:v>
                </c:pt>
                <c:pt idx="10">
                  <c:v>3.8</c:v>
                </c:pt>
                <c:pt idx="11">
                  <c:v>2.7</c:v>
                </c:pt>
                <c:pt idx="12">
                  <c:v>3.2</c:v>
                </c:pt>
                <c:pt idx="13">
                  <c:v>4</c:v>
                </c:pt>
                <c:pt idx="14">
                  <c:v>3.2</c:v>
                </c:pt>
                <c:pt idx="15">
                  <c:v>4</c:v>
                </c:pt>
                <c:pt idx="16">
                  <c:v>4.7</c:v>
                </c:pt>
                <c:pt idx="17">
                  <c:v>3.2</c:v>
                </c:pt>
                <c:pt idx="18">
                  <c:v>3.7</c:v>
                </c:pt>
                <c:pt idx="19" formatCode="#\ ##0.0">
                  <c:v>3.9</c:v>
                </c:pt>
                <c:pt idx="20">
                  <c:v>3.8</c:v>
                </c:pt>
                <c:pt idx="21">
                  <c:v>2</c:v>
                </c:pt>
                <c:pt idx="22">
                  <c:v>4.5</c:v>
                </c:pt>
                <c:pt idx="23">
                  <c:v>4.0999999999999996</c:v>
                </c:pt>
                <c:pt idx="24">
                  <c:v>5.5</c:v>
                </c:pt>
                <c:pt idx="25">
                  <c:v>3.5</c:v>
                </c:pt>
                <c:pt idx="26">
                  <c:v>5.3</c:v>
                </c:pt>
                <c:pt idx="27">
                  <c:v>3.4</c:v>
                </c:pt>
                <c:pt idx="28">
                  <c:v>5.6</c:v>
                </c:pt>
              </c:numCache>
            </c:numRef>
          </c:val>
          <c:extLst>
            <c:ext xmlns:c16="http://schemas.microsoft.com/office/drawing/2014/chart" uri="{C3380CC4-5D6E-409C-BE32-E72D297353CC}">
              <c16:uniqueId val="{00000026-E6BB-4777-A89B-F181D91E40CE}"/>
            </c:ext>
          </c:extLst>
        </c:ser>
        <c:dLbls>
          <c:showLegendKey val="0"/>
          <c:showVal val="0"/>
          <c:showCatName val="0"/>
          <c:showSerName val="0"/>
          <c:showPercent val="0"/>
          <c:showBubbleSize val="0"/>
        </c:dLbls>
        <c:gapWidth val="50"/>
        <c:overlap val="6"/>
        <c:axId val="943331496"/>
        <c:axId val="943328544"/>
      </c:barChart>
      <c:catAx>
        <c:axId val="9433314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43328544"/>
        <c:crosses val="autoZero"/>
        <c:auto val="1"/>
        <c:lblAlgn val="ctr"/>
        <c:lblOffset val="100"/>
        <c:noMultiLvlLbl val="0"/>
      </c:catAx>
      <c:valAx>
        <c:axId val="943328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43331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775766003373206E-2"/>
          <c:y val="4.0175310445580717E-2"/>
          <c:w val="0.84288748159493443"/>
          <c:h val="0.68945827499045309"/>
        </c:manualLayout>
      </c:layout>
      <c:barChart>
        <c:barDir val="col"/>
        <c:grouping val="stacked"/>
        <c:varyColors val="0"/>
        <c:ser>
          <c:idx val="1"/>
          <c:order val="0"/>
          <c:tx>
            <c:strRef>
              <c:f>'Tekošais konts_Y'!$B$4</c:f>
              <c:strCache>
                <c:ptCount val="1"/>
                <c:pt idx="0">
                  <c:v>Preces</c:v>
                </c:pt>
              </c:strCache>
            </c:strRef>
          </c:tx>
          <c:spPr>
            <a:solidFill>
              <a:srgbClr val="ED7D31"/>
            </a:solidFill>
            <a:ln w="25400">
              <a:noFill/>
            </a:ln>
          </c:spPr>
          <c:invertIfNegative val="0"/>
          <c:cat>
            <c:numRef>
              <c:f>'Tekošais konts_Y'!$F$2:$R$2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'Tekošais konts_Y'!$F$4:$R$4</c:f>
              <c:numCache>
                <c:formatCode>#,##0</c:formatCode>
                <c:ptCount val="13"/>
                <c:pt idx="0">
                  <c:v>-4281</c:v>
                </c:pt>
                <c:pt idx="1">
                  <c:v>-1651</c:v>
                </c:pt>
                <c:pt idx="2">
                  <c:v>-1649</c:v>
                </c:pt>
                <c:pt idx="3">
                  <c:v>-2653</c:v>
                </c:pt>
                <c:pt idx="4">
                  <c:v>-2803</c:v>
                </c:pt>
                <c:pt idx="5">
                  <c:v>-2766</c:v>
                </c:pt>
                <c:pt idx="6">
                  <c:v>-2684</c:v>
                </c:pt>
                <c:pt idx="7">
                  <c:v>-2443</c:v>
                </c:pt>
                <c:pt idx="8">
                  <c:v>-2062</c:v>
                </c:pt>
                <c:pt idx="9">
                  <c:v>-2449</c:v>
                </c:pt>
                <c:pt idx="10" formatCode="General">
                  <c:v>-2542</c:v>
                </c:pt>
                <c:pt idx="11" formatCode="General">
                  <c:v>-2677</c:v>
                </c:pt>
                <c:pt idx="12" formatCode="General">
                  <c:v>-1474</c:v>
                </c:pt>
              </c:numCache>
            </c:numRef>
          </c:val>
          <c:extLst>
            <c:ext xmlns:c16="http://schemas.microsoft.com/office/drawing/2014/chart" uri="{C3380CC4-5D6E-409C-BE32-E72D297353CC}">
              <c16:uniqueId val="{00000000-A5E1-4B49-BD84-C9578D68050A}"/>
            </c:ext>
          </c:extLst>
        </c:ser>
        <c:ser>
          <c:idx val="2"/>
          <c:order val="1"/>
          <c:tx>
            <c:strRef>
              <c:f>'Tekošais konts_Y'!$B$5</c:f>
              <c:strCache>
                <c:ptCount val="1"/>
                <c:pt idx="0">
                  <c:v>Pakalpojumi</c:v>
                </c:pt>
              </c:strCache>
            </c:strRef>
          </c:tx>
          <c:spPr>
            <a:solidFill>
              <a:srgbClr val="A5A5A5"/>
            </a:solidFill>
            <a:ln w="25400">
              <a:noFill/>
            </a:ln>
          </c:spPr>
          <c:invertIfNegative val="0"/>
          <c:cat>
            <c:numRef>
              <c:f>'Tekošais konts_Y'!$F$2:$R$2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'Tekošais konts_Y'!$F$5:$R$5</c:f>
              <c:numCache>
                <c:formatCode>#,##0</c:formatCode>
                <c:ptCount val="13"/>
                <c:pt idx="0">
                  <c:v>1395</c:v>
                </c:pt>
                <c:pt idx="1">
                  <c:v>1430</c:v>
                </c:pt>
                <c:pt idx="2">
                  <c:v>1295</c:v>
                </c:pt>
                <c:pt idx="3">
                  <c:v>1461</c:v>
                </c:pt>
                <c:pt idx="4">
                  <c:v>1591</c:v>
                </c:pt>
                <c:pt idx="5">
                  <c:v>1734</c:v>
                </c:pt>
                <c:pt idx="6">
                  <c:v>1989</c:v>
                </c:pt>
                <c:pt idx="7">
                  <c:v>2019</c:v>
                </c:pt>
                <c:pt idx="8">
                  <c:v>2146</c:v>
                </c:pt>
                <c:pt idx="9">
                  <c:v>2275</c:v>
                </c:pt>
                <c:pt idx="10" formatCode="General">
                  <c:v>2312</c:v>
                </c:pt>
                <c:pt idx="11" formatCode="General">
                  <c:v>2422</c:v>
                </c:pt>
                <c:pt idx="12" formatCode="General">
                  <c:v>1813</c:v>
                </c:pt>
              </c:numCache>
            </c:numRef>
          </c:val>
          <c:extLst>
            <c:ext xmlns:c16="http://schemas.microsoft.com/office/drawing/2014/chart" uri="{C3380CC4-5D6E-409C-BE32-E72D297353CC}">
              <c16:uniqueId val="{00000001-A5E1-4B49-BD84-C9578D68050A}"/>
            </c:ext>
          </c:extLst>
        </c:ser>
        <c:ser>
          <c:idx val="3"/>
          <c:order val="2"/>
          <c:tx>
            <c:strRef>
              <c:f>'Tekošais konts_Y'!$B$6</c:f>
              <c:strCache>
                <c:ptCount val="1"/>
                <c:pt idx="0">
                  <c:v>Sākotnējie ienākumi</c:v>
                </c:pt>
              </c:strCache>
            </c:strRef>
          </c:tx>
          <c:spPr>
            <a:solidFill>
              <a:schemeClr val="accent1"/>
            </a:solidFill>
            <a:ln w="25400">
              <a:noFill/>
            </a:ln>
          </c:spPr>
          <c:invertIfNegative val="0"/>
          <c:cat>
            <c:numRef>
              <c:f>'Tekošais konts_Y'!$F$2:$R$2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'Tekošais konts_Y'!$F$6:$R$6</c:f>
              <c:numCache>
                <c:formatCode>#,##0</c:formatCode>
                <c:ptCount val="13"/>
                <c:pt idx="0">
                  <c:v>-566</c:v>
                </c:pt>
                <c:pt idx="1">
                  <c:v>1144</c:v>
                </c:pt>
                <c:pt idx="2">
                  <c:v>144</c:v>
                </c:pt>
                <c:pt idx="3">
                  <c:v>-18</c:v>
                </c:pt>
                <c:pt idx="4">
                  <c:v>-134</c:v>
                </c:pt>
                <c:pt idx="5">
                  <c:v>-78</c:v>
                </c:pt>
                <c:pt idx="6">
                  <c:v>29</c:v>
                </c:pt>
                <c:pt idx="7">
                  <c:v>-117</c:v>
                </c:pt>
                <c:pt idx="8">
                  <c:v>-40</c:v>
                </c:pt>
                <c:pt idx="9">
                  <c:v>-68</c:v>
                </c:pt>
                <c:pt idx="10" formatCode="General">
                  <c:v>-478</c:v>
                </c:pt>
                <c:pt idx="11" formatCode="General">
                  <c:v>-430</c:v>
                </c:pt>
                <c:pt idx="12" formatCode="General">
                  <c:v>43</c:v>
                </c:pt>
              </c:numCache>
            </c:numRef>
          </c:val>
          <c:extLst>
            <c:ext xmlns:c16="http://schemas.microsoft.com/office/drawing/2014/chart" uri="{C3380CC4-5D6E-409C-BE32-E72D297353CC}">
              <c16:uniqueId val="{00000002-A5E1-4B49-BD84-C9578D68050A}"/>
            </c:ext>
          </c:extLst>
        </c:ser>
        <c:ser>
          <c:idx val="4"/>
          <c:order val="3"/>
          <c:tx>
            <c:strRef>
              <c:f>'Tekošais konts_Y'!$B$7</c:f>
              <c:strCache>
                <c:ptCount val="1"/>
                <c:pt idx="0">
                  <c:v>Otrreizējie ienākumi</c:v>
                </c:pt>
              </c:strCache>
            </c:strRef>
          </c:tx>
          <c:spPr>
            <a:solidFill>
              <a:schemeClr val="accent4"/>
            </a:solidFill>
            <a:ln w="25400">
              <a:noFill/>
            </a:ln>
          </c:spPr>
          <c:invertIfNegative val="0"/>
          <c:cat>
            <c:numRef>
              <c:f>'Tekošais konts_Y'!$F$2:$R$2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'Tekošais konts_Y'!$F$7:$R$7</c:f>
              <c:numCache>
                <c:formatCode>#,##0</c:formatCode>
                <c:ptCount val="13"/>
                <c:pt idx="0">
                  <c:v>445</c:v>
                </c:pt>
                <c:pt idx="1">
                  <c:v>532</c:v>
                </c:pt>
                <c:pt idx="2">
                  <c:v>518</c:v>
                </c:pt>
                <c:pt idx="3">
                  <c:v>538</c:v>
                </c:pt>
                <c:pt idx="4">
                  <c:v>530</c:v>
                </c:pt>
                <c:pt idx="5">
                  <c:v>474</c:v>
                </c:pt>
                <c:pt idx="6">
                  <c:v>283</c:v>
                </c:pt>
                <c:pt idx="7">
                  <c:v>394</c:v>
                </c:pt>
                <c:pt idx="8">
                  <c:v>357</c:v>
                </c:pt>
                <c:pt idx="9">
                  <c:v>580</c:v>
                </c:pt>
                <c:pt idx="10" formatCode="General">
                  <c:v>625</c:v>
                </c:pt>
                <c:pt idx="11" formatCode="General">
                  <c:v>489</c:v>
                </c:pt>
                <c:pt idx="12" formatCode="General">
                  <c:v>483</c:v>
                </c:pt>
              </c:numCache>
            </c:numRef>
          </c:val>
          <c:extLst>
            <c:ext xmlns:c16="http://schemas.microsoft.com/office/drawing/2014/chart" uri="{C3380CC4-5D6E-409C-BE32-E72D297353CC}">
              <c16:uniqueId val="{00000003-A5E1-4B49-BD84-C9578D68050A}"/>
            </c:ext>
          </c:extLst>
        </c:ser>
        <c:dLbls>
          <c:showLegendKey val="0"/>
          <c:showVal val="0"/>
          <c:showCatName val="0"/>
          <c:showSerName val="0"/>
          <c:showPercent val="0"/>
          <c:showBubbleSize val="0"/>
        </c:dLbls>
        <c:gapWidth val="150"/>
        <c:overlap val="100"/>
        <c:axId val="351089240"/>
        <c:axId val="351089632"/>
      </c:barChart>
      <c:lineChart>
        <c:grouping val="standard"/>
        <c:varyColors val="0"/>
        <c:ser>
          <c:idx val="5"/>
          <c:order val="4"/>
          <c:tx>
            <c:strRef>
              <c:f>'Tekošais konts_Y'!$B$8</c:f>
              <c:strCache>
                <c:ptCount val="1"/>
                <c:pt idx="0">
                  <c:v>Tekošais konts, % no IKP (labā ass)</c:v>
                </c:pt>
              </c:strCache>
            </c:strRef>
          </c:tx>
          <c:spPr>
            <a:ln w="28575" cap="rnd">
              <a:solidFill>
                <a:schemeClr val="accent6"/>
              </a:solidFill>
              <a:prstDash val="dash"/>
              <a:round/>
            </a:ln>
            <a:effectLst/>
          </c:spPr>
          <c:marker>
            <c:symbol val="none"/>
          </c:marker>
          <c:cat>
            <c:numRef>
              <c:f>'Tekošais konts_Y'!$F$2:$R$2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'Tekošais konts_Y'!$F$8:$R$8</c:f>
              <c:numCache>
                <c:formatCode>0.0%</c:formatCode>
                <c:ptCount val="13"/>
                <c:pt idx="0">
                  <c:v>-0.12293121322028513</c:v>
                </c:pt>
                <c:pt idx="1">
                  <c:v>7.6904159669937494E-2</c:v>
                </c:pt>
                <c:pt idx="2">
                  <c:v>1.7089524193800307E-2</c:v>
                </c:pt>
                <c:pt idx="3">
                  <c:v>-3.2971578450383822E-2</c:v>
                </c:pt>
                <c:pt idx="4">
                  <c:v>-3.7060557949648444E-2</c:v>
                </c:pt>
                <c:pt idx="5">
                  <c:v>-2.7700586929632919E-2</c:v>
                </c:pt>
                <c:pt idx="6">
                  <c:v>-1.62192538211588E-2</c:v>
                </c:pt>
                <c:pt idx="7">
                  <c:v>-5.9444126572180088E-3</c:v>
                </c:pt>
                <c:pt idx="8">
                  <c:v>1.5812123269262558E-2</c:v>
                </c:pt>
                <c:pt idx="9">
                  <c:v>1.2536039723371886E-2</c:v>
                </c:pt>
                <c:pt idx="10">
                  <c:v>-2.8823844072062492E-3</c:v>
                </c:pt>
                <c:pt idx="11">
                  <c:v>-6.4758029486138794E-3</c:v>
                </c:pt>
                <c:pt idx="12">
                  <c:v>2.9522052291258975E-2</c:v>
                </c:pt>
              </c:numCache>
            </c:numRef>
          </c:val>
          <c:smooth val="1"/>
          <c:extLst>
            <c:ext xmlns:c16="http://schemas.microsoft.com/office/drawing/2014/chart" uri="{C3380CC4-5D6E-409C-BE32-E72D297353CC}">
              <c16:uniqueId val="{00000004-A5E1-4B49-BD84-C9578D68050A}"/>
            </c:ext>
          </c:extLst>
        </c:ser>
        <c:ser>
          <c:idx val="6"/>
          <c:order val="5"/>
          <c:tx>
            <c:strRef>
              <c:f>'Tekošais konts_Y'!$B$9</c:f>
              <c:strCache>
                <c:ptCount val="1"/>
                <c:pt idx="0">
                  <c:v>Tekošais un kapitāla konts, % no IKP (labā ass)</c:v>
                </c:pt>
              </c:strCache>
            </c:strRef>
          </c:tx>
          <c:spPr>
            <a:ln w="28575" cap="rnd">
              <a:solidFill>
                <a:schemeClr val="accent1">
                  <a:lumMod val="60000"/>
                </a:schemeClr>
              </a:solidFill>
              <a:round/>
            </a:ln>
            <a:effectLst/>
          </c:spPr>
          <c:marker>
            <c:symbol val="none"/>
          </c:marker>
          <c:cat>
            <c:numRef>
              <c:f>'Tekošais konts_Y'!$F$2:$R$2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'Tekošais konts_Y'!$F$9:$R$9</c:f>
              <c:numCache>
                <c:formatCode>0.0%</c:formatCode>
                <c:ptCount val="13"/>
                <c:pt idx="0">
                  <c:v>-0.10899056017468579</c:v>
                </c:pt>
                <c:pt idx="1">
                  <c:v>0.10077825319384666</c:v>
                </c:pt>
                <c:pt idx="2">
                  <c:v>3.6620408986714946E-2</c:v>
                </c:pt>
                <c:pt idx="3">
                  <c:v>-1.1954034386171847E-2</c:v>
                </c:pt>
                <c:pt idx="4">
                  <c:v>-7.4393286459514627E-3</c:v>
                </c:pt>
                <c:pt idx="5">
                  <c:v>-2.7046242356491982E-3</c:v>
                </c:pt>
                <c:pt idx="6">
                  <c:v>1.3551334785302393E-2</c:v>
                </c:pt>
                <c:pt idx="7">
                  <c:v>2.2189759576601471E-2</c:v>
                </c:pt>
                <c:pt idx="8">
                  <c:v>2.7720505382273261E-2</c:v>
                </c:pt>
                <c:pt idx="9">
                  <c:v>2.2216236077809939E-2</c:v>
                </c:pt>
                <c:pt idx="10">
                  <c:v>1.4960947637403865E-2</c:v>
                </c:pt>
                <c:pt idx="11">
                  <c:v>8.349512431207743E-3</c:v>
                </c:pt>
                <c:pt idx="12">
                  <c:v>4.6942108550881767E-2</c:v>
                </c:pt>
              </c:numCache>
            </c:numRef>
          </c:val>
          <c:smooth val="1"/>
          <c:extLst>
            <c:ext xmlns:c16="http://schemas.microsoft.com/office/drawing/2014/chart" uri="{C3380CC4-5D6E-409C-BE32-E72D297353CC}">
              <c16:uniqueId val="{00000005-A5E1-4B49-BD84-C9578D68050A}"/>
            </c:ext>
          </c:extLst>
        </c:ser>
        <c:dLbls>
          <c:showLegendKey val="0"/>
          <c:showVal val="0"/>
          <c:showCatName val="0"/>
          <c:showSerName val="0"/>
          <c:showPercent val="0"/>
          <c:showBubbleSize val="0"/>
        </c:dLbls>
        <c:marker val="1"/>
        <c:smooth val="0"/>
        <c:axId val="351090024"/>
        <c:axId val="351090416"/>
      </c:lineChart>
      <c:catAx>
        <c:axId val="351089240"/>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51089632"/>
        <c:crosses val="autoZero"/>
        <c:auto val="1"/>
        <c:lblAlgn val="ctr"/>
        <c:lblOffset val="100"/>
        <c:noMultiLvlLbl val="0"/>
      </c:catAx>
      <c:valAx>
        <c:axId val="351089632"/>
        <c:scaling>
          <c:orientation val="minMax"/>
          <c:max val="5000"/>
          <c:min val="-5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51089240"/>
        <c:crosses val="autoZero"/>
        <c:crossBetween val="between"/>
      </c:valAx>
      <c:catAx>
        <c:axId val="351090024"/>
        <c:scaling>
          <c:orientation val="minMax"/>
        </c:scaling>
        <c:delete val="1"/>
        <c:axPos val="b"/>
        <c:numFmt formatCode="General" sourceLinked="1"/>
        <c:majorTickMark val="out"/>
        <c:minorTickMark val="none"/>
        <c:tickLblPos val="nextTo"/>
        <c:crossAx val="351090416"/>
        <c:crosses val="autoZero"/>
        <c:auto val="1"/>
        <c:lblAlgn val="ctr"/>
        <c:lblOffset val="100"/>
        <c:noMultiLvlLbl val="0"/>
      </c:catAx>
      <c:valAx>
        <c:axId val="351090416"/>
        <c:scaling>
          <c:orientation val="minMax"/>
          <c:max val="0.14000000000000001"/>
          <c:min val="-0.14000000000000001"/>
        </c:scaling>
        <c:delete val="0"/>
        <c:axPos val="r"/>
        <c:numFmt formatCode="0%" sourceLinked="0"/>
        <c:majorTickMark val="none"/>
        <c:minorTickMark val="none"/>
        <c:tickLblPos val="nextTo"/>
        <c:spPr>
          <a:ln w="6350">
            <a:noFill/>
          </a:ln>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51090024"/>
        <c:crosses val="max"/>
        <c:crossBetween val="between"/>
        <c:majorUnit val="2.0000000000000004E-2"/>
      </c:valAx>
      <c:spPr>
        <a:noFill/>
        <a:ln w="25400">
          <a:noFill/>
        </a:ln>
      </c:spPr>
    </c:plotArea>
    <c:legend>
      <c:legendPos val="b"/>
      <c:layout>
        <c:manualLayout>
          <c:xMode val="edge"/>
          <c:yMode val="edge"/>
          <c:x val="0"/>
          <c:y val="0.81016502001026747"/>
          <c:w val="0.99515542974467575"/>
          <c:h val="0.16970077621093241"/>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311693117213397E-2"/>
          <c:y val="4.7680970957954052E-2"/>
          <c:w val="0.92306042389862553"/>
          <c:h val="0.64510578895453408"/>
        </c:manualLayout>
      </c:layout>
      <c:barChart>
        <c:barDir val="col"/>
        <c:grouping val="stacked"/>
        <c:varyColors val="0"/>
        <c:ser>
          <c:idx val="0"/>
          <c:order val="1"/>
          <c:tx>
            <c:strRef>
              <c:f>PCI!$L$1</c:f>
              <c:strCache>
                <c:ptCount val="1"/>
                <c:pt idx="0">
                  <c:v>pamatinflācija</c:v>
                </c:pt>
              </c:strCache>
            </c:strRef>
          </c:tx>
          <c:spPr>
            <a:solidFill>
              <a:schemeClr val="accent1"/>
            </a:solidFill>
            <a:ln w="3175">
              <a:noFill/>
            </a:ln>
            <a:effectLst/>
          </c:spPr>
          <c:invertIfNegative val="0"/>
          <c:cat>
            <c:multiLvlStrRef>
              <c:f>PCI!$A$182:$B$207</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2019</c:v>
                  </c:pt>
                  <c:pt idx="12">
                    <c:v>2020</c:v>
                  </c:pt>
                  <c:pt idx="24">
                    <c:v>2021</c:v>
                  </c:pt>
                </c:lvl>
              </c:multiLvlStrCache>
            </c:multiLvlStrRef>
          </c:cat>
          <c:val>
            <c:numRef>
              <c:f>PCI!$L$182:$L$207</c:f>
              <c:numCache>
                <c:formatCode>0.000</c:formatCode>
                <c:ptCount val="26"/>
                <c:pt idx="0">
                  <c:v>1.6455762541620371</c:v>
                </c:pt>
                <c:pt idx="1">
                  <c:v>1.4890595181960273</c:v>
                </c:pt>
                <c:pt idx="2">
                  <c:v>1.327383077069922</c:v>
                </c:pt>
                <c:pt idx="3">
                  <c:v>1.7672288924447788</c:v>
                </c:pt>
                <c:pt idx="4">
                  <c:v>1.6033368621956283</c:v>
                </c:pt>
                <c:pt idx="5">
                  <c:v>1.6368725521326195</c:v>
                </c:pt>
                <c:pt idx="6">
                  <c:v>1.893577807511664</c:v>
                </c:pt>
                <c:pt idx="7">
                  <c:v>1.9571298157800154</c:v>
                </c:pt>
                <c:pt idx="8">
                  <c:v>1.9836049273069449</c:v>
                </c:pt>
                <c:pt idx="9">
                  <c:v>1.7411892825096993</c:v>
                </c:pt>
                <c:pt idx="10">
                  <c:v>1.5779329186807882</c:v>
                </c:pt>
                <c:pt idx="11">
                  <c:v>1.3033704068031084</c:v>
                </c:pt>
                <c:pt idx="12">
                  <c:v>1.0107503088287251</c:v>
                </c:pt>
                <c:pt idx="13">
                  <c:v>1.1137979076711841</c:v>
                </c:pt>
                <c:pt idx="14">
                  <c:v>1.0704409978083596</c:v>
                </c:pt>
                <c:pt idx="15">
                  <c:v>0.78071680565529267</c:v>
                </c:pt>
                <c:pt idx="16">
                  <c:v>0.62973515690089332</c:v>
                </c:pt>
                <c:pt idx="17">
                  <c:v>0.20707063678107751</c:v>
                </c:pt>
                <c:pt idx="18">
                  <c:v>0.87722116997585464</c:v>
                </c:pt>
                <c:pt idx="19">
                  <c:v>0.51443482582976485</c:v>
                </c:pt>
                <c:pt idx="20">
                  <c:v>0.52075662419145152</c:v>
                </c:pt>
                <c:pt idx="21">
                  <c:v>0.5239372166599704</c:v>
                </c:pt>
                <c:pt idx="22">
                  <c:v>0.35033851276238298</c:v>
                </c:pt>
                <c:pt idx="23">
                  <c:v>0.39294868412629258</c:v>
                </c:pt>
                <c:pt idx="24">
                  <c:v>0.68322731201260778</c:v>
                </c:pt>
                <c:pt idx="25">
                  <c:v>0.42634960331704458</c:v>
                </c:pt>
              </c:numCache>
            </c:numRef>
          </c:val>
          <c:extLst>
            <c:ext xmlns:c16="http://schemas.microsoft.com/office/drawing/2014/chart" uri="{C3380CC4-5D6E-409C-BE32-E72D297353CC}">
              <c16:uniqueId val="{00000000-D4D9-40AE-B03B-8CD36BD3DC32}"/>
            </c:ext>
          </c:extLst>
        </c:ser>
        <c:ser>
          <c:idx val="1"/>
          <c:order val="2"/>
          <c:tx>
            <c:strRef>
              <c:f>PCI!$D$1</c:f>
              <c:strCache>
                <c:ptCount val="1"/>
                <c:pt idx="0">
                  <c:v>nodokļi</c:v>
                </c:pt>
              </c:strCache>
            </c:strRef>
          </c:tx>
          <c:spPr>
            <a:solidFill>
              <a:srgbClr val="FFCC66"/>
            </a:solidFill>
            <a:ln w="3175">
              <a:noFill/>
            </a:ln>
            <a:effectLst/>
          </c:spPr>
          <c:invertIfNegative val="0"/>
          <c:cat>
            <c:multiLvlStrRef>
              <c:f>PCI!$A$182:$B$207</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2019</c:v>
                  </c:pt>
                  <c:pt idx="12">
                    <c:v>2020</c:v>
                  </c:pt>
                  <c:pt idx="24">
                    <c:v>2021</c:v>
                  </c:pt>
                </c:lvl>
              </c:multiLvlStrCache>
            </c:multiLvlStrRef>
          </c:cat>
          <c:val>
            <c:numRef>
              <c:f>PCI!$D$182:$D$207</c:f>
              <c:numCache>
                <c:formatCode>0.000</c:formatCode>
                <c:ptCount val="26"/>
                <c:pt idx="0">
                  <c:v>0.5328868667311415</c:v>
                </c:pt>
                <c:pt idx="1">
                  <c:v>0.54254461311924462</c:v>
                </c:pt>
                <c:pt idx="2">
                  <c:v>0.36474076746926265</c:v>
                </c:pt>
                <c:pt idx="3">
                  <c:v>0.37561348004606643</c:v>
                </c:pt>
                <c:pt idx="4">
                  <c:v>0.39147306960274353</c:v>
                </c:pt>
                <c:pt idx="5">
                  <c:v>0.38368775508643704</c:v>
                </c:pt>
                <c:pt idx="6">
                  <c:v>0.29736520498462315</c:v>
                </c:pt>
                <c:pt idx="7">
                  <c:v>6.4419453762365464E-2</c:v>
                </c:pt>
                <c:pt idx="8">
                  <c:v>9.3893321481153258E-2</c:v>
                </c:pt>
                <c:pt idx="9">
                  <c:v>9.5819446626044247E-2</c:v>
                </c:pt>
                <c:pt idx="10">
                  <c:v>8.8823606723376081E-2</c:v>
                </c:pt>
                <c:pt idx="11">
                  <c:v>0.1063827609780521</c:v>
                </c:pt>
                <c:pt idx="12">
                  <c:v>0.30498869670396722</c:v>
                </c:pt>
                <c:pt idx="13">
                  <c:v>0.31324070333822451</c:v>
                </c:pt>
                <c:pt idx="14">
                  <c:v>0.21457140751905968</c:v>
                </c:pt>
                <c:pt idx="15">
                  <c:v>0.21550151325480105</c:v>
                </c:pt>
                <c:pt idx="16">
                  <c:v>0.20851117028598543</c:v>
                </c:pt>
                <c:pt idx="17">
                  <c:v>0.20973803244189737</c:v>
                </c:pt>
                <c:pt idx="18">
                  <c:v>0.11981826191622691</c:v>
                </c:pt>
                <c:pt idx="19">
                  <c:v>0.31362677779549486</c:v>
                </c:pt>
                <c:pt idx="20">
                  <c:v>0.31299546957368474</c:v>
                </c:pt>
                <c:pt idx="21">
                  <c:v>0.31599063673115602</c:v>
                </c:pt>
                <c:pt idx="22">
                  <c:v>0.32600083331976171</c:v>
                </c:pt>
                <c:pt idx="23">
                  <c:v>0.32443880854737817</c:v>
                </c:pt>
                <c:pt idx="24">
                  <c:v>0.10974964262951969</c:v>
                </c:pt>
                <c:pt idx="25">
                  <c:v>0.11484444557449125</c:v>
                </c:pt>
              </c:numCache>
            </c:numRef>
          </c:val>
          <c:extLst>
            <c:ext xmlns:c16="http://schemas.microsoft.com/office/drawing/2014/chart" uri="{C3380CC4-5D6E-409C-BE32-E72D297353CC}">
              <c16:uniqueId val="{00000001-D4D9-40AE-B03B-8CD36BD3DC32}"/>
            </c:ext>
          </c:extLst>
        </c:ser>
        <c:ser>
          <c:idx val="2"/>
          <c:order val="3"/>
          <c:tx>
            <c:strRef>
              <c:f>PCI!$N$1</c:f>
              <c:strCache>
                <c:ptCount val="1"/>
                <c:pt idx="0">
                  <c:v>importētā inflācija</c:v>
                </c:pt>
              </c:strCache>
            </c:strRef>
          </c:tx>
          <c:spPr>
            <a:solidFill>
              <a:srgbClr val="FF0000"/>
            </a:solidFill>
            <a:ln w="3175">
              <a:noFill/>
            </a:ln>
            <a:effectLst/>
          </c:spPr>
          <c:invertIfNegative val="0"/>
          <c:cat>
            <c:multiLvlStrRef>
              <c:f>PCI!$A$182:$B$207</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2019</c:v>
                  </c:pt>
                  <c:pt idx="12">
                    <c:v>2020</c:v>
                  </c:pt>
                  <c:pt idx="24">
                    <c:v>2021</c:v>
                  </c:pt>
                </c:lvl>
              </c:multiLvlStrCache>
            </c:multiLvlStrRef>
          </c:cat>
          <c:val>
            <c:numRef>
              <c:f>PCI!$N$182:$N$207</c:f>
              <c:numCache>
                <c:formatCode>0.000</c:formatCode>
                <c:ptCount val="26"/>
                <c:pt idx="0">
                  <c:v>0.82153687910682138</c:v>
                </c:pt>
                <c:pt idx="1">
                  <c:v>0.86839586868472796</c:v>
                </c:pt>
                <c:pt idx="2">
                  <c:v>1.1078761554608152</c:v>
                </c:pt>
                <c:pt idx="3">
                  <c:v>1.2571576275091547</c:v>
                </c:pt>
                <c:pt idx="4">
                  <c:v>1.305190068201628</c:v>
                </c:pt>
                <c:pt idx="5">
                  <c:v>0.97943969278094345</c:v>
                </c:pt>
                <c:pt idx="6">
                  <c:v>0.70905698750371271</c:v>
                </c:pt>
                <c:pt idx="7">
                  <c:v>1.1784507304576193</c:v>
                </c:pt>
                <c:pt idx="8">
                  <c:v>0.52250175121190179</c:v>
                </c:pt>
                <c:pt idx="9">
                  <c:v>0.46299127086425634</c:v>
                </c:pt>
                <c:pt idx="10">
                  <c:v>0.43324347459583573</c:v>
                </c:pt>
                <c:pt idx="11">
                  <c:v>0.89024683221883927</c:v>
                </c:pt>
                <c:pt idx="12">
                  <c:v>0.88426099446730777</c:v>
                </c:pt>
                <c:pt idx="13">
                  <c:v>0.87296138899059128</c:v>
                </c:pt>
                <c:pt idx="14">
                  <c:v>0.1149875946725806</c:v>
                </c:pt>
                <c:pt idx="15">
                  <c:v>-0.99621831891009371</c:v>
                </c:pt>
                <c:pt idx="16">
                  <c:v>-1.4382463271868786</c:v>
                </c:pt>
                <c:pt idx="17">
                  <c:v>-1.1168086692229751</c:v>
                </c:pt>
                <c:pt idx="18">
                  <c:v>-0.49703943189208161</c:v>
                </c:pt>
                <c:pt idx="19">
                  <c:v>-1.0280616036252597</c:v>
                </c:pt>
                <c:pt idx="20">
                  <c:v>-1.1337520937651362</c:v>
                </c:pt>
                <c:pt idx="21">
                  <c:v>-1.5399278533911263</c:v>
                </c:pt>
                <c:pt idx="22">
                  <c:v>-1.3763393460821447</c:v>
                </c:pt>
                <c:pt idx="23">
                  <c:v>-1.2173874926736707</c:v>
                </c:pt>
                <c:pt idx="24">
                  <c:v>-1.2929769546421275</c:v>
                </c:pt>
                <c:pt idx="25">
                  <c:v>-0.74119404889153584</c:v>
                </c:pt>
              </c:numCache>
            </c:numRef>
          </c:val>
          <c:extLst>
            <c:ext xmlns:c16="http://schemas.microsoft.com/office/drawing/2014/chart" uri="{C3380CC4-5D6E-409C-BE32-E72D297353CC}">
              <c16:uniqueId val="{00000002-D4D9-40AE-B03B-8CD36BD3DC32}"/>
            </c:ext>
          </c:extLst>
        </c:ser>
        <c:dLbls>
          <c:showLegendKey val="0"/>
          <c:showVal val="0"/>
          <c:showCatName val="0"/>
          <c:showSerName val="0"/>
          <c:showPercent val="0"/>
          <c:showBubbleSize val="0"/>
        </c:dLbls>
        <c:gapWidth val="38"/>
        <c:overlap val="100"/>
        <c:axId val="343029528"/>
        <c:axId val="343029920"/>
      </c:barChart>
      <c:lineChart>
        <c:grouping val="standard"/>
        <c:varyColors val="0"/>
        <c:ser>
          <c:idx val="3"/>
          <c:order val="0"/>
          <c:tx>
            <c:strRef>
              <c:f>PCI!$C$1</c:f>
              <c:strCache>
                <c:ptCount val="1"/>
                <c:pt idx="0">
                  <c:v>PCI</c:v>
                </c:pt>
              </c:strCache>
            </c:strRef>
          </c:tx>
          <c:spPr>
            <a:ln w="28575" cap="rnd">
              <a:solidFill>
                <a:schemeClr val="tx1"/>
              </a:solidFill>
              <a:prstDash val="dash"/>
              <a:round/>
            </a:ln>
            <a:effectLst/>
          </c:spPr>
          <c:marker>
            <c:symbol val="none"/>
          </c:marker>
          <c:cat>
            <c:multiLvlStrRef>
              <c:f>PCI!$A$182:$B$207</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2019</c:v>
                  </c:pt>
                  <c:pt idx="12">
                    <c:v>2020</c:v>
                  </c:pt>
                  <c:pt idx="24">
                    <c:v>2021</c:v>
                  </c:pt>
                </c:lvl>
              </c:multiLvlStrCache>
            </c:multiLvlStrRef>
          </c:cat>
          <c:val>
            <c:numRef>
              <c:f>PCI!$C$182:$C$207</c:f>
              <c:numCache>
                <c:formatCode>0.000</c:formatCode>
                <c:ptCount val="26"/>
                <c:pt idx="0">
                  <c:v>3</c:v>
                </c:pt>
                <c:pt idx="1">
                  <c:v>2.9</c:v>
                </c:pt>
                <c:pt idx="2">
                  <c:v>2.8</c:v>
                </c:pt>
                <c:pt idx="3">
                  <c:v>3.4</c:v>
                </c:pt>
                <c:pt idx="4">
                  <c:v>3.3</c:v>
                </c:pt>
                <c:pt idx="5">
                  <c:v>3</c:v>
                </c:pt>
                <c:pt idx="6">
                  <c:v>2.9</c:v>
                </c:pt>
                <c:pt idx="7">
                  <c:v>3.2</c:v>
                </c:pt>
                <c:pt idx="8">
                  <c:v>2.6</c:v>
                </c:pt>
                <c:pt idx="9">
                  <c:v>2.2999999999999998</c:v>
                </c:pt>
                <c:pt idx="10">
                  <c:v>2.1</c:v>
                </c:pt>
                <c:pt idx="11">
                  <c:v>2.2999999999999998</c:v>
                </c:pt>
                <c:pt idx="12">
                  <c:v>2.2000000000000002</c:v>
                </c:pt>
                <c:pt idx="13">
                  <c:v>2.2999999999999998</c:v>
                </c:pt>
                <c:pt idx="14">
                  <c:v>1.4</c:v>
                </c:pt>
                <c:pt idx="15">
                  <c:v>0</c:v>
                </c:pt>
                <c:pt idx="16">
                  <c:v>-0.6</c:v>
                </c:pt>
                <c:pt idx="17">
                  <c:v>-0.7</c:v>
                </c:pt>
                <c:pt idx="18">
                  <c:v>0.5</c:v>
                </c:pt>
                <c:pt idx="19">
                  <c:v>-0.2</c:v>
                </c:pt>
                <c:pt idx="20">
                  <c:v>-0.3</c:v>
                </c:pt>
                <c:pt idx="21">
                  <c:v>-0.7</c:v>
                </c:pt>
                <c:pt idx="22">
                  <c:v>-0.7</c:v>
                </c:pt>
                <c:pt idx="23">
                  <c:v>-0.5</c:v>
                </c:pt>
                <c:pt idx="24">
                  <c:v>-0.5</c:v>
                </c:pt>
                <c:pt idx="25">
                  <c:v>-0.2</c:v>
                </c:pt>
              </c:numCache>
            </c:numRef>
          </c:val>
          <c:smooth val="0"/>
          <c:extLst>
            <c:ext xmlns:c16="http://schemas.microsoft.com/office/drawing/2014/chart" uri="{C3380CC4-5D6E-409C-BE32-E72D297353CC}">
              <c16:uniqueId val="{00000003-D4D9-40AE-B03B-8CD36BD3DC32}"/>
            </c:ext>
          </c:extLst>
        </c:ser>
        <c:dLbls>
          <c:showLegendKey val="0"/>
          <c:showVal val="0"/>
          <c:showCatName val="0"/>
          <c:showSerName val="0"/>
          <c:showPercent val="0"/>
          <c:showBubbleSize val="0"/>
        </c:dLbls>
        <c:marker val="1"/>
        <c:smooth val="0"/>
        <c:axId val="343029528"/>
        <c:axId val="343029920"/>
      </c:lineChart>
      <c:catAx>
        <c:axId val="343029528"/>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43029920"/>
        <c:crossesAt val="-8"/>
        <c:auto val="1"/>
        <c:lblAlgn val="ctr"/>
        <c:lblOffset val="100"/>
        <c:noMultiLvlLbl val="0"/>
      </c:catAx>
      <c:valAx>
        <c:axId val="343029920"/>
        <c:scaling>
          <c:orientation val="minMax"/>
          <c:max val="4"/>
          <c:min val="-2"/>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43029528"/>
        <c:crosses val="autoZero"/>
        <c:crossBetween val="midCat"/>
        <c:majorUnit val="1"/>
      </c:valAx>
      <c:spPr>
        <a:noFill/>
        <a:ln>
          <a:noFill/>
        </a:ln>
        <a:effectLst/>
      </c:spPr>
    </c:plotArea>
    <c:legend>
      <c:legendPos val="b"/>
      <c:layout>
        <c:manualLayout>
          <c:xMode val="edge"/>
          <c:yMode val="edge"/>
          <c:x val="0.11085115256650266"/>
          <c:y val="0.84295314841171509"/>
          <c:w val="0.85794723688212804"/>
          <c:h val="0.131039049247582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175969937299862E-2"/>
          <c:y val="4.2742611718989673E-2"/>
          <c:w val="0.91690723525920925"/>
          <c:h val="0.69198690369889326"/>
        </c:manualLayout>
      </c:layout>
      <c:barChart>
        <c:barDir val="col"/>
        <c:grouping val="clustered"/>
        <c:varyColors val="0"/>
        <c:ser>
          <c:idx val="0"/>
          <c:order val="0"/>
          <c:tx>
            <c:strRef>
              <c:f>'2 graf'!$J$3</c:f>
              <c:strCache>
                <c:ptCount val="1"/>
                <c:pt idx="0">
                  <c:v>Nodarbināto skaits, tūkstoši (labā ass)</c:v>
                </c:pt>
              </c:strCache>
            </c:strRef>
          </c:tx>
          <c:invertIfNegative val="0"/>
          <c:cat>
            <c:numRef>
              <c:f>'2 graf'!$K$2:$W$2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'2 graf'!$K$3:$W$3</c:f>
              <c:numCache>
                <c:formatCode>0.0</c:formatCode>
                <c:ptCount val="13"/>
                <c:pt idx="0">
                  <c:v>1054.9000000000001</c:v>
                </c:pt>
                <c:pt idx="1">
                  <c:v>908.5</c:v>
                </c:pt>
                <c:pt idx="2">
                  <c:v>851</c:v>
                </c:pt>
                <c:pt idx="3">
                  <c:v>862</c:v>
                </c:pt>
                <c:pt idx="4">
                  <c:v>876</c:v>
                </c:pt>
                <c:pt idx="5">
                  <c:v>894</c:v>
                </c:pt>
                <c:pt idx="6">
                  <c:v>885</c:v>
                </c:pt>
                <c:pt idx="7">
                  <c:v>896.1</c:v>
                </c:pt>
                <c:pt idx="8">
                  <c:v>893.3</c:v>
                </c:pt>
                <c:pt idx="9">
                  <c:v>894.8</c:v>
                </c:pt>
                <c:pt idx="10">
                  <c:v>909.4</c:v>
                </c:pt>
                <c:pt idx="11" formatCode="0">
                  <c:v>910</c:v>
                </c:pt>
                <c:pt idx="12" formatCode="0">
                  <c:v>893</c:v>
                </c:pt>
              </c:numCache>
            </c:numRef>
          </c:val>
          <c:extLst>
            <c:ext xmlns:c16="http://schemas.microsoft.com/office/drawing/2014/chart" uri="{C3380CC4-5D6E-409C-BE32-E72D297353CC}">
              <c16:uniqueId val="{00000000-C0E6-4CDD-939C-8FE606440B79}"/>
            </c:ext>
          </c:extLst>
        </c:ser>
        <c:dLbls>
          <c:showLegendKey val="0"/>
          <c:showVal val="0"/>
          <c:showCatName val="0"/>
          <c:showSerName val="0"/>
          <c:showPercent val="0"/>
          <c:showBubbleSize val="0"/>
        </c:dLbls>
        <c:gapWidth val="150"/>
        <c:axId val="396118440"/>
        <c:axId val="393060176"/>
      </c:barChart>
      <c:lineChart>
        <c:grouping val="standard"/>
        <c:varyColors val="0"/>
        <c:ser>
          <c:idx val="1"/>
          <c:order val="1"/>
          <c:tx>
            <c:strRef>
              <c:f>'2 graf'!$J$4</c:f>
              <c:strCache>
                <c:ptCount val="1"/>
                <c:pt idx="0">
                  <c:v>Darba meklētāji, % no ekonomiski aktīvajiem iedzīvotājiem (kreisā ass)</c:v>
                </c:pt>
              </c:strCache>
            </c:strRef>
          </c:tx>
          <c:spPr>
            <a:ln>
              <a:solidFill>
                <a:srgbClr val="FF0000"/>
              </a:solidFill>
              <a:prstDash val="solid"/>
            </a:ln>
          </c:spPr>
          <c:marker>
            <c:symbol val="none"/>
          </c:marker>
          <c:dPt>
            <c:idx val="0"/>
            <c:bubble3D val="0"/>
            <c:spPr>
              <a:ln>
                <a:solidFill>
                  <a:srgbClr val="FF0000"/>
                </a:solidFill>
                <a:prstDash val="solid"/>
              </a:ln>
            </c:spPr>
            <c:extLst>
              <c:ext xmlns:c16="http://schemas.microsoft.com/office/drawing/2014/chart" uri="{C3380CC4-5D6E-409C-BE32-E72D297353CC}">
                <c16:uniqueId val="{00000002-C0E6-4CDD-939C-8FE606440B79}"/>
              </c:ext>
            </c:extLst>
          </c:dPt>
          <c:dPt>
            <c:idx val="1"/>
            <c:bubble3D val="0"/>
            <c:extLst>
              <c:ext xmlns:c16="http://schemas.microsoft.com/office/drawing/2014/chart" uri="{C3380CC4-5D6E-409C-BE32-E72D297353CC}">
                <c16:uniqueId val="{00000003-C0E6-4CDD-939C-8FE606440B79}"/>
              </c:ext>
            </c:extLst>
          </c:dPt>
          <c:dPt>
            <c:idx val="2"/>
            <c:bubble3D val="0"/>
            <c:extLst>
              <c:ext xmlns:c16="http://schemas.microsoft.com/office/drawing/2014/chart" uri="{C3380CC4-5D6E-409C-BE32-E72D297353CC}">
                <c16:uniqueId val="{00000004-C0E6-4CDD-939C-8FE606440B79}"/>
              </c:ext>
            </c:extLst>
          </c:dPt>
          <c:dPt>
            <c:idx val="3"/>
            <c:bubble3D val="0"/>
            <c:extLst>
              <c:ext xmlns:c16="http://schemas.microsoft.com/office/drawing/2014/chart" uri="{C3380CC4-5D6E-409C-BE32-E72D297353CC}">
                <c16:uniqueId val="{00000005-C0E6-4CDD-939C-8FE606440B79}"/>
              </c:ext>
            </c:extLst>
          </c:dPt>
          <c:dPt>
            <c:idx val="4"/>
            <c:bubble3D val="0"/>
            <c:extLst>
              <c:ext xmlns:c16="http://schemas.microsoft.com/office/drawing/2014/chart" uri="{C3380CC4-5D6E-409C-BE32-E72D297353CC}">
                <c16:uniqueId val="{00000006-C0E6-4CDD-939C-8FE606440B79}"/>
              </c:ext>
            </c:extLst>
          </c:dPt>
          <c:dPt>
            <c:idx val="5"/>
            <c:bubble3D val="0"/>
            <c:extLst>
              <c:ext xmlns:c16="http://schemas.microsoft.com/office/drawing/2014/chart" uri="{C3380CC4-5D6E-409C-BE32-E72D297353CC}">
                <c16:uniqueId val="{00000007-C0E6-4CDD-939C-8FE606440B79}"/>
              </c:ext>
            </c:extLst>
          </c:dPt>
          <c:dPt>
            <c:idx val="6"/>
            <c:bubble3D val="0"/>
            <c:extLst>
              <c:ext xmlns:c16="http://schemas.microsoft.com/office/drawing/2014/chart" uri="{C3380CC4-5D6E-409C-BE32-E72D297353CC}">
                <c16:uniqueId val="{00000008-C0E6-4CDD-939C-8FE606440B79}"/>
              </c:ext>
            </c:extLst>
          </c:dPt>
          <c:dPt>
            <c:idx val="7"/>
            <c:bubble3D val="0"/>
            <c:extLst>
              <c:ext xmlns:c16="http://schemas.microsoft.com/office/drawing/2014/chart" uri="{C3380CC4-5D6E-409C-BE32-E72D297353CC}">
                <c16:uniqueId val="{00000009-C0E6-4CDD-939C-8FE606440B79}"/>
              </c:ext>
            </c:extLst>
          </c:dPt>
          <c:dPt>
            <c:idx val="8"/>
            <c:bubble3D val="0"/>
            <c:extLst>
              <c:ext xmlns:c16="http://schemas.microsoft.com/office/drawing/2014/chart" uri="{C3380CC4-5D6E-409C-BE32-E72D297353CC}">
                <c16:uniqueId val="{0000000A-C0E6-4CDD-939C-8FE606440B79}"/>
              </c:ext>
            </c:extLst>
          </c:dPt>
          <c:dPt>
            <c:idx val="9"/>
            <c:bubble3D val="0"/>
            <c:extLst>
              <c:ext xmlns:c16="http://schemas.microsoft.com/office/drawing/2014/chart" uri="{C3380CC4-5D6E-409C-BE32-E72D297353CC}">
                <c16:uniqueId val="{0000000B-C0E6-4CDD-939C-8FE606440B79}"/>
              </c:ext>
            </c:extLst>
          </c:dPt>
          <c:dPt>
            <c:idx val="10"/>
            <c:bubble3D val="0"/>
            <c:extLst>
              <c:ext xmlns:c16="http://schemas.microsoft.com/office/drawing/2014/chart" uri="{C3380CC4-5D6E-409C-BE32-E72D297353CC}">
                <c16:uniqueId val="{0000000C-C0E6-4CDD-939C-8FE606440B79}"/>
              </c:ext>
            </c:extLst>
          </c:dPt>
          <c:cat>
            <c:numRef>
              <c:f>'2 graf'!$K$2:$W$2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'2 graf'!$K$4:$W$4</c:f>
              <c:numCache>
                <c:formatCode>0.0</c:formatCode>
                <c:ptCount val="13"/>
                <c:pt idx="0">
                  <c:v>7.7</c:v>
                </c:pt>
                <c:pt idx="1">
                  <c:v>17.5</c:v>
                </c:pt>
                <c:pt idx="2">
                  <c:v>19.5</c:v>
                </c:pt>
                <c:pt idx="3">
                  <c:v>16.2</c:v>
                </c:pt>
                <c:pt idx="4">
                  <c:v>15</c:v>
                </c:pt>
                <c:pt idx="5">
                  <c:v>11.9</c:v>
                </c:pt>
                <c:pt idx="6">
                  <c:v>10.8</c:v>
                </c:pt>
                <c:pt idx="7">
                  <c:v>9.9</c:v>
                </c:pt>
                <c:pt idx="8">
                  <c:v>9.6</c:v>
                </c:pt>
                <c:pt idx="9">
                  <c:v>8.6999999999999993</c:v>
                </c:pt>
                <c:pt idx="10">
                  <c:v>7.4</c:v>
                </c:pt>
                <c:pt idx="11">
                  <c:v>6.3</c:v>
                </c:pt>
                <c:pt idx="12">
                  <c:v>8.1999999999999993</c:v>
                </c:pt>
              </c:numCache>
            </c:numRef>
          </c:val>
          <c:smooth val="1"/>
          <c:extLst>
            <c:ext xmlns:c16="http://schemas.microsoft.com/office/drawing/2014/chart" uri="{C3380CC4-5D6E-409C-BE32-E72D297353CC}">
              <c16:uniqueId val="{0000000D-C0E6-4CDD-939C-8FE606440B79}"/>
            </c:ext>
          </c:extLst>
        </c:ser>
        <c:dLbls>
          <c:showLegendKey val="0"/>
          <c:showVal val="0"/>
          <c:showCatName val="0"/>
          <c:showSerName val="0"/>
          <c:showPercent val="0"/>
          <c:showBubbleSize val="0"/>
        </c:dLbls>
        <c:marker val="1"/>
        <c:smooth val="0"/>
        <c:axId val="387439344"/>
        <c:axId val="278229968"/>
      </c:lineChart>
      <c:catAx>
        <c:axId val="387439344"/>
        <c:scaling>
          <c:orientation val="minMax"/>
        </c:scaling>
        <c:delete val="0"/>
        <c:axPos val="b"/>
        <c:numFmt formatCode="General" sourceLinked="1"/>
        <c:majorTickMark val="out"/>
        <c:minorTickMark val="none"/>
        <c:tickLblPos val="low"/>
        <c:crossAx val="278229968"/>
        <c:crosses val="autoZero"/>
        <c:auto val="1"/>
        <c:lblAlgn val="ctr"/>
        <c:lblOffset val="100"/>
        <c:noMultiLvlLbl val="0"/>
      </c:catAx>
      <c:valAx>
        <c:axId val="278229968"/>
        <c:scaling>
          <c:orientation val="minMax"/>
          <c:min val="4"/>
        </c:scaling>
        <c:delete val="0"/>
        <c:axPos val="l"/>
        <c:majorGridlines/>
        <c:numFmt formatCode="0" sourceLinked="0"/>
        <c:majorTickMark val="out"/>
        <c:minorTickMark val="none"/>
        <c:tickLblPos val="nextTo"/>
        <c:txPr>
          <a:bodyPr/>
          <a:lstStyle/>
          <a:p>
            <a:pPr>
              <a:defRPr sz="1000"/>
            </a:pPr>
            <a:endParaRPr lang="lv-LV"/>
          </a:p>
        </c:txPr>
        <c:crossAx val="387439344"/>
        <c:crosses val="autoZero"/>
        <c:crossBetween val="between"/>
      </c:valAx>
      <c:valAx>
        <c:axId val="393060176"/>
        <c:scaling>
          <c:orientation val="minMax"/>
          <c:min val="700"/>
        </c:scaling>
        <c:delete val="0"/>
        <c:axPos val="r"/>
        <c:numFmt formatCode="0" sourceLinked="0"/>
        <c:majorTickMark val="out"/>
        <c:minorTickMark val="none"/>
        <c:tickLblPos val="nextTo"/>
        <c:crossAx val="396118440"/>
        <c:crosses val="max"/>
        <c:crossBetween val="between"/>
      </c:valAx>
      <c:catAx>
        <c:axId val="396118440"/>
        <c:scaling>
          <c:orientation val="minMax"/>
        </c:scaling>
        <c:delete val="1"/>
        <c:axPos val="b"/>
        <c:numFmt formatCode="General" sourceLinked="1"/>
        <c:majorTickMark val="out"/>
        <c:minorTickMark val="none"/>
        <c:tickLblPos val="nextTo"/>
        <c:crossAx val="393060176"/>
        <c:crosses val="autoZero"/>
        <c:auto val="1"/>
        <c:lblAlgn val="ctr"/>
        <c:lblOffset val="100"/>
        <c:noMultiLvlLbl val="0"/>
      </c:catAx>
    </c:plotArea>
    <c:legend>
      <c:legendPos val="b"/>
      <c:layout>
        <c:manualLayout>
          <c:xMode val="edge"/>
          <c:yMode val="edge"/>
          <c:x val="5.2777777777777778E-2"/>
          <c:y val="0.84834122538806356"/>
          <c:w val="0.9"/>
          <c:h val="0.13411802906080039"/>
        </c:manualLayout>
      </c:layout>
      <c:overlay val="0"/>
      <c:txPr>
        <a:bodyPr/>
        <a:lstStyle/>
        <a:p>
          <a:pPr>
            <a:defRPr sz="1000"/>
          </a:pPr>
          <a:endParaRPr lang="lv-LV"/>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603481782451177E-2"/>
          <c:y val="5.1400554097404488E-2"/>
          <c:w val="0.91690723525920925"/>
          <c:h val="0.73780596429971157"/>
        </c:manualLayout>
      </c:layout>
      <c:barChart>
        <c:barDir val="col"/>
        <c:grouping val="clustered"/>
        <c:varyColors val="0"/>
        <c:ser>
          <c:idx val="0"/>
          <c:order val="0"/>
          <c:tx>
            <c:strRef>
              <c:f>'2 graf'!$J$3</c:f>
              <c:strCache>
                <c:ptCount val="1"/>
                <c:pt idx="0">
                  <c:v>Produktivitāte</c:v>
                </c:pt>
              </c:strCache>
            </c:strRef>
          </c:tx>
          <c:invertIfNegative val="0"/>
          <c:cat>
            <c:numRef>
              <c:f>'2 graf'!$K$2:$W$2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'2 graf'!$K$3:$W$3</c:f>
              <c:numCache>
                <c:formatCode>0.0</c:formatCode>
                <c:ptCount val="13"/>
                <c:pt idx="0">
                  <c:v>-3.0981961</c:v>
                </c:pt>
                <c:pt idx="1">
                  <c:v>-0.44312289999999999</c:v>
                </c:pt>
                <c:pt idx="2">
                  <c:v>2.08816354</c:v>
                </c:pt>
                <c:pt idx="3">
                  <c:v>5.1219250799999996</c:v>
                </c:pt>
                <c:pt idx="4">
                  <c:v>2.5848384900000001</c:v>
                </c:pt>
                <c:pt idx="5">
                  <c:v>0.21567309000000001</c:v>
                </c:pt>
                <c:pt idx="6">
                  <c:v>2.13624408</c:v>
                </c:pt>
                <c:pt idx="7">
                  <c:v>2.6721133500000001</c:v>
                </c:pt>
                <c:pt idx="8">
                  <c:v>2.6938064599999998</c:v>
                </c:pt>
                <c:pt idx="9">
                  <c:v>3.07763571</c:v>
                </c:pt>
                <c:pt idx="10">
                  <c:v>2.3542484300000002</c:v>
                </c:pt>
                <c:pt idx="11">
                  <c:v>1.9598426</c:v>
                </c:pt>
                <c:pt idx="12">
                  <c:v>-1.7889724</c:v>
                </c:pt>
              </c:numCache>
            </c:numRef>
          </c:val>
          <c:extLst>
            <c:ext xmlns:c16="http://schemas.microsoft.com/office/drawing/2014/chart" uri="{C3380CC4-5D6E-409C-BE32-E72D297353CC}">
              <c16:uniqueId val="{00000000-B6E5-42DD-A063-E87D497FCF63}"/>
            </c:ext>
          </c:extLst>
        </c:ser>
        <c:dLbls>
          <c:showLegendKey val="0"/>
          <c:showVal val="0"/>
          <c:showCatName val="0"/>
          <c:showSerName val="0"/>
          <c:showPercent val="0"/>
          <c:showBubbleSize val="0"/>
        </c:dLbls>
        <c:gapWidth val="150"/>
        <c:axId val="387440128"/>
        <c:axId val="387440520"/>
      </c:barChart>
      <c:lineChart>
        <c:grouping val="standard"/>
        <c:varyColors val="0"/>
        <c:ser>
          <c:idx val="1"/>
          <c:order val="1"/>
          <c:tx>
            <c:strRef>
              <c:f>'2 graf'!$J$4</c:f>
              <c:strCache>
                <c:ptCount val="1"/>
                <c:pt idx="0">
                  <c:v>Reālā darba samaksa, %</c:v>
                </c:pt>
              </c:strCache>
            </c:strRef>
          </c:tx>
          <c:spPr>
            <a:ln>
              <a:solidFill>
                <a:srgbClr val="FF0000"/>
              </a:solidFill>
              <a:prstDash val="solid"/>
            </a:ln>
          </c:spPr>
          <c:marker>
            <c:symbol val="none"/>
          </c:marker>
          <c:dPt>
            <c:idx val="0"/>
            <c:bubble3D val="0"/>
            <c:extLst>
              <c:ext xmlns:c16="http://schemas.microsoft.com/office/drawing/2014/chart" uri="{C3380CC4-5D6E-409C-BE32-E72D297353CC}">
                <c16:uniqueId val="{00000001-B6E5-42DD-A063-E87D497FCF63}"/>
              </c:ext>
            </c:extLst>
          </c:dPt>
          <c:dPt>
            <c:idx val="1"/>
            <c:bubble3D val="0"/>
            <c:extLst>
              <c:ext xmlns:c16="http://schemas.microsoft.com/office/drawing/2014/chart" uri="{C3380CC4-5D6E-409C-BE32-E72D297353CC}">
                <c16:uniqueId val="{00000002-B6E5-42DD-A063-E87D497FCF63}"/>
              </c:ext>
            </c:extLst>
          </c:dPt>
          <c:dPt>
            <c:idx val="2"/>
            <c:bubble3D val="0"/>
            <c:extLst>
              <c:ext xmlns:c16="http://schemas.microsoft.com/office/drawing/2014/chart" uri="{C3380CC4-5D6E-409C-BE32-E72D297353CC}">
                <c16:uniqueId val="{00000003-B6E5-42DD-A063-E87D497FCF63}"/>
              </c:ext>
            </c:extLst>
          </c:dPt>
          <c:dPt>
            <c:idx val="3"/>
            <c:bubble3D val="0"/>
            <c:extLst>
              <c:ext xmlns:c16="http://schemas.microsoft.com/office/drawing/2014/chart" uri="{C3380CC4-5D6E-409C-BE32-E72D297353CC}">
                <c16:uniqueId val="{00000004-B6E5-42DD-A063-E87D497FCF63}"/>
              </c:ext>
            </c:extLst>
          </c:dPt>
          <c:dPt>
            <c:idx val="4"/>
            <c:bubble3D val="0"/>
            <c:extLst>
              <c:ext xmlns:c16="http://schemas.microsoft.com/office/drawing/2014/chart" uri="{C3380CC4-5D6E-409C-BE32-E72D297353CC}">
                <c16:uniqueId val="{00000005-B6E5-42DD-A063-E87D497FCF63}"/>
              </c:ext>
            </c:extLst>
          </c:dPt>
          <c:dPt>
            <c:idx val="5"/>
            <c:bubble3D val="0"/>
            <c:extLst>
              <c:ext xmlns:c16="http://schemas.microsoft.com/office/drawing/2014/chart" uri="{C3380CC4-5D6E-409C-BE32-E72D297353CC}">
                <c16:uniqueId val="{00000006-B6E5-42DD-A063-E87D497FCF63}"/>
              </c:ext>
            </c:extLst>
          </c:dPt>
          <c:dPt>
            <c:idx val="6"/>
            <c:bubble3D val="0"/>
            <c:extLst>
              <c:ext xmlns:c16="http://schemas.microsoft.com/office/drawing/2014/chart" uri="{C3380CC4-5D6E-409C-BE32-E72D297353CC}">
                <c16:uniqueId val="{00000007-B6E5-42DD-A063-E87D497FCF63}"/>
              </c:ext>
            </c:extLst>
          </c:dPt>
          <c:dPt>
            <c:idx val="7"/>
            <c:bubble3D val="0"/>
            <c:extLst>
              <c:ext xmlns:c16="http://schemas.microsoft.com/office/drawing/2014/chart" uri="{C3380CC4-5D6E-409C-BE32-E72D297353CC}">
                <c16:uniqueId val="{00000008-B6E5-42DD-A063-E87D497FCF63}"/>
              </c:ext>
            </c:extLst>
          </c:dPt>
          <c:dPt>
            <c:idx val="8"/>
            <c:bubble3D val="0"/>
            <c:extLst>
              <c:ext xmlns:c16="http://schemas.microsoft.com/office/drawing/2014/chart" uri="{C3380CC4-5D6E-409C-BE32-E72D297353CC}">
                <c16:uniqueId val="{00000009-B6E5-42DD-A063-E87D497FCF63}"/>
              </c:ext>
            </c:extLst>
          </c:dPt>
          <c:dPt>
            <c:idx val="9"/>
            <c:bubble3D val="0"/>
            <c:extLst>
              <c:ext xmlns:c16="http://schemas.microsoft.com/office/drawing/2014/chart" uri="{C3380CC4-5D6E-409C-BE32-E72D297353CC}">
                <c16:uniqueId val="{0000000A-B6E5-42DD-A063-E87D497FCF63}"/>
              </c:ext>
            </c:extLst>
          </c:dPt>
          <c:dPt>
            <c:idx val="10"/>
            <c:bubble3D val="0"/>
            <c:extLst>
              <c:ext xmlns:c16="http://schemas.microsoft.com/office/drawing/2014/chart" uri="{C3380CC4-5D6E-409C-BE32-E72D297353CC}">
                <c16:uniqueId val="{0000000B-B6E5-42DD-A063-E87D497FCF63}"/>
              </c:ext>
            </c:extLst>
          </c:dPt>
          <c:cat>
            <c:numRef>
              <c:f>'2 graf'!$K$2:$W$2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'2 graf'!$K$4:$W$4</c:f>
              <c:numCache>
                <c:formatCode>0.0</c:formatCode>
                <c:ptCount val="13"/>
                <c:pt idx="0">
                  <c:v>4.4287396937573664</c:v>
                </c:pt>
                <c:pt idx="1">
                  <c:v>-7.2202916068595746</c:v>
                </c:pt>
                <c:pt idx="2">
                  <c:v>-2.3294638420886193</c:v>
                </c:pt>
                <c:pt idx="3">
                  <c:v>-0.10854262716145646</c:v>
                </c:pt>
                <c:pt idx="4">
                  <c:v>1.4865954444668539</c:v>
                </c:pt>
                <c:pt idx="5">
                  <c:v>4.5835205719583216</c:v>
                </c:pt>
                <c:pt idx="6">
                  <c:v>6.1956816319993946</c:v>
                </c:pt>
                <c:pt idx="7">
                  <c:v>6.8</c:v>
                </c:pt>
                <c:pt idx="8">
                  <c:v>4.8</c:v>
                </c:pt>
                <c:pt idx="9">
                  <c:v>4.7</c:v>
                </c:pt>
                <c:pt idx="10">
                  <c:v>5.7</c:v>
                </c:pt>
                <c:pt idx="11">
                  <c:v>4.2</c:v>
                </c:pt>
                <c:pt idx="12">
                  <c:v>6</c:v>
                </c:pt>
              </c:numCache>
            </c:numRef>
          </c:val>
          <c:smooth val="1"/>
          <c:extLst>
            <c:ext xmlns:c16="http://schemas.microsoft.com/office/drawing/2014/chart" uri="{C3380CC4-5D6E-409C-BE32-E72D297353CC}">
              <c16:uniqueId val="{0000000C-B6E5-42DD-A063-E87D497FCF63}"/>
            </c:ext>
          </c:extLst>
        </c:ser>
        <c:dLbls>
          <c:showLegendKey val="0"/>
          <c:showVal val="0"/>
          <c:showCatName val="0"/>
          <c:showSerName val="0"/>
          <c:showPercent val="0"/>
          <c:showBubbleSize val="0"/>
        </c:dLbls>
        <c:marker val="1"/>
        <c:smooth val="0"/>
        <c:axId val="387440128"/>
        <c:axId val="387440520"/>
      </c:lineChart>
      <c:catAx>
        <c:axId val="387440128"/>
        <c:scaling>
          <c:orientation val="minMax"/>
        </c:scaling>
        <c:delete val="0"/>
        <c:axPos val="b"/>
        <c:numFmt formatCode="General" sourceLinked="1"/>
        <c:majorTickMark val="out"/>
        <c:minorTickMark val="none"/>
        <c:tickLblPos val="low"/>
        <c:crossAx val="387440520"/>
        <c:crosses val="autoZero"/>
        <c:auto val="1"/>
        <c:lblAlgn val="ctr"/>
        <c:lblOffset val="100"/>
        <c:noMultiLvlLbl val="0"/>
      </c:catAx>
      <c:valAx>
        <c:axId val="387440520"/>
        <c:scaling>
          <c:orientation val="minMax"/>
        </c:scaling>
        <c:delete val="0"/>
        <c:axPos val="l"/>
        <c:majorGridlines/>
        <c:numFmt formatCode="0" sourceLinked="0"/>
        <c:majorTickMark val="out"/>
        <c:minorTickMark val="none"/>
        <c:tickLblPos val="nextTo"/>
        <c:txPr>
          <a:bodyPr/>
          <a:lstStyle/>
          <a:p>
            <a:pPr>
              <a:defRPr sz="1000"/>
            </a:pPr>
            <a:endParaRPr lang="lv-LV"/>
          </a:p>
        </c:txPr>
        <c:crossAx val="387440128"/>
        <c:crosses val="autoZero"/>
        <c:crossBetween val="between"/>
      </c:valAx>
    </c:plotArea>
    <c:legend>
      <c:legendPos val="b"/>
      <c:layout>
        <c:manualLayout>
          <c:xMode val="edge"/>
          <c:yMode val="edge"/>
          <c:x val="5.2777777777777778E-2"/>
          <c:y val="0.89874203971515498"/>
          <c:w val="0.9"/>
          <c:h val="8.3717191601049873E-2"/>
        </c:manualLayout>
      </c:layout>
      <c:overlay val="0"/>
      <c:txPr>
        <a:bodyPr/>
        <a:lstStyle/>
        <a:p>
          <a:pPr>
            <a:defRPr sz="1000"/>
          </a:pPr>
          <a:endParaRPr lang="lv-LV"/>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Sheet1!$A$7</c:f>
              <c:strCache>
                <c:ptCount val="1"/>
                <c:pt idx="0">
                  <c:v>Finanšu ministrija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Sheet1!$B$2:$P$2</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Sheet1!$B$7:$P$7</c:f>
              <c:numCache>
                <c:formatCode>0.0</c:formatCode>
                <c:ptCount val="15"/>
                <c:pt idx="0">
                  <c:v>-11.308227230456168</c:v>
                </c:pt>
                <c:pt idx="1">
                  <c:v>-4.483350446030812</c:v>
                </c:pt>
                <c:pt idx="2">
                  <c:v>-0.54430396332428188</c:v>
                </c:pt>
                <c:pt idx="3">
                  <c:v>0.45659986993710788</c:v>
                </c:pt>
                <c:pt idx="4">
                  <c:v>0.11764701225675367</c:v>
                </c:pt>
                <c:pt idx="5">
                  <c:v>1.3981907650843794</c:v>
                </c:pt>
                <c:pt idx="6">
                  <c:v>1.0505132274025755</c:v>
                </c:pt>
                <c:pt idx="7">
                  <c:v>1.604354664570522</c:v>
                </c:pt>
                <c:pt idx="8">
                  <c:v>2.3249862737327049</c:v>
                </c:pt>
                <c:pt idx="9">
                  <c:v>1.4558531761210247</c:v>
                </c:pt>
                <c:pt idx="10">
                  <c:v>-3.9695322673430837</c:v>
                </c:pt>
                <c:pt idx="11">
                  <c:v>-3.0480169056474153</c:v>
                </c:pt>
                <c:pt idx="12">
                  <c:v>-0.90309433568107522</c:v>
                </c:pt>
                <c:pt idx="13">
                  <c:v>-0.12961131313950602</c:v>
                </c:pt>
                <c:pt idx="14">
                  <c:v>-3.5601451540159701E-2</c:v>
                </c:pt>
              </c:numCache>
            </c:numRef>
          </c:val>
          <c:smooth val="0"/>
          <c:extLst>
            <c:ext xmlns:c16="http://schemas.microsoft.com/office/drawing/2014/chart" uri="{C3380CC4-5D6E-409C-BE32-E72D297353CC}">
              <c16:uniqueId val="{00000000-BF6F-45BF-B08F-F734178DB452}"/>
            </c:ext>
          </c:extLst>
        </c:ser>
        <c:ser>
          <c:idx val="1"/>
          <c:order val="1"/>
          <c:tx>
            <c:strRef>
              <c:f>Sheet1!$A$8</c:f>
              <c:strCache>
                <c:ptCount val="1"/>
                <c:pt idx="0">
                  <c:v>Eiropas Komisija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Sheet1!$B$2:$P$2</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Sheet1!$B$8:$P$8</c:f>
              <c:numCache>
                <c:formatCode>0.0</c:formatCode>
                <c:ptCount val="15"/>
                <c:pt idx="0">
                  <c:v>-12.777775999999999</c:v>
                </c:pt>
                <c:pt idx="1">
                  <c:v>-6.133324</c:v>
                </c:pt>
                <c:pt idx="2">
                  <c:v>-2.2606229999999998</c:v>
                </c:pt>
                <c:pt idx="3">
                  <c:v>-0.65967900000000002</c:v>
                </c:pt>
                <c:pt idx="4">
                  <c:v>-0.93979699999999999</c:v>
                </c:pt>
                <c:pt idx="5">
                  <c:v>0.90264999999999995</c:v>
                </c:pt>
                <c:pt idx="6">
                  <c:v>1.470987</c:v>
                </c:pt>
                <c:pt idx="7">
                  <c:v>2.5394510000000001</c:v>
                </c:pt>
                <c:pt idx="8">
                  <c:v>4.0550160000000002</c:v>
                </c:pt>
                <c:pt idx="9">
                  <c:v>3.6456979999999999</c:v>
                </c:pt>
                <c:pt idx="10">
                  <c:v>-4.3791529999999996</c:v>
                </c:pt>
                <c:pt idx="11">
                  <c:v>-1.8771</c:v>
                </c:pt>
                <c:pt idx="12">
                  <c:v>-0.57633000000000001</c:v>
                </c:pt>
                <c:pt idx="13">
                  <c:v>0</c:v>
                </c:pt>
                <c:pt idx="14">
                  <c:v>0</c:v>
                </c:pt>
              </c:numCache>
            </c:numRef>
          </c:val>
          <c:smooth val="0"/>
          <c:extLst>
            <c:ext xmlns:c16="http://schemas.microsoft.com/office/drawing/2014/chart" uri="{C3380CC4-5D6E-409C-BE32-E72D297353CC}">
              <c16:uniqueId val="{00000001-BF6F-45BF-B08F-F734178DB452}"/>
            </c:ext>
          </c:extLst>
        </c:ser>
        <c:dLbls>
          <c:showLegendKey val="0"/>
          <c:showVal val="0"/>
          <c:showCatName val="0"/>
          <c:showSerName val="0"/>
          <c:showPercent val="0"/>
          <c:showBubbleSize val="0"/>
        </c:dLbls>
        <c:marker val="1"/>
        <c:smooth val="0"/>
        <c:axId val="149540224"/>
        <c:axId val="168707584"/>
      </c:lineChart>
      <c:catAx>
        <c:axId val="149540224"/>
        <c:scaling>
          <c:orientation val="minMax"/>
        </c:scaling>
        <c:delete val="0"/>
        <c:axPos val="b"/>
        <c:numFmt formatCode="General" sourceLinked="1"/>
        <c:majorTickMark val="none"/>
        <c:minorTickMark val="none"/>
        <c:tickLblPos val="low"/>
        <c:spPr>
          <a:noFill/>
          <a:ln w="9525" cap="flat" cmpd="sng" algn="ctr">
            <a:solidFill>
              <a:schemeClr val="tx1">
                <a:lumMod val="75000"/>
                <a:lumOff val="25000"/>
              </a:schemeClr>
            </a:solidFill>
            <a:round/>
          </a:ln>
          <a:effectLst/>
        </c:spPr>
        <c:txPr>
          <a:bodyPr rot="-60000000" vert="horz"/>
          <a:lstStyle/>
          <a:p>
            <a:pPr>
              <a:defRPr/>
            </a:pPr>
            <a:endParaRPr lang="lv-LV"/>
          </a:p>
        </c:txPr>
        <c:crossAx val="168707584"/>
        <c:crosses val="autoZero"/>
        <c:auto val="1"/>
        <c:lblAlgn val="ctr"/>
        <c:lblOffset val="100"/>
        <c:noMultiLvlLbl val="0"/>
      </c:catAx>
      <c:valAx>
        <c:axId val="168707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lv-LV"/>
          </a:p>
        </c:txPr>
        <c:crossAx val="149540224"/>
        <c:crosses val="autoZero"/>
        <c:crossBetween val="between"/>
      </c:valAx>
      <c:spPr>
        <a:noFill/>
        <a:ln>
          <a:noFill/>
        </a:ln>
        <a:effectLst/>
      </c:spPr>
    </c:plotArea>
    <c:legend>
      <c:legendPos val="b"/>
      <c:overlay val="0"/>
      <c:spPr>
        <a:noFill/>
        <a:ln>
          <a:noFill/>
        </a:ln>
        <a:effectLst/>
      </c:spPr>
      <c:txPr>
        <a:bodyPr rot="0" vert="horz"/>
        <a:lstStyle/>
        <a:p>
          <a:pPr>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45967259577902E-2"/>
          <c:y val="5.0925925925925923E-2"/>
          <c:w val="0.90230272042268844"/>
          <c:h val="0.75055920093321671"/>
        </c:manualLayout>
      </c:layout>
      <c:barChart>
        <c:barDir val="col"/>
        <c:grouping val="stacked"/>
        <c:varyColors val="0"/>
        <c:ser>
          <c:idx val="0"/>
          <c:order val="0"/>
          <c:tx>
            <c:strRef>
              <c:f>Sheet1!$A$3</c:f>
              <c:strCache>
                <c:ptCount val="1"/>
                <c:pt idx="0">
                  <c:v>Kopējā produktivitāte</c:v>
                </c:pt>
              </c:strCache>
            </c:strRef>
          </c:tx>
          <c:spPr>
            <a:solidFill>
              <a:schemeClr val="accent6"/>
            </a:solidFill>
            <a:ln>
              <a:noFill/>
            </a:ln>
            <a:effectLst/>
          </c:spPr>
          <c:invertIfNegative val="0"/>
          <c:cat>
            <c:numRef>
              <c:f>Sheet1!$B$2:$P$2</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Sheet1!$B$3:$P$3</c:f>
              <c:numCache>
                <c:formatCode>0.0</c:formatCode>
                <c:ptCount val="15"/>
                <c:pt idx="0">
                  <c:v>-0.52571051441923278</c:v>
                </c:pt>
                <c:pt idx="1">
                  <c:v>-0.85301493236529269</c:v>
                </c:pt>
                <c:pt idx="2">
                  <c:v>-1.1037131177891772</c:v>
                </c:pt>
                <c:pt idx="3">
                  <c:v>-0.65782578043279116</c:v>
                </c:pt>
                <c:pt idx="4">
                  <c:v>8.7728669430023887E-2</c:v>
                </c:pt>
                <c:pt idx="5">
                  <c:v>0.86168024649360864</c:v>
                </c:pt>
                <c:pt idx="6">
                  <c:v>1.3936282531027473</c:v>
                </c:pt>
                <c:pt idx="7">
                  <c:v>1.6641887982129375</c:v>
                </c:pt>
                <c:pt idx="8">
                  <c:v>1.7487787935021792</c:v>
                </c:pt>
                <c:pt idx="9">
                  <c:v>1.7281173218132506</c:v>
                </c:pt>
                <c:pt idx="10">
                  <c:v>1.001268516418591</c:v>
                </c:pt>
                <c:pt idx="11">
                  <c:v>1.2017455995294257</c:v>
                </c:pt>
                <c:pt idx="12">
                  <c:v>1.4003550253935018</c:v>
                </c:pt>
                <c:pt idx="13">
                  <c:v>1.6592857652128856</c:v>
                </c:pt>
                <c:pt idx="14">
                  <c:v>2.1500530041232881</c:v>
                </c:pt>
              </c:numCache>
            </c:numRef>
          </c:val>
          <c:extLst>
            <c:ext xmlns:c16="http://schemas.microsoft.com/office/drawing/2014/chart" uri="{C3380CC4-5D6E-409C-BE32-E72D297353CC}">
              <c16:uniqueId val="{00000000-83A0-400F-BB4A-D28B6A12FDA7}"/>
            </c:ext>
          </c:extLst>
        </c:ser>
        <c:ser>
          <c:idx val="1"/>
          <c:order val="1"/>
          <c:tx>
            <c:strRef>
              <c:f>Sheet1!$A$4</c:f>
              <c:strCache>
                <c:ptCount val="1"/>
                <c:pt idx="0">
                  <c:v>Darbaspēks</c:v>
                </c:pt>
              </c:strCache>
            </c:strRef>
          </c:tx>
          <c:spPr>
            <a:solidFill>
              <a:schemeClr val="accent2"/>
            </a:solidFill>
            <a:ln>
              <a:noFill/>
            </a:ln>
            <a:effectLst/>
          </c:spPr>
          <c:invertIfNegative val="0"/>
          <c:cat>
            <c:numRef>
              <c:f>Sheet1!$B$2:$P$2</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Sheet1!$B$4:$P$4</c:f>
              <c:numCache>
                <c:formatCode>0.0</c:formatCode>
                <c:ptCount val="15"/>
                <c:pt idx="0">
                  <c:v>-2.280258385898779</c:v>
                </c:pt>
                <c:pt idx="1">
                  <c:v>-1.6587592573220975</c:v>
                </c:pt>
                <c:pt idx="2">
                  <c:v>-0.78116085170243754</c:v>
                </c:pt>
                <c:pt idx="3">
                  <c:v>0.18152403166431627</c:v>
                </c:pt>
                <c:pt idx="4">
                  <c:v>-0.29551212788028708</c:v>
                </c:pt>
                <c:pt idx="5">
                  <c:v>0.47353148664483413</c:v>
                </c:pt>
                <c:pt idx="6">
                  <c:v>0.40206978162817891</c:v>
                </c:pt>
                <c:pt idx="7">
                  <c:v>8.0795472144856717E-4</c:v>
                </c:pt>
                <c:pt idx="8">
                  <c:v>0.39535014804243929</c:v>
                </c:pt>
                <c:pt idx="9">
                  <c:v>0.15238865663768736</c:v>
                </c:pt>
                <c:pt idx="10">
                  <c:v>-2.9459146204751364E-2</c:v>
                </c:pt>
                <c:pt idx="11">
                  <c:v>-7.9596473484757985E-2</c:v>
                </c:pt>
                <c:pt idx="12">
                  <c:v>-0.17526701233768804</c:v>
                </c:pt>
                <c:pt idx="13">
                  <c:v>-0.29327698778526212</c:v>
                </c:pt>
                <c:pt idx="14">
                  <c:v>-0.30377446595867003</c:v>
                </c:pt>
              </c:numCache>
            </c:numRef>
          </c:val>
          <c:extLst>
            <c:ext xmlns:c16="http://schemas.microsoft.com/office/drawing/2014/chart" uri="{C3380CC4-5D6E-409C-BE32-E72D297353CC}">
              <c16:uniqueId val="{00000001-83A0-400F-BB4A-D28B6A12FDA7}"/>
            </c:ext>
          </c:extLst>
        </c:ser>
        <c:ser>
          <c:idx val="2"/>
          <c:order val="2"/>
          <c:tx>
            <c:strRef>
              <c:f>Sheet1!$A$5</c:f>
              <c:strCache>
                <c:ptCount val="1"/>
                <c:pt idx="0">
                  <c:v>Kapitāls</c:v>
                </c:pt>
              </c:strCache>
            </c:strRef>
          </c:tx>
          <c:spPr>
            <a:solidFill>
              <a:schemeClr val="accent1"/>
            </a:solidFill>
            <a:ln>
              <a:noFill/>
            </a:ln>
            <a:effectLst/>
          </c:spPr>
          <c:invertIfNegative val="0"/>
          <c:cat>
            <c:numRef>
              <c:f>Sheet1!$B$2:$P$2</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Sheet1!$B$5:$P$5</c:f>
              <c:numCache>
                <c:formatCode>0.0</c:formatCode>
                <c:ptCount val="15"/>
                <c:pt idx="0">
                  <c:v>0.52193434270491468</c:v>
                </c:pt>
                <c:pt idx="1">
                  <c:v>1.3731811678066386</c:v>
                </c:pt>
                <c:pt idx="2">
                  <c:v>2.0075754740972585</c:v>
                </c:pt>
                <c:pt idx="3">
                  <c:v>1.7671141722657182</c:v>
                </c:pt>
                <c:pt idx="4">
                  <c:v>1.6236024159542359</c:v>
                </c:pt>
                <c:pt idx="5">
                  <c:v>1.3581606322152815</c:v>
                </c:pt>
                <c:pt idx="6">
                  <c:v>0.92944937608947165</c:v>
                </c:pt>
                <c:pt idx="7">
                  <c:v>1.0229078241586216</c:v>
                </c:pt>
                <c:pt idx="8">
                  <c:v>1.1475943424539459</c:v>
                </c:pt>
                <c:pt idx="9">
                  <c:v>1.0206226719922882</c:v>
                </c:pt>
                <c:pt idx="10">
                  <c:v>0.84943137940280944</c:v>
                </c:pt>
                <c:pt idx="11">
                  <c:v>0.8719816476355724</c:v>
                </c:pt>
                <c:pt idx="12">
                  <c:v>1.0119940615760719</c:v>
                </c:pt>
                <c:pt idx="13">
                  <c:v>0.99130196081733846</c:v>
                </c:pt>
                <c:pt idx="14">
                  <c:v>0.97004517072984053</c:v>
                </c:pt>
              </c:numCache>
            </c:numRef>
          </c:val>
          <c:extLst>
            <c:ext xmlns:c16="http://schemas.microsoft.com/office/drawing/2014/chart" uri="{C3380CC4-5D6E-409C-BE32-E72D297353CC}">
              <c16:uniqueId val="{00000002-83A0-400F-BB4A-D28B6A12FDA7}"/>
            </c:ext>
          </c:extLst>
        </c:ser>
        <c:dLbls>
          <c:showLegendKey val="0"/>
          <c:showVal val="0"/>
          <c:showCatName val="0"/>
          <c:showSerName val="0"/>
          <c:showPercent val="0"/>
          <c:showBubbleSize val="0"/>
        </c:dLbls>
        <c:gapWidth val="50"/>
        <c:overlap val="100"/>
        <c:axId val="184817536"/>
        <c:axId val="186519552"/>
      </c:barChart>
      <c:lineChart>
        <c:grouping val="stacked"/>
        <c:varyColors val="0"/>
        <c:ser>
          <c:idx val="3"/>
          <c:order val="3"/>
          <c:tx>
            <c:strRef>
              <c:f>Sheet1!$A$6</c:f>
              <c:strCache>
                <c:ptCount val="1"/>
                <c:pt idx="0">
                  <c:v>Potenciālais IKP</c:v>
                </c:pt>
              </c:strCache>
            </c:strRef>
          </c:tx>
          <c:spPr>
            <a:ln w="28575" cap="rnd">
              <a:solidFill>
                <a:schemeClr val="tx1">
                  <a:lumMod val="75000"/>
                  <a:lumOff val="25000"/>
                </a:schemeClr>
              </a:solidFill>
              <a:round/>
            </a:ln>
            <a:effectLst/>
          </c:spPr>
          <c:marker>
            <c:symbol val="circle"/>
            <c:size val="5"/>
            <c:spPr>
              <a:solidFill>
                <a:schemeClr val="tx1">
                  <a:lumMod val="75000"/>
                  <a:lumOff val="25000"/>
                </a:schemeClr>
              </a:solidFill>
              <a:ln w="9525">
                <a:noFill/>
              </a:ln>
              <a:effectLst/>
            </c:spPr>
          </c:marker>
          <c:cat>
            <c:numRef>
              <c:f>Sheet1!$B$2:$P$2</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Sheet1!$B$6:$P$6</c:f>
              <c:numCache>
                <c:formatCode>0.0</c:formatCode>
                <c:ptCount val="15"/>
                <c:pt idx="0">
                  <c:v>-2.2840345576130971</c:v>
                </c:pt>
                <c:pt idx="1">
                  <c:v>-1.1385930218807516</c:v>
                </c:pt>
                <c:pt idx="2">
                  <c:v>0.12270150460564366</c:v>
                </c:pt>
                <c:pt idx="3">
                  <c:v>1.2908124234972433</c:v>
                </c:pt>
                <c:pt idx="4">
                  <c:v>1.4158189575039728</c:v>
                </c:pt>
                <c:pt idx="5">
                  <c:v>2.6933723653537243</c:v>
                </c:pt>
                <c:pt idx="6">
                  <c:v>2.7251474108203979</c:v>
                </c:pt>
                <c:pt idx="7">
                  <c:v>2.6879045770930077</c:v>
                </c:pt>
                <c:pt idx="8">
                  <c:v>3.2917232839985644</c:v>
                </c:pt>
                <c:pt idx="9">
                  <c:v>2.9011286504432263</c:v>
                </c:pt>
                <c:pt idx="10">
                  <c:v>1.8212407496166492</c:v>
                </c:pt>
                <c:pt idx="11">
                  <c:v>1.9941307736802401</c:v>
                </c:pt>
                <c:pt idx="12">
                  <c:v>2.2370820746318856</c:v>
                </c:pt>
                <c:pt idx="13">
                  <c:v>2.3573107382449621</c:v>
                </c:pt>
                <c:pt idx="14">
                  <c:v>2.8163237088944584</c:v>
                </c:pt>
              </c:numCache>
            </c:numRef>
          </c:val>
          <c:smooth val="0"/>
          <c:extLst>
            <c:ext xmlns:c16="http://schemas.microsoft.com/office/drawing/2014/chart" uri="{C3380CC4-5D6E-409C-BE32-E72D297353CC}">
              <c16:uniqueId val="{00000003-83A0-400F-BB4A-D28B6A12FDA7}"/>
            </c:ext>
          </c:extLst>
        </c:ser>
        <c:dLbls>
          <c:showLegendKey val="0"/>
          <c:showVal val="0"/>
          <c:showCatName val="0"/>
          <c:showSerName val="0"/>
          <c:showPercent val="0"/>
          <c:showBubbleSize val="0"/>
        </c:dLbls>
        <c:marker val="1"/>
        <c:smooth val="0"/>
        <c:axId val="184817536"/>
        <c:axId val="186519552"/>
      </c:lineChart>
      <c:catAx>
        <c:axId val="184817536"/>
        <c:scaling>
          <c:orientation val="minMax"/>
        </c:scaling>
        <c:delete val="0"/>
        <c:axPos val="b"/>
        <c:numFmt formatCode="General" sourceLinked="1"/>
        <c:majorTickMark val="none"/>
        <c:minorTickMark val="none"/>
        <c:tickLblPos val="low"/>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lv-LV"/>
          </a:p>
        </c:txPr>
        <c:crossAx val="186519552"/>
        <c:crosses val="autoZero"/>
        <c:auto val="1"/>
        <c:lblAlgn val="ctr"/>
        <c:lblOffset val="100"/>
        <c:noMultiLvlLbl val="0"/>
      </c:catAx>
      <c:valAx>
        <c:axId val="186519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lv-LV"/>
          </a:p>
        </c:txPr>
        <c:crossAx val="184817536"/>
        <c:crosses val="autoZero"/>
        <c:crossBetween val="between"/>
      </c:valAx>
      <c:spPr>
        <a:noFill/>
        <a:ln>
          <a:noFill/>
        </a:ln>
        <a:effectLst/>
      </c:spPr>
    </c:plotArea>
    <c:legend>
      <c:legendPos val="b"/>
      <c:layout>
        <c:manualLayout>
          <c:xMode val="edge"/>
          <c:yMode val="edge"/>
          <c:x val="0"/>
          <c:y val="0.91257655293088369"/>
          <c:w val="1"/>
          <c:h val="8.7423447069116367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050"/>
      </a:pPr>
      <a:endParaRPr lang="lv-LV"/>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530135208050968E-2"/>
          <c:y val="6.4883560110084879E-2"/>
          <c:w val="0.66849251221032635"/>
          <c:h val="0.83706576183019776"/>
        </c:manualLayout>
      </c:layout>
      <c:barChart>
        <c:barDir val="col"/>
        <c:grouping val="clustered"/>
        <c:varyColors val="0"/>
        <c:ser>
          <c:idx val="0"/>
          <c:order val="0"/>
          <c:tx>
            <c:strRef>
              <c:f>Dati!$A$13</c:f>
              <c:strCache>
                <c:ptCount val="1"/>
                <c:pt idx="0">
                  <c:v>Patēriņa nodokļi</c:v>
                </c:pt>
              </c:strCache>
            </c:strRef>
          </c:tx>
          <c:spPr>
            <a:solidFill>
              <a:schemeClr val="accent1">
                <a:tint val="65000"/>
              </a:schemeClr>
            </a:solidFill>
            <a:ln>
              <a:noFill/>
            </a:ln>
            <a:effectLst/>
          </c:spPr>
          <c:invertIfNegative val="0"/>
          <c:cat>
            <c:numRef>
              <c:f>Dati!$F$1:$M$1</c:f>
              <c:numCache>
                <c:formatCode>General</c:formatCode>
                <c:ptCount val="5"/>
                <c:pt idx="0">
                  <c:v>2020</c:v>
                </c:pt>
                <c:pt idx="1">
                  <c:v>2021</c:v>
                </c:pt>
                <c:pt idx="2">
                  <c:v>2022</c:v>
                </c:pt>
                <c:pt idx="3">
                  <c:v>2023</c:v>
                </c:pt>
                <c:pt idx="4">
                  <c:v>2024</c:v>
                </c:pt>
              </c:numCache>
            </c:numRef>
          </c:cat>
          <c:val>
            <c:numRef>
              <c:f>Dati!$F$13:$M$13</c:f>
              <c:numCache>
                <c:formatCode>0.0%</c:formatCode>
                <c:ptCount val="5"/>
                <c:pt idx="0">
                  <c:v>0.13482316602397681</c:v>
                </c:pt>
                <c:pt idx="1">
                  <c:v>0.13748155085593475</c:v>
                </c:pt>
                <c:pt idx="2">
                  <c:v>0.13786445861379176</c:v>
                </c:pt>
                <c:pt idx="3">
                  <c:v>0.13791444074274514</c:v>
                </c:pt>
                <c:pt idx="4">
                  <c:v>0.13779618357968751</c:v>
                </c:pt>
              </c:numCache>
            </c:numRef>
          </c:val>
          <c:extLst>
            <c:ext xmlns:c16="http://schemas.microsoft.com/office/drawing/2014/chart" uri="{C3380CC4-5D6E-409C-BE32-E72D297353CC}">
              <c16:uniqueId val="{00000000-21C4-4460-84A0-0CF2C7697741}"/>
            </c:ext>
          </c:extLst>
        </c:ser>
        <c:ser>
          <c:idx val="1"/>
          <c:order val="1"/>
          <c:tx>
            <c:strRef>
              <c:f>Dati!$A$14</c:f>
              <c:strCache>
                <c:ptCount val="1"/>
                <c:pt idx="0">
                  <c:v>Darba nodokļi</c:v>
                </c:pt>
              </c:strCache>
            </c:strRef>
          </c:tx>
          <c:spPr>
            <a:solidFill>
              <a:schemeClr val="accent2">
                <a:lumMod val="60000"/>
                <a:lumOff val="40000"/>
              </a:schemeClr>
            </a:solidFill>
            <a:ln>
              <a:noFill/>
            </a:ln>
            <a:effectLst/>
          </c:spPr>
          <c:invertIfNegative val="0"/>
          <c:cat>
            <c:numRef>
              <c:f>Dati!$F$1:$M$1</c:f>
              <c:numCache>
                <c:formatCode>General</c:formatCode>
                <c:ptCount val="5"/>
                <c:pt idx="0">
                  <c:v>2020</c:v>
                </c:pt>
                <c:pt idx="1">
                  <c:v>2021</c:v>
                </c:pt>
                <c:pt idx="2">
                  <c:v>2022</c:v>
                </c:pt>
                <c:pt idx="3">
                  <c:v>2023</c:v>
                </c:pt>
                <c:pt idx="4">
                  <c:v>2024</c:v>
                </c:pt>
              </c:numCache>
            </c:numRef>
          </c:cat>
          <c:val>
            <c:numRef>
              <c:f>Dati!$F$14:$M$14</c:f>
              <c:numCache>
                <c:formatCode>0.0%</c:formatCode>
                <c:ptCount val="5"/>
                <c:pt idx="0">
                  <c:v>0.14868704844633091</c:v>
                </c:pt>
                <c:pt idx="1">
                  <c:v>0.14539895151616694</c:v>
                </c:pt>
                <c:pt idx="2">
                  <c:v>0.14585002263425065</c:v>
                </c:pt>
                <c:pt idx="3">
                  <c:v>0.14604535583093278</c:v>
                </c:pt>
                <c:pt idx="4">
                  <c:v>0.14587160374218128</c:v>
                </c:pt>
              </c:numCache>
            </c:numRef>
          </c:val>
          <c:extLst>
            <c:ext xmlns:c16="http://schemas.microsoft.com/office/drawing/2014/chart" uri="{C3380CC4-5D6E-409C-BE32-E72D297353CC}">
              <c16:uniqueId val="{00000001-21C4-4460-84A0-0CF2C7697741}"/>
            </c:ext>
          </c:extLst>
        </c:ser>
        <c:ser>
          <c:idx val="2"/>
          <c:order val="2"/>
          <c:tx>
            <c:strRef>
              <c:f>Dati!$A$15</c:f>
              <c:strCache>
                <c:ptCount val="1"/>
                <c:pt idx="0">
                  <c:v>Kapitāla nodokļi</c:v>
                </c:pt>
              </c:strCache>
            </c:strRef>
          </c:tx>
          <c:spPr>
            <a:solidFill>
              <a:schemeClr val="accent1">
                <a:shade val="65000"/>
              </a:schemeClr>
            </a:solidFill>
            <a:ln>
              <a:noFill/>
            </a:ln>
            <a:effectLst/>
          </c:spPr>
          <c:invertIfNegative val="0"/>
          <c:cat>
            <c:numRef>
              <c:f>Dati!$F$1:$M$1</c:f>
              <c:numCache>
                <c:formatCode>General</c:formatCode>
                <c:ptCount val="5"/>
                <c:pt idx="0">
                  <c:v>2020</c:v>
                </c:pt>
                <c:pt idx="1">
                  <c:v>2021</c:v>
                </c:pt>
                <c:pt idx="2">
                  <c:v>2022</c:v>
                </c:pt>
                <c:pt idx="3">
                  <c:v>2023</c:v>
                </c:pt>
                <c:pt idx="4">
                  <c:v>2024</c:v>
                </c:pt>
              </c:numCache>
            </c:numRef>
          </c:cat>
          <c:val>
            <c:numRef>
              <c:f>Dati!$F$15:$M$15</c:f>
              <c:numCache>
                <c:formatCode>0.0%</c:formatCode>
                <c:ptCount val="5"/>
                <c:pt idx="0">
                  <c:v>3.0686580873894184E-2</c:v>
                </c:pt>
                <c:pt idx="1">
                  <c:v>3.1680253979064495E-2</c:v>
                </c:pt>
                <c:pt idx="2">
                  <c:v>3.2014045155352902E-2</c:v>
                </c:pt>
                <c:pt idx="3">
                  <c:v>3.1451684717453632E-2</c:v>
                </c:pt>
                <c:pt idx="4">
                  <c:v>3.0987738512036098E-2</c:v>
                </c:pt>
              </c:numCache>
            </c:numRef>
          </c:val>
          <c:extLst>
            <c:ext xmlns:c16="http://schemas.microsoft.com/office/drawing/2014/chart" uri="{C3380CC4-5D6E-409C-BE32-E72D297353CC}">
              <c16:uniqueId val="{00000002-21C4-4460-84A0-0CF2C7697741}"/>
            </c:ext>
          </c:extLst>
        </c:ser>
        <c:dLbls>
          <c:showLegendKey val="0"/>
          <c:showVal val="0"/>
          <c:showCatName val="0"/>
          <c:showSerName val="0"/>
          <c:showPercent val="0"/>
          <c:showBubbleSize val="0"/>
        </c:dLbls>
        <c:gapWidth val="150"/>
        <c:axId val="269516320"/>
        <c:axId val="269516704"/>
      </c:barChart>
      <c:catAx>
        <c:axId val="26951632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v-LV"/>
          </a:p>
        </c:txPr>
        <c:crossAx val="269516704"/>
        <c:crosses val="autoZero"/>
        <c:auto val="1"/>
        <c:lblAlgn val="ctr"/>
        <c:lblOffset val="100"/>
        <c:noMultiLvlLbl val="0"/>
      </c:catAx>
      <c:valAx>
        <c:axId val="269516704"/>
        <c:scaling>
          <c:orientation val="minMax"/>
          <c:max val="0.16"/>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v-LV"/>
          </a:p>
        </c:txPr>
        <c:crossAx val="269516320"/>
        <c:crosses val="autoZero"/>
        <c:crossBetween val="between"/>
        <c:majorUnit val="2.0000000000000011E-2"/>
      </c:valAx>
      <c:spPr>
        <a:solidFill>
          <a:schemeClr val="bg1"/>
        </a:solidFill>
        <a:ln>
          <a:noFill/>
        </a:ln>
        <a:effectLst/>
      </c:spPr>
    </c:plotArea>
    <c:legend>
      <c:legendPos val="r"/>
      <c:layout>
        <c:manualLayout>
          <c:xMode val="edge"/>
          <c:yMode val="edge"/>
          <c:x val="0.76270684034911418"/>
          <c:y val="0.42574686504791015"/>
          <c:w val="0.22166966299403001"/>
          <c:h val="0.161219096450528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v-LV"/>
        </a:p>
      </c:txPr>
    </c:legend>
    <c:plotVisOnly val="1"/>
    <c:dispBlanksAs val="gap"/>
    <c:showDLblsOverMax val="0"/>
  </c:chart>
  <c:spPr>
    <a:solidFill>
      <a:schemeClr val="bg1"/>
    </a:solidFill>
    <a:ln w="9525" cap="flat" cmpd="sng" algn="ctr">
      <a:noFill/>
      <a:prstDash val="solid"/>
      <a:round/>
    </a:ln>
    <a:effectLst/>
  </c:spPr>
  <c:txPr>
    <a:bodyPr/>
    <a:lstStyle/>
    <a:p>
      <a:pPr>
        <a:defRPr sz="1000">
          <a:latin typeface="Times New Roman" pitchFamily="18" charset="0"/>
          <a:cs typeface="Times New Roman"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0.73092</cdr:x>
      <cdr:y>0.04861</cdr:y>
    </cdr:from>
    <cdr:to>
      <cdr:x>0.73092</cdr:x>
      <cdr:y>0.77083</cdr:y>
    </cdr:to>
    <cdr:cxnSp macro="">
      <cdr:nvCxnSpPr>
        <cdr:cNvPr id="2" name="Straight Connector 1"/>
        <cdr:cNvCxnSpPr/>
      </cdr:nvCxnSpPr>
      <cdr:spPr>
        <a:xfrm xmlns:a="http://schemas.openxmlformats.org/drawingml/2006/main" flipV="1">
          <a:off x="3834190" y="133350"/>
          <a:ext cx="0" cy="19812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0.72957</cdr:x>
      <cdr:y>0.04732</cdr:y>
    </cdr:from>
    <cdr:to>
      <cdr:x>0.72957</cdr:x>
      <cdr:y>0.79861</cdr:y>
    </cdr:to>
    <cdr:cxnSp macro="">
      <cdr:nvCxnSpPr>
        <cdr:cNvPr id="4" name="Straight Connector 3"/>
        <cdr:cNvCxnSpPr/>
      </cdr:nvCxnSpPr>
      <cdr:spPr>
        <a:xfrm xmlns:a="http://schemas.openxmlformats.org/drawingml/2006/main" flipV="1">
          <a:off x="3808606" y="129803"/>
          <a:ext cx="0" cy="206094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2021-04-05T00:00:00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4C705F-C654-49FC-BFB5-A6A4A2CBB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95</Pages>
  <Words>142102</Words>
  <Characters>80999</Characters>
  <Application>Microsoft Office Word</Application>
  <DocSecurity>0</DocSecurity>
  <Lines>674</Lines>
  <Paragraphs>445</Paragraphs>
  <ScaleCrop>false</ScaleCrop>
  <HeadingPairs>
    <vt:vector size="2" baseType="variant">
      <vt:variant>
        <vt:lpstr>Title</vt:lpstr>
      </vt:variant>
      <vt:variant>
        <vt:i4>1</vt:i4>
      </vt:variant>
    </vt:vector>
  </HeadingPairs>
  <TitlesOfParts>
    <vt:vector size="1" baseType="lpstr">
      <vt:lpstr>Latvijas Stabilitātes programma 2021.-2024. gadam</vt:lpstr>
    </vt:vector>
  </TitlesOfParts>
  <Company>Finanšu ministrija</Company>
  <LinksUpToDate>false</LinksUpToDate>
  <CharactersWithSpaces>222656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Stabilitātes programma 2021.-2024. gadam</dc:title>
  <dc:subject/>
  <dc:creator>Anna Deksne</dc:creator>
  <cp:keywords/>
  <dc:description>67083823
Anna.Deksne@fm.gov.lv</dc:description>
  <cp:lastModifiedBy>Anna Deksne</cp:lastModifiedBy>
  <cp:revision>9</cp:revision>
  <dcterms:created xsi:type="dcterms:W3CDTF">2021-04-06T10:42:00Z</dcterms:created>
  <dcterms:modified xsi:type="dcterms:W3CDTF">2021-04-07T09:33:00Z</dcterms:modified>
</cp:coreProperties>
</file>