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1008" w14:textId="77777777" w:rsidR="009C238F" w:rsidRPr="00984006" w:rsidRDefault="009C238F" w:rsidP="009C238F">
      <w:pPr>
        <w:jc w:val="center"/>
        <w:rPr>
          <w:rFonts w:eastAsia="Times New Roman" w:cs="Times New Roman"/>
          <w:b/>
          <w:sz w:val="28"/>
          <w:szCs w:val="28"/>
          <w:lang w:eastAsia="lv-LV"/>
        </w:rPr>
      </w:pPr>
      <w:r w:rsidRPr="00984006">
        <w:rPr>
          <w:rFonts w:eastAsia="Times New Roman" w:cs="Times New Roman"/>
          <w:b/>
          <w:sz w:val="28"/>
          <w:szCs w:val="28"/>
          <w:lang w:eastAsia="lv-LV"/>
        </w:rPr>
        <w:t>Izziņa par atzinumos sniegtajiem iebildumiem</w:t>
      </w:r>
    </w:p>
    <w:p w14:paraId="0F79E00C" w14:textId="77777777" w:rsidR="00417FEF" w:rsidRPr="00984006" w:rsidRDefault="00E72CD0" w:rsidP="009C238F">
      <w:pPr>
        <w:jc w:val="center"/>
        <w:rPr>
          <w:rFonts w:eastAsia="Times New Roman" w:cs="Times New Roman"/>
          <w:b/>
          <w:bCs/>
          <w:sz w:val="28"/>
          <w:szCs w:val="24"/>
          <w:lang w:eastAsia="lv-LV"/>
        </w:rPr>
      </w:pPr>
      <w:r w:rsidRPr="00984006">
        <w:rPr>
          <w:rFonts w:eastAsia="Times New Roman" w:cs="Times New Roman"/>
          <w:b/>
          <w:bCs/>
          <w:sz w:val="28"/>
          <w:szCs w:val="24"/>
          <w:lang w:eastAsia="lv-LV"/>
        </w:rPr>
        <w:t xml:space="preserve">noteikumu projektam </w:t>
      </w:r>
      <w:r w:rsidR="001D13B5">
        <w:rPr>
          <w:rFonts w:eastAsia="Times New Roman" w:cs="Times New Roman"/>
          <w:b/>
          <w:bCs/>
          <w:sz w:val="28"/>
          <w:szCs w:val="24"/>
          <w:lang w:eastAsia="lv-LV"/>
        </w:rPr>
        <w:t>“</w:t>
      </w:r>
      <w:r w:rsidR="00B33858" w:rsidRPr="00B33858">
        <w:rPr>
          <w:rFonts w:eastAsia="Times New Roman" w:cs="Times New Roman"/>
          <w:b/>
          <w:bCs/>
          <w:sz w:val="28"/>
          <w:szCs w:val="24"/>
          <w:lang w:eastAsia="lv-LV"/>
        </w:rPr>
        <w:t>Grozījumi Ministru kabineta 2018. gada 30. oktobra noteikumos Nr. 661 “Kārtība, kādā maksā nodokļus, nodevas, citus valsts noteiktos maksājumus un ar tiem saistītos maksājumus un novirza tos saistību segšanai”</w:t>
      </w:r>
      <w:r w:rsidR="001D13B5">
        <w:rPr>
          <w:rFonts w:eastAsia="Times New Roman" w:cs="Times New Roman"/>
          <w:b/>
          <w:bCs/>
          <w:sz w:val="28"/>
          <w:szCs w:val="24"/>
          <w:lang w:eastAsia="lv-LV"/>
        </w:rPr>
        <w:t>”</w:t>
      </w:r>
      <w:r w:rsidR="001D13B5" w:rsidRPr="001D13B5">
        <w:rPr>
          <w:rFonts w:eastAsia="Times New Roman" w:cs="Times New Roman"/>
          <w:b/>
          <w:bCs/>
          <w:sz w:val="28"/>
          <w:szCs w:val="24"/>
          <w:lang w:eastAsia="lv-LV"/>
        </w:rPr>
        <w:t xml:space="preserve"> </w:t>
      </w:r>
      <w:r w:rsidR="00B33858">
        <w:rPr>
          <w:rFonts w:eastAsia="Times New Roman" w:cs="Times New Roman"/>
          <w:b/>
          <w:bCs/>
          <w:sz w:val="28"/>
          <w:szCs w:val="24"/>
          <w:lang w:eastAsia="lv-LV"/>
        </w:rPr>
        <w:t xml:space="preserve">    </w:t>
      </w:r>
      <w:r w:rsidRPr="00984006">
        <w:rPr>
          <w:rFonts w:eastAsia="Times New Roman" w:cs="Times New Roman"/>
          <w:b/>
          <w:bCs/>
          <w:sz w:val="28"/>
          <w:szCs w:val="24"/>
          <w:lang w:eastAsia="lv-LV"/>
        </w:rPr>
        <w:t>(VSS-</w:t>
      </w:r>
      <w:r w:rsidR="00B33858">
        <w:rPr>
          <w:rFonts w:eastAsia="Times New Roman" w:cs="Times New Roman"/>
          <w:b/>
          <w:bCs/>
          <w:sz w:val="28"/>
          <w:szCs w:val="24"/>
          <w:lang w:eastAsia="lv-LV"/>
        </w:rPr>
        <w:t>98</w:t>
      </w:r>
      <w:r w:rsidRPr="00984006">
        <w:rPr>
          <w:rFonts w:eastAsia="Times New Roman" w:cs="Times New Roman"/>
          <w:b/>
          <w:bCs/>
          <w:sz w:val="28"/>
          <w:szCs w:val="24"/>
          <w:lang w:eastAsia="lv-LV"/>
        </w:rPr>
        <w:t>)</w:t>
      </w:r>
    </w:p>
    <w:p w14:paraId="5194D75E" w14:textId="77777777" w:rsidR="00E72CD0" w:rsidRPr="00984006" w:rsidRDefault="00E72CD0" w:rsidP="009C238F">
      <w:pPr>
        <w:jc w:val="center"/>
        <w:rPr>
          <w:rFonts w:eastAsia="Times New Roman" w:cs="Times New Roman"/>
          <w:b/>
          <w:sz w:val="28"/>
          <w:szCs w:val="28"/>
          <w:lang w:eastAsia="lv-LV"/>
        </w:rPr>
      </w:pPr>
    </w:p>
    <w:p w14:paraId="56171507" w14:textId="77777777" w:rsidR="00417FEF" w:rsidRPr="00984006" w:rsidRDefault="00417FEF" w:rsidP="00417FEF">
      <w:pPr>
        <w:jc w:val="center"/>
        <w:rPr>
          <w:rFonts w:eastAsia="Times New Roman" w:cs="Times New Roman"/>
          <w:b/>
          <w:szCs w:val="24"/>
          <w:lang w:eastAsia="lv-LV"/>
        </w:rPr>
      </w:pPr>
      <w:r w:rsidRPr="00984006">
        <w:rPr>
          <w:rFonts w:eastAsia="Times New Roman" w:cs="Times New Roman"/>
          <w:b/>
          <w:szCs w:val="24"/>
          <w:lang w:eastAsia="lv-LV"/>
        </w:rPr>
        <w:t>I. Jautājumi, par kuriem saskaņošanā vienošanās nav panākta</w:t>
      </w:r>
    </w:p>
    <w:p w14:paraId="4E8E8C40" w14:textId="77777777" w:rsidR="00417FEF" w:rsidRPr="00984006" w:rsidRDefault="00417FEF" w:rsidP="009C238F">
      <w:pPr>
        <w:jc w:val="center"/>
        <w:rPr>
          <w:rFonts w:eastAsia="Times New Roman" w:cs="Times New Roman"/>
          <w:sz w:val="28"/>
          <w:szCs w:val="28"/>
          <w:lang w:eastAsia="lv-LV"/>
        </w:rPr>
      </w:pPr>
    </w:p>
    <w:tbl>
      <w:tblPr>
        <w:tblStyle w:val="TableGrid"/>
        <w:tblpPr w:leftFromText="180" w:rightFromText="180" w:vertAnchor="text" w:horzAnchor="margin" w:tblpY="31"/>
        <w:tblW w:w="15446" w:type="dxa"/>
        <w:tblLayout w:type="fixed"/>
        <w:tblLook w:val="04A0" w:firstRow="1" w:lastRow="0" w:firstColumn="1" w:lastColumn="0" w:noHBand="0" w:noVBand="1"/>
      </w:tblPr>
      <w:tblGrid>
        <w:gridCol w:w="704"/>
        <w:gridCol w:w="2268"/>
        <w:gridCol w:w="3544"/>
        <w:gridCol w:w="3969"/>
        <w:gridCol w:w="3118"/>
        <w:gridCol w:w="1843"/>
      </w:tblGrid>
      <w:tr w:rsidR="00417FEF" w:rsidRPr="00984006" w14:paraId="39636E73" w14:textId="77777777" w:rsidTr="00F00D1F">
        <w:tc>
          <w:tcPr>
            <w:tcW w:w="704" w:type="dxa"/>
          </w:tcPr>
          <w:p w14:paraId="4DA763DE" w14:textId="77777777" w:rsidR="00417FEF" w:rsidRPr="00984006" w:rsidRDefault="00417FEF" w:rsidP="00417FEF">
            <w:pPr>
              <w:jc w:val="center"/>
            </w:pPr>
            <w:r w:rsidRPr="00984006">
              <w:t>Nr. p.k.</w:t>
            </w:r>
          </w:p>
        </w:tc>
        <w:tc>
          <w:tcPr>
            <w:tcW w:w="2268" w:type="dxa"/>
          </w:tcPr>
          <w:p w14:paraId="29AF15B7" w14:textId="77777777" w:rsidR="00417FEF" w:rsidRPr="00984006" w:rsidRDefault="00417FEF" w:rsidP="00417FEF">
            <w:pPr>
              <w:jc w:val="center"/>
            </w:pPr>
            <w:r w:rsidRPr="00984006">
              <w:t>Saskaņošanai nosūtītā projekta redakcija (konkrēta punkta (panta) redakcija)</w:t>
            </w:r>
          </w:p>
        </w:tc>
        <w:tc>
          <w:tcPr>
            <w:tcW w:w="3544" w:type="dxa"/>
          </w:tcPr>
          <w:p w14:paraId="3CE0CDB2" w14:textId="77777777" w:rsidR="00417FEF" w:rsidRPr="00984006" w:rsidRDefault="00417FEF" w:rsidP="00417FEF">
            <w:pPr>
              <w:jc w:val="center"/>
            </w:pPr>
            <w:r w:rsidRPr="00984006">
              <w:t>Atzinumā norādītais ministrijas (citas institūcijas) iebildums, kā arī saskaņošanā papildus izteiktais iebildums par projekta konkrēto punktu (pantu)</w:t>
            </w:r>
          </w:p>
        </w:tc>
        <w:tc>
          <w:tcPr>
            <w:tcW w:w="3969" w:type="dxa"/>
          </w:tcPr>
          <w:p w14:paraId="173FF2B1" w14:textId="77777777" w:rsidR="00417FEF" w:rsidRPr="00984006" w:rsidRDefault="00403F45" w:rsidP="00417FEF">
            <w:pPr>
              <w:jc w:val="center"/>
            </w:pPr>
            <w:r w:rsidRPr="00984006">
              <w:rPr>
                <w:rFonts w:eastAsia="Times New Roman" w:cs="Times New Roman"/>
                <w:szCs w:val="24"/>
                <w:lang w:eastAsia="lv-LV"/>
              </w:rPr>
              <w:t>Atbildīgās ministrijas pamatojums iebilduma noraidījumam</w:t>
            </w:r>
          </w:p>
        </w:tc>
        <w:tc>
          <w:tcPr>
            <w:tcW w:w="3118" w:type="dxa"/>
          </w:tcPr>
          <w:p w14:paraId="0B4E3FA7" w14:textId="77777777" w:rsidR="00417FEF" w:rsidRPr="00984006" w:rsidRDefault="00417FEF" w:rsidP="00417FEF">
            <w:pPr>
              <w:jc w:val="both"/>
            </w:pPr>
            <w:r w:rsidRPr="00984006">
              <w:rPr>
                <w:rFonts w:eastAsia="Times New Roman" w:cs="Times New Roman"/>
                <w:szCs w:val="24"/>
                <w:lang w:eastAsia="lv-LV"/>
              </w:rPr>
              <w:t>Atzinuma sniedzēja uzturētais iebildums, ja tas atšķiras no atzinumā norādītā iebilduma pamatojuma</w:t>
            </w:r>
          </w:p>
        </w:tc>
        <w:tc>
          <w:tcPr>
            <w:tcW w:w="1843" w:type="dxa"/>
          </w:tcPr>
          <w:p w14:paraId="53ECAADB" w14:textId="77777777" w:rsidR="00417FEF" w:rsidRPr="00984006" w:rsidRDefault="00417FEF" w:rsidP="00417FEF">
            <w:pPr>
              <w:jc w:val="both"/>
            </w:pPr>
            <w:r w:rsidRPr="00984006">
              <w:t>Projekta attiecīgā punkta (panta) galīgā redakcija</w:t>
            </w:r>
          </w:p>
        </w:tc>
      </w:tr>
      <w:tr w:rsidR="00417FEF" w:rsidRPr="00984006" w14:paraId="684EB61A" w14:textId="77777777" w:rsidTr="00F00D1F">
        <w:tc>
          <w:tcPr>
            <w:tcW w:w="704" w:type="dxa"/>
            <w:vAlign w:val="center"/>
          </w:tcPr>
          <w:p w14:paraId="3690F1EB" w14:textId="77777777" w:rsidR="00417FEF" w:rsidRPr="00984006" w:rsidRDefault="00F10D01" w:rsidP="00417FEF">
            <w:pPr>
              <w:jc w:val="center"/>
            </w:pPr>
            <w:r w:rsidRPr="00984006">
              <w:t>1</w:t>
            </w:r>
          </w:p>
        </w:tc>
        <w:tc>
          <w:tcPr>
            <w:tcW w:w="2268" w:type="dxa"/>
            <w:vAlign w:val="center"/>
          </w:tcPr>
          <w:p w14:paraId="719D8A6D" w14:textId="77777777" w:rsidR="00417FEF" w:rsidRPr="00984006" w:rsidRDefault="00417FEF" w:rsidP="00417FEF">
            <w:pPr>
              <w:jc w:val="center"/>
            </w:pPr>
            <w:r w:rsidRPr="00984006">
              <w:t>2</w:t>
            </w:r>
          </w:p>
        </w:tc>
        <w:tc>
          <w:tcPr>
            <w:tcW w:w="3544" w:type="dxa"/>
            <w:vAlign w:val="center"/>
          </w:tcPr>
          <w:p w14:paraId="43D4716E" w14:textId="77777777" w:rsidR="00417FEF" w:rsidRPr="00984006" w:rsidRDefault="00417FEF" w:rsidP="00417FEF">
            <w:pPr>
              <w:jc w:val="center"/>
            </w:pPr>
            <w:r w:rsidRPr="00984006">
              <w:t>3</w:t>
            </w:r>
          </w:p>
        </w:tc>
        <w:tc>
          <w:tcPr>
            <w:tcW w:w="3969" w:type="dxa"/>
            <w:vAlign w:val="center"/>
          </w:tcPr>
          <w:p w14:paraId="48107049" w14:textId="77777777" w:rsidR="00417FEF" w:rsidRPr="00984006" w:rsidRDefault="00417FEF" w:rsidP="00417FEF">
            <w:pPr>
              <w:jc w:val="center"/>
            </w:pPr>
            <w:r w:rsidRPr="00984006">
              <w:t>4</w:t>
            </w:r>
          </w:p>
        </w:tc>
        <w:tc>
          <w:tcPr>
            <w:tcW w:w="3118" w:type="dxa"/>
          </w:tcPr>
          <w:p w14:paraId="39B08CDE" w14:textId="77777777" w:rsidR="00417FEF" w:rsidRPr="00984006" w:rsidRDefault="00417FEF" w:rsidP="005319A8">
            <w:pPr>
              <w:jc w:val="center"/>
            </w:pPr>
            <w:r w:rsidRPr="00984006">
              <w:t>5</w:t>
            </w:r>
          </w:p>
        </w:tc>
        <w:tc>
          <w:tcPr>
            <w:tcW w:w="1843" w:type="dxa"/>
            <w:vAlign w:val="center"/>
          </w:tcPr>
          <w:p w14:paraId="4518ED26" w14:textId="77777777" w:rsidR="00417FEF" w:rsidRPr="00984006" w:rsidRDefault="005319A8" w:rsidP="005319A8">
            <w:pPr>
              <w:jc w:val="center"/>
            </w:pPr>
            <w:r w:rsidRPr="00984006">
              <w:t>6</w:t>
            </w:r>
          </w:p>
        </w:tc>
      </w:tr>
      <w:tr w:rsidR="00417FEF" w:rsidRPr="00984006" w14:paraId="3DF6FD06" w14:textId="77777777" w:rsidTr="00F00D1F">
        <w:tc>
          <w:tcPr>
            <w:tcW w:w="704" w:type="dxa"/>
          </w:tcPr>
          <w:p w14:paraId="2EACE17B" w14:textId="77777777" w:rsidR="00417FEF" w:rsidRPr="00984006" w:rsidRDefault="00417FEF" w:rsidP="00417FEF"/>
        </w:tc>
        <w:tc>
          <w:tcPr>
            <w:tcW w:w="2268" w:type="dxa"/>
          </w:tcPr>
          <w:p w14:paraId="395303F3" w14:textId="77777777" w:rsidR="002A11E4" w:rsidRPr="002A11E4" w:rsidRDefault="002A11E4" w:rsidP="002A11E4">
            <w:pPr>
              <w:pStyle w:val="CommentText"/>
              <w:ind w:firstLine="184"/>
              <w:jc w:val="both"/>
              <w:rPr>
                <w:sz w:val="24"/>
                <w:szCs w:val="24"/>
              </w:rPr>
            </w:pPr>
          </w:p>
        </w:tc>
        <w:tc>
          <w:tcPr>
            <w:tcW w:w="3544" w:type="dxa"/>
          </w:tcPr>
          <w:p w14:paraId="40CB5A11" w14:textId="77777777" w:rsidR="00F104E4" w:rsidRPr="00984006" w:rsidRDefault="00F104E4" w:rsidP="003E1A74">
            <w:pPr>
              <w:jc w:val="both"/>
            </w:pPr>
          </w:p>
        </w:tc>
        <w:tc>
          <w:tcPr>
            <w:tcW w:w="3969" w:type="dxa"/>
          </w:tcPr>
          <w:p w14:paraId="544B2161" w14:textId="77777777" w:rsidR="00417FEF" w:rsidRPr="00984006" w:rsidRDefault="00417FEF" w:rsidP="00A977DC">
            <w:pPr>
              <w:ind w:right="142"/>
              <w:jc w:val="both"/>
              <w:rPr>
                <w:b/>
              </w:rPr>
            </w:pPr>
          </w:p>
        </w:tc>
        <w:tc>
          <w:tcPr>
            <w:tcW w:w="3118" w:type="dxa"/>
          </w:tcPr>
          <w:p w14:paraId="614C72F5" w14:textId="77777777" w:rsidR="00417FEF" w:rsidRPr="00984006" w:rsidRDefault="00417FEF" w:rsidP="00417FEF">
            <w:pPr>
              <w:jc w:val="both"/>
            </w:pPr>
          </w:p>
        </w:tc>
        <w:tc>
          <w:tcPr>
            <w:tcW w:w="1843" w:type="dxa"/>
          </w:tcPr>
          <w:p w14:paraId="4CE31059" w14:textId="77777777" w:rsidR="00417FEF" w:rsidRPr="00984006" w:rsidRDefault="00417FEF" w:rsidP="00417FEF">
            <w:pPr>
              <w:jc w:val="both"/>
            </w:pPr>
          </w:p>
        </w:tc>
      </w:tr>
    </w:tbl>
    <w:p w14:paraId="4755AF16" w14:textId="77777777" w:rsidR="009C238F" w:rsidRPr="00984006" w:rsidRDefault="009C238F" w:rsidP="009C238F">
      <w:pPr>
        <w:spacing w:before="75" w:after="75"/>
        <w:ind w:firstLine="375"/>
        <w:jc w:val="both"/>
        <w:rPr>
          <w:rFonts w:eastAsia="Times New Roman" w:cs="Times New Roman"/>
          <w:sz w:val="4"/>
          <w:szCs w:val="4"/>
          <w:lang w:eastAsia="lv-LV"/>
        </w:rPr>
      </w:pPr>
      <w:r w:rsidRPr="00984006">
        <w:rPr>
          <w:rFonts w:eastAsia="Times New Roman" w:cs="Times New Roman"/>
          <w:sz w:val="4"/>
          <w:szCs w:val="4"/>
          <w:lang w:eastAsia="lv-LV"/>
        </w:rPr>
        <w:t> </w:t>
      </w:r>
    </w:p>
    <w:p w14:paraId="3D2ACC03" w14:textId="77777777" w:rsidR="00F10D01" w:rsidRPr="00F10D01" w:rsidRDefault="00F10D01" w:rsidP="00F10D01">
      <w:pPr>
        <w:spacing w:after="120"/>
        <w:rPr>
          <w:rFonts w:eastAsia="Times New Roman" w:cs="Times New Roman"/>
          <w:b/>
          <w:szCs w:val="24"/>
          <w:lang w:eastAsia="lv-LV"/>
        </w:rPr>
      </w:pPr>
      <w:r w:rsidRPr="00F10D01">
        <w:rPr>
          <w:rFonts w:eastAsia="Times New Roman" w:cs="Times New Roman"/>
          <w:b/>
          <w:bCs/>
          <w:szCs w:val="24"/>
          <w:lang w:eastAsia="lv-LV"/>
        </w:rPr>
        <w:t xml:space="preserve">Informācija par </w:t>
      </w:r>
      <w:proofErr w:type="spellStart"/>
      <w:r w:rsidRPr="00F10D01">
        <w:rPr>
          <w:rFonts w:eastAsia="Times New Roman" w:cs="Times New Roman"/>
          <w:b/>
          <w:bCs/>
          <w:szCs w:val="24"/>
          <w:lang w:eastAsia="lv-LV"/>
        </w:rPr>
        <w:t>starpministriju</w:t>
      </w:r>
      <w:proofErr w:type="spellEnd"/>
      <w:r w:rsidRPr="00F10D01">
        <w:rPr>
          <w:rFonts w:eastAsia="Times New Roman" w:cs="Times New Roman"/>
          <w:b/>
          <w:bCs/>
          <w:szCs w:val="24"/>
          <w:lang w:eastAsia="lv-LV"/>
        </w:rPr>
        <w:t xml:space="preserve"> (starpinstitūciju) sanāksmi vai elektronisko saskaņošanu</w:t>
      </w:r>
    </w:p>
    <w:tbl>
      <w:tblPr>
        <w:tblW w:w="12582" w:type="dxa"/>
        <w:tblLook w:val="00A0" w:firstRow="1" w:lastRow="0" w:firstColumn="1" w:lastColumn="0" w:noHBand="0" w:noVBand="0"/>
      </w:tblPr>
      <w:tblGrid>
        <w:gridCol w:w="5387"/>
        <w:gridCol w:w="6946"/>
        <w:gridCol w:w="249"/>
      </w:tblGrid>
      <w:tr w:rsidR="00F10D01" w:rsidRPr="00712B66" w14:paraId="79AE663E" w14:textId="77777777" w:rsidTr="00617E20">
        <w:tc>
          <w:tcPr>
            <w:tcW w:w="5387" w:type="dxa"/>
          </w:tcPr>
          <w:p w14:paraId="2DE173F2" w14:textId="77777777" w:rsidR="00F10D01" w:rsidRPr="00712B66" w:rsidRDefault="00F10D01" w:rsidP="00617E20">
            <w:pPr>
              <w:pStyle w:val="naisf"/>
              <w:spacing w:before="0" w:after="0"/>
              <w:ind w:firstLine="0"/>
            </w:pPr>
            <w:r w:rsidRPr="00712B66">
              <w:t>Datums</w:t>
            </w:r>
          </w:p>
        </w:tc>
        <w:tc>
          <w:tcPr>
            <w:tcW w:w="7195" w:type="dxa"/>
            <w:gridSpan w:val="2"/>
            <w:tcBorders>
              <w:bottom w:val="single" w:sz="4" w:space="0" w:color="auto"/>
            </w:tcBorders>
          </w:tcPr>
          <w:p w14:paraId="3D29D11F" w14:textId="77777777" w:rsidR="00F10D01" w:rsidRDefault="00F10D01" w:rsidP="00617E20">
            <w:pPr>
              <w:jc w:val="both"/>
              <w:rPr>
                <w:bCs/>
              </w:rPr>
            </w:pPr>
            <w:r>
              <w:rPr>
                <w:rFonts w:eastAsia="Times New Roman" w:cs="Times New Roman"/>
                <w:bCs/>
                <w:szCs w:val="24"/>
                <w:lang w:eastAsia="lv-LV"/>
              </w:rPr>
              <w:t>VSS izsludināšana 20</w:t>
            </w:r>
            <w:r w:rsidR="00B33858">
              <w:rPr>
                <w:rFonts w:eastAsia="Times New Roman" w:cs="Times New Roman"/>
                <w:bCs/>
                <w:szCs w:val="24"/>
                <w:lang w:eastAsia="lv-LV"/>
              </w:rPr>
              <w:t>2</w:t>
            </w:r>
            <w:r>
              <w:rPr>
                <w:rFonts w:eastAsia="Times New Roman" w:cs="Times New Roman"/>
                <w:bCs/>
                <w:szCs w:val="24"/>
                <w:lang w:eastAsia="lv-LV"/>
              </w:rPr>
              <w:t xml:space="preserve">1.gada </w:t>
            </w:r>
            <w:r w:rsidR="00B33858">
              <w:rPr>
                <w:rFonts w:eastAsia="Times New Roman" w:cs="Times New Roman"/>
                <w:bCs/>
                <w:szCs w:val="24"/>
                <w:lang w:eastAsia="lv-LV"/>
              </w:rPr>
              <w:t>11.februārī</w:t>
            </w:r>
          </w:p>
          <w:p w14:paraId="084873AC" w14:textId="77777777" w:rsidR="00F10D01" w:rsidRDefault="00F10D01" w:rsidP="00617E20">
            <w:pPr>
              <w:jc w:val="both"/>
              <w:rPr>
                <w:bCs/>
              </w:rPr>
            </w:pPr>
            <w:proofErr w:type="spellStart"/>
            <w:r w:rsidRPr="004B28B2">
              <w:rPr>
                <w:rFonts w:eastAsia="Times New Roman" w:cs="Times New Roman"/>
                <w:bCs/>
                <w:szCs w:val="24"/>
                <w:lang w:eastAsia="lv-LV"/>
              </w:rPr>
              <w:t>starpministriju</w:t>
            </w:r>
            <w:proofErr w:type="spellEnd"/>
            <w:r w:rsidRPr="004B28B2">
              <w:rPr>
                <w:rFonts w:eastAsia="Times New Roman" w:cs="Times New Roman"/>
                <w:bCs/>
                <w:szCs w:val="24"/>
                <w:lang w:eastAsia="lv-LV"/>
              </w:rPr>
              <w:t xml:space="preserve"> (starpinstitūciju) sanāksme</w:t>
            </w:r>
            <w:r w:rsidRPr="00984006">
              <w:rPr>
                <w:rFonts w:eastAsia="Times New Roman" w:cs="Times New Roman"/>
                <w:bCs/>
                <w:szCs w:val="24"/>
                <w:lang w:eastAsia="lv-LV"/>
              </w:rPr>
              <w:t xml:space="preserve"> </w:t>
            </w:r>
          </w:p>
          <w:p w14:paraId="2BDFAFE5" w14:textId="19E039A7" w:rsidR="00F10D01" w:rsidRDefault="00F10D01" w:rsidP="002B6C5F">
            <w:pPr>
              <w:spacing w:after="120"/>
              <w:jc w:val="both"/>
              <w:rPr>
                <w:rFonts w:eastAsia="Times New Roman" w:cs="Times New Roman"/>
                <w:bCs/>
                <w:szCs w:val="24"/>
                <w:lang w:eastAsia="lv-LV"/>
              </w:rPr>
            </w:pPr>
            <w:r>
              <w:rPr>
                <w:rFonts w:eastAsia="Times New Roman" w:cs="Times New Roman"/>
                <w:bCs/>
                <w:szCs w:val="24"/>
                <w:lang w:eastAsia="lv-LV"/>
              </w:rPr>
              <w:t>elektroniskā saskaņošana 20</w:t>
            </w:r>
            <w:r w:rsidR="00B33858">
              <w:rPr>
                <w:rFonts w:eastAsia="Times New Roman" w:cs="Times New Roman"/>
                <w:bCs/>
                <w:szCs w:val="24"/>
                <w:lang w:eastAsia="lv-LV"/>
              </w:rPr>
              <w:t>2</w:t>
            </w:r>
            <w:r>
              <w:rPr>
                <w:rFonts w:eastAsia="Times New Roman" w:cs="Times New Roman"/>
                <w:bCs/>
                <w:szCs w:val="24"/>
                <w:lang w:eastAsia="lv-LV"/>
              </w:rPr>
              <w:t xml:space="preserve">1.gada </w:t>
            </w:r>
            <w:r w:rsidR="002B6C5F">
              <w:rPr>
                <w:rFonts w:eastAsia="Times New Roman" w:cs="Times New Roman"/>
                <w:bCs/>
                <w:szCs w:val="24"/>
                <w:lang w:eastAsia="lv-LV"/>
              </w:rPr>
              <w:t>10</w:t>
            </w:r>
            <w:r w:rsidR="00B33858">
              <w:rPr>
                <w:rFonts w:eastAsia="Times New Roman" w:cs="Times New Roman"/>
                <w:bCs/>
                <w:szCs w:val="24"/>
                <w:lang w:eastAsia="lv-LV"/>
              </w:rPr>
              <w:t>.martā</w:t>
            </w:r>
            <w:r w:rsidR="00AB7E29">
              <w:rPr>
                <w:rFonts w:eastAsia="Times New Roman" w:cs="Times New Roman"/>
                <w:bCs/>
                <w:szCs w:val="24"/>
                <w:lang w:eastAsia="lv-LV"/>
              </w:rPr>
              <w:t xml:space="preserve">, 2021.gada </w:t>
            </w:r>
            <w:r w:rsidR="008D27D3">
              <w:rPr>
                <w:rFonts w:eastAsia="Times New Roman" w:cs="Times New Roman"/>
                <w:bCs/>
                <w:szCs w:val="24"/>
                <w:lang w:eastAsia="lv-LV"/>
              </w:rPr>
              <w:t>2</w:t>
            </w:r>
            <w:r w:rsidR="00C139D7">
              <w:rPr>
                <w:rFonts w:eastAsia="Times New Roman" w:cs="Times New Roman"/>
                <w:bCs/>
                <w:szCs w:val="24"/>
                <w:lang w:eastAsia="lv-LV"/>
              </w:rPr>
              <w:t>3</w:t>
            </w:r>
            <w:r w:rsidR="00AB7E29" w:rsidRPr="008D27D3">
              <w:rPr>
                <w:rFonts w:eastAsia="Times New Roman" w:cs="Times New Roman"/>
                <w:bCs/>
                <w:szCs w:val="24"/>
                <w:lang w:eastAsia="lv-LV"/>
              </w:rPr>
              <w:t>.mart</w:t>
            </w:r>
            <w:r w:rsidR="009136F6">
              <w:rPr>
                <w:rFonts w:eastAsia="Times New Roman" w:cs="Times New Roman"/>
                <w:bCs/>
                <w:szCs w:val="24"/>
                <w:lang w:eastAsia="lv-LV"/>
              </w:rPr>
              <w:t>ā</w:t>
            </w:r>
          </w:p>
          <w:p w14:paraId="5E8A460E" w14:textId="680F3E8E" w:rsidR="00AB7E29" w:rsidRPr="00B659AF" w:rsidRDefault="00AB7E29" w:rsidP="002B6C5F">
            <w:pPr>
              <w:spacing w:after="120"/>
              <w:jc w:val="both"/>
              <w:rPr>
                <w:bCs/>
              </w:rPr>
            </w:pPr>
          </w:p>
        </w:tc>
      </w:tr>
      <w:tr w:rsidR="00F10D01" w:rsidRPr="00712B66" w14:paraId="5BD2667F" w14:textId="77777777" w:rsidTr="00617E20">
        <w:tc>
          <w:tcPr>
            <w:tcW w:w="5387" w:type="dxa"/>
          </w:tcPr>
          <w:p w14:paraId="32954C97" w14:textId="77777777" w:rsidR="00F10D01" w:rsidRPr="00712B66" w:rsidRDefault="00F10D01" w:rsidP="00617E20">
            <w:pPr>
              <w:pStyle w:val="naisf"/>
              <w:spacing w:before="0" w:after="0"/>
              <w:ind w:firstLine="0"/>
            </w:pPr>
          </w:p>
        </w:tc>
        <w:tc>
          <w:tcPr>
            <w:tcW w:w="7195" w:type="dxa"/>
            <w:gridSpan w:val="2"/>
            <w:tcBorders>
              <w:top w:val="single" w:sz="4" w:space="0" w:color="auto"/>
            </w:tcBorders>
          </w:tcPr>
          <w:p w14:paraId="24A7FE45" w14:textId="77777777" w:rsidR="00F10D01" w:rsidRPr="00712B66" w:rsidRDefault="00F10D01" w:rsidP="00617E20">
            <w:pPr>
              <w:pStyle w:val="NormalWeb"/>
              <w:spacing w:before="0" w:beforeAutospacing="0" w:after="0" w:afterAutospacing="0"/>
              <w:ind w:firstLine="720"/>
            </w:pPr>
          </w:p>
        </w:tc>
      </w:tr>
      <w:tr w:rsidR="00F10D01" w:rsidRPr="00712B66" w14:paraId="1D1E31BA" w14:textId="77777777" w:rsidTr="00617E20">
        <w:tc>
          <w:tcPr>
            <w:tcW w:w="5387" w:type="dxa"/>
          </w:tcPr>
          <w:p w14:paraId="31B2F047" w14:textId="77777777" w:rsidR="00F10D01" w:rsidRPr="00712B66" w:rsidRDefault="00F10D01" w:rsidP="00617E20">
            <w:pPr>
              <w:pStyle w:val="naiskr"/>
              <w:spacing w:before="0" w:after="0"/>
            </w:pPr>
            <w:r>
              <w:t>Saskaņošanas d</w:t>
            </w:r>
            <w:r w:rsidRPr="00712B66">
              <w:t>alībnieki</w:t>
            </w:r>
          </w:p>
        </w:tc>
        <w:tc>
          <w:tcPr>
            <w:tcW w:w="7195" w:type="dxa"/>
            <w:gridSpan w:val="2"/>
            <w:tcBorders>
              <w:bottom w:val="single" w:sz="6" w:space="0" w:color="000000"/>
            </w:tcBorders>
          </w:tcPr>
          <w:p w14:paraId="38B89AFA" w14:textId="25BAB57D" w:rsidR="00F10D01" w:rsidRPr="00712B66" w:rsidRDefault="00F10D01" w:rsidP="00B33858">
            <w:pPr>
              <w:pStyle w:val="NormalWeb"/>
              <w:spacing w:before="0" w:beforeAutospacing="0" w:after="0" w:afterAutospacing="0"/>
              <w:jc w:val="both"/>
            </w:pPr>
            <w:r w:rsidRPr="00984006">
              <w:rPr>
                <w:bCs/>
              </w:rPr>
              <w:t xml:space="preserve">Tieslietu ministrija, </w:t>
            </w:r>
            <w:r w:rsidR="00B33858">
              <w:rPr>
                <w:bCs/>
              </w:rPr>
              <w:t>Satiksmes</w:t>
            </w:r>
            <w:r w:rsidRPr="00984006">
              <w:rPr>
                <w:bCs/>
              </w:rPr>
              <w:t xml:space="preserve"> ministrija,</w:t>
            </w:r>
            <w:r>
              <w:rPr>
                <w:bCs/>
              </w:rPr>
              <w:t xml:space="preserve"> </w:t>
            </w:r>
            <w:r w:rsidR="00B33858">
              <w:t>Latvijas Brīvo arodbiedrību savienība</w:t>
            </w:r>
            <w:r w:rsidR="009136F6">
              <w:t>,</w:t>
            </w:r>
            <w:r w:rsidR="00B33858">
              <w:t xml:space="preserve"> Latvijas Darba devēju konfederācija</w:t>
            </w:r>
            <w:r w:rsidR="009136F6">
              <w:t xml:space="preserve"> un Latvijas Tirdzniecības un rūpniecības kamera</w:t>
            </w:r>
            <w:r w:rsidRPr="0010534E">
              <w:rPr>
                <w:bCs/>
              </w:rPr>
              <w:t>.</w:t>
            </w:r>
          </w:p>
        </w:tc>
      </w:tr>
      <w:tr w:rsidR="00F10D01" w:rsidRPr="00712B66" w14:paraId="7FC4C312" w14:textId="77777777" w:rsidTr="00617E20">
        <w:tc>
          <w:tcPr>
            <w:tcW w:w="5387" w:type="dxa"/>
          </w:tcPr>
          <w:p w14:paraId="2A667C4C" w14:textId="77777777" w:rsidR="00F10D01" w:rsidRPr="00712B66" w:rsidRDefault="00F10D01" w:rsidP="00617E20">
            <w:pPr>
              <w:pStyle w:val="naiskr"/>
              <w:spacing w:before="0" w:after="0"/>
              <w:ind w:firstLine="720"/>
            </w:pPr>
            <w:r w:rsidRPr="00712B66">
              <w:t>  </w:t>
            </w:r>
          </w:p>
        </w:tc>
        <w:tc>
          <w:tcPr>
            <w:tcW w:w="7195" w:type="dxa"/>
            <w:gridSpan w:val="2"/>
            <w:tcBorders>
              <w:top w:val="single" w:sz="6" w:space="0" w:color="000000"/>
            </w:tcBorders>
          </w:tcPr>
          <w:p w14:paraId="38BB2D47" w14:textId="77777777" w:rsidR="00F10D01" w:rsidRPr="00712B66" w:rsidRDefault="00F10D01" w:rsidP="00617E20">
            <w:pPr>
              <w:pStyle w:val="naiskr"/>
              <w:spacing w:before="0" w:after="0"/>
              <w:ind w:firstLine="720"/>
            </w:pPr>
          </w:p>
        </w:tc>
      </w:tr>
      <w:tr w:rsidR="00F10D01" w:rsidRPr="00712B66" w14:paraId="23ED8D8A" w14:textId="77777777" w:rsidTr="00617E20">
        <w:trPr>
          <w:trHeight w:val="285"/>
        </w:trPr>
        <w:tc>
          <w:tcPr>
            <w:tcW w:w="5387" w:type="dxa"/>
          </w:tcPr>
          <w:p w14:paraId="3A7C9847" w14:textId="77777777" w:rsidR="00F10D01" w:rsidRPr="00712B66" w:rsidRDefault="00F10D01" w:rsidP="00617E20">
            <w:pPr>
              <w:pStyle w:val="naiskr"/>
              <w:spacing w:before="0" w:after="0"/>
            </w:pPr>
          </w:p>
        </w:tc>
        <w:tc>
          <w:tcPr>
            <w:tcW w:w="6946" w:type="dxa"/>
          </w:tcPr>
          <w:p w14:paraId="58EAB6AE" w14:textId="77777777" w:rsidR="00F10D01" w:rsidRPr="00712B66" w:rsidRDefault="00F10D01" w:rsidP="00617E20">
            <w:pPr>
              <w:pStyle w:val="naiskr"/>
              <w:spacing w:before="0" w:after="0"/>
              <w:ind w:firstLine="720"/>
            </w:pPr>
          </w:p>
        </w:tc>
        <w:tc>
          <w:tcPr>
            <w:tcW w:w="249" w:type="dxa"/>
          </w:tcPr>
          <w:p w14:paraId="3F6F17B7" w14:textId="77777777" w:rsidR="00F10D01" w:rsidRPr="00712B66" w:rsidRDefault="00F10D01" w:rsidP="00617E20">
            <w:pPr>
              <w:pStyle w:val="naiskr"/>
              <w:spacing w:before="0" w:after="0"/>
              <w:ind w:firstLine="12"/>
            </w:pPr>
          </w:p>
        </w:tc>
      </w:tr>
      <w:tr w:rsidR="00F10D01" w:rsidRPr="00712B66" w14:paraId="3EA1C719" w14:textId="77777777" w:rsidTr="00617E20">
        <w:trPr>
          <w:trHeight w:val="285"/>
        </w:trPr>
        <w:tc>
          <w:tcPr>
            <w:tcW w:w="5387" w:type="dxa"/>
          </w:tcPr>
          <w:p w14:paraId="6B5BBA9A" w14:textId="77777777" w:rsidR="00F10D01" w:rsidRPr="00712B66" w:rsidRDefault="00F10D01" w:rsidP="00617E2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946" w:type="dxa"/>
            <w:tcBorders>
              <w:bottom w:val="single" w:sz="6" w:space="0" w:color="000000"/>
            </w:tcBorders>
          </w:tcPr>
          <w:p w14:paraId="39128D1F" w14:textId="77777777" w:rsidR="00F10D01" w:rsidRPr="00712B66" w:rsidRDefault="00B33858" w:rsidP="00B33858">
            <w:pPr>
              <w:pStyle w:val="naiskr"/>
              <w:spacing w:before="0" w:after="0"/>
            </w:pPr>
            <w:r>
              <w:rPr>
                <w:bCs/>
              </w:rPr>
              <w:t>Tieslietu ministrijas</w:t>
            </w:r>
            <w:r w:rsidR="00F10D01">
              <w:rPr>
                <w:bCs/>
              </w:rPr>
              <w:t>.</w:t>
            </w:r>
          </w:p>
        </w:tc>
        <w:tc>
          <w:tcPr>
            <w:tcW w:w="249" w:type="dxa"/>
            <w:tcBorders>
              <w:bottom w:val="single" w:sz="6" w:space="0" w:color="000000"/>
            </w:tcBorders>
          </w:tcPr>
          <w:p w14:paraId="17BCBCC0" w14:textId="77777777" w:rsidR="00F10D01" w:rsidRPr="00712B66" w:rsidRDefault="00F10D01" w:rsidP="00617E20">
            <w:pPr>
              <w:pStyle w:val="naiskr"/>
              <w:spacing w:before="0" w:after="0"/>
              <w:ind w:firstLine="12"/>
              <w:jc w:val="both"/>
            </w:pPr>
          </w:p>
        </w:tc>
      </w:tr>
      <w:tr w:rsidR="00F10D01" w:rsidRPr="00712B66" w14:paraId="0AAD3ACE" w14:textId="77777777" w:rsidTr="00617E20">
        <w:trPr>
          <w:trHeight w:val="465"/>
        </w:trPr>
        <w:tc>
          <w:tcPr>
            <w:tcW w:w="5387" w:type="dxa"/>
          </w:tcPr>
          <w:p w14:paraId="5F5FF082" w14:textId="77777777" w:rsidR="00F10D01" w:rsidRPr="00712B66" w:rsidRDefault="00F10D01" w:rsidP="00617E20">
            <w:pPr>
              <w:pStyle w:val="naiskr"/>
              <w:spacing w:before="0" w:after="0"/>
              <w:ind w:firstLine="720"/>
            </w:pPr>
            <w:r w:rsidRPr="00712B66">
              <w:t>  </w:t>
            </w:r>
          </w:p>
        </w:tc>
        <w:tc>
          <w:tcPr>
            <w:tcW w:w="7195" w:type="dxa"/>
            <w:gridSpan w:val="2"/>
            <w:tcBorders>
              <w:top w:val="single" w:sz="6" w:space="0" w:color="000000"/>
            </w:tcBorders>
          </w:tcPr>
          <w:p w14:paraId="7E9A90AD" w14:textId="77777777" w:rsidR="00F10D01" w:rsidRPr="00712B66" w:rsidRDefault="00F10D01" w:rsidP="00617E20">
            <w:pPr>
              <w:pStyle w:val="NormalWeb"/>
              <w:spacing w:before="0" w:beforeAutospacing="0" w:after="0" w:afterAutospacing="0"/>
              <w:ind w:firstLine="720"/>
            </w:pPr>
          </w:p>
        </w:tc>
      </w:tr>
      <w:tr w:rsidR="00F10D01" w:rsidRPr="00712B66" w14:paraId="7F618C3A" w14:textId="77777777" w:rsidTr="002468DF">
        <w:trPr>
          <w:trHeight w:val="304"/>
        </w:trPr>
        <w:tc>
          <w:tcPr>
            <w:tcW w:w="12582" w:type="dxa"/>
            <w:gridSpan w:val="3"/>
          </w:tcPr>
          <w:p w14:paraId="32B5B15A" w14:textId="77777777" w:rsidR="00F10D01" w:rsidRPr="00712B66" w:rsidRDefault="00F10D01" w:rsidP="00617E20">
            <w:pPr>
              <w:pStyle w:val="naisc"/>
              <w:spacing w:before="0" w:after="0"/>
              <w:ind w:left="4820" w:firstLine="720"/>
            </w:pPr>
          </w:p>
        </w:tc>
      </w:tr>
      <w:tr w:rsidR="00F10D01" w:rsidRPr="00712B66" w14:paraId="5657B6AD" w14:textId="77777777" w:rsidTr="00617E20">
        <w:tc>
          <w:tcPr>
            <w:tcW w:w="5387" w:type="dxa"/>
          </w:tcPr>
          <w:p w14:paraId="5C4D98A9" w14:textId="77777777" w:rsidR="00F10D01" w:rsidRPr="00712B66" w:rsidRDefault="00F10D01" w:rsidP="00617E20">
            <w:pPr>
              <w:pStyle w:val="naiskr"/>
              <w:spacing w:before="0" w:after="0"/>
            </w:pPr>
            <w:r w:rsidRPr="00712B66">
              <w:t>Ministrijas (citas institūcijas), kuras nav ieradušās uz sanāksmi vai kuras nav atbildējušas uz uzaicinājumu piedalīties elektroniskajā saskaņošanā</w:t>
            </w:r>
          </w:p>
        </w:tc>
        <w:tc>
          <w:tcPr>
            <w:tcW w:w="7195" w:type="dxa"/>
            <w:gridSpan w:val="2"/>
            <w:tcBorders>
              <w:bottom w:val="single" w:sz="6" w:space="0" w:color="000000"/>
            </w:tcBorders>
          </w:tcPr>
          <w:p w14:paraId="27E67485" w14:textId="77777777" w:rsidR="00F10D01" w:rsidRDefault="00F10D01" w:rsidP="00617E20">
            <w:pPr>
              <w:pStyle w:val="naiskr"/>
              <w:spacing w:before="0" w:after="0"/>
              <w:rPr>
                <w:bCs/>
              </w:rPr>
            </w:pPr>
          </w:p>
          <w:p w14:paraId="4F10E616" w14:textId="77777777" w:rsidR="00F10D01" w:rsidRPr="00712B66" w:rsidRDefault="00F10D01" w:rsidP="00617E20">
            <w:pPr>
              <w:pStyle w:val="naiskr"/>
              <w:spacing w:before="0" w:after="0"/>
            </w:pPr>
          </w:p>
        </w:tc>
      </w:tr>
      <w:tr w:rsidR="00F10D01" w:rsidRPr="00712B66" w14:paraId="3C450E8A" w14:textId="77777777" w:rsidTr="00617E20">
        <w:tc>
          <w:tcPr>
            <w:tcW w:w="5387" w:type="dxa"/>
          </w:tcPr>
          <w:p w14:paraId="7E07FF22" w14:textId="77777777" w:rsidR="00F10D01" w:rsidRPr="00712B66" w:rsidRDefault="00F10D01" w:rsidP="00617E20">
            <w:pPr>
              <w:pStyle w:val="naiskr"/>
              <w:spacing w:before="0" w:after="0"/>
              <w:ind w:firstLine="720"/>
            </w:pPr>
            <w:r w:rsidRPr="00712B66">
              <w:lastRenderedPageBreak/>
              <w:t>  </w:t>
            </w:r>
          </w:p>
        </w:tc>
        <w:tc>
          <w:tcPr>
            <w:tcW w:w="7195" w:type="dxa"/>
            <w:gridSpan w:val="2"/>
            <w:tcBorders>
              <w:top w:val="single" w:sz="6" w:space="0" w:color="000000"/>
            </w:tcBorders>
          </w:tcPr>
          <w:p w14:paraId="13D3B7F6" w14:textId="77777777" w:rsidR="00F10D01" w:rsidRPr="00712B66" w:rsidRDefault="00F10D01" w:rsidP="00617E20">
            <w:pPr>
              <w:pStyle w:val="naiskr"/>
              <w:spacing w:before="0" w:after="0"/>
              <w:ind w:firstLine="720"/>
            </w:pPr>
          </w:p>
        </w:tc>
      </w:tr>
    </w:tbl>
    <w:p w14:paraId="404BAA7C" w14:textId="77777777" w:rsidR="004F4A83" w:rsidRPr="00984006" w:rsidRDefault="004F4A83" w:rsidP="004F4A83">
      <w:pPr>
        <w:spacing w:before="150" w:after="150"/>
        <w:jc w:val="center"/>
        <w:rPr>
          <w:rFonts w:eastAsia="Times New Roman" w:cs="Times New Roman"/>
          <w:b/>
          <w:bCs/>
          <w:szCs w:val="24"/>
          <w:lang w:eastAsia="lv-LV"/>
        </w:rPr>
      </w:pPr>
      <w:r w:rsidRPr="00984006">
        <w:rPr>
          <w:rFonts w:eastAsia="Times New Roman" w:cs="Times New Roman"/>
          <w:b/>
          <w:bCs/>
          <w:szCs w:val="24"/>
          <w:lang w:eastAsia="lv-LV"/>
        </w:rPr>
        <w:t>II. </w:t>
      </w:r>
      <w:r w:rsidR="00531C98" w:rsidRPr="00984006">
        <w:rPr>
          <w:rFonts w:eastAsia="Times New Roman" w:cs="Times New Roman"/>
          <w:b/>
          <w:bCs/>
          <w:szCs w:val="24"/>
          <w:lang w:eastAsia="lv-LV"/>
        </w:rPr>
        <w:t xml:space="preserve"> </w:t>
      </w:r>
      <w:r w:rsidRPr="00984006">
        <w:rPr>
          <w:rFonts w:eastAsia="Times New Roman" w:cs="Times New Roman"/>
          <w:b/>
          <w:bCs/>
          <w:szCs w:val="24"/>
          <w:lang w:eastAsia="lv-LV"/>
        </w:rPr>
        <w:t>Jautājumi, par kuriem saskaņošanā vienošanās ir panākta</w:t>
      </w:r>
    </w:p>
    <w:tbl>
      <w:tblPr>
        <w:tblStyle w:val="TableGrid"/>
        <w:tblW w:w="15305" w:type="dxa"/>
        <w:tblLayout w:type="fixed"/>
        <w:tblLook w:val="04A0" w:firstRow="1" w:lastRow="0" w:firstColumn="1" w:lastColumn="0" w:noHBand="0" w:noVBand="1"/>
      </w:tblPr>
      <w:tblGrid>
        <w:gridCol w:w="576"/>
        <w:gridCol w:w="2963"/>
        <w:gridCol w:w="4252"/>
        <w:gridCol w:w="3828"/>
        <w:gridCol w:w="3686"/>
      </w:tblGrid>
      <w:tr w:rsidR="004F4A83" w:rsidRPr="00984006" w14:paraId="2C761F6F" w14:textId="77777777" w:rsidTr="00BA0343">
        <w:trPr>
          <w:tblHeader/>
        </w:trPr>
        <w:tc>
          <w:tcPr>
            <w:tcW w:w="576" w:type="dxa"/>
          </w:tcPr>
          <w:p w14:paraId="31D83588" w14:textId="77777777" w:rsidR="004F4A83" w:rsidRPr="00984006" w:rsidRDefault="004F4A83" w:rsidP="00126C72">
            <w:r w:rsidRPr="00984006">
              <w:t>Nr. p.k.</w:t>
            </w:r>
          </w:p>
        </w:tc>
        <w:tc>
          <w:tcPr>
            <w:tcW w:w="2963" w:type="dxa"/>
          </w:tcPr>
          <w:p w14:paraId="4E8A7E1E" w14:textId="77777777" w:rsidR="004F4A83" w:rsidRPr="00984006" w:rsidRDefault="004F4A83" w:rsidP="00126C72">
            <w:r w:rsidRPr="00984006">
              <w:t>Saskaņošanai nosūtītā projekta redakcija (konkrēta punkta (panta) redakcija)</w:t>
            </w:r>
          </w:p>
        </w:tc>
        <w:tc>
          <w:tcPr>
            <w:tcW w:w="4252" w:type="dxa"/>
          </w:tcPr>
          <w:p w14:paraId="32152B54" w14:textId="77777777" w:rsidR="004F4A83" w:rsidRPr="00984006" w:rsidRDefault="004F4A83" w:rsidP="00AD786C">
            <w:pPr>
              <w:jc w:val="both"/>
            </w:pPr>
            <w:r w:rsidRPr="00984006">
              <w:t>Atzinumā norādītais ministrijas (citas institūcijas) iebildums, kā arī saskaņošanā papildus izteiktais iebildums par projekta konkrēto punktu (pantu)</w:t>
            </w:r>
          </w:p>
        </w:tc>
        <w:tc>
          <w:tcPr>
            <w:tcW w:w="3828" w:type="dxa"/>
          </w:tcPr>
          <w:p w14:paraId="712BF49A" w14:textId="77777777" w:rsidR="004F4A83" w:rsidRPr="00984006" w:rsidRDefault="004F4A83" w:rsidP="00AD786C">
            <w:pPr>
              <w:jc w:val="both"/>
              <w:rPr>
                <w:sz w:val="22"/>
              </w:rPr>
            </w:pPr>
            <w:r w:rsidRPr="00984006">
              <w:rPr>
                <w:sz w:val="22"/>
              </w:rPr>
              <w:t>Atbildīgās ministrijas norāde par to, ka iebildums ir ņemts vērā, vai informācija par saskaņošanā panākto alternatīvo risinājumu</w:t>
            </w:r>
          </w:p>
        </w:tc>
        <w:tc>
          <w:tcPr>
            <w:tcW w:w="3686" w:type="dxa"/>
          </w:tcPr>
          <w:p w14:paraId="3E53B5E6" w14:textId="77777777" w:rsidR="004F4A83" w:rsidRPr="00984006" w:rsidRDefault="004F4A83" w:rsidP="00126C72">
            <w:r w:rsidRPr="00984006">
              <w:t>Projekta attiecīgā punkta (panta) galīgā redakcija</w:t>
            </w:r>
          </w:p>
        </w:tc>
      </w:tr>
      <w:tr w:rsidR="008F38C1" w:rsidRPr="00984006" w14:paraId="769B5021" w14:textId="77777777" w:rsidTr="00BA0343">
        <w:tc>
          <w:tcPr>
            <w:tcW w:w="576" w:type="dxa"/>
          </w:tcPr>
          <w:p w14:paraId="4AA0A7DC" w14:textId="77777777" w:rsidR="008F38C1" w:rsidRDefault="008F38C1" w:rsidP="00634435">
            <w:r>
              <w:t>1</w:t>
            </w:r>
          </w:p>
        </w:tc>
        <w:tc>
          <w:tcPr>
            <w:tcW w:w="2963" w:type="dxa"/>
          </w:tcPr>
          <w:p w14:paraId="10548827" w14:textId="77777777" w:rsidR="00A257C1" w:rsidRPr="00A257C1" w:rsidRDefault="00A257C1" w:rsidP="00A257C1">
            <w:pPr>
              <w:jc w:val="both"/>
              <w:rPr>
                <w:b/>
              </w:rPr>
            </w:pPr>
            <w:r w:rsidRPr="00A257C1">
              <w:rPr>
                <w:b/>
              </w:rPr>
              <w:t>Noteikumu projekta 1.punkts</w:t>
            </w:r>
          </w:p>
          <w:p w14:paraId="15F802DB" w14:textId="77777777" w:rsidR="00A257C1" w:rsidRDefault="00A257C1" w:rsidP="00A257C1">
            <w:pPr>
              <w:jc w:val="both"/>
            </w:pPr>
            <w:r>
              <w:t>1. 5. punktā:</w:t>
            </w:r>
          </w:p>
          <w:p w14:paraId="6692585C" w14:textId="77777777" w:rsidR="00A257C1" w:rsidRDefault="00A257C1" w:rsidP="00A257C1">
            <w:pPr>
              <w:jc w:val="both"/>
            </w:pPr>
            <w:r>
              <w:t>izteikt 5.5. apakšpunktu šādā redakcijā:</w:t>
            </w:r>
          </w:p>
          <w:p w14:paraId="1754A23B" w14:textId="77777777" w:rsidR="00A257C1" w:rsidRDefault="00A257C1" w:rsidP="00A257C1">
            <w:pPr>
              <w:jc w:val="both"/>
            </w:pPr>
            <w:r>
              <w:t>“5.5. par pievienotās vērtības nodokli, kuru iemaksā persona, kas reģistrēta Latvijā (kā identifikācijas valstī) īpašo pievienotās vērtības nodokļa režīmu (</w:t>
            </w:r>
            <w:proofErr w:type="spellStart"/>
            <w:r>
              <w:t>ārpussavienības</w:t>
            </w:r>
            <w:proofErr w:type="spellEnd"/>
            <w:r>
              <w:t xml:space="preserve"> režīma, savienības režīma vai importa režīma) izmantošanai;”;</w:t>
            </w:r>
          </w:p>
          <w:p w14:paraId="24E07EFD" w14:textId="77777777" w:rsidR="00A257C1" w:rsidRDefault="00A257C1" w:rsidP="00A257C1">
            <w:pPr>
              <w:jc w:val="both"/>
            </w:pPr>
          </w:p>
          <w:p w14:paraId="5374634F" w14:textId="77777777" w:rsidR="00A257C1" w:rsidRDefault="00A257C1" w:rsidP="00A257C1">
            <w:pPr>
              <w:jc w:val="both"/>
            </w:pPr>
            <w:r>
              <w:t>papildināt punktu ar 5.13. apakšpunktu šādā redakcijā:</w:t>
            </w:r>
          </w:p>
          <w:p w14:paraId="3312BEC4" w14:textId="77777777" w:rsidR="008F38C1" w:rsidRDefault="00A257C1" w:rsidP="00A257C1">
            <w:pPr>
              <w:jc w:val="both"/>
            </w:pPr>
            <w:r>
              <w:t>“5.13. par dabas resursu nodokli, kuru iekasē par Latvijā pastāvīgi pirmo reizi reģistrētiem transportlīdzekļiem un iemaksā kontā valsts akciju sabiedrība “Ceļu satiksmes drošības direkcija”;</w:t>
            </w:r>
          </w:p>
        </w:tc>
        <w:tc>
          <w:tcPr>
            <w:tcW w:w="4252" w:type="dxa"/>
          </w:tcPr>
          <w:p w14:paraId="712D42B6" w14:textId="77777777" w:rsidR="008F38C1" w:rsidRPr="00A257C1" w:rsidRDefault="00962BCA" w:rsidP="00962BCA">
            <w:pPr>
              <w:jc w:val="both"/>
              <w:rPr>
                <w:rFonts w:cs="Times New Roman"/>
                <w:b/>
                <w:szCs w:val="24"/>
              </w:rPr>
            </w:pPr>
            <w:r w:rsidRPr="00A257C1">
              <w:rPr>
                <w:rFonts w:cs="Times New Roman"/>
                <w:b/>
                <w:szCs w:val="24"/>
              </w:rPr>
              <w:t>Tieslietu ministrija</w:t>
            </w:r>
          </w:p>
          <w:p w14:paraId="70653454" w14:textId="77777777" w:rsidR="00962BCA" w:rsidRPr="00A257C1" w:rsidRDefault="00962BCA" w:rsidP="00A257C1">
            <w:pPr>
              <w:pStyle w:val="NoSpacing"/>
              <w:jc w:val="both"/>
              <w:rPr>
                <w:rFonts w:ascii="Times New Roman" w:hAnsi="Times New Roman"/>
                <w:sz w:val="24"/>
                <w:szCs w:val="24"/>
                <w:lang w:val="lv-LV"/>
              </w:rPr>
            </w:pPr>
            <w:r w:rsidRPr="00A257C1">
              <w:rPr>
                <w:rFonts w:ascii="Times New Roman" w:hAnsi="Times New Roman"/>
                <w:sz w:val="24"/>
                <w:szCs w:val="24"/>
                <w:shd w:val="clear" w:color="auto" w:fill="FFFFFF"/>
                <w:lang w:val="lv-LV"/>
              </w:rPr>
              <w:t>Vēršam uzmanību uz to, ka projekta 1. punktā</w:t>
            </w:r>
            <w:r w:rsidRPr="00A257C1">
              <w:rPr>
                <w:rFonts w:ascii="Times New Roman" w:hAnsi="Times New Roman"/>
                <w:sz w:val="24"/>
                <w:szCs w:val="24"/>
                <w:lang w:val="lv-LV"/>
              </w:rPr>
              <w:t xml:space="preserve"> paredzētajā </w:t>
            </w:r>
            <w:r w:rsidRPr="00A257C1">
              <w:rPr>
                <w:rFonts w:ascii="Times New Roman" w:hAnsi="Times New Roman"/>
                <w:iCs/>
                <w:sz w:val="24"/>
                <w:szCs w:val="24"/>
                <w:lang w:val="lv-LV"/>
              </w:rPr>
              <w:t>Ministru kabineta 2018. gada 30. oktobra noteikumu Nr. 661 "Kārtība, kādā maksā nodokļus, nodevas, citus valsts noteiktos maksājumus un ar tiem saistītos maksājumus un novirza tos saistību segšanai</w:t>
            </w:r>
            <w:r w:rsidRPr="00A257C1">
              <w:rPr>
                <w:rFonts w:ascii="Times New Roman" w:hAnsi="Times New Roman"/>
                <w:sz w:val="24"/>
                <w:szCs w:val="24"/>
                <w:lang w:val="lv-LV"/>
              </w:rPr>
              <w:t xml:space="preserve">" (turpmāk – noteikumi) 5.13. apakšpunktā ietvertais regulējums ir neskaidrs. Proti, noteikumu 5. punkta ievaddaļā ir minēts, ka </w:t>
            </w:r>
            <w:r w:rsidRPr="00A257C1">
              <w:rPr>
                <w:rFonts w:ascii="Times New Roman" w:hAnsi="Times New Roman"/>
                <w:sz w:val="24"/>
                <w:szCs w:val="24"/>
                <w:u w:val="single"/>
                <w:lang w:val="lv-LV"/>
              </w:rPr>
              <w:t>p</w:t>
            </w:r>
            <w:r w:rsidRPr="00A257C1">
              <w:rPr>
                <w:rFonts w:ascii="Times New Roman" w:hAnsi="Times New Roman"/>
                <w:sz w:val="24"/>
                <w:szCs w:val="24"/>
                <w:u w:val="single"/>
                <w:shd w:val="clear" w:color="auto" w:fill="FFFFFF"/>
                <w:lang w:val="lv-LV"/>
              </w:rPr>
              <w:t>ersona, norādot maksājuma identifikatoru, iemaksā vienotajā nodokļu kontā</w:t>
            </w:r>
            <w:r w:rsidRPr="00A257C1">
              <w:rPr>
                <w:rFonts w:ascii="Times New Roman" w:hAnsi="Times New Roman"/>
                <w:sz w:val="24"/>
                <w:szCs w:val="24"/>
                <w:shd w:val="clear" w:color="auto" w:fill="FFFFFF"/>
                <w:lang w:val="lv-LV"/>
              </w:rPr>
              <w:t xml:space="preserve"> (turpmāk – konts) attiecīgo maksājumu. Līdz ar to atbilstoši projekta 1. punktā paredzētajā noteikumu 5.13. apakšpunktā ietvertajam grozījumam tiek paredzēts, ka </w:t>
            </w:r>
            <w:r w:rsidRPr="00A257C1">
              <w:rPr>
                <w:rFonts w:ascii="Times New Roman" w:hAnsi="Times New Roman"/>
                <w:sz w:val="24"/>
                <w:szCs w:val="24"/>
                <w:u w:val="single"/>
                <w:shd w:val="clear" w:color="auto" w:fill="FFFFFF"/>
                <w:lang w:val="lv-LV"/>
              </w:rPr>
              <w:t>persona, norādot maksājuma identifikatoru, iemaksā kontā</w:t>
            </w:r>
            <w:r w:rsidRPr="00A257C1">
              <w:rPr>
                <w:rFonts w:ascii="Times New Roman" w:hAnsi="Times New Roman"/>
                <w:sz w:val="24"/>
                <w:szCs w:val="24"/>
                <w:shd w:val="clear" w:color="auto" w:fill="FFFFFF"/>
                <w:lang w:val="lv-LV"/>
              </w:rPr>
              <w:t xml:space="preserve"> maksājumu, kas veikts par dabas resursu nodokli, kuru iekasē par Latvijā pastāvīgi pirmo reizi reģistrētiem transportlīdzekļiem un </w:t>
            </w:r>
            <w:r w:rsidRPr="00A257C1">
              <w:rPr>
                <w:rFonts w:ascii="Times New Roman" w:hAnsi="Times New Roman"/>
                <w:sz w:val="24"/>
                <w:szCs w:val="24"/>
                <w:u w:val="single"/>
                <w:shd w:val="clear" w:color="auto" w:fill="FFFFFF"/>
                <w:lang w:val="lv-LV"/>
              </w:rPr>
              <w:t>iemaksā kontā akciju sabiedrība "Ceļu satiksmes direkcija"</w:t>
            </w:r>
            <w:r w:rsidRPr="00A257C1">
              <w:rPr>
                <w:rFonts w:ascii="Times New Roman" w:hAnsi="Times New Roman"/>
                <w:sz w:val="24"/>
                <w:szCs w:val="24"/>
                <w:shd w:val="clear" w:color="auto" w:fill="FFFFFF"/>
                <w:lang w:val="lv-LV"/>
              </w:rPr>
              <w:t>. Ievērojot minēto, lūdzam izvērtēt projekta 1. punktā paredzētajā noteikumu 5.13. apakšpunktā ietverto regulējumu un precizēt to vai papildināt p</w:t>
            </w:r>
            <w:r w:rsidRPr="00A257C1">
              <w:rPr>
                <w:rFonts w:ascii="Times New Roman" w:hAnsi="Times New Roman"/>
                <w:sz w:val="24"/>
                <w:szCs w:val="24"/>
                <w:lang w:val="lv-LV"/>
              </w:rPr>
              <w:t xml:space="preserve">rojekta sākotnējās </w:t>
            </w:r>
            <w:r w:rsidRPr="00A257C1">
              <w:rPr>
                <w:rFonts w:ascii="Times New Roman" w:hAnsi="Times New Roman"/>
                <w:i/>
                <w:sz w:val="24"/>
                <w:szCs w:val="24"/>
                <w:lang w:val="lv-LV"/>
              </w:rPr>
              <w:t>(</w:t>
            </w:r>
            <w:proofErr w:type="spellStart"/>
            <w:r w:rsidRPr="00A257C1">
              <w:rPr>
                <w:rFonts w:ascii="Times New Roman" w:hAnsi="Times New Roman"/>
                <w:i/>
                <w:sz w:val="24"/>
                <w:szCs w:val="24"/>
                <w:lang w:val="lv-LV"/>
              </w:rPr>
              <w:t>ex-ante</w:t>
            </w:r>
            <w:proofErr w:type="spellEnd"/>
            <w:r w:rsidRPr="00A257C1">
              <w:rPr>
                <w:rFonts w:ascii="Times New Roman" w:hAnsi="Times New Roman"/>
                <w:i/>
                <w:sz w:val="24"/>
                <w:szCs w:val="24"/>
                <w:lang w:val="lv-LV"/>
              </w:rPr>
              <w:t>)</w:t>
            </w:r>
            <w:r w:rsidRPr="00A257C1">
              <w:rPr>
                <w:rFonts w:ascii="Times New Roman" w:hAnsi="Times New Roman"/>
                <w:sz w:val="24"/>
                <w:szCs w:val="24"/>
                <w:lang w:val="lv-LV"/>
              </w:rPr>
              <w:t xml:space="preserve"> ietekmes </w:t>
            </w:r>
            <w:r w:rsidRPr="00A257C1">
              <w:rPr>
                <w:rFonts w:ascii="Times New Roman" w:hAnsi="Times New Roman"/>
                <w:sz w:val="24"/>
                <w:szCs w:val="24"/>
                <w:lang w:val="lv-LV"/>
              </w:rPr>
              <w:lastRenderedPageBreak/>
              <w:t>novērtējuma ziņojumu (turpmāk – anotācija) ar atbilstošu skaidrojumu.</w:t>
            </w:r>
          </w:p>
          <w:p w14:paraId="7595703A" w14:textId="77777777" w:rsidR="00962BCA" w:rsidRPr="00A257C1" w:rsidRDefault="00962BCA" w:rsidP="00962BCA">
            <w:pPr>
              <w:jc w:val="both"/>
              <w:rPr>
                <w:rFonts w:cs="Times New Roman"/>
                <w:szCs w:val="24"/>
              </w:rPr>
            </w:pPr>
          </w:p>
        </w:tc>
        <w:tc>
          <w:tcPr>
            <w:tcW w:w="3828" w:type="dxa"/>
          </w:tcPr>
          <w:p w14:paraId="00FF48B3" w14:textId="77777777" w:rsidR="008F38C1" w:rsidRDefault="00A257C1" w:rsidP="00281057">
            <w:pPr>
              <w:jc w:val="both"/>
              <w:rPr>
                <w:b/>
              </w:rPr>
            </w:pPr>
            <w:r>
              <w:rPr>
                <w:b/>
              </w:rPr>
              <w:lastRenderedPageBreak/>
              <w:t>Ņemts vērā</w:t>
            </w:r>
          </w:p>
          <w:p w14:paraId="5C94B698" w14:textId="77777777" w:rsidR="00A257C1" w:rsidRPr="00A257C1" w:rsidRDefault="00A257C1" w:rsidP="00A257C1">
            <w:pPr>
              <w:jc w:val="both"/>
            </w:pPr>
            <w:r w:rsidRPr="00A257C1">
              <w:t xml:space="preserve">Precizēts noteikumu projekta 1.punkts un </w:t>
            </w:r>
            <w:r>
              <w:t xml:space="preserve">noteikumu </w:t>
            </w:r>
            <w:r w:rsidRPr="00A257C1">
              <w:t xml:space="preserve">projekts papildināts ar 2.punktu, </w:t>
            </w:r>
            <w:r>
              <w:t xml:space="preserve">ar kuru tiks </w:t>
            </w:r>
            <w:r w:rsidR="00F13926">
              <w:t xml:space="preserve">atsevišķi </w:t>
            </w:r>
            <w:r>
              <w:t>paredzēti</w:t>
            </w:r>
            <w:r w:rsidRPr="00A257C1">
              <w:t xml:space="preserve"> </w:t>
            </w:r>
            <w:r>
              <w:t>(uzskaitī</w:t>
            </w:r>
            <w:r w:rsidRPr="00A257C1">
              <w:t>t</w:t>
            </w:r>
            <w:r>
              <w:t>i)</w:t>
            </w:r>
            <w:r w:rsidRPr="00A257C1">
              <w:t xml:space="preserve"> gadījum</w:t>
            </w:r>
            <w:r>
              <w:t>i</w:t>
            </w:r>
            <w:r w:rsidRPr="00A257C1">
              <w:t>, kad persona (nodokļu maksātājs) veic nodokļa iemaksu vienotajā nodokļu kontā ar citas institūcijas starpniecību.</w:t>
            </w:r>
            <w:r>
              <w:t xml:space="preserve"> Turklāt tika secināts, ka, paredzot nodokļa nomaksu  ar maksājuma identifikatoru īpašā pievienotās vērtības nodokļa režīma izmantošanas gadījumos, </w:t>
            </w:r>
            <w:r w:rsidR="00F13926">
              <w:t xml:space="preserve">turpmāk </w:t>
            </w:r>
            <w:r>
              <w:t xml:space="preserve">nav nepieciešams šiem maksājumiem saglabāt </w:t>
            </w:r>
            <w:r w:rsidR="00F13926">
              <w:t xml:space="preserve">noteikto </w:t>
            </w:r>
            <w:r>
              <w:t xml:space="preserve">vietu </w:t>
            </w:r>
            <w:r w:rsidR="00F13926" w:rsidRPr="00F13926">
              <w:t>maksāj</w:t>
            </w:r>
            <w:r w:rsidR="00F13926">
              <w:t>umu saistību prioritāšu sarakstā, līdz ar to maksājumu saistību 37. un 38.prioritāte ir svītrojama.</w:t>
            </w:r>
          </w:p>
        </w:tc>
        <w:tc>
          <w:tcPr>
            <w:tcW w:w="3686" w:type="dxa"/>
          </w:tcPr>
          <w:p w14:paraId="502DCE92" w14:textId="77777777" w:rsidR="00F13926" w:rsidRPr="00F13926" w:rsidRDefault="00F13926" w:rsidP="00A257C1">
            <w:pPr>
              <w:jc w:val="both"/>
              <w:rPr>
                <w:i/>
              </w:rPr>
            </w:pPr>
            <w:r w:rsidRPr="00F13926">
              <w:rPr>
                <w:i/>
              </w:rPr>
              <w:t>Precizēts noteikumu projekta 1.punkts</w:t>
            </w:r>
          </w:p>
          <w:p w14:paraId="085A84D1" w14:textId="77777777" w:rsidR="00A257C1" w:rsidRDefault="00A257C1" w:rsidP="00A257C1">
            <w:pPr>
              <w:jc w:val="both"/>
            </w:pPr>
            <w:r>
              <w:t>1. Izteikt 5.5. apakšpunktu šādā redakcijā:</w:t>
            </w:r>
          </w:p>
          <w:p w14:paraId="13A60E3C" w14:textId="30A48274" w:rsidR="00A257C1" w:rsidRDefault="00A257C1" w:rsidP="00A257C1">
            <w:pPr>
              <w:jc w:val="both"/>
            </w:pPr>
            <w:r>
              <w:t>“5.5. par pievienotās vērtības nodokli, kuru iemaksā persona, kas</w:t>
            </w:r>
            <w:r w:rsidR="00C139D7">
              <w:t xml:space="preserve"> </w:t>
            </w:r>
            <w:r w:rsidR="00C139D7" w:rsidRPr="00892F8A">
              <w:t xml:space="preserve">atbilstoši </w:t>
            </w:r>
            <w:r w:rsidR="003D033D">
              <w:t>normatīvajiem aktiem</w:t>
            </w:r>
            <w:r w:rsidR="00C139D7" w:rsidRPr="00892F8A">
              <w:t xml:space="preserve"> pievienotās vērtības nodokļa jomā</w:t>
            </w:r>
            <w:r>
              <w:t xml:space="preserve"> reģistrēta Latvijā (kā identifikācijas valstī) īpašo pievienotās vērtības nodokļa režīmu (</w:t>
            </w:r>
            <w:proofErr w:type="spellStart"/>
            <w:r>
              <w:t>ārpussavienības</w:t>
            </w:r>
            <w:proofErr w:type="spellEnd"/>
            <w:r>
              <w:t xml:space="preserve"> režīma, savienības režīma vai importa</w:t>
            </w:r>
            <w:r w:rsidR="002468DF">
              <w:t xml:space="preserve"> režīma) izmantošanai;”.</w:t>
            </w:r>
          </w:p>
          <w:p w14:paraId="647CD223" w14:textId="77777777" w:rsidR="00F13926" w:rsidRDefault="00F13926" w:rsidP="00F13926">
            <w:pPr>
              <w:jc w:val="both"/>
              <w:rPr>
                <w:i/>
              </w:rPr>
            </w:pPr>
          </w:p>
          <w:p w14:paraId="2396675A" w14:textId="77777777" w:rsidR="00F13926" w:rsidRPr="00F13926" w:rsidRDefault="00F13926" w:rsidP="00F13926">
            <w:pPr>
              <w:jc w:val="both"/>
              <w:rPr>
                <w:i/>
              </w:rPr>
            </w:pPr>
            <w:r>
              <w:rPr>
                <w:i/>
              </w:rPr>
              <w:t>Noteikumu projekts papildināts ar</w:t>
            </w:r>
            <w:r w:rsidRPr="00F13926">
              <w:rPr>
                <w:i/>
              </w:rPr>
              <w:t xml:space="preserve"> </w:t>
            </w:r>
            <w:r>
              <w:rPr>
                <w:i/>
              </w:rPr>
              <w:t>2.punktu</w:t>
            </w:r>
          </w:p>
          <w:p w14:paraId="5C07AAFB" w14:textId="77777777" w:rsidR="00A257C1" w:rsidRDefault="00A257C1" w:rsidP="00A257C1">
            <w:pPr>
              <w:jc w:val="both"/>
            </w:pPr>
            <w:r>
              <w:t>2. Papildināt noteikumus ar 5.</w:t>
            </w:r>
            <w:r w:rsidRPr="00A257C1">
              <w:rPr>
                <w:vertAlign w:val="superscript"/>
              </w:rPr>
              <w:t>1</w:t>
            </w:r>
            <w:r>
              <w:t xml:space="preserve"> punktu šādā redakcijā:</w:t>
            </w:r>
          </w:p>
          <w:p w14:paraId="2D373D5F" w14:textId="77777777" w:rsidR="00A257C1" w:rsidRDefault="00A257C1" w:rsidP="00A257C1">
            <w:pPr>
              <w:jc w:val="both"/>
            </w:pPr>
            <w:r>
              <w:t>“5.</w:t>
            </w:r>
            <w:r w:rsidRPr="00A257C1">
              <w:rPr>
                <w:vertAlign w:val="superscript"/>
              </w:rPr>
              <w:t>1</w:t>
            </w:r>
            <w:r>
              <w:t xml:space="preserve"> Ar maksājuma identifikatoru iemaksā kontā šādu maksājumu:</w:t>
            </w:r>
          </w:p>
          <w:p w14:paraId="3B3A255A" w14:textId="77777777" w:rsidR="00A257C1" w:rsidRDefault="00A257C1" w:rsidP="00A257C1">
            <w:pPr>
              <w:jc w:val="both"/>
            </w:pPr>
            <w:r>
              <w:t>5.</w:t>
            </w:r>
            <w:r w:rsidRPr="00A257C1">
              <w:rPr>
                <w:vertAlign w:val="superscript"/>
              </w:rPr>
              <w:t>1</w:t>
            </w:r>
            <w:r>
              <w:t>1. par dabas resursu nodokli par Latvijā pastāvīgi pirmo reizi reģistrētiem transportlīdzekļiem, kuru persona iemaksā kontā ar valsts akciju sabiedrības “Ceļu satiksmes drošības direkcija” starpniecību, izmantojot tās sniegto maksājumu pakalpojumu;</w:t>
            </w:r>
          </w:p>
          <w:p w14:paraId="40B7BE3E" w14:textId="49B16702" w:rsidR="008F38C1" w:rsidRDefault="00A257C1" w:rsidP="00A257C1">
            <w:pPr>
              <w:jc w:val="both"/>
            </w:pPr>
            <w:r>
              <w:lastRenderedPageBreak/>
              <w:t>5.</w:t>
            </w:r>
            <w:r w:rsidRPr="00A257C1">
              <w:rPr>
                <w:vertAlign w:val="superscript"/>
              </w:rPr>
              <w:t>1</w:t>
            </w:r>
            <w:r>
              <w:t>2. par pievienotās vērtības nodokli, kuru persona iemaksā kontā par darījumiem, kas veikti īpašo pievienotās vērtības nodokļa režīmu (</w:t>
            </w:r>
            <w:proofErr w:type="spellStart"/>
            <w:r>
              <w:t>ārpussavienības</w:t>
            </w:r>
            <w:proofErr w:type="spellEnd"/>
            <w:r>
              <w:t xml:space="preserve"> režīma, savienības režīma vai importa režīma) ietvaros, ar Eiropas Savienības dalībvalsts starpniecību saskaņā ar normatīvajiem aktiem pievienotās vērtības </w:t>
            </w:r>
            <w:r w:rsidR="00F13926">
              <w:t>nodokļa jomā</w:t>
            </w:r>
            <w:r w:rsidR="00BA0783">
              <w:t>.</w:t>
            </w:r>
            <w:r w:rsidR="00F13926">
              <w:t>”.</w:t>
            </w:r>
          </w:p>
          <w:p w14:paraId="640A347A" w14:textId="77777777" w:rsidR="00F13926" w:rsidRDefault="00F13926" w:rsidP="00A257C1">
            <w:pPr>
              <w:jc w:val="both"/>
            </w:pPr>
          </w:p>
          <w:p w14:paraId="768C11FF" w14:textId="77777777" w:rsidR="00F13926" w:rsidRPr="00F13926" w:rsidRDefault="00F13926" w:rsidP="00A257C1">
            <w:pPr>
              <w:jc w:val="both"/>
              <w:rPr>
                <w:i/>
              </w:rPr>
            </w:pPr>
            <w:r w:rsidRPr="00F13926">
              <w:rPr>
                <w:i/>
              </w:rPr>
              <w:t>Noteikumu projekts papildināts ar 3.punktu.</w:t>
            </w:r>
          </w:p>
        </w:tc>
      </w:tr>
      <w:tr w:rsidR="00962BCA" w:rsidRPr="00984006" w14:paraId="0E4A532D" w14:textId="77777777" w:rsidTr="00BA0343">
        <w:tc>
          <w:tcPr>
            <w:tcW w:w="576" w:type="dxa"/>
          </w:tcPr>
          <w:p w14:paraId="3F5E02CA" w14:textId="749FF270" w:rsidR="00962BCA" w:rsidRDefault="00AB7E29" w:rsidP="00A53C98">
            <w:r>
              <w:lastRenderedPageBreak/>
              <w:t>2</w:t>
            </w:r>
          </w:p>
        </w:tc>
        <w:tc>
          <w:tcPr>
            <w:tcW w:w="2963" w:type="dxa"/>
          </w:tcPr>
          <w:p w14:paraId="149DE284" w14:textId="77777777" w:rsidR="00962BCA" w:rsidRDefault="00F13926" w:rsidP="00A53C98">
            <w:pPr>
              <w:jc w:val="both"/>
            </w:pPr>
            <w:r>
              <w:t>Noteikumu projekta anotācijas I sadaļa</w:t>
            </w:r>
          </w:p>
        </w:tc>
        <w:tc>
          <w:tcPr>
            <w:tcW w:w="4252" w:type="dxa"/>
          </w:tcPr>
          <w:p w14:paraId="0807A159" w14:textId="77777777" w:rsidR="00962BCA" w:rsidRPr="00962BCA" w:rsidRDefault="00962BCA" w:rsidP="00962BCA">
            <w:pPr>
              <w:jc w:val="both"/>
              <w:rPr>
                <w:b/>
              </w:rPr>
            </w:pPr>
            <w:r w:rsidRPr="00962BCA">
              <w:rPr>
                <w:b/>
              </w:rPr>
              <w:t>Tieslietu ministrija</w:t>
            </w:r>
          </w:p>
          <w:p w14:paraId="27C57A12" w14:textId="77777777" w:rsidR="00962BCA" w:rsidRPr="00F13926" w:rsidRDefault="00F13926" w:rsidP="00A53C98">
            <w:pPr>
              <w:jc w:val="both"/>
            </w:pPr>
            <w:r w:rsidRPr="00F13926">
              <w:t>Anotācijas I sadaļas 1. punktā ir minēts 2020. gada 15. oktobra likumā "Grozījumi Pievienotās vērtības nodokļa likumā" paredzētais process, un anotācijas I sadaļas 2. punktā ir ietverta atsauce uz 2020. gada 15. oktobra likumā "Grozījumi Pievienotās vērtības nodokļa likumā" iekļauto regulējumu, bet nav skaidrs, kas ir iepriekš minētais process un regulējums. Līdz ar to nav arī skaidrs, atbilstoši kurām Pievienotās vērtības nodokļa likuma normām ir izstrādāts projekta 1. punktā paredzētajā noteikumu 5.5. apakšpunktā ietvertais regulējums. Ievērojot minēto, lūdzam papildināt anotāciju ar atbilstošu skaidrojumu.</w:t>
            </w:r>
          </w:p>
        </w:tc>
        <w:tc>
          <w:tcPr>
            <w:tcW w:w="3828" w:type="dxa"/>
          </w:tcPr>
          <w:p w14:paraId="5DE8DADB" w14:textId="77777777" w:rsidR="00962BCA" w:rsidRDefault="00F13926" w:rsidP="00B1410D">
            <w:pPr>
              <w:jc w:val="both"/>
              <w:rPr>
                <w:b/>
              </w:rPr>
            </w:pPr>
            <w:r>
              <w:rPr>
                <w:b/>
              </w:rPr>
              <w:t>Ņemts vērā</w:t>
            </w:r>
          </w:p>
        </w:tc>
        <w:tc>
          <w:tcPr>
            <w:tcW w:w="3686" w:type="dxa"/>
          </w:tcPr>
          <w:p w14:paraId="4920E6FD" w14:textId="6AF4EDFA" w:rsidR="00962BCA" w:rsidRPr="002F6F19" w:rsidRDefault="00F13926" w:rsidP="00F13926">
            <w:pPr>
              <w:jc w:val="both"/>
              <w:rPr>
                <w:b/>
                <w:i/>
              </w:rPr>
            </w:pPr>
            <w:r>
              <w:t>Ir precizēt</w:t>
            </w:r>
            <w:r w:rsidR="00BA0783">
              <w:t>a</w:t>
            </w:r>
            <w:r>
              <w:t xml:space="preserve"> noteikumu projekta anotācijas I sadaļa</w:t>
            </w:r>
            <w:r w:rsidR="00BA0783">
              <w:t>.</w:t>
            </w:r>
          </w:p>
        </w:tc>
      </w:tr>
      <w:tr w:rsidR="00A53C98" w:rsidRPr="00984006" w14:paraId="0ECB46EF" w14:textId="77777777" w:rsidTr="00BA0343">
        <w:tc>
          <w:tcPr>
            <w:tcW w:w="576" w:type="dxa"/>
          </w:tcPr>
          <w:p w14:paraId="5465A1F7" w14:textId="77777777" w:rsidR="00A53C98" w:rsidRDefault="00962BCA" w:rsidP="00A53C98">
            <w:r>
              <w:t>3</w:t>
            </w:r>
          </w:p>
        </w:tc>
        <w:tc>
          <w:tcPr>
            <w:tcW w:w="2963" w:type="dxa"/>
          </w:tcPr>
          <w:p w14:paraId="5A03588C" w14:textId="31EADB8C" w:rsidR="008D27D3" w:rsidRDefault="00AB7E29" w:rsidP="00BA0343">
            <w:r>
              <w:t xml:space="preserve">Noteikumu projekta anotācijas I </w:t>
            </w:r>
            <w:r w:rsidR="00785E2D">
              <w:t xml:space="preserve">un V </w:t>
            </w:r>
            <w:r>
              <w:t>sadaļa</w:t>
            </w:r>
          </w:p>
          <w:p w14:paraId="16D177FD" w14:textId="77777777" w:rsidR="008D27D3" w:rsidRPr="008D27D3" w:rsidRDefault="008D27D3" w:rsidP="008D27D3"/>
          <w:p w14:paraId="5A0109E9" w14:textId="77777777" w:rsidR="008D27D3" w:rsidRPr="008D27D3" w:rsidRDefault="008D27D3" w:rsidP="008D27D3"/>
          <w:p w14:paraId="19F5517E" w14:textId="7CF4E4F8" w:rsidR="00A53C98" w:rsidRPr="008D27D3" w:rsidRDefault="00A53C98" w:rsidP="008D27D3"/>
        </w:tc>
        <w:tc>
          <w:tcPr>
            <w:tcW w:w="4252" w:type="dxa"/>
          </w:tcPr>
          <w:p w14:paraId="318CA316" w14:textId="3C47836B" w:rsidR="00AB7E29" w:rsidRPr="00962BCA" w:rsidRDefault="00AB7E29" w:rsidP="00AB7E29">
            <w:pPr>
              <w:jc w:val="both"/>
              <w:rPr>
                <w:b/>
              </w:rPr>
            </w:pPr>
            <w:r w:rsidRPr="00962BCA">
              <w:rPr>
                <w:b/>
              </w:rPr>
              <w:lastRenderedPageBreak/>
              <w:t>Tieslietu ministrija</w:t>
            </w:r>
            <w:r>
              <w:rPr>
                <w:b/>
              </w:rPr>
              <w:t xml:space="preserve"> (17.03.2021)</w:t>
            </w:r>
          </w:p>
          <w:p w14:paraId="4D68C834" w14:textId="4C3F7BE3" w:rsidR="00A53C98" w:rsidRPr="00AB7E29" w:rsidRDefault="00AB7E29" w:rsidP="002D46E3">
            <w:pPr>
              <w:jc w:val="both"/>
            </w:pPr>
            <w:r w:rsidRPr="00AB7E29">
              <w:lastRenderedPageBreak/>
              <w:t>Projekta sākotnējās (</w:t>
            </w:r>
            <w:proofErr w:type="spellStart"/>
            <w:r w:rsidRPr="00AB7E29">
              <w:t>ex-ante</w:t>
            </w:r>
            <w:proofErr w:type="spellEnd"/>
            <w:r w:rsidRPr="00AB7E29">
              <w:t>) ietekmes novērtējuma ziņojuma (turpmāk – anotācija) I sadaļas 2. punktā ir norādīts, ka projekts saistīts ar Padomes 2010. gada 7. oktobra regulas (ES) Nr. 904/2010 par administratīvu sadarbību un krāpšanas apkarošanu pievienotās vērtības nodokļa jomā 46. panta 1. punkta un Padomes 2006. gada 28. novembra direktīvas 2006/112/EK par kopējo pievienotās vērtības nodokļa sistēmu prasību ievērošanu. Lūdzam sniegt skaidrojumu, vai projekts tieši pārņem vai ievieš minētās Eiropas Savienības tiesību aktu prasības, nepieciešamības gadījumā aizpildot anotācijas V sadaļas 1. punktu un 1. tabulu saskaņā ar Ministru kabineta 2009. gada 15. decembra instrukcijas "Tiesību akta projekta sākotnējās ietekmes izvērtēšanas kārtība" 55. un 56. punktā noteiktajām prasībām.</w:t>
            </w:r>
          </w:p>
        </w:tc>
        <w:tc>
          <w:tcPr>
            <w:tcW w:w="3828" w:type="dxa"/>
          </w:tcPr>
          <w:p w14:paraId="5406892F" w14:textId="77777777" w:rsidR="009B0212" w:rsidRDefault="00785E2D" w:rsidP="009B0212">
            <w:pPr>
              <w:jc w:val="both"/>
              <w:rPr>
                <w:b/>
              </w:rPr>
            </w:pPr>
            <w:r>
              <w:rPr>
                <w:b/>
              </w:rPr>
              <w:lastRenderedPageBreak/>
              <w:t>Panākta vienošanās</w:t>
            </w:r>
          </w:p>
          <w:p w14:paraId="47D54875" w14:textId="1A8E5148" w:rsidR="00585234" w:rsidRPr="00984006" w:rsidRDefault="00585234" w:rsidP="00942EE3">
            <w:pPr>
              <w:jc w:val="both"/>
              <w:rPr>
                <w:b/>
              </w:rPr>
            </w:pPr>
            <w:r>
              <w:lastRenderedPageBreak/>
              <w:t xml:space="preserve">Tieslietu ministrijai sniegts paskaidrojums par projekta </w:t>
            </w:r>
            <w:r w:rsidR="009136F6">
              <w:t>sa</w:t>
            </w:r>
            <w:r>
              <w:t>saisti (nevis regulējuma pārņemšanu)</w:t>
            </w:r>
            <w:r w:rsidRPr="00AB7E29">
              <w:t xml:space="preserve"> ar Padomes 2010. gada 7. oktobra regulas (ES) Nr. 904/2010 par administratīvu sadarbību un krāpšanas apkarošanu pievienotās vērtības </w:t>
            </w:r>
            <w:r>
              <w:t>nodokļa jomā (46. panta 1. punkts)</w:t>
            </w:r>
            <w:r w:rsidRPr="00AB7E29">
              <w:t xml:space="preserve"> un Padomes 2006. gada 28. novembra direktīvas 2006/112/EK par kopējo pievienotās vērtības nodokļa sistēmu prasību ievērošanu.</w:t>
            </w:r>
            <w:r w:rsidR="00942EE3">
              <w:t xml:space="preserve"> Panākta vienošanas par </w:t>
            </w:r>
            <w:r>
              <w:t>izmaiņ</w:t>
            </w:r>
            <w:r w:rsidR="00942EE3">
              <w:t>ām</w:t>
            </w:r>
            <w:r>
              <w:t xml:space="preserve"> noteikumu pro</w:t>
            </w:r>
            <w:r w:rsidR="00942EE3">
              <w:t>jekta anotācijas I un V sadaļā</w:t>
            </w:r>
            <w:r>
              <w:t>.</w:t>
            </w:r>
          </w:p>
        </w:tc>
        <w:tc>
          <w:tcPr>
            <w:tcW w:w="3686" w:type="dxa"/>
          </w:tcPr>
          <w:p w14:paraId="5C499AFA" w14:textId="5D9D3148" w:rsidR="00A53C98" w:rsidRPr="002F6F19" w:rsidRDefault="009136F6" w:rsidP="00A53C98">
            <w:pPr>
              <w:jc w:val="both"/>
              <w:rPr>
                <w:b/>
                <w:i/>
              </w:rPr>
            </w:pPr>
            <w:r>
              <w:lastRenderedPageBreak/>
              <w:t>Ir precizēta n</w:t>
            </w:r>
            <w:r w:rsidR="00785E2D">
              <w:t>oteikumu projekta anotācijas I un V sadaļa</w:t>
            </w:r>
            <w:r>
              <w:t>.</w:t>
            </w:r>
            <w:r w:rsidR="00942EE3">
              <w:t xml:space="preserve"> </w:t>
            </w:r>
          </w:p>
        </w:tc>
      </w:tr>
    </w:tbl>
    <w:p w14:paraId="276CF7B2" w14:textId="77777777" w:rsidR="00D33B33" w:rsidRPr="00984006" w:rsidRDefault="00D33B33" w:rsidP="00B73C81"/>
    <w:p w14:paraId="1A673C56" w14:textId="77777777" w:rsidR="00B73C81" w:rsidRPr="00984006" w:rsidRDefault="00B73C81" w:rsidP="00B73C81">
      <w:r w:rsidRPr="00984006">
        <w:t>Atbildīgā amatpersona____________________________</w:t>
      </w:r>
      <w:proofErr w:type="spellStart"/>
      <w:r w:rsidRPr="00984006">
        <w:t>K.Voiniča</w:t>
      </w:r>
      <w:proofErr w:type="spellEnd"/>
    </w:p>
    <w:p w14:paraId="05826C76" w14:textId="77777777" w:rsidR="00D33B33" w:rsidRPr="00984006" w:rsidRDefault="00D33B33" w:rsidP="00B73C81">
      <w:pPr>
        <w:rPr>
          <w:sz w:val="16"/>
          <w:szCs w:val="16"/>
        </w:rPr>
      </w:pPr>
    </w:p>
    <w:p w14:paraId="7787ADB3" w14:textId="77777777" w:rsidR="00D33B33" w:rsidRPr="00984006" w:rsidRDefault="00D33B33" w:rsidP="00B73C81">
      <w:pPr>
        <w:rPr>
          <w:sz w:val="16"/>
          <w:szCs w:val="16"/>
        </w:rPr>
      </w:pPr>
    </w:p>
    <w:p w14:paraId="2B1FAD21" w14:textId="77777777" w:rsidR="00B73C81" w:rsidRPr="00984006" w:rsidRDefault="00B73C81" w:rsidP="00B73C81">
      <w:pPr>
        <w:rPr>
          <w:sz w:val="20"/>
          <w:szCs w:val="20"/>
        </w:rPr>
      </w:pPr>
      <w:r w:rsidRPr="00984006">
        <w:rPr>
          <w:sz w:val="20"/>
          <w:szCs w:val="20"/>
        </w:rPr>
        <w:t>Kristīne Voiniča</w:t>
      </w:r>
    </w:p>
    <w:p w14:paraId="7941A3A0" w14:textId="77777777" w:rsidR="00B73C81" w:rsidRPr="00984006" w:rsidRDefault="00B73C81" w:rsidP="00B73C81">
      <w:pPr>
        <w:rPr>
          <w:sz w:val="20"/>
          <w:szCs w:val="20"/>
        </w:rPr>
      </w:pPr>
      <w:r w:rsidRPr="00984006">
        <w:rPr>
          <w:sz w:val="20"/>
          <w:szCs w:val="20"/>
        </w:rPr>
        <w:t>Finanšu ministrijas</w:t>
      </w:r>
    </w:p>
    <w:p w14:paraId="662F2CC1" w14:textId="77777777" w:rsidR="00B73C81" w:rsidRPr="00984006" w:rsidRDefault="00B73C81" w:rsidP="00B73C81">
      <w:pPr>
        <w:rPr>
          <w:sz w:val="20"/>
          <w:szCs w:val="20"/>
        </w:rPr>
      </w:pPr>
      <w:r w:rsidRPr="00984006">
        <w:rPr>
          <w:sz w:val="20"/>
          <w:szCs w:val="20"/>
        </w:rPr>
        <w:t xml:space="preserve">Nodokļu administrēšanas </w:t>
      </w:r>
      <w:r w:rsidR="00C06F06" w:rsidRPr="00984006">
        <w:rPr>
          <w:sz w:val="20"/>
          <w:szCs w:val="20"/>
        </w:rPr>
        <w:t xml:space="preserve">un </w:t>
      </w:r>
      <w:r w:rsidR="00460B90">
        <w:rPr>
          <w:sz w:val="20"/>
          <w:szCs w:val="20"/>
        </w:rPr>
        <w:t>sabiedrības interešu</w:t>
      </w:r>
      <w:r w:rsidR="00C06F06" w:rsidRPr="00984006">
        <w:rPr>
          <w:sz w:val="20"/>
          <w:szCs w:val="20"/>
        </w:rPr>
        <w:t xml:space="preserve"> </w:t>
      </w:r>
      <w:r w:rsidRPr="00984006">
        <w:rPr>
          <w:sz w:val="20"/>
          <w:szCs w:val="20"/>
        </w:rPr>
        <w:t>politikas departamenta</w:t>
      </w:r>
    </w:p>
    <w:p w14:paraId="3AD4DD3A" w14:textId="77777777" w:rsidR="00B73C81" w:rsidRPr="00984006" w:rsidRDefault="00B73C81" w:rsidP="00B73C81">
      <w:pPr>
        <w:rPr>
          <w:sz w:val="20"/>
          <w:szCs w:val="20"/>
        </w:rPr>
      </w:pPr>
      <w:r w:rsidRPr="00984006">
        <w:rPr>
          <w:sz w:val="20"/>
          <w:szCs w:val="20"/>
        </w:rPr>
        <w:t xml:space="preserve">Nodokļu administrēšanas </w:t>
      </w:r>
      <w:r w:rsidR="00B439D5">
        <w:rPr>
          <w:sz w:val="20"/>
          <w:szCs w:val="20"/>
        </w:rPr>
        <w:t xml:space="preserve">un starptautiskās administratīvās sadarbības </w:t>
      </w:r>
      <w:r w:rsidR="00C06F06" w:rsidRPr="00984006">
        <w:rPr>
          <w:sz w:val="20"/>
          <w:szCs w:val="20"/>
        </w:rPr>
        <w:t>politikas</w:t>
      </w:r>
      <w:r w:rsidRPr="00984006">
        <w:rPr>
          <w:sz w:val="20"/>
          <w:szCs w:val="20"/>
        </w:rPr>
        <w:t xml:space="preserve"> nodaļas vecākā </w:t>
      </w:r>
      <w:r w:rsidR="0063280E" w:rsidRPr="00984006">
        <w:rPr>
          <w:sz w:val="20"/>
          <w:szCs w:val="20"/>
        </w:rPr>
        <w:t>eksperte</w:t>
      </w:r>
    </w:p>
    <w:p w14:paraId="1337D03E" w14:textId="77777777" w:rsidR="00B73C81" w:rsidRPr="00984006" w:rsidRDefault="00460B90" w:rsidP="00B73C81">
      <w:pPr>
        <w:rPr>
          <w:sz w:val="20"/>
          <w:szCs w:val="20"/>
        </w:rPr>
      </w:pPr>
      <w:r>
        <w:rPr>
          <w:sz w:val="20"/>
          <w:szCs w:val="20"/>
        </w:rPr>
        <w:t>67095567</w:t>
      </w:r>
    </w:p>
    <w:p w14:paraId="5F3C89A7" w14:textId="77777777" w:rsidR="009929B9" w:rsidRPr="00984006" w:rsidRDefault="00B73C81" w:rsidP="00B73C81">
      <w:pPr>
        <w:rPr>
          <w:sz w:val="20"/>
          <w:szCs w:val="20"/>
        </w:rPr>
      </w:pPr>
      <w:r w:rsidRPr="00984006">
        <w:rPr>
          <w:sz w:val="20"/>
          <w:szCs w:val="20"/>
        </w:rPr>
        <w:t>Kristine.Voinica@fm.gov.lv</w:t>
      </w:r>
    </w:p>
    <w:p w14:paraId="3079AF2D" w14:textId="77777777" w:rsidR="00C579B7" w:rsidRPr="00984006" w:rsidRDefault="00C579B7">
      <w:pPr>
        <w:rPr>
          <w:sz w:val="20"/>
          <w:szCs w:val="20"/>
        </w:rPr>
      </w:pPr>
    </w:p>
    <w:p w14:paraId="47420D37" w14:textId="77777777" w:rsidR="009028CE" w:rsidRPr="00984006" w:rsidRDefault="009028CE">
      <w:pPr>
        <w:rPr>
          <w:sz w:val="20"/>
          <w:szCs w:val="20"/>
        </w:rPr>
      </w:pPr>
    </w:p>
    <w:p w14:paraId="4C01D5D7" w14:textId="77777777" w:rsidR="009028CE" w:rsidRPr="009028CE" w:rsidRDefault="009028CE" w:rsidP="009028CE">
      <w:pPr>
        <w:rPr>
          <w:sz w:val="20"/>
          <w:szCs w:val="20"/>
        </w:rPr>
      </w:pPr>
    </w:p>
    <w:sectPr w:rsidR="009028CE" w:rsidRPr="009028CE"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4E4D" w14:textId="77777777" w:rsidR="00C36B75" w:rsidRDefault="00C36B75" w:rsidP="009929B9">
      <w:r>
        <w:separator/>
      </w:r>
    </w:p>
    <w:p w14:paraId="75C5A282" w14:textId="77777777" w:rsidR="00C36B75" w:rsidRDefault="00C36B75"/>
  </w:endnote>
  <w:endnote w:type="continuationSeparator" w:id="0">
    <w:p w14:paraId="02E768CF" w14:textId="77777777" w:rsidR="00C36B75" w:rsidRDefault="00C36B75" w:rsidP="009929B9">
      <w:r>
        <w:continuationSeparator/>
      </w:r>
    </w:p>
    <w:p w14:paraId="02AC7990" w14:textId="77777777" w:rsidR="00C36B75" w:rsidRDefault="00C36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F612" w14:textId="5B54E19C" w:rsidR="00B1410D" w:rsidRPr="009B3C1B" w:rsidRDefault="00B1410D">
    <w:pPr>
      <w:pStyle w:val="Footer"/>
      <w:rPr>
        <w:sz w:val="20"/>
        <w:szCs w:val="20"/>
      </w:rPr>
    </w:pPr>
    <w:r w:rsidRPr="009B3C1B">
      <w:rPr>
        <w:sz w:val="20"/>
        <w:szCs w:val="20"/>
      </w:rPr>
      <w:t>FMIzz_</w:t>
    </w:r>
    <w:r w:rsidR="008D27D3">
      <w:rPr>
        <w:sz w:val="20"/>
        <w:szCs w:val="20"/>
      </w:rPr>
      <w:t>2</w:t>
    </w:r>
    <w:r w:rsidR="0007067F">
      <w:rPr>
        <w:sz w:val="20"/>
        <w:szCs w:val="20"/>
      </w:rPr>
      <w:t>5</w:t>
    </w:r>
    <w:r w:rsidR="002468DF">
      <w:rPr>
        <w:sz w:val="20"/>
        <w:szCs w:val="20"/>
      </w:rPr>
      <w:t>0321_661groz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9DA8" w14:textId="77777777" w:rsidR="00C36B75" w:rsidRDefault="00C36B75" w:rsidP="009929B9">
      <w:r>
        <w:separator/>
      </w:r>
    </w:p>
    <w:p w14:paraId="2ACC1651" w14:textId="77777777" w:rsidR="00C36B75" w:rsidRDefault="00C36B75"/>
  </w:footnote>
  <w:footnote w:type="continuationSeparator" w:id="0">
    <w:p w14:paraId="55CD388F" w14:textId="77777777" w:rsidR="00C36B75" w:rsidRDefault="00C36B75" w:rsidP="009929B9">
      <w:r>
        <w:continuationSeparator/>
      </w:r>
    </w:p>
    <w:p w14:paraId="3CFFB478" w14:textId="77777777" w:rsidR="00C36B75" w:rsidRDefault="00C36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086243"/>
      <w:docPartObj>
        <w:docPartGallery w:val="Page Numbers (Top of Page)"/>
        <w:docPartUnique/>
      </w:docPartObj>
    </w:sdtPr>
    <w:sdtEndPr>
      <w:rPr>
        <w:noProof/>
      </w:rPr>
    </w:sdtEndPr>
    <w:sdtContent>
      <w:p w14:paraId="22673207" w14:textId="435D108B" w:rsidR="00B1410D" w:rsidRDefault="00B1410D">
        <w:pPr>
          <w:pStyle w:val="Header"/>
          <w:jc w:val="center"/>
        </w:pPr>
        <w:r>
          <w:fldChar w:fldCharType="begin"/>
        </w:r>
        <w:r>
          <w:instrText xml:space="preserve"> PAGE   \* MERGEFORMAT </w:instrText>
        </w:r>
        <w:r>
          <w:fldChar w:fldCharType="separate"/>
        </w:r>
        <w:r w:rsidR="00C139D7">
          <w:rPr>
            <w:noProof/>
          </w:rPr>
          <w:t>2</w:t>
        </w:r>
        <w:r>
          <w:rPr>
            <w:noProof/>
          </w:rPr>
          <w:fldChar w:fldCharType="end"/>
        </w:r>
      </w:p>
    </w:sdtContent>
  </w:sdt>
  <w:p w14:paraId="6BF6F016" w14:textId="77777777" w:rsidR="00B1410D" w:rsidRDefault="00B1410D">
    <w:pPr>
      <w:pStyle w:val="Header"/>
    </w:pPr>
  </w:p>
  <w:p w14:paraId="7B656902" w14:textId="77777777" w:rsidR="004A48B3" w:rsidRDefault="004A48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69"/>
  <w:proofState w:spelling="clean" w:grammar="clean"/>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F"/>
    <w:rsid w:val="00002176"/>
    <w:rsid w:val="00005618"/>
    <w:rsid w:val="00006BAE"/>
    <w:rsid w:val="00010B89"/>
    <w:rsid w:val="00014607"/>
    <w:rsid w:val="00015D23"/>
    <w:rsid w:val="00022C19"/>
    <w:rsid w:val="00025A1B"/>
    <w:rsid w:val="00040805"/>
    <w:rsid w:val="00041261"/>
    <w:rsid w:val="00042844"/>
    <w:rsid w:val="00047DDC"/>
    <w:rsid w:val="0007067F"/>
    <w:rsid w:val="00070FE3"/>
    <w:rsid w:val="00073B1B"/>
    <w:rsid w:val="00073C2B"/>
    <w:rsid w:val="00076C90"/>
    <w:rsid w:val="00082F5A"/>
    <w:rsid w:val="00083F32"/>
    <w:rsid w:val="00090D2D"/>
    <w:rsid w:val="00091C20"/>
    <w:rsid w:val="000944E4"/>
    <w:rsid w:val="00095598"/>
    <w:rsid w:val="00096314"/>
    <w:rsid w:val="000A3B2F"/>
    <w:rsid w:val="000A7370"/>
    <w:rsid w:val="000B14D1"/>
    <w:rsid w:val="000B15F4"/>
    <w:rsid w:val="000C299D"/>
    <w:rsid w:val="000C552C"/>
    <w:rsid w:val="000E1CDE"/>
    <w:rsid w:val="000F715D"/>
    <w:rsid w:val="00100A9F"/>
    <w:rsid w:val="00103DD4"/>
    <w:rsid w:val="00104E7F"/>
    <w:rsid w:val="0010534E"/>
    <w:rsid w:val="00107511"/>
    <w:rsid w:val="00110D6B"/>
    <w:rsid w:val="00111AC5"/>
    <w:rsid w:val="00116C6E"/>
    <w:rsid w:val="0012190B"/>
    <w:rsid w:val="00126C72"/>
    <w:rsid w:val="0013052F"/>
    <w:rsid w:val="00130C03"/>
    <w:rsid w:val="00132462"/>
    <w:rsid w:val="001364EC"/>
    <w:rsid w:val="00140E41"/>
    <w:rsid w:val="0014396D"/>
    <w:rsid w:val="001509B1"/>
    <w:rsid w:val="001520E3"/>
    <w:rsid w:val="00157D9E"/>
    <w:rsid w:val="001652F0"/>
    <w:rsid w:val="0016789D"/>
    <w:rsid w:val="00171A70"/>
    <w:rsid w:val="0018282D"/>
    <w:rsid w:val="00182B22"/>
    <w:rsid w:val="00187683"/>
    <w:rsid w:val="00193180"/>
    <w:rsid w:val="001C1E53"/>
    <w:rsid w:val="001C3B0D"/>
    <w:rsid w:val="001C4A29"/>
    <w:rsid w:val="001C58A8"/>
    <w:rsid w:val="001C638C"/>
    <w:rsid w:val="001D13B5"/>
    <w:rsid w:val="001D2303"/>
    <w:rsid w:val="001E0887"/>
    <w:rsid w:val="001E3B6B"/>
    <w:rsid w:val="001E411D"/>
    <w:rsid w:val="001F1C3E"/>
    <w:rsid w:val="001F73B7"/>
    <w:rsid w:val="002010DC"/>
    <w:rsid w:val="00202A69"/>
    <w:rsid w:val="0020514C"/>
    <w:rsid w:val="00210284"/>
    <w:rsid w:val="00210F35"/>
    <w:rsid w:val="00215A91"/>
    <w:rsid w:val="00222673"/>
    <w:rsid w:val="002239A7"/>
    <w:rsid w:val="00225AB4"/>
    <w:rsid w:val="00226350"/>
    <w:rsid w:val="00232569"/>
    <w:rsid w:val="002431E6"/>
    <w:rsid w:val="002464FC"/>
    <w:rsid w:val="002468DF"/>
    <w:rsid w:val="0025062E"/>
    <w:rsid w:val="00264B3A"/>
    <w:rsid w:val="00264DEF"/>
    <w:rsid w:val="0027656B"/>
    <w:rsid w:val="00280BAF"/>
    <w:rsid w:val="00281057"/>
    <w:rsid w:val="00284325"/>
    <w:rsid w:val="002865CC"/>
    <w:rsid w:val="00287D10"/>
    <w:rsid w:val="00290DDD"/>
    <w:rsid w:val="00294E13"/>
    <w:rsid w:val="002974D6"/>
    <w:rsid w:val="00297939"/>
    <w:rsid w:val="002A11E4"/>
    <w:rsid w:val="002A393C"/>
    <w:rsid w:val="002A7F14"/>
    <w:rsid w:val="002B6C5F"/>
    <w:rsid w:val="002C0072"/>
    <w:rsid w:val="002C10F3"/>
    <w:rsid w:val="002C14C0"/>
    <w:rsid w:val="002C23BE"/>
    <w:rsid w:val="002C3FE7"/>
    <w:rsid w:val="002D46E3"/>
    <w:rsid w:val="002E08CF"/>
    <w:rsid w:val="002E0A7C"/>
    <w:rsid w:val="002E26B5"/>
    <w:rsid w:val="002F643A"/>
    <w:rsid w:val="002F6F19"/>
    <w:rsid w:val="002F7176"/>
    <w:rsid w:val="002F76FA"/>
    <w:rsid w:val="00301162"/>
    <w:rsid w:val="00305643"/>
    <w:rsid w:val="00310B34"/>
    <w:rsid w:val="0031241A"/>
    <w:rsid w:val="003145E6"/>
    <w:rsid w:val="00317E1B"/>
    <w:rsid w:val="00322198"/>
    <w:rsid w:val="0033243A"/>
    <w:rsid w:val="003339BA"/>
    <w:rsid w:val="003343C6"/>
    <w:rsid w:val="00340906"/>
    <w:rsid w:val="00344E36"/>
    <w:rsid w:val="003504B7"/>
    <w:rsid w:val="003520E0"/>
    <w:rsid w:val="00352A85"/>
    <w:rsid w:val="00354A6A"/>
    <w:rsid w:val="003553F4"/>
    <w:rsid w:val="00357CD0"/>
    <w:rsid w:val="00362FF9"/>
    <w:rsid w:val="00395897"/>
    <w:rsid w:val="003A269F"/>
    <w:rsid w:val="003A65D0"/>
    <w:rsid w:val="003B69A5"/>
    <w:rsid w:val="003C1B87"/>
    <w:rsid w:val="003C648E"/>
    <w:rsid w:val="003C7084"/>
    <w:rsid w:val="003D033D"/>
    <w:rsid w:val="003D3106"/>
    <w:rsid w:val="003E0F66"/>
    <w:rsid w:val="003E1A74"/>
    <w:rsid w:val="003E22E1"/>
    <w:rsid w:val="003E2BEF"/>
    <w:rsid w:val="003F05A4"/>
    <w:rsid w:val="003F5CEC"/>
    <w:rsid w:val="003F5E0F"/>
    <w:rsid w:val="00403F45"/>
    <w:rsid w:val="0040779A"/>
    <w:rsid w:val="0041654D"/>
    <w:rsid w:val="00417354"/>
    <w:rsid w:val="00417FEF"/>
    <w:rsid w:val="004269AB"/>
    <w:rsid w:val="00426B6C"/>
    <w:rsid w:val="00430CE2"/>
    <w:rsid w:val="00435A7B"/>
    <w:rsid w:val="00441DDC"/>
    <w:rsid w:val="00444AE4"/>
    <w:rsid w:val="00447209"/>
    <w:rsid w:val="00453890"/>
    <w:rsid w:val="00460B90"/>
    <w:rsid w:val="0046130B"/>
    <w:rsid w:val="0046366E"/>
    <w:rsid w:val="00464FE0"/>
    <w:rsid w:val="004756A9"/>
    <w:rsid w:val="00480FCD"/>
    <w:rsid w:val="0048105B"/>
    <w:rsid w:val="00487AAB"/>
    <w:rsid w:val="004918CA"/>
    <w:rsid w:val="004927E3"/>
    <w:rsid w:val="004934B0"/>
    <w:rsid w:val="00494199"/>
    <w:rsid w:val="00494C09"/>
    <w:rsid w:val="004973DC"/>
    <w:rsid w:val="004A1FBB"/>
    <w:rsid w:val="004A48B3"/>
    <w:rsid w:val="004B0A20"/>
    <w:rsid w:val="004B1F12"/>
    <w:rsid w:val="004B266B"/>
    <w:rsid w:val="004B28B2"/>
    <w:rsid w:val="004C0832"/>
    <w:rsid w:val="004C2946"/>
    <w:rsid w:val="004C4CA5"/>
    <w:rsid w:val="004D2DE2"/>
    <w:rsid w:val="004E079B"/>
    <w:rsid w:val="004E4BC3"/>
    <w:rsid w:val="004E674E"/>
    <w:rsid w:val="004E7B29"/>
    <w:rsid w:val="004E7F19"/>
    <w:rsid w:val="004F03CD"/>
    <w:rsid w:val="004F4A83"/>
    <w:rsid w:val="004F501E"/>
    <w:rsid w:val="004F7E1E"/>
    <w:rsid w:val="005055A8"/>
    <w:rsid w:val="005139E7"/>
    <w:rsid w:val="005231CD"/>
    <w:rsid w:val="00525FEA"/>
    <w:rsid w:val="005319A8"/>
    <w:rsid w:val="00531C98"/>
    <w:rsid w:val="00546A23"/>
    <w:rsid w:val="005471E7"/>
    <w:rsid w:val="005535BB"/>
    <w:rsid w:val="00553AD8"/>
    <w:rsid w:val="00555343"/>
    <w:rsid w:val="00555C1F"/>
    <w:rsid w:val="0055622C"/>
    <w:rsid w:val="00557DCB"/>
    <w:rsid w:val="00560C12"/>
    <w:rsid w:val="00564CD5"/>
    <w:rsid w:val="005650CB"/>
    <w:rsid w:val="00567B96"/>
    <w:rsid w:val="00571769"/>
    <w:rsid w:val="00582C96"/>
    <w:rsid w:val="00582DC8"/>
    <w:rsid w:val="00585234"/>
    <w:rsid w:val="0058614B"/>
    <w:rsid w:val="0058675F"/>
    <w:rsid w:val="005C037D"/>
    <w:rsid w:val="005C146B"/>
    <w:rsid w:val="005C1F8D"/>
    <w:rsid w:val="005D313C"/>
    <w:rsid w:val="005E1449"/>
    <w:rsid w:val="005E1835"/>
    <w:rsid w:val="005E4BD4"/>
    <w:rsid w:val="005F0AE1"/>
    <w:rsid w:val="005F0F7D"/>
    <w:rsid w:val="005F53C1"/>
    <w:rsid w:val="00601058"/>
    <w:rsid w:val="00615174"/>
    <w:rsid w:val="00615892"/>
    <w:rsid w:val="00615F13"/>
    <w:rsid w:val="006258FF"/>
    <w:rsid w:val="006269C7"/>
    <w:rsid w:val="0063280E"/>
    <w:rsid w:val="00632D07"/>
    <w:rsid w:val="006335DE"/>
    <w:rsid w:val="00634435"/>
    <w:rsid w:val="00643A5F"/>
    <w:rsid w:val="006461D0"/>
    <w:rsid w:val="00647A3E"/>
    <w:rsid w:val="00650BE8"/>
    <w:rsid w:val="00650F1B"/>
    <w:rsid w:val="00653768"/>
    <w:rsid w:val="006547B8"/>
    <w:rsid w:val="00656908"/>
    <w:rsid w:val="006610EB"/>
    <w:rsid w:val="00665E51"/>
    <w:rsid w:val="0067699A"/>
    <w:rsid w:val="006918AB"/>
    <w:rsid w:val="00695A30"/>
    <w:rsid w:val="0069613C"/>
    <w:rsid w:val="006A0E57"/>
    <w:rsid w:val="006A191E"/>
    <w:rsid w:val="006A3019"/>
    <w:rsid w:val="006A4B13"/>
    <w:rsid w:val="006B4B17"/>
    <w:rsid w:val="006B60EC"/>
    <w:rsid w:val="006B682F"/>
    <w:rsid w:val="006B6CC4"/>
    <w:rsid w:val="006C5559"/>
    <w:rsid w:val="006C62FE"/>
    <w:rsid w:val="006C7531"/>
    <w:rsid w:val="006C7643"/>
    <w:rsid w:val="006C7E82"/>
    <w:rsid w:val="006D1C5C"/>
    <w:rsid w:val="006D665F"/>
    <w:rsid w:val="006D7FED"/>
    <w:rsid w:val="006E2700"/>
    <w:rsid w:val="006E40F6"/>
    <w:rsid w:val="006E62C8"/>
    <w:rsid w:val="006F2E15"/>
    <w:rsid w:val="006F7817"/>
    <w:rsid w:val="006F791F"/>
    <w:rsid w:val="006F7FAF"/>
    <w:rsid w:val="00700CAE"/>
    <w:rsid w:val="00702D12"/>
    <w:rsid w:val="007031B8"/>
    <w:rsid w:val="00705F04"/>
    <w:rsid w:val="007100AD"/>
    <w:rsid w:val="00713F07"/>
    <w:rsid w:val="00714B29"/>
    <w:rsid w:val="00721733"/>
    <w:rsid w:val="00726EA5"/>
    <w:rsid w:val="00730932"/>
    <w:rsid w:val="00730B54"/>
    <w:rsid w:val="00740A7B"/>
    <w:rsid w:val="00741FBD"/>
    <w:rsid w:val="00742DB0"/>
    <w:rsid w:val="00747502"/>
    <w:rsid w:val="0075344F"/>
    <w:rsid w:val="00760131"/>
    <w:rsid w:val="007622F3"/>
    <w:rsid w:val="00763638"/>
    <w:rsid w:val="00775661"/>
    <w:rsid w:val="00777083"/>
    <w:rsid w:val="00782A38"/>
    <w:rsid w:val="00785E2D"/>
    <w:rsid w:val="00786A29"/>
    <w:rsid w:val="0078741C"/>
    <w:rsid w:val="00795657"/>
    <w:rsid w:val="00795E14"/>
    <w:rsid w:val="00797E06"/>
    <w:rsid w:val="007A49B5"/>
    <w:rsid w:val="007A4ECC"/>
    <w:rsid w:val="007A598B"/>
    <w:rsid w:val="007A735B"/>
    <w:rsid w:val="007B2BCD"/>
    <w:rsid w:val="007C4B2F"/>
    <w:rsid w:val="007C4E67"/>
    <w:rsid w:val="007C6006"/>
    <w:rsid w:val="007D02B2"/>
    <w:rsid w:val="007D3B75"/>
    <w:rsid w:val="007D455D"/>
    <w:rsid w:val="007D58A1"/>
    <w:rsid w:val="007E077F"/>
    <w:rsid w:val="007E0CE8"/>
    <w:rsid w:val="007F26B9"/>
    <w:rsid w:val="007F681D"/>
    <w:rsid w:val="008001D9"/>
    <w:rsid w:val="00806499"/>
    <w:rsid w:val="00806CA5"/>
    <w:rsid w:val="00811582"/>
    <w:rsid w:val="00812ED2"/>
    <w:rsid w:val="00817787"/>
    <w:rsid w:val="0082290E"/>
    <w:rsid w:val="00822A9E"/>
    <w:rsid w:val="00823925"/>
    <w:rsid w:val="00823AF0"/>
    <w:rsid w:val="00825202"/>
    <w:rsid w:val="0083700B"/>
    <w:rsid w:val="008444E7"/>
    <w:rsid w:val="00846E70"/>
    <w:rsid w:val="0086263C"/>
    <w:rsid w:val="008652BA"/>
    <w:rsid w:val="0088064A"/>
    <w:rsid w:val="008838A5"/>
    <w:rsid w:val="00887853"/>
    <w:rsid w:val="00890C05"/>
    <w:rsid w:val="0089218E"/>
    <w:rsid w:val="00892360"/>
    <w:rsid w:val="00897BE5"/>
    <w:rsid w:val="008A0408"/>
    <w:rsid w:val="008A0D49"/>
    <w:rsid w:val="008A5AE6"/>
    <w:rsid w:val="008A6B6E"/>
    <w:rsid w:val="008A6BD7"/>
    <w:rsid w:val="008B28FD"/>
    <w:rsid w:val="008B302D"/>
    <w:rsid w:val="008B5ADB"/>
    <w:rsid w:val="008B750B"/>
    <w:rsid w:val="008C471E"/>
    <w:rsid w:val="008C792E"/>
    <w:rsid w:val="008D27D3"/>
    <w:rsid w:val="008D5D40"/>
    <w:rsid w:val="008E20A3"/>
    <w:rsid w:val="008E4F47"/>
    <w:rsid w:val="008E6538"/>
    <w:rsid w:val="008F0CD3"/>
    <w:rsid w:val="008F38C1"/>
    <w:rsid w:val="008F76BD"/>
    <w:rsid w:val="009028CE"/>
    <w:rsid w:val="00912EDC"/>
    <w:rsid w:val="009135F5"/>
    <w:rsid w:val="009136F6"/>
    <w:rsid w:val="00920711"/>
    <w:rsid w:val="0093244B"/>
    <w:rsid w:val="00936481"/>
    <w:rsid w:val="00942EE3"/>
    <w:rsid w:val="00952F83"/>
    <w:rsid w:val="0095359E"/>
    <w:rsid w:val="00962BCA"/>
    <w:rsid w:val="009773CE"/>
    <w:rsid w:val="00981738"/>
    <w:rsid w:val="00982151"/>
    <w:rsid w:val="00982980"/>
    <w:rsid w:val="00984006"/>
    <w:rsid w:val="0098416C"/>
    <w:rsid w:val="00990262"/>
    <w:rsid w:val="009929B9"/>
    <w:rsid w:val="00996757"/>
    <w:rsid w:val="009972EF"/>
    <w:rsid w:val="00997894"/>
    <w:rsid w:val="00997939"/>
    <w:rsid w:val="009A0534"/>
    <w:rsid w:val="009B0212"/>
    <w:rsid w:val="009B3C1B"/>
    <w:rsid w:val="009B4407"/>
    <w:rsid w:val="009C0D07"/>
    <w:rsid w:val="009C238F"/>
    <w:rsid w:val="009C2458"/>
    <w:rsid w:val="009C53CE"/>
    <w:rsid w:val="009D37E2"/>
    <w:rsid w:val="009E3140"/>
    <w:rsid w:val="009E332D"/>
    <w:rsid w:val="009E3D73"/>
    <w:rsid w:val="009E7F27"/>
    <w:rsid w:val="009F107E"/>
    <w:rsid w:val="009F136E"/>
    <w:rsid w:val="009F17AE"/>
    <w:rsid w:val="009F2021"/>
    <w:rsid w:val="009F3197"/>
    <w:rsid w:val="009F4CD2"/>
    <w:rsid w:val="00A04A84"/>
    <w:rsid w:val="00A05CD2"/>
    <w:rsid w:val="00A13BE3"/>
    <w:rsid w:val="00A14C55"/>
    <w:rsid w:val="00A154DF"/>
    <w:rsid w:val="00A1601D"/>
    <w:rsid w:val="00A257C1"/>
    <w:rsid w:val="00A27592"/>
    <w:rsid w:val="00A34551"/>
    <w:rsid w:val="00A408E4"/>
    <w:rsid w:val="00A455A3"/>
    <w:rsid w:val="00A45DCF"/>
    <w:rsid w:val="00A473DB"/>
    <w:rsid w:val="00A478D9"/>
    <w:rsid w:val="00A521E7"/>
    <w:rsid w:val="00A53C98"/>
    <w:rsid w:val="00A66342"/>
    <w:rsid w:val="00A71BB8"/>
    <w:rsid w:val="00A8495B"/>
    <w:rsid w:val="00A87E88"/>
    <w:rsid w:val="00A977DC"/>
    <w:rsid w:val="00AA15E2"/>
    <w:rsid w:val="00AA1EAA"/>
    <w:rsid w:val="00AA4377"/>
    <w:rsid w:val="00AB37B0"/>
    <w:rsid w:val="00AB76C2"/>
    <w:rsid w:val="00AB7E29"/>
    <w:rsid w:val="00AC181E"/>
    <w:rsid w:val="00AC2FDE"/>
    <w:rsid w:val="00AC49D6"/>
    <w:rsid w:val="00AC62AB"/>
    <w:rsid w:val="00AC64FA"/>
    <w:rsid w:val="00AD786C"/>
    <w:rsid w:val="00AE0681"/>
    <w:rsid w:val="00AE1A5A"/>
    <w:rsid w:val="00AE32BE"/>
    <w:rsid w:val="00AF7526"/>
    <w:rsid w:val="00AF7687"/>
    <w:rsid w:val="00B0355F"/>
    <w:rsid w:val="00B05850"/>
    <w:rsid w:val="00B05A28"/>
    <w:rsid w:val="00B12297"/>
    <w:rsid w:val="00B1410D"/>
    <w:rsid w:val="00B16788"/>
    <w:rsid w:val="00B202A7"/>
    <w:rsid w:val="00B27A8C"/>
    <w:rsid w:val="00B32370"/>
    <w:rsid w:val="00B33858"/>
    <w:rsid w:val="00B353EE"/>
    <w:rsid w:val="00B35F53"/>
    <w:rsid w:val="00B36069"/>
    <w:rsid w:val="00B36ECE"/>
    <w:rsid w:val="00B3711F"/>
    <w:rsid w:val="00B41435"/>
    <w:rsid w:val="00B41A63"/>
    <w:rsid w:val="00B41D25"/>
    <w:rsid w:val="00B439D5"/>
    <w:rsid w:val="00B4786E"/>
    <w:rsid w:val="00B529A7"/>
    <w:rsid w:val="00B543BB"/>
    <w:rsid w:val="00B73644"/>
    <w:rsid w:val="00B73C81"/>
    <w:rsid w:val="00B7614C"/>
    <w:rsid w:val="00B7701C"/>
    <w:rsid w:val="00B812A7"/>
    <w:rsid w:val="00B81F55"/>
    <w:rsid w:val="00B83809"/>
    <w:rsid w:val="00B84516"/>
    <w:rsid w:val="00B90538"/>
    <w:rsid w:val="00B91B73"/>
    <w:rsid w:val="00B91D50"/>
    <w:rsid w:val="00B93878"/>
    <w:rsid w:val="00BA0343"/>
    <w:rsid w:val="00BA0783"/>
    <w:rsid w:val="00BA1C2B"/>
    <w:rsid w:val="00BA32EB"/>
    <w:rsid w:val="00BA4D43"/>
    <w:rsid w:val="00BB23E4"/>
    <w:rsid w:val="00BB5380"/>
    <w:rsid w:val="00BC081A"/>
    <w:rsid w:val="00BC24B6"/>
    <w:rsid w:val="00BC393E"/>
    <w:rsid w:val="00BC4829"/>
    <w:rsid w:val="00BC4BCA"/>
    <w:rsid w:val="00BD34F0"/>
    <w:rsid w:val="00BE4D90"/>
    <w:rsid w:val="00C06F06"/>
    <w:rsid w:val="00C120C3"/>
    <w:rsid w:val="00C124E3"/>
    <w:rsid w:val="00C12FFC"/>
    <w:rsid w:val="00C139D7"/>
    <w:rsid w:val="00C20E3F"/>
    <w:rsid w:val="00C21879"/>
    <w:rsid w:val="00C23EFE"/>
    <w:rsid w:val="00C30584"/>
    <w:rsid w:val="00C36B75"/>
    <w:rsid w:val="00C41B65"/>
    <w:rsid w:val="00C43882"/>
    <w:rsid w:val="00C442F9"/>
    <w:rsid w:val="00C52451"/>
    <w:rsid w:val="00C545C7"/>
    <w:rsid w:val="00C55F38"/>
    <w:rsid w:val="00C579B7"/>
    <w:rsid w:val="00C57B05"/>
    <w:rsid w:val="00C6488A"/>
    <w:rsid w:val="00C66080"/>
    <w:rsid w:val="00C726D5"/>
    <w:rsid w:val="00C771F5"/>
    <w:rsid w:val="00C825E3"/>
    <w:rsid w:val="00C842DA"/>
    <w:rsid w:val="00C84EDA"/>
    <w:rsid w:val="00C87B2D"/>
    <w:rsid w:val="00C92CBF"/>
    <w:rsid w:val="00C9796F"/>
    <w:rsid w:val="00CA5D2D"/>
    <w:rsid w:val="00CB0D81"/>
    <w:rsid w:val="00CB50A3"/>
    <w:rsid w:val="00CB7036"/>
    <w:rsid w:val="00CB7934"/>
    <w:rsid w:val="00CC0CB0"/>
    <w:rsid w:val="00CC2C68"/>
    <w:rsid w:val="00CC3326"/>
    <w:rsid w:val="00CC33C8"/>
    <w:rsid w:val="00CD7147"/>
    <w:rsid w:val="00CE0C3A"/>
    <w:rsid w:val="00CE3EE1"/>
    <w:rsid w:val="00CE448F"/>
    <w:rsid w:val="00CF294D"/>
    <w:rsid w:val="00D00F08"/>
    <w:rsid w:val="00D01FF8"/>
    <w:rsid w:val="00D026A2"/>
    <w:rsid w:val="00D05F71"/>
    <w:rsid w:val="00D068FE"/>
    <w:rsid w:val="00D06DC3"/>
    <w:rsid w:val="00D10E1F"/>
    <w:rsid w:val="00D179E5"/>
    <w:rsid w:val="00D21098"/>
    <w:rsid w:val="00D2337B"/>
    <w:rsid w:val="00D27532"/>
    <w:rsid w:val="00D27E48"/>
    <w:rsid w:val="00D313AE"/>
    <w:rsid w:val="00D33B33"/>
    <w:rsid w:val="00D33F8C"/>
    <w:rsid w:val="00D432E6"/>
    <w:rsid w:val="00D53EDA"/>
    <w:rsid w:val="00D57932"/>
    <w:rsid w:val="00D61DD3"/>
    <w:rsid w:val="00D6661F"/>
    <w:rsid w:val="00D70D43"/>
    <w:rsid w:val="00D74100"/>
    <w:rsid w:val="00D75AAF"/>
    <w:rsid w:val="00D75CBB"/>
    <w:rsid w:val="00D838DC"/>
    <w:rsid w:val="00D86281"/>
    <w:rsid w:val="00D86A47"/>
    <w:rsid w:val="00D87281"/>
    <w:rsid w:val="00D93710"/>
    <w:rsid w:val="00DA7880"/>
    <w:rsid w:val="00DB4B68"/>
    <w:rsid w:val="00DC4E69"/>
    <w:rsid w:val="00DD7BEB"/>
    <w:rsid w:val="00E01BC3"/>
    <w:rsid w:val="00E02C16"/>
    <w:rsid w:val="00E06A89"/>
    <w:rsid w:val="00E1144D"/>
    <w:rsid w:val="00E165BA"/>
    <w:rsid w:val="00E23621"/>
    <w:rsid w:val="00E36FE3"/>
    <w:rsid w:val="00E42E34"/>
    <w:rsid w:val="00E47476"/>
    <w:rsid w:val="00E51640"/>
    <w:rsid w:val="00E56BFE"/>
    <w:rsid w:val="00E57BBF"/>
    <w:rsid w:val="00E610B2"/>
    <w:rsid w:val="00E63CF7"/>
    <w:rsid w:val="00E64262"/>
    <w:rsid w:val="00E66D2A"/>
    <w:rsid w:val="00E70A5A"/>
    <w:rsid w:val="00E72CD0"/>
    <w:rsid w:val="00E82A9E"/>
    <w:rsid w:val="00E83366"/>
    <w:rsid w:val="00E85AE0"/>
    <w:rsid w:val="00E92231"/>
    <w:rsid w:val="00E95000"/>
    <w:rsid w:val="00E97594"/>
    <w:rsid w:val="00EA1106"/>
    <w:rsid w:val="00EA27EF"/>
    <w:rsid w:val="00EA2C59"/>
    <w:rsid w:val="00EA319A"/>
    <w:rsid w:val="00EA55F7"/>
    <w:rsid w:val="00EA6888"/>
    <w:rsid w:val="00EB0558"/>
    <w:rsid w:val="00EC1D7B"/>
    <w:rsid w:val="00EC2628"/>
    <w:rsid w:val="00EC4167"/>
    <w:rsid w:val="00EC43F6"/>
    <w:rsid w:val="00EC7478"/>
    <w:rsid w:val="00ED0CA5"/>
    <w:rsid w:val="00ED1534"/>
    <w:rsid w:val="00ED6305"/>
    <w:rsid w:val="00ED6C38"/>
    <w:rsid w:val="00EE0687"/>
    <w:rsid w:val="00EF4AC4"/>
    <w:rsid w:val="00F00D1F"/>
    <w:rsid w:val="00F104E4"/>
    <w:rsid w:val="00F10D01"/>
    <w:rsid w:val="00F115B3"/>
    <w:rsid w:val="00F13926"/>
    <w:rsid w:val="00F159B0"/>
    <w:rsid w:val="00F16604"/>
    <w:rsid w:val="00F17B2B"/>
    <w:rsid w:val="00F24ABE"/>
    <w:rsid w:val="00F27F0B"/>
    <w:rsid w:val="00F31968"/>
    <w:rsid w:val="00F36DBC"/>
    <w:rsid w:val="00F4062C"/>
    <w:rsid w:val="00F44F5F"/>
    <w:rsid w:val="00F50B54"/>
    <w:rsid w:val="00F52D86"/>
    <w:rsid w:val="00F57618"/>
    <w:rsid w:val="00F678DD"/>
    <w:rsid w:val="00F730AC"/>
    <w:rsid w:val="00F74D55"/>
    <w:rsid w:val="00F7792B"/>
    <w:rsid w:val="00F80F5E"/>
    <w:rsid w:val="00F8628F"/>
    <w:rsid w:val="00F8778E"/>
    <w:rsid w:val="00F91C8D"/>
    <w:rsid w:val="00F9278C"/>
    <w:rsid w:val="00F94379"/>
    <w:rsid w:val="00F97E03"/>
    <w:rsid w:val="00FA5CC5"/>
    <w:rsid w:val="00FB1F22"/>
    <w:rsid w:val="00FC6E01"/>
    <w:rsid w:val="00FD03FD"/>
    <w:rsid w:val="00FD4A7A"/>
    <w:rsid w:val="00FD4F72"/>
    <w:rsid w:val="00FD6DE2"/>
    <w:rsid w:val="00FE3AB4"/>
    <w:rsid w:val="00FE6C4B"/>
    <w:rsid w:val="00FE700A"/>
    <w:rsid w:val="00FF29B9"/>
    <w:rsid w:val="00FF6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45D"/>
  <w15:docId w15:val="{098FAC01-3C66-4B94-BEC9-66AC2A62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semiHidden/>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1364EC"/>
    <w:rPr>
      <w:rFonts w:eastAsia="Times New Roman" w:cs="Times New Roman"/>
      <w:sz w:val="20"/>
      <w:szCs w:val="20"/>
      <w:lang w:eastAsia="lv-LV"/>
    </w:rPr>
  </w:style>
  <w:style w:type="character" w:styleId="FootnoteReference">
    <w:name w:val="footnote reference"/>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paragraph" w:styleId="NormalWeb">
    <w:name w:val="Normal (Web)"/>
    <w:basedOn w:val="Normal"/>
    <w:uiPriority w:val="99"/>
    <w:rsid w:val="00F10D01"/>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F10D01"/>
    <w:pPr>
      <w:spacing w:before="75" w:after="75"/>
      <w:ind w:firstLine="375"/>
      <w:jc w:val="both"/>
    </w:pPr>
    <w:rPr>
      <w:rFonts w:eastAsia="Times New Roman" w:cs="Times New Roman"/>
      <w:szCs w:val="24"/>
      <w:lang w:eastAsia="lv-LV"/>
    </w:rPr>
  </w:style>
  <w:style w:type="paragraph" w:customStyle="1" w:styleId="naiskr">
    <w:name w:val="naiskr"/>
    <w:basedOn w:val="Normal"/>
    <w:rsid w:val="00F10D01"/>
    <w:pPr>
      <w:spacing w:before="75" w:after="75"/>
    </w:pPr>
    <w:rPr>
      <w:rFonts w:eastAsia="Times New Roman" w:cs="Times New Roman"/>
      <w:szCs w:val="24"/>
      <w:lang w:eastAsia="lv-LV"/>
    </w:rPr>
  </w:style>
  <w:style w:type="paragraph" w:customStyle="1" w:styleId="naisc">
    <w:name w:val="naisc"/>
    <w:basedOn w:val="Normal"/>
    <w:rsid w:val="00F10D01"/>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52265">
      <w:bodyDiv w:val="1"/>
      <w:marLeft w:val="0"/>
      <w:marRight w:val="0"/>
      <w:marTop w:val="0"/>
      <w:marBottom w:val="0"/>
      <w:divBdr>
        <w:top w:val="none" w:sz="0" w:space="0" w:color="auto"/>
        <w:left w:val="none" w:sz="0" w:space="0" w:color="auto"/>
        <w:bottom w:val="none" w:sz="0" w:space="0" w:color="auto"/>
        <w:right w:val="none" w:sz="0" w:space="0" w:color="auto"/>
      </w:divBdr>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376539966">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 w:id="2055887099">
      <w:bodyDiv w:val="1"/>
      <w:marLeft w:val="0"/>
      <w:marRight w:val="0"/>
      <w:marTop w:val="0"/>
      <w:marBottom w:val="0"/>
      <w:divBdr>
        <w:top w:val="none" w:sz="0" w:space="0" w:color="auto"/>
        <w:left w:val="none" w:sz="0" w:space="0" w:color="auto"/>
        <w:bottom w:val="none" w:sz="0" w:space="0" w:color="auto"/>
        <w:right w:val="none" w:sz="0" w:space="0" w:color="auto"/>
      </w:divBdr>
    </w:div>
    <w:div w:id="21370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F121-6859-4017-84AE-F44A0512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5065</Words>
  <Characters>2888</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projektam “Grozījumi Ministru kabineta 2018. gada 30. oktobra noteikumos Nr. 661 “Kārtība, kādā maksā nodokļus, nodevas, citus valsts noteiktos maksājumus un ar tiem saistītos maksājumus un novirza tos saistību segšanai””</vt:lpstr>
      <vt:lpstr>likumprojekts "Grozījumi likumā "Par nodokļiem un nodevām""</vt:lpstr>
    </vt:vector>
  </TitlesOfParts>
  <Company>Finanšu ministrija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projektam “Grozījumi Ministru kabineta 2018. gada 30. oktobra noteikumos Nr. 661 “Kārtība, kādā maksā nodokļus, nodevas, citus valsts noteiktos maksājumus un ar tiem saistītos maksājumus un novirza tos saistību segšanai””</dc:title>
  <dc:subject>Izziņa par atzinumos sniegtajiem iebildumiem</dc:subject>
  <dc:creator>Kristīne Voiniča</dc:creator>
  <dc:description>Kristine.Voinica@fm.gov.lv; tālr.67095567</dc:description>
  <cp:lastModifiedBy>Ingūna Runča</cp:lastModifiedBy>
  <cp:revision>8</cp:revision>
  <cp:lastPrinted>2019-11-20T12:44:00Z</cp:lastPrinted>
  <dcterms:created xsi:type="dcterms:W3CDTF">2021-03-25T07:37:00Z</dcterms:created>
  <dcterms:modified xsi:type="dcterms:W3CDTF">2021-03-26T12:05:00Z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