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74E" w:rsidRPr="009F219F" w:rsidRDefault="00E8574E" w:rsidP="00E8574E">
      <w:pPr>
        <w:pStyle w:val="naisnod"/>
        <w:spacing w:before="0" w:after="0"/>
        <w:ind w:firstLine="720"/>
        <w:rPr>
          <w:color w:val="000000" w:themeColor="text1"/>
        </w:rPr>
      </w:pPr>
      <w:r w:rsidRPr="009F219F">
        <w:rPr>
          <w:color w:val="000000" w:themeColor="text1"/>
        </w:rPr>
        <w:t>Izziņa par atzinumos sniegtajiem iebildumiem par</w:t>
      </w:r>
    </w:p>
    <w:p w:rsidR="00E8574E" w:rsidRPr="009F219F" w:rsidRDefault="001B241A" w:rsidP="00E8574E">
      <w:pPr>
        <w:pStyle w:val="naisf"/>
        <w:spacing w:before="0" w:after="0"/>
        <w:ind w:firstLine="720"/>
        <w:jc w:val="center"/>
        <w:rPr>
          <w:rStyle w:val="Strong"/>
          <w:color w:val="000000" w:themeColor="text1"/>
        </w:rPr>
      </w:pPr>
      <w:r>
        <w:rPr>
          <w:rStyle w:val="Strong"/>
          <w:color w:val="000000" w:themeColor="text1"/>
        </w:rPr>
        <w:t>likumprojektu “Grozījumi Sabiedrisko pakalpojumu sniedzēju iepirkumu likumā”</w:t>
      </w:r>
    </w:p>
    <w:p w:rsidR="00E8574E" w:rsidRPr="00CD2F09" w:rsidRDefault="00E8574E" w:rsidP="00E8574E">
      <w:pPr>
        <w:pStyle w:val="naisf"/>
        <w:spacing w:before="0" w:after="0"/>
        <w:ind w:firstLine="720"/>
        <w:jc w:val="center"/>
      </w:pPr>
    </w:p>
    <w:p w:rsidR="00E8574E" w:rsidRPr="00CD2F09" w:rsidRDefault="00E8574E" w:rsidP="00E8574E">
      <w:pPr>
        <w:pStyle w:val="naisf"/>
        <w:spacing w:before="0" w:after="0"/>
        <w:ind w:firstLine="0"/>
        <w:jc w:val="center"/>
        <w:rPr>
          <w:b/>
        </w:rPr>
      </w:pPr>
      <w:r w:rsidRPr="00CD2F09">
        <w:rPr>
          <w:b/>
        </w:rPr>
        <w:t>I. Jautājumi, par kuriem saskaņošanā vienošanās nav panākta</w:t>
      </w:r>
    </w:p>
    <w:p w:rsidR="00E8574E" w:rsidRPr="009C6FAF" w:rsidRDefault="00E8574E" w:rsidP="00E8574E">
      <w:pPr>
        <w:pStyle w:val="naisf"/>
        <w:spacing w:before="0" w:after="0"/>
        <w:ind w:firstLine="720"/>
        <w:rPr>
          <w:sz w:val="22"/>
          <w:szCs w:val="22"/>
        </w:rPr>
      </w:pPr>
    </w:p>
    <w:tbl>
      <w:tblPr>
        <w:tblW w:w="148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3086"/>
        <w:gridCol w:w="3118"/>
        <w:gridCol w:w="2977"/>
        <w:gridCol w:w="2727"/>
        <w:gridCol w:w="2219"/>
        <w:gridCol w:w="9"/>
      </w:tblGrid>
      <w:tr w:rsidR="00E8574E" w:rsidRPr="00CD2F09" w:rsidTr="00873779">
        <w:trPr>
          <w:gridAfter w:val="1"/>
          <w:wAfter w:w="9" w:type="dxa"/>
        </w:trPr>
        <w:tc>
          <w:tcPr>
            <w:tcW w:w="708" w:type="dxa"/>
            <w:vAlign w:val="center"/>
          </w:tcPr>
          <w:p w:rsidR="00E8574E" w:rsidRPr="00CD2F09" w:rsidRDefault="00E8574E" w:rsidP="00873779">
            <w:pPr>
              <w:pStyle w:val="naisc"/>
              <w:spacing w:before="0" w:after="0"/>
              <w:rPr>
                <w:sz w:val="22"/>
                <w:szCs w:val="22"/>
              </w:rPr>
            </w:pPr>
            <w:r w:rsidRPr="00CD2F09">
              <w:rPr>
                <w:sz w:val="22"/>
                <w:szCs w:val="22"/>
              </w:rPr>
              <w:t>Nr. p.k.</w:t>
            </w:r>
          </w:p>
        </w:tc>
        <w:tc>
          <w:tcPr>
            <w:tcW w:w="3086" w:type="dxa"/>
            <w:vAlign w:val="center"/>
          </w:tcPr>
          <w:p w:rsidR="00E8574E" w:rsidRPr="00CD2F09" w:rsidRDefault="00E8574E" w:rsidP="00873779">
            <w:pPr>
              <w:pStyle w:val="naisc"/>
              <w:spacing w:before="0" w:after="0"/>
              <w:ind w:firstLine="12"/>
              <w:rPr>
                <w:sz w:val="22"/>
                <w:szCs w:val="22"/>
              </w:rPr>
            </w:pPr>
            <w:r w:rsidRPr="00CD2F09">
              <w:rPr>
                <w:sz w:val="22"/>
                <w:szCs w:val="22"/>
              </w:rPr>
              <w:t>Saskaņošanai nosūtītā projekta redakcija (konkrēta punkta (panta) redakcija)</w:t>
            </w:r>
          </w:p>
        </w:tc>
        <w:tc>
          <w:tcPr>
            <w:tcW w:w="3118" w:type="dxa"/>
            <w:vAlign w:val="center"/>
          </w:tcPr>
          <w:p w:rsidR="00E8574E" w:rsidRPr="00CD2F09" w:rsidRDefault="00E8574E" w:rsidP="00873779">
            <w:pPr>
              <w:pStyle w:val="naisc"/>
              <w:spacing w:before="0" w:after="0"/>
              <w:ind w:right="3"/>
              <w:rPr>
                <w:sz w:val="22"/>
                <w:szCs w:val="22"/>
              </w:rPr>
            </w:pPr>
            <w:r w:rsidRPr="00CD2F09">
              <w:rPr>
                <w:sz w:val="22"/>
                <w:szCs w:val="22"/>
              </w:rPr>
              <w:t>Atzinumā norādītais ministrijas (citas institūcijas) iebildums, kā arī saskaņošanā papildus izteiktais iebildums par projekta konkrēto punktu (pantu)</w:t>
            </w:r>
          </w:p>
        </w:tc>
        <w:tc>
          <w:tcPr>
            <w:tcW w:w="2977" w:type="dxa"/>
            <w:vAlign w:val="center"/>
          </w:tcPr>
          <w:p w:rsidR="00E8574E" w:rsidRPr="00CD2F09" w:rsidRDefault="00E8574E" w:rsidP="00873779">
            <w:pPr>
              <w:pStyle w:val="naisc"/>
              <w:spacing w:before="0" w:after="0"/>
              <w:ind w:firstLine="21"/>
              <w:rPr>
                <w:sz w:val="22"/>
                <w:szCs w:val="22"/>
              </w:rPr>
            </w:pPr>
            <w:r w:rsidRPr="00CD2F09">
              <w:rPr>
                <w:sz w:val="22"/>
                <w:szCs w:val="22"/>
              </w:rPr>
              <w:t>Atbildīgās ministrijas pamatojums iebilduma noraidījumam</w:t>
            </w:r>
          </w:p>
        </w:tc>
        <w:tc>
          <w:tcPr>
            <w:tcW w:w="2727" w:type="dxa"/>
            <w:vAlign w:val="center"/>
          </w:tcPr>
          <w:p w:rsidR="00E8574E" w:rsidRPr="00CD2F09" w:rsidRDefault="00E8574E" w:rsidP="00873779">
            <w:pPr>
              <w:jc w:val="center"/>
              <w:rPr>
                <w:sz w:val="22"/>
                <w:szCs w:val="22"/>
              </w:rPr>
            </w:pPr>
            <w:r w:rsidRPr="00CD2F09">
              <w:rPr>
                <w:sz w:val="22"/>
                <w:szCs w:val="22"/>
              </w:rPr>
              <w:t>Atzinuma sniedzēja uzturētais iebildums, ja tas atšķiras no atzinumā norādītā iebilduma pamatojuma</w:t>
            </w:r>
          </w:p>
        </w:tc>
        <w:tc>
          <w:tcPr>
            <w:tcW w:w="2219" w:type="dxa"/>
            <w:vAlign w:val="center"/>
          </w:tcPr>
          <w:p w:rsidR="00E8574E" w:rsidRPr="00CD2F09" w:rsidRDefault="00E8574E" w:rsidP="00873779">
            <w:pPr>
              <w:jc w:val="center"/>
              <w:rPr>
                <w:sz w:val="22"/>
                <w:szCs w:val="22"/>
              </w:rPr>
            </w:pPr>
            <w:r w:rsidRPr="00CD2F09">
              <w:rPr>
                <w:sz w:val="22"/>
                <w:szCs w:val="22"/>
              </w:rPr>
              <w:t>Projekta attiecīgā punkta (panta) galīgā redakcija</w:t>
            </w:r>
          </w:p>
        </w:tc>
      </w:tr>
      <w:tr w:rsidR="00E8574E" w:rsidRPr="00CD2F09" w:rsidTr="00873779">
        <w:tc>
          <w:tcPr>
            <w:tcW w:w="14844" w:type="dxa"/>
            <w:gridSpan w:val="7"/>
          </w:tcPr>
          <w:p w:rsidR="00E8574E" w:rsidRPr="00CD2F09" w:rsidRDefault="00E8574E" w:rsidP="00873779">
            <w:pPr>
              <w:jc w:val="center"/>
              <w:rPr>
                <w:b/>
                <w:sz w:val="22"/>
                <w:szCs w:val="22"/>
              </w:rPr>
            </w:pPr>
            <w:r w:rsidRPr="00CD2F09">
              <w:rPr>
                <w:b/>
                <w:sz w:val="22"/>
                <w:szCs w:val="22"/>
              </w:rPr>
              <w:t>Nav nesaskaņotu iebildumu</w:t>
            </w:r>
          </w:p>
        </w:tc>
      </w:tr>
    </w:tbl>
    <w:p w:rsidR="00E8574E" w:rsidRDefault="00E8574E" w:rsidP="00E8574E">
      <w:pPr>
        <w:pStyle w:val="naisf"/>
        <w:spacing w:before="0" w:after="0"/>
        <w:ind w:firstLine="0"/>
        <w:jc w:val="center"/>
        <w:rPr>
          <w:sz w:val="22"/>
          <w:szCs w:val="22"/>
        </w:rPr>
      </w:pPr>
    </w:p>
    <w:p w:rsidR="00E8574E" w:rsidRPr="00CD2F09" w:rsidRDefault="00E8574E" w:rsidP="00E8574E">
      <w:pPr>
        <w:pStyle w:val="naisf"/>
        <w:spacing w:before="0" w:after="0"/>
        <w:ind w:firstLine="0"/>
        <w:rPr>
          <w:b/>
          <w:sz w:val="22"/>
          <w:szCs w:val="22"/>
        </w:rPr>
      </w:pPr>
      <w:r w:rsidRPr="00CD2F09">
        <w:rPr>
          <w:b/>
          <w:sz w:val="22"/>
          <w:szCs w:val="22"/>
        </w:rPr>
        <w:t xml:space="preserve">Informācija par </w:t>
      </w:r>
      <w:proofErr w:type="spellStart"/>
      <w:r w:rsidRPr="00CD2F09">
        <w:rPr>
          <w:b/>
          <w:sz w:val="22"/>
          <w:szCs w:val="22"/>
        </w:rPr>
        <w:t>starpministriju</w:t>
      </w:r>
      <w:proofErr w:type="spellEnd"/>
      <w:r w:rsidRPr="00CD2F09">
        <w:rPr>
          <w:b/>
          <w:sz w:val="22"/>
          <w:szCs w:val="22"/>
        </w:rPr>
        <w:t xml:space="preserve"> (starpinstitūciju) sanāksmi vai elektronisko saskaņošanu</w:t>
      </w:r>
    </w:p>
    <w:p w:rsidR="00E8574E" w:rsidRPr="00CD2F09" w:rsidRDefault="00E8574E" w:rsidP="00E8574E">
      <w:pPr>
        <w:pStyle w:val="naisf"/>
        <w:spacing w:before="0" w:after="0"/>
        <w:ind w:firstLine="0"/>
        <w:rPr>
          <w:b/>
          <w:sz w:val="22"/>
          <w:szCs w:val="22"/>
        </w:rPr>
      </w:pPr>
    </w:p>
    <w:tbl>
      <w:tblPr>
        <w:tblW w:w="14142" w:type="dxa"/>
        <w:tblLook w:val="00A0" w:firstRow="1" w:lastRow="0" w:firstColumn="1" w:lastColumn="0" w:noHBand="0" w:noVBand="0"/>
      </w:tblPr>
      <w:tblGrid>
        <w:gridCol w:w="7763"/>
        <w:gridCol w:w="6300"/>
        <w:gridCol w:w="79"/>
      </w:tblGrid>
      <w:tr w:rsidR="00E8574E" w:rsidRPr="00CD2F09" w:rsidTr="00873779">
        <w:tc>
          <w:tcPr>
            <w:tcW w:w="7763" w:type="dxa"/>
          </w:tcPr>
          <w:p w:rsidR="00E8574E" w:rsidRPr="00CD2F09" w:rsidRDefault="00E8574E" w:rsidP="00873779">
            <w:pPr>
              <w:pStyle w:val="naisf"/>
              <w:spacing w:before="0" w:after="0"/>
              <w:ind w:firstLine="0"/>
              <w:rPr>
                <w:sz w:val="22"/>
                <w:szCs w:val="22"/>
              </w:rPr>
            </w:pPr>
            <w:r w:rsidRPr="00CD2F09">
              <w:rPr>
                <w:sz w:val="22"/>
                <w:szCs w:val="22"/>
              </w:rPr>
              <w:t>Datums</w:t>
            </w:r>
          </w:p>
        </w:tc>
        <w:tc>
          <w:tcPr>
            <w:tcW w:w="6379" w:type="dxa"/>
            <w:gridSpan w:val="2"/>
            <w:tcBorders>
              <w:bottom w:val="single" w:sz="4" w:space="0" w:color="auto"/>
            </w:tcBorders>
          </w:tcPr>
          <w:p w:rsidR="00E8574E" w:rsidRPr="000151A1" w:rsidRDefault="009F219F" w:rsidP="00343BEE">
            <w:pPr>
              <w:pStyle w:val="NormalWeb"/>
              <w:spacing w:before="0" w:beforeAutospacing="0" w:after="0" w:afterAutospacing="0"/>
              <w:rPr>
                <w:sz w:val="22"/>
                <w:szCs w:val="22"/>
              </w:rPr>
            </w:pPr>
            <w:r w:rsidRPr="000151A1">
              <w:rPr>
                <w:sz w:val="22"/>
                <w:szCs w:val="22"/>
              </w:rPr>
              <w:t xml:space="preserve">2020.gada </w:t>
            </w:r>
            <w:r w:rsidR="000151A1" w:rsidRPr="000151A1">
              <w:rPr>
                <w:sz w:val="22"/>
                <w:szCs w:val="22"/>
              </w:rPr>
              <w:t>26</w:t>
            </w:r>
            <w:r w:rsidR="00343BEE" w:rsidRPr="000151A1">
              <w:rPr>
                <w:sz w:val="22"/>
                <w:szCs w:val="22"/>
              </w:rPr>
              <w:t>.oktobris</w:t>
            </w:r>
          </w:p>
        </w:tc>
      </w:tr>
      <w:tr w:rsidR="00E8574E" w:rsidRPr="00CD2F09" w:rsidTr="00873779">
        <w:tc>
          <w:tcPr>
            <w:tcW w:w="7763" w:type="dxa"/>
          </w:tcPr>
          <w:p w:rsidR="00E8574E" w:rsidRPr="00CD2F09" w:rsidRDefault="00E8574E" w:rsidP="00873779">
            <w:pPr>
              <w:pStyle w:val="naisf"/>
              <w:spacing w:before="0" w:after="0"/>
              <w:ind w:firstLine="0"/>
              <w:rPr>
                <w:sz w:val="22"/>
                <w:szCs w:val="22"/>
              </w:rPr>
            </w:pPr>
          </w:p>
        </w:tc>
        <w:tc>
          <w:tcPr>
            <w:tcW w:w="6379" w:type="dxa"/>
            <w:gridSpan w:val="2"/>
            <w:tcBorders>
              <w:top w:val="single" w:sz="4" w:space="0" w:color="auto"/>
            </w:tcBorders>
          </w:tcPr>
          <w:p w:rsidR="00E8574E" w:rsidRPr="00CD2F09" w:rsidRDefault="00E8574E" w:rsidP="00873779">
            <w:pPr>
              <w:pStyle w:val="NormalWeb"/>
              <w:spacing w:before="0" w:beforeAutospacing="0" w:after="0" w:afterAutospacing="0"/>
              <w:ind w:firstLine="720"/>
              <w:rPr>
                <w:sz w:val="22"/>
                <w:szCs w:val="22"/>
              </w:rPr>
            </w:pPr>
          </w:p>
        </w:tc>
      </w:tr>
      <w:tr w:rsidR="00E8574E" w:rsidRPr="00CD2F09" w:rsidTr="00873779">
        <w:tc>
          <w:tcPr>
            <w:tcW w:w="7763" w:type="dxa"/>
          </w:tcPr>
          <w:p w:rsidR="00E8574E" w:rsidRPr="00CD2F09" w:rsidRDefault="00E8574E" w:rsidP="00873779">
            <w:pPr>
              <w:pStyle w:val="naiskr"/>
              <w:spacing w:before="0" w:after="0"/>
              <w:rPr>
                <w:sz w:val="22"/>
                <w:szCs w:val="22"/>
              </w:rPr>
            </w:pPr>
            <w:r w:rsidRPr="00CD2F09">
              <w:rPr>
                <w:sz w:val="22"/>
                <w:szCs w:val="22"/>
              </w:rPr>
              <w:t>Saskaņošanas dalībnieki</w:t>
            </w:r>
          </w:p>
        </w:tc>
        <w:tc>
          <w:tcPr>
            <w:tcW w:w="6379" w:type="dxa"/>
            <w:gridSpan w:val="2"/>
            <w:tcBorders>
              <w:bottom w:val="single" w:sz="4" w:space="0" w:color="auto"/>
            </w:tcBorders>
          </w:tcPr>
          <w:p w:rsidR="00E8574E" w:rsidRPr="00CD2F09" w:rsidRDefault="002967AE" w:rsidP="002967AE">
            <w:pPr>
              <w:pStyle w:val="NormalWeb"/>
              <w:spacing w:before="0" w:beforeAutospacing="0" w:after="0" w:afterAutospacing="0"/>
              <w:rPr>
                <w:sz w:val="22"/>
                <w:szCs w:val="22"/>
              </w:rPr>
            </w:pPr>
            <w:r>
              <w:rPr>
                <w:sz w:val="22"/>
                <w:szCs w:val="22"/>
              </w:rPr>
              <w:t>Tieslietu ministrija</w:t>
            </w:r>
          </w:p>
        </w:tc>
      </w:tr>
      <w:tr w:rsidR="00E8574E" w:rsidRPr="00CD2F09" w:rsidTr="00873779">
        <w:trPr>
          <w:gridAfter w:val="1"/>
          <w:wAfter w:w="79" w:type="dxa"/>
          <w:trHeight w:val="285"/>
        </w:trPr>
        <w:tc>
          <w:tcPr>
            <w:tcW w:w="7763" w:type="dxa"/>
          </w:tcPr>
          <w:p w:rsidR="00E8574E" w:rsidRPr="00CD2F09" w:rsidRDefault="00E8574E" w:rsidP="00873779">
            <w:pPr>
              <w:pStyle w:val="naiskr"/>
              <w:spacing w:before="0" w:after="0"/>
              <w:rPr>
                <w:sz w:val="22"/>
                <w:szCs w:val="22"/>
              </w:rPr>
            </w:pPr>
            <w:r w:rsidRPr="00CD2F09">
              <w:rPr>
                <w:sz w:val="22"/>
                <w:szCs w:val="22"/>
              </w:rPr>
              <w:t>Saskaņošanas dalībnieki izskatīja šādu ministriju (citu institūciju) iebildumus</w:t>
            </w:r>
          </w:p>
          <w:p w:rsidR="00E8574E" w:rsidRPr="00CD2F09" w:rsidRDefault="00E8574E" w:rsidP="00873779">
            <w:pPr>
              <w:pStyle w:val="naiskr"/>
              <w:spacing w:before="0" w:after="0"/>
              <w:rPr>
                <w:sz w:val="22"/>
                <w:szCs w:val="22"/>
              </w:rPr>
            </w:pPr>
          </w:p>
        </w:tc>
        <w:tc>
          <w:tcPr>
            <w:tcW w:w="6300" w:type="dxa"/>
            <w:tcBorders>
              <w:bottom w:val="single" w:sz="4" w:space="0" w:color="auto"/>
            </w:tcBorders>
          </w:tcPr>
          <w:p w:rsidR="00E8574E" w:rsidRPr="00CD2F09" w:rsidRDefault="00E8574E" w:rsidP="00873779">
            <w:pPr>
              <w:pStyle w:val="NormalWeb"/>
              <w:spacing w:before="0" w:beforeAutospacing="0" w:after="0" w:afterAutospacing="0"/>
              <w:ind w:left="603"/>
              <w:rPr>
                <w:sz w:val="22"/>
                <w:szCs w:val="22"/>
              </w:rPr>
            </w:pPr>
          </w:p>
          <w:p w:rsidR="00E8574E" w:rsidRPr="00CD2F09" w:rsidRDefault="002967AE" w:rsidP="002967AE">
            <w:pPr>
              <w:pStyle w:val="NormalWeb"/>
              <w:spacing w:before="0" w:beforeAutospacing="0" w:after="0" w:afterAutospacing="0"/>
              <w:rPr>
                <w:sz w:val="22"/>
                <w:szCs w:val="22"/>
              </w:rPr>
            </w:pPr>
            <w:r>
              <w:rPr>
                <w:sz w:val="22"/>
                <w:szCs w:val="22"/>
              </w:rPr>
              <w:t>Tieslietu ministrija</w:t>
            </w:r>
          </w:p>
        </w:tc>
      </w:tr>
      <w:tr w:rsidR="00E8574E" w:rsidRPr="00CD2F09" w:rsidTr="00873779">
        <w:trPr>
          <w:gridAfter w:val="1"/>
          <w:wAfter w:w="79" w:type="dxa"/>
        </w:trPr>
        <w:tc>
          <w:tcPr>
            <w:tcW w:w="7763" w:type="dxa"/>
          </w:tcPr>
          <w:p w:rsidR="00E8574E" w:rsidRPr="00CD2F09" w:rsidRDefault="00E8574E" w:rsidP="00873779">
            <w:pPr>
              <w:pStyle w:val="naiskr"/>
              <w:spacing w:before="0" w:after="0"/>
              <w:rPr>
                <w:sz w:val="22"/>
                <w:szCs w:val="22"/>
              </w:rPr>
            </w:pPr>
            <w:r w:rsidRPr="00CD2F09">
              <w:rPr>
                <w:sz w:val="22"/>
                <w:szCs w:val="22"/>
              </w:rPr>
              <w:t>Ministrijas (citas institūcijas), kuras nav ieradušās uz sanāksmi vai kuras nav atbildējušas uz uzaicinājumu piedalīties elektroniskajā saskaņošanā</w:t>
            </w:r>
          </w:p>
        </w:tc>
        <w:tc>
          <w:tcPr>
            <w:tcW w:w="6300" w:type="dxa"/>
            <w:tcBorders>
              <w:top w:val="single" w:sz="4" w:space="0" w:color="auto"/>
              <w:bottom w:val="single" w:sz="4" w:space="0" w:color="auto"/>
            </w:tcBorders>
          </w:tcPr>
          <w:p w:rsidR="00E8574E" w:rsidRPr="00CD2F09" w:rsidRDefault="00E8574E" w:rsidP="00873779">
            <w:pPr>
              <w:pStyle w:val="naiskr"/>
              <w:spacing w:before="0" w:after="0"/>
              <w:rPr>
                <w:sz w:val="22"/>
                <w:szCs w:val="22"/>
              </w:rPr>
            </w:pPr>
          </w:p>
          <w:p w:rsidR="00E8574E" w:rsidRPr="00CD2F09" w:rsidRDefault="00E8574E" w:rsidP="00873779">
            <w:pPr>
              <w:pStyle w:val="naiskr"/>
              <w:spacing w:before="0" w:after="0"/>
              <w:rPr>
                <w:sz w:val="22"/>
                <w:szCs w:val="22"/>
              </w:rPr>
            </w:pPr>
            <w:r w:rsidRPr="00CD2F09">
              <w:rPr>
                <w:sz w:val="22"/>
                <w:szCs w:val="22"/>
              </w:rPr>
              <w:t xml:space="preserve">          </w:t>
            </w:r>
          </w:p>
        </w:tc>
      </w:tr>
    </w:tbl>
    <w:p w:rsidR="00E8574E" w:rsidRDefault="00E8574E" w:rsidP="00E8574E">
      <w:pPr>
        <w:pStyle w:val="naisf"/>
        <w:spacing w:before="0" w:after="0"/>
        <w:ind w:firstLine="0"/>
        <w:rPr>
          <w:sz w:val="22"/>
          <w:szCs w:val="22"/>
        </w:rPr>
      </w:pPr>
    </w:p>
    <w:p w:rsidR="00E8574E" w:rsidRPr="00CD2F09" w:rsidRDefault="00E8574E" w:rsidP="00E8574E">
      <w:pPr>
        <w:pStyle w:val="naisf"/>
        <w:spacing w:before="0" w:after="0"/>
        <w:ind w:firstLine="0"/>
        <w:jc w:val="center"/>
        <w:rPr>
          <w:b/>
        </w:rPr>
      </w:pPr>
      <w:r w:rsidRPr="00CD2F09">
        <w:rPr>
          <w:b/>
        </w:rPr>
        <w:t>II. Jautājumi, par kuriem ir saskaņošanā vienošanās panākta</w:t>
      </w:r>
    </w:p>
    <w:tbl>
      <w:tblPr>
        <w:tblW w:w="14742" w:type="dxa"/>
        <w:tblInd w:w="-45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1843"/>
        <w:gridCol w:w="992"/>
        <w:gridCol w:w="1849"/>
        <w:gridCol w:w="2262"/>
        <w:gridCol w:w="3827"/>
        <w:gridCol w:w="3402"/>
      </w:tblGrid>
      <w:tr w:rsidR="00E8574E" w:rsidRPr="00CD2F09" w:rsidTr="00873779">
        <w:tc>
          <w:tcPr>
            <w:tcW w:w="567" w:type="dxa"/>
            <w:tcBorders>
              <w:top w:val="single" w:sz="6" w:space="0" w:color="000000"/>
              <w:left w:val="single" w:sz="6" w:space="0" w:color="000000"/>
              <w:bottom w:val="single" w:sz="6" w:space="0" w:color="000000"/>
              <w:right w:val="single" w:sz="6" w:space="0" w:color="000000"/>
            </w:tcBorders>
            <w:vAlign w:val="center"/>
          </w:tcPr>
          <w:p w:rsidR="00E8574E" w:rsidRPr="00CD2F09" w:rsidRDefault="00E8574E" w:rsidP="00873779">
            <w:pPr>
              <w:pStyle w:val="naisc"/>
              <w:spacing w:before="0" w:after="0"/>
              <w:rPr>
                <w:sz w:val="22"/>
                <w:szCs w:val="22"/>
              </w:rPr>
            </w:pPr>
            <w:r w:rsidRPr="00CD2F09">
              <w:rPr>
                <w:sz w:val="22"/>
                <w:szCs w:val="22"/>
              </w:rPr>
              <w:t>Nr. p.k.</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E8574E" w:rsidRPr="00CD2F09" w:rsidRDefault="00E8574E" w:rsidP="00873779">
            <w:pPr>
              <w:pStyle w:val="naisc"/>
              <w:spacing w:before="0" w:after="0"/>
              <w:ind w:firstLine="12"/>
              <w:rPr>
                <w:sz w:val="22"/>
                <w:szCs w:val="22"/>
              </w:rPr>
            </w:pPr>
            <w:r w:rsidRPr="00CD2F09">
              <w:rPr>
                <w:sz w:val="22"/>
                <w:szCs w:val="22"/>
              </w:rPr>
              <w:t>Saskaņošanai nosūtītā projekta redakcija (konkrēta punkta (panta) redakcija)</w:t>
            </w:r>
          </w:p>
        </w:tc>
        <w:tc>
          <w:tcPr>
            <w:tcW w:w="4111" w:type="dxa"/>
            <w:gridSpan w:val="2"/>
            <w:tcBorders>
              <w:top w:val="single" w:sz="6" w:space="0" w:color="000000"/>
              <w:left w:val="single" w:sz="6" w:space="0" w:color="000000"/>
              <w:bottom w:val="single" w:sz="6" w:space="0" w:color="000000"/>
              <w:right w:val="single" w:sz="6" w:space="0" w:color="000000"/>
            </w:tcBorders>
            <w:vAlign w:val="center"/>
          </w:tcPr>
          <w:p w:rsidR="00E8574E" w:rsidRPr="001B241A" w:rsidRDefault="00E8574E" w:rsidP="009F219F">
            <w:pPr>
              <w:pStyle w:val="naisc"/>
              <w:spacing w:before="0" w:after="0"/>
              <w:ind w:right="3"/>
              <w:jc w:val="both"/>
              <w:rPr>
                <w:sz w:val="22"/>
                <w:szCs w:val="22"/>
              </w:rPr>
            </w:pPr>
            <w:r w:rsidRPr="001B241A">
              <w:rPr>
                <w:sz w:val="22"/>
                <w:szCs w:val="22"/>
              </w:rPr>
              <w:t>Atzinumā norādītais ministrijas (citas institūcijas) iebildums, kā arī saskaņošanā papildus izteiktais iebildums par projekta konkrēto punktu (pantu)</w:t>
            </w:r>
          </w:p>
        </w:tc>
        <w:tc>
          <w:tcPr>
            <w:tcW w:w="3827" w:type="dxa"/>
            <w:tcBorders>
              <w:top w:val="single" w:sz="6" w:space="0" w:color="000000"/>
              <w:left w:val="single" w:sz="6" w:space="0" w:color="000000"/>
              <w:bottom w:val="single" w:sz="6" w:space="0" w:color="000000"/>
              <w:right w:val="single" w:sz="6" w:space="0" w:color="000000"/>
            </w:tcBorders>
            <w:vAlign w:val="center"/>
          </w:tcPr>
          <w:p w:rsidR="00E8574E" w:rsidRPr="001B241A" w:rsidRDefault="00E8574E" w:rsidP="00873779">
            <w:pPr>
              <w:pStyle w:val="naisc"/>
              <w:spacing w:before="0" w:after="0"/>
              <w:ind w:firstLine="21"/>
              <w:rPr>
                <w:sz w:val="22"/>
                <w:szCs w:val="22"/>
              </w:rPr>
            </w:pPr>
            <w:r w:rsidRPr="001B241A">
              <w:rPr>
                <w:sz w:val="22"/>
                <w:szCs w:val="22"/>
              </w:rPr>
              <w:t>Atbildīgās ministrijas norāde par to, ka iebildums ir ņemts vērā, vai informācija par saskaņošanā panākto alternatīvo risinājumu</w:t>
            </w:r>
          </w:p>
        </w:tc>
        <w:tc>
          <w:tcPr>
            <w:tcW w:w="3402" w:type="dxa"/>
            <w:tcBorders>
              <w:top w:val="single" w:sz="4" w:space="0" w:color="auto"/>
              <w:left w:val="single" w:sz="4" w:space="0" w:color="auto"/>
              <w:bottom w:val="single" w:sz="4" w:space="0" w:color="auto"/>
            </w:tcBorders>
            <w:vAlign w:val="center"/>
          </w:tcPr>
          <w:p w:rsidR="00E8574E" w:rsidRPr="001B241A" w:rsidRDefault="00E8574E" w:rsidP="00873779">
            <w:pPr>
              <w:jc w:val="center"/>
              <w:rPr>
                <w:sz w:val="22"/>
                <w:szCs w:val="22"/>
              </w:rPr>
            </w:pPr>
            <w:r w:rsidRPr="001B241A">
              <w:rPr>
                <w:sz w:val="22"/>
                <w:szCs w:val="22"/>
              </w:rPr>
              <w:t>Projekta attiecīgā punkta (panta) galīgā redakcija</w:t>
            </w:r>
          </w:p>
        </w:tc>
      </w:tr>
      <w:tr w:rsidR="00E8574E" w:rsidRPr="00CD2F09" w:rsidTr="00873779">
        <w:tc>
          <w:tcPr>
            <w:tcW w:w="567" w:type="dxa"/>
            <w:tcBorders>
              <w:top w:val="single" w:sz="6" w:space="0" w:color="000000"/>
              <w:left w:val="single" w:sz="6" w:space="0" w:color="000000"/>
              <w:bottom w:val="single" w:sz="6" w:space="0" w:color="000000"/>
              <w:right w:val="single" w:sz="6" w:space="0" w:color="000000"/>
            </w:tcBorders>
          </w:tcPr>
          <w:p w:rsidR="00E8574E" w:rsidRPr="00CD2F09" w:rsidRDefault="00E8574E" w:rsidP="00873779">
            <w:pPr>
              <w:pStyle w:val="naisc"/>
              <w:spacing w:before="0" w:after="0"/>
              <w:rPr>
                <w:sz w:val="22"/>
                <w:szCs w:val="22"/>
              </w:rPr>
            </w:pPr>
            <w:r w:rsidRPr="00CD2F09">
              <w:rPr>
                <w:sz w:val="22"/>
                <w:szCs w:val="22"/>
              </w:rPr>
              <w:t>1</w:t>
            </w:r>
          </w:p>
        </w:tc>
        <w:tc>
          <w:tcPr>
            <w:tcW w:w="2835" w:type="dxa"/>
            <w:gridSpan w:val="2"/>
            <w:tcBorders>
              <w:top w:val="single" w:sz="6" w:space="0" w:color="000000"/>
              <w:left w:val="single" w:sz="6" w:space="0" w:color="000000"/>
              <w:bottom w:val="single" w:sz="6" w:space="0" w:color="000000"/>
              <w:right w:val="single" w:sz="6" w:space="0" w:color="000000"/>
            </w:tcBorders>
          </w:tcPr>
          <w:p w:rsidR="00E8574E" w:rsidRPr="00CD2F09" w:rsidRDefault="00E8574E" w:rsidP="00873779">
            <w:pPr>
              <w:jc w:val="center"/>
              <w:rPr>
                <w:sz w:val="22"/>
                <w:szCs w:val="22"/>
              </w:rPr>
            </w:pPr>
            <w:r w:rsidRPr="00CD2F09">
              <w:rPr>
                <w:sz w:val="22"/>
                <w:szCs w:val="22"/>
              </w:rPr>
              <w:t>2</w:t>
            </w:r>
          </w:p>
        </w:tc>
        <w:tc>
          <w:tcPr>
            <w:tcW w:w="4111" w:type="dxa"/>
            <w:gridSpan w:val="2"/>
            <w:tcBorders>
              <w:top w:val="single" w:sz="6" w:space="0" w:color="000000"/>
              <w:left w:val="single" w:sz="6" w:space="0" w:color="000000"/>
              <w:bottom w:val="single" w:sz="6" w:space="0" w:color="000000"/>
              <w:right w:val="single" w:sz="6" w:space="0" w:color="000000"/>
            </w:tcBorders>
          </w:tcPr>
          <w:p w:rsidR="00E8574E" w:rsidRPr="001B241A" w:rsidRDefault="00E8574E" w:rsidP="002967AE">
            <w:pPr>
              <w:pStyle w:val="ListParagraph"/>
              <w:spacing w:after="0" w:line="240" w:lineRule="auto"/>
              <w:ind w:left="0"/>
              <w:jc w:val="center"/>
              <w:rPr>
                <w:rFonts w:ascii="Times New Roman" w:hAnsi="Times New Roman"/>
              </w:rPr>
            </w:pPr>
            <w:r w:rsidRPr="001B241A">
              <w:rPr>
                <w:rFonts w:ascii="Times New Roman" w:hAnsi="Times New Roman"/>
              </w:rPr>
              <w:t>3</w:t>
            </w:r>
          </w:p>
        </w:tc>
        <w:tc>
          <w:tcPr>
            <w:tcW w:w="3827" w:type="dxa"/>
            <w:tcBorders>
              <w:top w:val="single" w:sz="6" w:space="0" w:color="000000"/>
              <w:left w:val="single" w:sz="6" w:space="0" w:color="000000"/>
              <w:bottom w:val="single" w:sz="6" w:space="0" w:color="000000"/>
              <w:right w:val="single" w:sz="6" w:space="0" w:color="000000"/>
            </w:tcBorders>
          </w:tcPr>
          <w:p w:rsidR="00E8574E" w:rsidRPr="001B241A" w:rsidRDefault="00E8574E" w:rsidP="00873779">
            <w:pPr>
              <w:pStyle w:val="naisc"/>
              <w:spacing w:before="0" w:after="0"/>
              <w:rPr>
                <w:sz w:val="22"/>
                <w:szCs w:val="22"/>
              </w:rPr>
            </w:pPr>
            <w:r w:rsidRPr="001B241A">
              <w:rPr>
                <w:sz w:val="22"/>
                <w:szCs w:val="22"/>
              </w:rPr>
              <w:t>4</w:t>
            </w:r>
          </w:p>
        </w:tc>
        <w:tc>
          <w:tcPr>
            <w:tcW w:w="3402" w:type="dxa"/>
            <w:tcBorders>
              <w:top w:val="single" w:sz="4" w:space="0" w:color="auto"/>
              <w:left w:val="single" w:sz="4" w:space="0" w:color="auto"/>
              <w:bottom w:val="single" w:sz="4" w:space="0" w:color="auto"/>
            </w:tcBorders>
          </w:tcPr>
          <w:p w:rsidR="00E8574E" w:rsidRPr="001B241A" w:rsidRDefault="00E8574E" w:rsidP="00873779">
            <w:pPr>
              <w:jc w:val="center"/>
              <w:rPr>
                <w:sz w:val="22"/>
                <w:szCs w:val="22"/>
              </w:rPr>
            </w:pPr>
            <w:r w:rsidRPr="001B241A">
              <w:rPr>
                <w:sz w:val="22"/>
                <w:szCs w:val="22"/>
              </w:rPr>
              <w:t>5</w:t>
            </w:r>
          </w:p>
        </w:tc>
      </w:tr>
      <w:tr w:rsidR="002967AE" w:rsidRPr="002967AE" w:rsidTr="00873779">
        <w:tc>
          <w:tcPr>
            <w:tcW w:w="567" w:type="dxa"/>
            <w:tcBorders>
              <w:top w:val="single" w:sz="6" w:space="0" w:color="000000"/>
              <w:left w:val="single" w:sz="6" w:space="0" w:color="000000"/>
              <w:bottom w:val="single" w:sz="6" w:space="0" w:color="000000"/>
              <w:right w:val="single" w:sz="6" w:space="0" w:color="000000"/>
            </w:tcBorders>
          </w:tcPr>
          <w:p w:rsidR="002967AE" w:rsidRPr="002967AE" w:rsidRDefault="002967AE" w:rsidP="002967AE">
            <w:pPr>
              <w:pStyle w:val="naisc"/>
              <w:spacing w:before="0" w:after="0"/>
              <w:jc w:val="both"/>
              <w:rPr>
                <w:sz w:val="22"/>
                <w:szCs w:val="22"/>
              </w:rPr>
            </w:pPr>
            <w:r w:rsidRPr="002967AE">
              <w:rPr>
                <w:sz w:val="22"/>
                <w:szCs w:val="22"/>
              </w:rPr>
              <w:t>1.</w:t>
            </w:r>
          </w:p>
        </w:tc>
        <w:tc>
          <w:tcPr>
            <w:tcW w:w="2835" w:type="dxa"/>
            <w:gridSpan w:val="2"/>
            <w:tcBorders>
              <w:top w:val="single" w:sz="6" w:space="0" w:color="000000"/>
              <w:left w:val="single" w:sz="6" w:space="0" w:color="000000"/>
              <w:bottom w:val="single" w:sz="6" w:space="0" w:color="000000"/>
              <w:right w:val="single" w:sz="6" w:space="0" w:color="000000"/>
            </w:tcBorders>
          </w:tcPr>
          <w:p w:rsidR="002967AE" w:rsidRPr="00FF0292" w:rsidRDefault="00FF0292" w:rsidP="002967AE">
            <w:pPr>
              <w:jc w:val="both"/>
              <w:rPr>
                <w:b/>
                <w:sz w:val="22"/>
                <w:szCs w:val="22"/>
              </w:rPr>
            </w:pPr>
            <w:r w:rsidRPr="00FF0292">
              <w:rPr>
                <w:b/>
                <w:sz w:val="22"/>
                <w:szCs w:val="22"/>
              </w:rPr>
              <w:t>48.panta otrās daļas 2.punkts:</w:t>
            </w:r>
          </w:p>
          <w:p w:rsidR="00FF0292" w:rsidRPr="002967AE" w:rsidRDefault="00FF0292" w:rsidP="007D3A9D">
            <w:pPr>
              <w:jc w:val="both"/>
              <w:rPr>
                <w:sz w:val="22"/>
                <w:szCs w:val="22"/>
              </w:rPr>
            </w:pPr>
            <w:r>
              <w:rPr>
                <w:sz w:val="22"/>
                <w:szCs w:val="22"/>
              </w:rPr>
              <w:t>“</w:t>
            </w:r>
            <w:r w:rsidRPr="00FF0292">
              <w:rPr>
                <w:sz w:val="22"/>
                <w:szCs w:val="22"/>
              </w:rPr>
              <w:t xml:space="preserve">kandidātam pieteikumu un pretendentam piedāvājumu iesniegšanas termiņa pēdējā dienā vai dienā, kad pieņemts lēmums par iespējamu iepirkuma līguma slēgšanas tiesību piešķiršanu, Latvijā saskaņā ar likumu “Par </w:t>
            </w:r>
            <w:r w:rsidRPr="00FF0292">
              <w:rPr>
                <w:sz w:val="22"/>
                <w:szCs w:val="22"/>
              </w:rPr>
              <w:lastRenderedPageBreak/>
              <w:t xml:space="preserve">nodokļiem un nodevām”, vai valstī, kurā tas reģistrēts vai kurā atrodas tā pastāvīgā dzīvesvieta, saskaņā ar attiecīgās ārvalsts normatīvajiem aktiem ir neizpildītas saistības nodokļu </w:t>
            </w:r>
            <w:r w:rsidR="007D3A9D">
              <w:rPr>
                <w:sz w:val="22"/>
                <w:szCs w:val="22"/>
              </w:rPr>
              <w:t>(</w:t>
            </w:r>
            <w:r w:rsidRPr="00FF0292">
              <w:rPr>
                <w:sz w:val="22"/>
                <w:szCs w:val="22"/>
              </w:rPr>
              <w:t>t</w:t>
            </w:r>
            <w:r w:rsidR="007D3A9D">
              <w:rPr>
                <w:sz w:val="22"/>
                <w:szCs w:val="22"/>
              </w:rPr>
              <w:t xml:space="preserve">ai </w:t>
            </w:r>
            <w:r w:rsidRPr="00FF0292">
              <w:rPr>
                <w:sz w:val="22"/>
                <w:szCs w:val="22"/>
              </w:rPr>
              <w:t>sk</w:t>
            </w:r>
            <w:r w:rsidR="007D3A9D">
              <w:rPr>
                <w:sz w:val="22"/>
                <w:szCs w:val="22"/>
              </w:rPr>
              <w:t>aitā</w:t>
            </w:r>
            <w:r w:rsidRPr="00FF0292">
              <w:rPr>
                <w:sz w:val="22"/>
                <w:szCs w:val="22"/>
              </w:rPr>
              <w:t xml:space="preserve"> valsts sociālās apdrošināšanas</w:t>
            </w:r>
            <w:r w:rsidR="007D3A9D">
              <w:rPr>
                <w:sz w:val="22"/>
                <w:szCs w:val="22"/>
              </w:rPr>
              <w:t>)</w:t>
            </w:r>
            <w:r w:rsidRPr="00FF0292">
              <w:rPr>
                <w:sz w:val="22"/>
                <w:szCs w:val="22"/>
              </w:rPr>
              <w:t xml:space="preserve"> jomā;</w:t>
            </w:r>
            <w:r>
              <w:rPr>
                <w:sz w:val="22"/>
                <w:szCs w:val="22"/>
              </w:rPr>
              <w:t>”</w:t>
            </w:r>
          </w:p>
        </w:tc>
        <w:tc>
          <w:tcPr>
            <w:tcW w:w="4111" w:type="dxa"/>
            <w:gridSpan w:val="2"/>
            <w:tcBorders>
              <w:top w:val="single" w:sz="6" w:space="0" w:color="000000"/>
              <w:left w:val="single" w:sz="6" w:space="0" w:color="000000"/>
              <w:bottom w:val="single" w:sz="6" w:space="0" w:color="000000"/>
              <w:right w:val="single" w:sz="6" w:space="0" w:color="000000"/>
            </w:tcBorders>
          </w:tcPr>
          <w:p w:rsidR="002967AE" w:rsidRPr="001B241A" w:rsidRDefault="002967AE" w:rsidP="002967AE">
            <w:pPr>
              <w:pStyle w:val="ListParagraph"/>
              <w:spacing w:after="0" w:line="240" w:lineRule="auto"/>
              <w:ind w:left="0"/>
              <w:jc w:val="center"/>
              <w:rPr>
                <w:rFonts w:ascii="Times New Roman" w:hAnsi="Times New Roman"/>
                <w:b/>
              </w:rPr>
            </w:pPr>
            <w:r w:rsidRPr="001B241A">
              <w:rPr>
                <w:rFonts w:ascii="Times New Roman" w:hAnsi="Times New Roman"/>
                <w:b/>
              </w:rPr>
              <w:lastRenderedPageBreak/>
              <w:t>Tieslietu ministrija</w:t>
            </w:r>
          </w:p>
          <w:p w:rsidR="002967AE" w:rsidRPr="001B241A" w:rsidRDefault="002967AE" w:rsidP="002967AE">
            <w:pPr>
              <w:pStyle w:val="ListParagraph"/>
              <w:spacing w:after="0" w:line="240" w:lineRule="auto"/>
              <w:ind w:left="0"/>
              <w:jc w:val="both"/>
              <w:rPr>
                <w:rFonts w:ascii="Times New Roman" w:hAnsi="Times New Roman"/>
              </w:rPr>
            </w:pPr>
            <w:r w:rsidRPr="001B241A">
              <w:rPr>
                <w:rFonts w:ascii="Times New Roman" w:hAnsi="Times New Roman"/>
              </w:rPr>
              <w:t>Lūdzam izvērtēt nepieciešamību likumprojekta 2. pantā attiecībā uz nodokļiem ietvert norādi “t.sk. valsts sociālās apdrošināšanas jomā”, ņemot vērā, ka atbilstoši likuma “Par nodokļiem un nodevām” 1. panta 1. punktam termins “nodoklis” ir piemērojams arī valsts sociālās apdrošināšanas obligātajām iemaksām.</w:t>
            </w:r>
          </w:p>
        </w:tc>
        <w:tc>
          <w:tcPr>
            <w:tcW w:w="3827" w:type="dxa"/>
            <w:tcBorders>
              <w:top w:val="single" w:sz="6" w:space="0" w:color="000000"/>
              <w:left w:val="single" w:sz="6" w:space="0" w:color="000000"/>
              <w:bottom w:val="single" w:sz="6" w:space="0" w:color="000000"/>
              <w:right w:val="single" w:sz="6" w:space="0" w:color="000000"/>
            </w:tcBorders>
          </w:tcPr>
          <w:p w:rsidR="00FF0292" w:rsidRPr="00FF0292" w:rsidRDefault="00FF0292" w:rsidP="00FF0292">
            <w:pPr>
              <w:pStyle w:val="naisc"/>
              <w:jc w:val="both"/>
              <w:rPr>
                <w:b/>
                <w:bCs/>
                <w:sz w:val="22"/>
                <w:szCs w:val="22"/>
              </w:rPr>
            </w:pPr>
            <w:r w:rsidRPr="00FF0292">
              <w:rPr>
                <w:b/>
                <w:bCs/>
                <w:sz w:val="22"/>
                <w:szCs w:val="22"/>
              </w:rPr>
              <w:t>Vienošanās panāk</w:t>
            </w:r>
            <w:r w:rsidR="00152E47">
              <w:rPr>
                <w:b/>
                <w:bCs/>
                <w:sz w:val="22"/>
                <w:szCs w:val="22"/>
              </w:rPr>
              <w:t>ta</w:t>
            </w:r>
            <w:r w:rsidRPr="00FF0292">
              <w:rPr>
                <w:b/>
                <w:bCs/>
                <w:sz w:val="22"/>
                <w:szCs w:val="22"/>
              </w:rPr>
              <w:t xml:space="preserve"> saskaņošanas laikā</w:t>
            </w:r>
          </w:p>
          <w:p w:rsidR="002967AE" w:rsidRPr="001B241A" w:rsidRDefault="002967AE" w:rsidP="002967AE">
            <w:pPr>
              <w:pStyle w:val="naisc"/>
              <w:spacing w:before="0" w:after="0"/>
              <w:jc w:val="both"/>
              <w:rPr>
                <w:sz w:val="22"/>
                <w:szCs w:val="22"/>
              </w:rPr>
            </w:pPr>
            <w:r w:rsidRPr="001B241A">
              <w:rPr>
                <w:sz w:val="22"/>
                <w:szCs w:val="22"/>
              </w:rPr>
              <w:t>Norāde “t</w:t>
            </w:r>
            <w:r w:rsidR="008B7BC4">
              <w:rPr>
                <w:sz w:val="22"/>
                <w:szCs w:val="22"/>
              </w:rPr>
              <w:t xml:space="preserve">ai </w:t>
            </w:r>
            <w:r w:rsidRPr="001B241A">
              <w:rPr>
                <w:sz w:val="22"/>
                <w:szCs w:val="22"/>
              </w:rPr>
              <w:t>sk</w:t>
            </w:r>
            <w:r w:rsidR="008B7BC4">
              <w:rPr>
                <w:sz w:val="22"/>
                <w:szCs w:val="22"/>
              </w:rPr>
              <w:t>aitā</w:t>
            </w:r>
            <w:r w:rsidRPr="001B241A">
              <w:rPr>
                <w:sz w:val="22"/>
                <w:szCs w:val="22"/>
              </w:rPr>
              <w:t xml:space="preserve"> valsts sociālās apdrošināšanas jomā” likumprojekta 2.pantā  tiek saglabāta attiecībā uz SPSIL 48.panta otrās daļas 2.punktu, jo šajā tiesību normā tiek noteikts </w:t>
            </w:r>
            <w:r w:rsidR="00DB1BA3">
              <w:rPr>
                <w:sz w:val="22"/>
                <w:szCs w:val="22"/>
              </w:rPr>
              <w:t xml:space="preserve">kandidātu un </w:t>
            </w:r>
            <w:r w:rsidRPr="001B241A">
              <w:rPr>
                <w:sz w:val="22"/>
                <w:szCs w:val="22"/>
              </w:rPr>
              <w:t xml:space="preserve">pretendentu izslēgšanas iemesls, kas tiek attiecināts gan uz neizpildītām nodokļu saistībām Latvijā, gan valstī, kurā </w:t>
            </w:r>
            <w:r w:rsidR="00DB1BA3">
              <w:rPr>
                <w:sz w:val="22"/>
                <w:szCs w:val="22"/>
              </w:rPr>
              <w:lastRenderedPageBreak/>
              <w:t xml:space="preserve">kandidāts vai </w:t>
            </w:r>
            <w:r w:rsidRPr="001B241A">
              <w:rPr>
                <w:sz w:val="22"/>
                <w:szCs w:val="22"/>
              </w:rPr>
              <w:t>pretendents  reģistrēts vai kurā atrodas tā pastāvīgā dzīvesvieta saskaņā ar šīs valsts normatīvajiem aktiem. Tātad, ņemot vērā, ka ārvalstīs sociālās apdrošināšanas obligātās iemaksas maksājumi var nebūt iekļauti nodokļu maksājumos un izslēgšanas iemesls ir attiecināms uz visiem nodokļu parādiem, norādi “t</w:t>
            </w:r>
            <w:r w:rsidR="008B7BC4">
              <w:rPr>
                <w:sz w:val="22"/>
                <w:szCs w:val="22"/>
              </w:rPr>
              <w:t xml:space="preserve">ai </w:t>
            </w:r>
            <w:r w:rsidRPr="001B241A">
              <w:rPr>
                <w:sz w:val="22"/>
                <w:szCs w:val="22"/>
              </w:rPr>
              <w:t>sk</w:t>
            </w:r>
            <w:r w:rsidR="008B7BC4">
              <w:rPr>
                <w:sz w:val="22"/>
                <w:szCs w:val="22"/>
              </w:rPr>
              <w:t>aitā</w:t>
            </w:r>
            <w:r w:rsidRPr="001B241A">
              <w:rPr>
                <w:sz w:val="22"/>
                <w:szCs w:val="22"/>
              </w:rPr>
              <w:t xml:space="preserve"> valsts sociālās apdrošināšanas jomā” ir nepieciešams iekļaut SPSIL 48.panta otrās daļas 2.punktā.</w:t>
            </w:r>
          </w:p>
          <w:p w:rsidR="002967AE" w:rsidRPr="001B241A" w:rsidRDefault="002967AE" w:rsidP="002967AE">
            <w:pPr>
              <w:pStyle w:val="naisc"/>
              <w:spacing w:before="0" w:after="0"/>
              <w:jc w:val="both"/>
              <w:rPr>
                <w:sz w:val="22"/>
                <w:szCs w:val="22"/>
              </w:rPr>
            </w:pPr>
          </w:p>
          <w:p w:rsidR="002967AE" w:rsidRPr="001B241A" w:rsidRDefault="002967AE" w:rsidP="002967AE">
            <w:pPr>
              <w:pStyle w:val="naisc"/>
              <w:spacing w:before="0" w:after="0"/>
              <w:jc w:val="both"/>
              <w:rPr>
                <w:sz w:val="22"/>
                <w:szCs w:val="22"/>
              </w:rPr>
            </w:pPr>
            <w:r w:rsidRPr="001B241A">
              <w:rPr>
                <w:sz w:val="22"/>
                <w:szCs w:val="22"/>
              </w:rPr>
              <w:t>Papildus darām zināmu, ka Valst</w:t>
            </w:r>
            <w:r w:rsidR="001B241A" w:rsidRPr="001B241A">
              <w:rPr>
                <w:sz w:val="22"/>
                <w:szCs w:val="22"/>
              </w:rPr>
              <w:t>s sekretāru 2020.gada 22.oktobra sanāksmē</w:t>
            </w:r>
            <w:r w:rsidRPr="001B241A">
              <w:rPr>
                <w:sz w:val="22"/>
                <w:szCs w:val="22"/>
              </w:rPr>
              <w:t xml:space="preserve"> atbalstīja saistīto likumprojektu “Grozījumi Publisko iepirkumu likumā”, kurā ir ietverta analoģiska norma.</w:t>
            </w:r>
          </w:p>
        </w:tc>
        <w:tc>
          <w:tcPr>
            <w:tcW w:w="3402" w:type="dxa"/>
            <w:tcBorders>
              <w:top w:val="single" w:sz="4" w:space="0" w:color="auto"/>
              <w:left w:val="single" w:sz="4" w:space="0" w:color="auto"/>
              <w:bottom w:val="single" w:sz="4" w:space="0" w:color="auto"/>
            </w:tcBorders>
          </w:tcPr>
          <w:p w:rsidR="002967AE" w:rsidRPr="001B241A" w:rsidRDefault="002967AE" w:rsidP="002967AE">
            <w:pPr>
              <w:jc w:val="both"/>
              <w:rPr>
                <w:sz w:val="22"/>
                <w:szCs w:val="22"/>
              </w:rPr>
            </w:pPr>
          </w:p>
        </w:tc>
      </w:tr>
      <w:tr w:rsidR="002967AE" w:rsidRPr="002967AE" w:rsidTr="00873779">
        <w:tc>
          <w:tcPr>
            <w:tcW w:w="567" w:type="dxa"/>
            <w:tcBorders>
              <w:top w:val="single" w:sz="6" w:space="0" w:color="000000"/>
              <w:left w:val="single" w:sz="6" w:space="0" w:color="000000"/>
              <w:bottom w:val="single" w:sz="6" w:space="0" w:color="000000"/>
              <w:right w:val="single" w:sz="6" w:space="0" w:color="000000"/>
            </w:tcBorders>
          </w:tcPr>
          <w:p w:rsidR="002967AE" w:rsidRPr="002967AE" w:rsidRDefault="002967AE" w:rsidP="002967AE">
            <w:pPr>
              <w:pStyle w:val="naisc"/>
              <w:spacing w:before="0" w:after="0"/>
              <w:jc w:val="both"/>
              <w:rPr>
                <w:sz w:val="22"/>
                <w:szCs w:val="22"/>
              </w:rPr>
            </w:pPr>
            <w:r w:rsidRPr="002967AE">
              <w:rPr>
                <w:sz w:val="22"/>
                <w:szCs w:val="22"/>
              </w:rPr>
              <w:t>2.</w:t>
            </w:r>
          </w:p>
        </w:tc>
        <w:tc>
          <w:tcPr>
            <w:tcW w:w="2835" w:type="dxa"/>
            <w:gridSpan w:val="2"/>
            <w:tcBorders>
              <w:top w:val="single" w:sz="6" w:space="0" w:color="000000"/>
              <w:left w:val="single" w:sz="6" w:space="0" w:color="000000"/>
              <w:bottom w:val="single" w:sz="6" w:space="0" w:color="000000"/>
              <w:right w:val="single" w:sz="6" w:space="0" w:color="000000"/>
            </w:tcBorders>
          </w:tcPr>
          <w:p w:rsidR="009C42A1" w:rsidRPr="00DA7578" w:rsidRDefault="009C42A1" w:rsidP="009C42A1">
            <w:pPr>
              <w:pStyle w:val="tv213"/>
              <w:shd w:val="clear" w:color="auto" w:fill="FFFFFF"/>
              <w:spacing w:before="0" w:beforeAutospacing="0" w:after="0" w:afterAutospacing="0"/>
              <w:jc w:val="both"/>
              <w:rPr>
                <w:b/>
                <w:color w:val="000000" w:themeColor="text1"/>
                <w:sz w:val="22"/>
                <w:szCs w:val="22"/>
              </w:rPr>
            </w:pPr>
            <w:r w:rsidRPr="00DA7578">
              <w:rPr>
                <w:b/>
                <w:color w:val="000000" w:themeColor="text1"/>
                <w:sz w:val="22"/>
                <w:szCs w:val="22"/>
              </w:rPr>
              <w:t xml:space="preserve">48.panta </w:t>
            </w:r>
            <w:r w:rsidR="00DA7578" w:rsidRPr="00DA7578">
              <w:rPr>
                <w:b/>
                <w:color w:val="000000" w:themeColor="text1"/>
                <w:sz w:val="22"/>
                <w:szCs w:val="22"/>
              </w:rPr>
              <w:t>otrās</w:t>
            </w:r>
            <w:r w:rsidRPr="00DA7578">
              <w:rPr>
                <w:b/>
                <w:color w:val="000000" w:themeColor="text1"/>
                <w:sz w:val="22"/>
                <w:szCs w:val="22"/>
              </w:rPr>
              <w:t xml:space="preserve"> daļas 7.punkta b) apakšpunkts:</w:t>
            </w:r>
          </w:p>
          <w:p w:rsidR="009C42A1" w:rsidRPr="00DA7578" w:rsidRDefault="009C42A1" w:rsidP="009C42A1">
            <w:pPr>
              <w:pStyle w:val="tv213"/>
              <w:shd w:val="clear" w:color="auto" w:fill="FFFFFF"/>
              <w:spacing w:before="0" w:beforeAutospacing="0" w:after="0" w:afterAutospacing="0"/>
              <w:jc w:val="both"/>
              <w:rPr>
                <w:color w:val="000000" w:themeColor="text1"/>
                <w:sz w:val="22"/>
                <w:szCs w:val="22"/>
              </w:rPr>
            </w:pPr>
            <w:r w:rsidRPr="00DA7578">
              <w:rPr>
                <w:color w:val="000000" w:themeColor="text1"/>
                <w:sz w:val="22"/>
                <w:szCs w:val="22"/>
              </w:rPr>
              <w:t xml:space="preserve">“ir pārkāpis Latvijas vai Eiropas Savienības normatīvo aktu vides, sociālo vai darba tiesību jomā, koplīgumu vai </w:t>
            </w:r>
            <w:proofErr w:type="spellStart"/>
            <w:r w:rsidRPr="00DA7578">
              <w:rPr>
                <w:color w:val="000000" w:themeColor="text1"/>
                <w:sz w:val="22"/>
                <w:szCs w:val="22"/>
              </w:rPr>
              <w:t>ģenerālvienošanos</w:t>
            </w:r>
            <w:proofErr w:type="spellEnd"/>
            <w:r w:rsidRPr="00DA7578">
              <w:rPr>
                <w:color w:val="000000" w:themeColor="text1"/>
                <w:sz w:val="22"/>
                <w:szCs w:val="22"/>
              </w:rPr>
              <w:t xml:space="preserve"> noteikumus vai prasības, kas noteiktas šā likuma 3. pielikumā minētajās starptautiskajās konvencijās;”</w:t>
            </w:r>
          </w:p>
          <w:p w:rsidR="002967AE" w:rsidRPr="002967AE" w:rsidRDefault="002967AE" w:rsidP="002967AE">
            <w:pPr>
              <w:jc w:val="both"/>
              <w:rPr>
                <w:sz w:val="22"/>
                <w:szCs w:val="22"/>
              </w:rPr>
            </w:pPr>
          </w:p>
        </w:tc>
        <w:tc>
          <w:tcPr>
            <w:tcW w:w="4111" w:type="dxa"/>
            <w:gridSpan w:val="2"/>
            <w:tcBorders>
              <w:top w:val="single" w:sz="6" w:space="0" w:color="000000"/>
              <w:left w:val="single" w:sz="6" w:space="0" w:color="000000"/>
              <w:bottom w:val="single" w:sz="6" w:space="0" w:color="000000"/>
              <w:right w:val="single" w:sz="6" w:space="0" w:color="000000"/>
            </w:tcBorders>
          </w:tcPr>
          <w:p w:rsidR="002967AE" w:rsidRPr="001B241A" w:rsidRDefault="002967AE" w:rsidP="002967AE">
            <w:pPr>
              <w:pStyle w:val="ListParagraph"/>
              <w:spacing w:after="0" w:line="240" w:lineRule="auto"/>
              <w:ind w:left="0"/>
              <w:jc w:val="center"/>
              <w:rPr>
                <w:rFonts w:ascii="Times New Roman" w:hAnsi="Times New Roman"/>
                <w:b/>
              </w:rPr>
            </w:pPr>
            <w:r w:rsidRPr="001B241A">
              <w:rPr>
                <w:rFonts w:ascii="Times New Roman" w:hAnsi="Times New Roman"/>
                <w:b/>
              </w:rPr>
              <w:t>Tieslietu ministrija</w:t>
            </w:r>
          </w:p>
          <w:p w:rsidR="002967AE" w:rsidRPr="001B241A" w:rsidRDefault="002967AE" w:rsidP="002967AE">
            <w:pPr>
              <w:jc w:val="both"/>
              <w:rPr>
                <w:sz w:val="22"/>
                <w:szCs w:val="22"/>
                <w:u w:val="single"/>
              </w:rPr>
            </w:pPr>
            <w:r w:rsidRPr="001B241A">
              <w:rPr>
                <w:sz w:val="22"/>
                <w:szCs w:val="22"/>
              </w:rPr>
              <w:t xml:space="preserve">Likumprojekta 2. pantā izteiktais Sabiedrisko pakalpojumu sniedzēju iepirkumu likuma (turpmāk – likums) 48. panta otrās daļas 7. punkta “b” apakšpunkts paredz, ka “sabiedrisko pakalpojumu sniedzēja rīcībā ir tāda informācija, ar kuru ir pierādāms, ka kandidāts vai pretendents ir pārkāpis </w:t>
            </w:r>
            <w:r w:rsidRPr="001B241A">
              <w:rPr>
                <w:sz w:val="22"/>
                <w:szCs w:val="22"/>
                <w:u w:val="single"/>
              </w:rPr>
              <w:t>Latvijas vai Eiropas Savienības normatīvo aktu vides, sociālo vai darba tiesību jomā</w:t>
            </w:r>
            <w:r w:rsidRPr="001B241A">
              <w:rPr>
                <w:sz w:val="22"/>
                <w:szCs w:val="22"/>
              </w:rPr>
              <w:t xml:space="preserve">, </w:t>
            </w:r>
            <w:r w:rsidRPr="001B241A">
              <w:rPr>
                <w:sz w:val="22"/>
                <w:szCs w:val="22"/>
                <w:u w:val="single"/>
              </w:rPr>
              <w:t xml:space="preserve">koplīgumu vai </w:t>
            </w:r>
            <w:proofErr w:type="spellStart"/>
            <w:r w:rsidRPr="001B241A">
              <w:rPr>
                <w:sz w:val="22"/>
                <w:szCs w:val="22"/>
                <w:u w:val="single"/>
              </w:rPr>
              <w:t>ģenerālvienošanos</w:t>
            </w:r>
            <w:proofErr w:type="spellEnd"/>
            <w:r w:rsidRPr="001B241A">
              <w:rPr>
                <w:sz w:val="22"/>
                <w:szCs w:val="22"/>
                <w:u w:val="single"/>
              </w:rPr>
              <w:t xml:space="preserve"> noteikumus</w:t>
            </w:r>
            <w:r w:rsidRPr="001B241A">
              <w:rPr>
                <w:sz w:val="22"/>
                <w:szCs w:val="22"/>
              </w:rPr>
              <w:t xml:space="preserve"> vai tādas prasības, kādas noteiktas šā likuma 3. pielikumā minētajās starptautiskajās konvencijās.” Attiecībā uz norādi “pārkāpis Eiropas Savienības normatīvo aktu vides, sociālo vai darba tiesību jomā” lūdzam to izteikt viennozīmīgi skaidri, norādot konkrētu Eiropas Savienības tieši </w:t>
            </w:r>
            <w:r w:rsidRPr="001B241A">
              <w:rPr>
                <w:sz w:val="22"/>
                <w:szCs w:val="22"/>
              </w:rPr>
              <w:lastRenderedPageBreak/>
              <w:t>piemērojamu tiesību aktu vai aktus (regulas vai Eiropas Savienības starptautiskos līgumus). Uzsveram, ka Latvijas nacionālajos normatīvajos aktos nav pieļaujamas atsauces uz Eiropas Savienības direktīvām vai lēmumiem, jo to saturs privātpersonām kļūst saistošs tikai, ja tas ietverts nacionālajā ārējā normatīvajā aktā.</w:t>
            </w:r>
          </w:p>
          <w:p w:rsidR="002967AE" w:rsidRPr="001B241A" w:rsidRDefault="002967AE" w:rsidP="002967AE">
            <w:pPr>
              <w:pStyle w:val="ListParagraph"/>
              <w:spacing w:after="0" w:line="240" w:lineRule="auto"/>
              <w:ind w:left="0"/>
              <w:jc w:val="both"/>
              <w:rPr>
                <w:rFonts w:ascii="Times New Roman" w:hAnsi="Times New Roman"/>
              </w:rPr>
            </w:pPr>
            <w:r w:rsidRPr="001B241A">
              <w:rPr>
                <w:rFonts w:ascii="Times New Roman" w:hAnsi="Times New Roman"/>
              </w:rPr>
              <w:t xml:space="preserve">Vienlaikus lūdzam minētajā “b” apakšpunktā vārdu savienojumu “koplīgumu vai </w:t>
            </w:r>
            <w:proofErr w:type="spellStart"/>
            <w:r w:rsidRPr="001B241A">
              <w:rPr>
                <w:rFonts w:ascii="Times New Roman" w:hAnsi="Times New Roman"/>
              </w:rPr>
              <w:t>ģenerālvienošanos</w:t>
            </w:r>
            <w:proofErr w:type="spellEnd"/>
            <w:r w:rsidRPr="001B241A">
              <w:rPr>
                <w:rFonts w:ascii="Times New Roman" w:hAnsi="Times New Roman"/>
              </w:rPr>
              <w:t xml:space="preserve">” aicinām aizstāt ar vārdu savienojumu “darba koplīgumu vai </w:t>
            </w:r>
            <w:proofErr w:type="spellStart"/>
            <w:r w:rsidRPr="001B241A">
              <w:rPr>
                <w:rFonts w:ascii="Times New Roman" w:hAnsi="Times New Roman"/>
              </w:rPr>
              <w:t>ģenerālvienošanos</w:t>
            </w:r>
            <w:proofErr w:type="spellEnd"/>
            <w:r w:rsidRPr="001B241A">
              <w:rPr>
                <w:rFonts w:ascii="Times New Roman" w:hAnsi="Times New Roman"/>
              </w:rPr>
              <w:t>”, ņemot vērā spēkā esošajā likumā un Darba likumā lietotos jēdzienus.</w:t>
            </w:r>
          </w:p>
        </w:tc>
        <w:tc>
          <w:tcPr>
            <w:tcW w:w="3827" w:type="dxa"/>
            <w:tcBorders>
              <w:top w:val="single" w:sz="6" w:space="0" w:color="000000"/>
              <w:left w:val="single" w:sz="6" w:space="0" w:color="000000"/>
              <w:bottom w:val="single" w:sz="6" w:space="0" w:color="000000"/>
              <w:right w:val="single" w:sz="6" w:space="0" w:color="000000"/>
            </w:tcBorders>
          </w:tcPr>
          <w:p w:rsidR="002967AE" w:rsidRPr="001B241A" w:rsidRDefault="009C42A1" w:rsidP="009C42A1">
            <w:pPr>
              <w:pStyle w:val="naisc"/>
              <w:spacing w:before="0" w:after="0"/>
              <w:rPr>
                <w:b/>
                <w:sz w:val="22"/>
                <w:szCs w:val="22"/>
              </w:rPr>
            </w:pPr>
            <w:r w:rsidRPr="001B241A">
              <w:rPr>
                <w:b/>
                <w:sz w:val="22"/>
                <w:szCs w:val="22"/>
              </w:rPr>
              <w:lastRenderedPageBreak/>
              <w:t>Ņemts vērā</w:t>
            </w:r>
          </w:p>
          <w:p w:rsidR="00161CC2" w:rsidRPr="001B241A" w:rsidRDefault="00161CC2" w:rsidP="009C42A1">
            <w:pPr>
              <w:pStyle w:val="naisc"/>
              <w:spacing w:before="0" w:after="0"/>
              <w:jc w:val="both"/>
              <w:rPr>
                <w:i/>
                <w:sz w:val="22"/>
                <w:szCs w:val="22"/>
              </w:rPr>
            </w:pPr>
          </w:p>
        </w:tc>
        <w:tc>
          <w:tcPr>
            <w:tcW w:w="3402" w:type="dxa"/>
            <w:tcBorders>
              <w:top w:val="single" w:sz="4" w:space="0" w:color="auto"/>
              <w:left w:val="single" w:sz="4" w:space="0" w:color="auto"/>
              <w:bottom w:val="single" w:sz="4" w:space="0" w:color="auto"/>
            </w:tcBorders>
          </w:tcPr>
          <w:p w:rsidR="009C42A1" w:rsidRPr="001B241A" w:rsidRDefault="009C42A1" w:rsidP="009C42A1">
            <w:pPr>
              <w:pStyle w:val="tv213"/>
              <w:shd w:val="clear" w:color="auto" w:fill="FFFFFF"/>
              <w:spacing w:before="0" w:beforeAutospacing="0" w:after="0" w:afterAutospacing="0"/>
              <w:jc w:val="both"/>
              <w:rPr>
                <w:b/>
                <w:color w:val="000000" w:themeColor="text1"/>
                <w:sz w:val="22"/>
                <w:szCs w:val="22"/>
              </w:rPr>
            </w:pPr>
            <w:r w:rsidRPr="001B241A">
              <w:rPr>
                <w:b/>
                <w:color w:val="000000" w:themeColor="text1"/>
                <w:sz w:val="22"/>
                <w:szCs w:val="22"/>
              </w:rPr>
              <w:t xml:space="preserve">48.panta </w:t>
            </w:r>
            <w:r w:rsidR="00ED08AA">
              <w:rPr>
                <w:b/>
                <w:color w:val="000000" w:themeColor="text1"/>
                <w:sz w:val="22"/>
                <w:szCs w:val="22"/>
              </w:rPr>
              <w:t>otrās</w:t>
            </w:r>
            <w:r w:rsidRPr="001B241A">
              <w:rPr>
                <w:b/>
                <w:color w:val="000000" w:themeColor="text1"/>
                <w:sz w:val="22"/>
                <w:szCs w:val="22"/>
              </w:rPr>
              <w:t xml:space="preserve"> daļas 7.punkta b) apakšpunkts:</w:t>
            </w:r>
          </w:p>
          <w:p w:rsidR="009C42A1" w:rsidRPr="001B241A" w:rsidRDefault="009C42A1" w:rsidP="009C42A1">
            <w:pPr>
              <w:pStyle w:val="tv213"/>
              <w:shd w:val="clear" w:color="auto" w:fill="FFFFFF"/>
              <w:spacing w:before="0" w:beforeAutospacing="0" w:after="0" w:afterAutospacing="0"/>
              <w:jc w:val="both"/>
              <w:rPr>
                <w:color w:val="000000" w:themeColor="text1"/>
                <w:sz w:val="22"/>
                <w:szCs w:val="22"/>
              </w:rPr>
            </w:pPr>
            <w:r w:rsidRPr="001B241A">
              <w:rPr>
                <w:color w:val="000000" w:themeColor="text1"/>
                <w:sz w:val="22"/>
                <w:szCs w:val="22"/>
              </w:rPr>
              <w:t>“”ir pārkāpis Latvijas vai</w:t>
            </w:r>
            <w:r w:rsidR="00865455">
              <w:rPr>
                <w:color w:val="000000" w:themeColor="text1"/>
                <w:sz w:val="22"/>
                <w:szCs w:val="22"/>
              </w:rPr>
              <w:t xml:space="preserve"> </w:t>
            </w:r>
            <w:r w:rsidR="00865455" w:rsidRPr="00865455">
              <w:rPr>
                <w:color w:val="000000" w:themeColor="text1"/>
                <w:sz w:val="22"/>
                <w:szCs w:val="22"/>
                <w:u w:val="single"/>
              </w:rPr>
              <w:t>tieši piemērojamo</w:t>
            </w:r>
            <w:r w:rsidRPr="001B241A">
              <w:rPr>
                <w:color w:val="000000" w:themeColor="text1"/>
                <w:sz w:val="22"/>
                <w:szCs w:val="22"/>
              </w:rPr>
              <w:t xml:space="preserve"> Eiropas Savienības normatīvo aktu vides, sociālo vai darba tiesību jomā, </w:t>
            </w:r>
            <w:r w:rsidRPr="001B241A">
              <w:rPr>
                <w:color w:val="000000" w:themeColor="text1"/>
                <w:sz w:val="22"/>
                <w:szCs w:val="22"/>
                <w:u w:val="single"/>
              </w:rPr>
              <w:t>darba</w:t>
            </w:r>
            <w:r w:rsidRPr="001B241A">
              <w:rPr>
                <w:color w:val="000000" w:themeColor="text1"/>
                <w:sz w:val="22"/>
                <w:szCs w:val="22"/>
              </w:rPr>
              <w:t xml:space="preserve"> koplīgumu vai </w:t>
            </w:r>
            <w:proofErr w:type="spellStart"/>
            <w:r w:rsidRPr="001B241A">
              <w:rPr>
                <w:color w:val="000000" w:themeColor="text1"/>
                <w:sz w:val="22"/>
                <w:szCs w:val="22"/>
              </w:rPr>
              <w:t>ģenerālvienošanos</w:t>
            </w:r>
            <w:proofErr w:type="spellEnd"/>
            <w:r w:rsidRPr="001B241A">
              <w:rPr>
                <w:color w:val="000000" w:themeColor="text1"/>
                <w:sz w:val="22"/>
                <w:szCs w:val="22"/>
              </w:rPr>
              <w:t xml:space="preserve"> noteikumus vai prasības, kas noteiktas šā likuma 3. pielikumā minētajās starptautiskajās konvencijās;”</w:t>
            </w:r>
          </w:p>
          <w:p w:rsidR="002967AE" w:rsidRPr="001B241A" w:rsidRDefault="002967AE" w:rsidP="002967AE">
            <w:pPr>
              <w:jc w:val="both"/>
              <w:rPr>
                <w:sz w:val="22"/>
                <w:szCs w:val="22"/>
              </w:rPr>
            </w:pPr>
          </w:p>
        </w:tc>
      </w:tr>
      <w:tr w:rsidR="002967AE" w:rsidRPr="00343BEE" w:rsidTr="00873779">
        <w:tc>
          <w:tcPr>
            <w:tcW w:w="567" w:type="dxa"/>
            <w:tcBorders>
              <w:top w:val="single" w:sz="6" w:space="0" w:color="000000"/>
              <w:left w:val="single" w:sz="6" w:space="0" w:color="000000"/>
              <w:bottom w:val="single" w:sz="6" w:space="0" w:color="000000"/>
              <w:right w:val="single" w:sz="6" w:space="0" w:color="000000"/>
            </w:tcBorders>
          </w:tcPr>
          <w:p w:rsidR="002967AE" w:rsidRPr="00343BEE" w:rsidRDefault="002967AE" w:rsidP="002967AE">
            <w:pPr>
              <w:pStyle w:val="naisc"/>
              <w:spacing w:before="0" w:after="0"/>
              <w:jc w:val="both"/>
              <w:rPr>
                <w:sz w:val="22"/>
                <w:szCs w:val="22"/>
              </w:rPr>
            </w:pPr>
            <w:r w:rsidRPr="00343BEE">
              <w:rPr>
                <w:sz w:val="22"/>
                <w:szCs w:val="22"/>
              </w:rPr>
              <w:t>3.</w:t>
            </w:r>
          </w:p>
        </w:tc>
        <w:tc>
          <w:tcPr>
            <w:tcW w:w="2835" w:type="dxa"/>
            <w:gridSpan w:val="2"/>
            <w:tcBorders>
              <w:top w:val="single" w:sz="6" w:space="0" w:color="000000"/>
              <w:left w:val="single" w:sz="6" w:space="0" w:color="000000"/>
              <w:bottom w:val="single" w:sz="6" w:space="0" w:color="000000"/>
              <w:right w:val="single" w:sz="6" w:space="0" w:color="000000"/>
            </w:tcBorders>
          </w:tcPr>
          <w:p w:rsidR="00343BEE" w:rsidRPr="007A5894" w:rsidRDefault="007A5894" w:rsidP="00343BEE">
            <w:pPr>
              <w:jc w:val="both"/>
              <w:rPr>
                <w:b/>
                <w:sz w:val="22"/>
                <w:szCs w:val="22"/>
              </w:rPr>
            </w:pPr>
            <w:r w:rsidRPr="007A5894">
              <w:rPr>
                <w:b/>
                <w:sz w:val="22"/>
                <w:szCs w:val="22"/>
              </w:rPr>
              <w:t>48.panta piektās daļas 1.punkts:</w:t>
            </w:r>
          </w:p>
          <w:p w:rsidR="007A5894" w:rsidRPr="00343BEE" w:rsidRDefault="007A5894" w:rsidP="00343BEE">
            <w:pPr>
              <w:jc w:val="both"/>
              <w:rPr>
                <w:sz w:val="22"/>
                <w:szCs w:val="22"/>
              </w:rPr>
            </w:pPr>
            <w:r>
              <w:rPr>
                <w:sz w:val="22"/>
                <w:szCs w:val="22"/>
              </w:rPr>
              <w:t>“</w:t>
            </w:r>
            <w:r w:rsidRPr="007A5894">
              <w:rPr>
                <w:sz w:val="22"/>
                <w:szCs w:val="22"/>
              </w:rPr>
              <w:t>1)</w:t>
            </w:r>
            <w:r w:rsidRPr="007A5894">
              <w:rPr>
                <w:sz w:val="22"/>
                <w:szCs w:val="22"/>
              </w:rPr>
              <w:tab/>
              <w:t>attiecībā uz Latvijā reģistrētu vai pastāvīgi dzīvojošu personu, kā arī saistībā ar šā panta otrās daļas 1., 2., 5. un 6. punktā minētajiem izslēgšanas iemesliem attiecībā uz ārvalstī reģistrētu vai pastāvīgi dzīvojošu personu izmanto Ministru kabineta noteikto informācijas sistēmu, ievērojot šādu kārtību un neprasot attiecīgo personu piekrišanu:</w:t>
            </w:r>
            <w:r>
              <w:rPr>
                <w:sz w:val="22"/>
                <w:szCs w:val="22"/>
              </w:rPr>
              <w:t>”</w:t>
            </w:r>
          </w:p>
          <w:p w:rsidR="002967AE" w:rsidRDefault="002967AE" w:rsidP="002967AE">
            <w:pPr>
              <w:jc w:val="both"/>
              <w:rPr>
                <w:sz w:val="22"/>
                <w:szCs w:val="22"/>
              </w:rPr>
            </w:pPr>
          </w:p>
          <w:p w:rsidR="007A5894" w:rsidRDefault="007A5894" w:rsidP="002967AE">
            <w:pPr>
              <w:jc w:val="both"/>
              <w:rPr>
                <w:sz w:val="22"/>
                <w:szCs w:val="22"/>
              </w:rPr>
            </w:pPr>
          </w:p>
          <w:p w:rsidR="007A5894" w:rsidRPr="00215969" w:rsidRDefault="00215969" w:rsidP="002967AE">
            <w:pPr>
              <w:jc w:val="both"/>
              <w:rPr>
                <w:b/>
                <w:sz w:val="22"/>
                <w:szCs w:val="22"/>
              </w:rPr>
            </w:pPr>
            <w:r w:rsidRPr="00215969">
              <w:rPr>
                <w:b/>
                <w:sz w:val="22"/>
                <w:szCs w:val="22"/>
              </w:rPr>
              <w:t>59.panta sestā daļa:</w:t>
            </w:r>
          </w:p>
          <w:p w:rsidR="00215969" w:rsidRPr="00215969" w:rsidRDefault="00215969" w:rsidP="00215969">
            <w:pPr>
              <w:jc w:val="both"/>
              <w:rPr>
                <w:sz w:val="22"/>
                <w:szCs w:val="22"/>
              </w:rPr>
            </w:pPr>
            <w:r>
              <w:rPr>
                <w:sz w:val="22"/>
                <w:szCs w:val="22"/>
              </w:rPr>
              <w:t>“</w:t>
            </w:r>
            <w:r w:rsidRPr="00215969">
              <w:rPr>
                <w:sz w:val="22"/>
                <w:szCs w:val="22"/>
              </w:rPr>
              <w:t xml:space="preserve">Šā panta pirmajā daļā minēto informāciju attiecībā uz Latvijā reģistrētu vai pastāvīgi dzīvojošu personu </w:t>
            </w:r>
            <w:r w:rsidRPr="00215969">
              <w:rPr>
                <w:sz w:val="22"/>
                <w:szCs w:val="22"/>
              </w:rPr>
              <w:lastRenderedPageBreak/>
              <w:t>par tā darbinieku vidējām stundas tarifa likmēm profesiju grupās sabiedrisko pakalpojumu sniedzējs, kā arī piegādātājs par sevi Ministru kabineta noteiktajā kārtībā iegūst no Valsts ieņēmumu dienesta</w:t>
            </w:r>
            <w:r w:rsidR="000952F6">
              <w:rPr>
                <w:sz w:val="22"/>
                <w:szCs w:val="22"/>
              </w:rPr>
              <w:t>, izmantojot Ministru kabineta noteikto informācijas sistēmu</w:t>
            </w:r>
            <w:r w:rsidRPr="00215969">
              <w:rPr>
                <w:sz w:val="22"/>
                <w:szCs w:val="22"/>
              </w:rPr>
              <w:t>. Sabiedrisko pakalpojumu sniedzējs minēto informāciju no Valsts ieņēmumu dienesta ir tiesīgs saņemt, neprasot pretendenta un tā piedāvājumā norādīto apakšuzņēmēju piekrišanu.</w:t>
            </w:r>
            <w:r>
              <w:rPr>
                <w:sz w:val="22"/>
                <w:szCs w:val="22"/>
              </w:rPr>
              <w:t>”</w:t>
            </w:r>
          </w:p>
          <w:p w:rsidR="00215969" w:rsidRPr="00343BEE" w:rsidRDefault="00215969" w:rsidP="002967AE">
            <w:pPr>
              <w:jc w:val="both"/>
              <w:rPr>
                <w:sz w:val="22"/>
                <w:szCs w:val="22"/>
              </w:rPr>
            </w:pPr>
          </w:p>
        </w:tc>
        <w:tc>
          <w:tcPr>
            <w:tcW w:w="4111" w:type="dxa"/>
            <w:gridSpan w:val="2"/>
            <w:tcBorders>
              <w:top w:val="single" w:sz="6" w:space="0" w:color="000000"/>
              <w:left w:val="single" w:sz="6" w:space="0" w:color="000000"/>
              <w:bottom w:val="single" w:sz="6" w:space="0" w:color="000000"/>
              <w:right w:val="single" w:sz="6" w:space="0" w:color="000000"/>
            </w:tcBorders>
          </w:tcPr>
          <w:p w:rsidR="002967AE" w:rsidRPr="00343BEE" w:rsidRDefault="002967AE" w:rsidP="002967AE">
            <w:pPr>
              <w:pStyle w:val="ListParagraph"/>
              <w:spacing w:after="0" w:line="240" w:lineRule="auto"/>
              <w:ind w:left="0"/>
              <w:jc w:val="center"/>
              <w:rPr>
                <w:rFonts w:ascii="Times New Roman" w:hAnsi="Times New Roman"/>
                <w:b/>
              </w:rPr>
            </w:pPr>
            <w:r w:rsidRPr="00343BEE">
              <w:rPr>
                <w:rFonts w:ascii="Times New Roman" w:hAnsi="Times New Roman"/>
                <w:b/>
              </w:rPr>
              <w:lastRenderedPageBreak/>
              <w:t>Tieslietu ministrija</w:t>
            </w:r>
          </w:p>
          <w:p w:rsidR="002967AE" w:rsidRPr="00343BEE" w:rsidRDefault="002967AE" w:rsidP="002967AE">
            <w:pPr>
              <w:jc w:val="both"/>
              <w:rPr>
                <w:sz w:val="22"/>
                <w:szCs w:val="22"/>
                <w:u w:val="single"/>
              </w:rPr>
            </w:pPr>
            <w:r w:rsidRPr="00343BEE">
              <w:rPr>
                <w:bCs/>
                <w:sz w:val="22"/>
                <w:szCs w:val="22"/>
              </w:rPr>
              <w:t>Likumprojekta 2. pantā izteiktajā likuma 48</w:t>
            </w:r>
            <w:r w:rsidR="007A5894">
              <w:rPr>
                <w:bCs/>
                <w:sz w:val="22"/>
                <w:szCs w:val="22"/>
              </w:rPr>
              <w:t>.</w:t>
            </w:r>
            <w:r w:rsidRPr="00343BEE">
              <w:rPr>
                <w:bCs/>
                <w:sz w:val="22"/>
                <w:szCs w:val="22"/>
              </w:rPr>
              <w:t xml:space="preserve"> panta piektajā daļā norādīta atsauce uz “Ministru kabineta noteikto informācijas sistēmu”. Nav saprotama minētā atsauce, jo to varētu sajaukt ar pilnvarojumu Ministru kabinetam. Attiecīgi lūdzam minēto atsauci pārveidot par pilnvarojumu Ministru kabinetam vai norādīt atsauci uz normatīvajiem aktiem noteiktā jomā. Līdzīgi lūdzam precizēt likumprojekta 4. pantu.</w:t>
            </w:r>
          </w:p>
          <w:p w:rsidR="002967AE" w:rsidRPr="00343BEE" w:rsidRDefault="002967AE" w:rsidP="002967AE">
            <w:pPr>
              <w:pStyle w:val="ListParagraph"/>
              <w:spacing w:after="0" w:line="240" w:lineRule="auto"/>
              <w:ind w:left="0"/>
              <w:jc w:val="both"/>
              <w:rPr>
                <w:rFonts w:ascii="Times New Roman" w:hAnsi="Times New Roman"/>
              </w:rPr>
            </w:pPr>
          </w:p>
        </w:tc>
        <w:tc>
          <w:tcPr>
            <w:tcW w:w="3827" w:type="dxa"/>
            <w:tcBorders>
              <w:top w:val="single" w:sz="6" w:space="0" w:color="000000"/>
              <w:left w:val="single" w:sz="6" w:space="0" w:color="000000"/>
              <w:bottom w:val="single" w:sz="6" w:space="0" w:color="000000"/>
              <w:right w:val="single" w:sz="6" w:space="0" w:color="000000"/>
            </w:tcBorders>
          </w:tcPr>
          <w:p w:rsidR="0040670F" w:rsidRPr="001B241A" w:rsidRDefault="0040670F" w:rsidP="007A5894">
            <w:pPr>
              <w:pStyle w:val="naisc"/>
              <w:spacing w:before="0" w:after="0"/>
              <w:jc w:val="both"/>
              <w:rPr>
                <w:b/>
                <w:bCs/>
                <w:sz w:val="22"/>
                <w:szCs w:val="22"/>
              </w:rPr>
            </w:pPr>
            <w:r w:rsidRPr="001B241A">
              <w:rPr>
                <w:b/>
                <w:bCs/>
                <w:sz w:val="22"/>
                <w:szCs w:val="22"/>
              </w:rPr>
              <w:t>Vienošanās panāk</w:t>
            </w:r>
            <w:r w:rsidR="00152E47">
              <w:rPr>
                <w:b/>
                <w:bCs/>
                <w:sz w:val="22"/>
                <w:szCs w:val="22"/>
              </w:rPr>
              <w:t>ta</w:t>
            </w:r>
            <w:r w:rsidRPr="001B241A">
              <w:rPr>
                <w:b/>
                <w:bCs/>
                <w:sz w:val="22"/>
                <w:szCs w:val="22"/>
              </w:rPr>
              <w:t xml:space="preserve"> saskaņošanas laikā</w:t>
            </w:r>
          </w:p>
          <w:p w:rsidR="0040670F" w:rsidRPr="001B241A" w:rsidRDefault="0040670F" w:rsidP="0040670F">
            <w:pPr>
              <w:pStyle w:val="naisc"/>
              <w:spacing w:before="0" w:after="0"/>
              <w:jc w:val="both"/>
              <w:rPr>
                <w:bCs/>
                <w:sz w:val="22"/>
                <w:szCs w:val="22"/>
              </w:rPr>
            </w:pPr>
            <w:r w:rsidRPr="001B241A">
              <w:rPr>
                <w:bCs/>
                <w:sz w:val="22"/>
                <w:szCs w:val="22"/>
              </w:rPr>
              <w:t xml:space="preserve">Paskaidrojam, ka </w:t>
            </w:r>
            <w:r>
              <w:rPr>
                <w:bCs/>
                <w:sz w:val="22"/>
                <w:szCs w:val="22"/>
              </w:rPr>
              <w:t>sabiedrisko pakalpojumu sniedzējs</w:t>
            </w:r>
            <w:r w:rsidRPr="001B241A">
              <w:rPr>
                <w:bCs/>
                <w:sz w:val="22"/>
                <w:szCs w:val="22"/>
              </w:rPr>
              <w:t xml:space="preserve"> izslēdz kandidātus vai pretendentus no iepirkuma procedūras</w:t>
            </w:r>
            <w:r w:rsidR="007A5894">
              <w:rPr>
                <w:bCs/>
                <w:sz w:val="22"/>
                <w:szCs w:val="22"/>
              </w:rPr>
              <w:t>,</w:t>
            </w:r>
            <w:r w:rsidRPr="001B241A">
              <w:rPr>
                <w:bCs/>
                <w:sz w:val="22"/>
                <w:szCs w:val="22"/>
              </w:rPr>
              <w:t xml:space="preserve"> </w:t>
            </w:r>
            <w:r w:rsidRPr="001B241A">
              <w:rPr>
                <w:color w:val="000000" w:themeColor="text1"/>
                <w:sz w:val="22"/>
                <w:szCs w:val="22"/>
              </w:rPr>
              <w:t>pamatojoties uz informāciju, kuru tas iegūst no Ministru kabineta noteiktās informācijas sistēmas (kas minēta</w:t>
            </w:r>
            <w:r w:rsidRPr="001B241A">
              <w:rPr>
                <w:bCs/>
                <w:sz w:val="22"/>
                <w:szCs w:val="22"/>
              </w:rPr>
              <w:t xml:space="preserve"> Likumprojekta </w:t>
            </w:r>
            <w:r>
              <w:rPr>
                <w:bCs/>
                <w:sz w:val="22"/>
                <w:szCs w:val="22"/>
              </w:rPr>
              <w:t>2</w:t>
            </w:r>
            <w:r w:rsidRPr="001B241A">
              <w:rPr>
                <w:bCs/>
                <w:sz w:val="22"/>
                <w:szCs w:val="22"/>
              </w:rPr>
              <w:t xml:space="preserve">. pantā izteiktajā likuma </w:t>
            </w:r>
            <w:r>
              <w:rPr>
                <w:bCs/>
                <w:sz w:val="22"/>
                <w:szCs w:val="22"/>
              </w:rPr>
              <w:t>48.</w:t>
            </w:r>
            <w:r w:rsidRPr="001B241A">
              <w:rPr>
                <w:bCs/>
                <w:sz w:val="22"/>
                <w:szCs w:val="22"/>
              </w:rPr>
              <w:t xml:space="preserve"> panta piektajā daļā). Savukārt šā panta desmitā daļa paredz pilnvarojumu Ministru kabinetam noteikt informācijas sistēmu, kurā būtu pārbaudāmi izslēgšanas noteikumu attiecīgajām personām. Likumprojekta </w:t>
            </w:r>
            <w:r>
              <w:rPr>
                <w:bCs/>
                <w:sz w:val="22"/>
                <w:szCs w:val="22"/>
              </w:rPr>
              <w:t>2</w:t>
            </w:r>
            <w:r w:rsidRPr="001B241A">
              <w:rPr>
                <w:bCs/>
                <w:sz w:val="22"/>
                <w:szCs w:val="22"/>
              </w:rPr>
              <w:t xml:space="preserve">. pantā izteiktajā likuma </w:t>
            </w:r>
            <w:r>
              <w:rPr>
                <w:bCs/>
                <w:sz w:val="22"/>
                <w:szCs w:val="22"/>
              </w:rPr>
              <w:t>48.</w:t>
            </w:r>
            <w:r w:rsidRPr="001B241A">
              <w:rPr>
                <w:bCs/>
                <w:sz w:val="22"/>
                <w:szCs w:val="22"/>
              </w:rPr>
              <w:t xml:space="preserve"> panta piektajā daļā norādīta atsauce “Ministru kabineta noteikto informācijas sistēmu” nav pilnvarojums Ministru kabinetam un to nav iespējams sajaukt</w:t>
            </w:r>
            <w:r>
              <w:rPr>
                <w:bCs/>
                <w:sz w:val="22"/>
                <w:szCs w:val="22"/>
              </w:rPr>
              <w:t>, jo normā tiek minēts, ja jāizmanto jau Ministru kabineta noteiktā sistēma, nevis</w:t>
            </w:r>
            <w:r w:rsidR="00215969">
              <w:rPr>
                <w:bCs/>
                <w:sz w:val="22"/>
                <w:szCs w:val="22"/>
              </w:rPr>
              <w:t xml:space="preserve"> </w:t>
            </w:r>
            <w:r>
              <w:rPr>
                <w:bCs/>
                <w:sz w:val="22"/>
                <w:szCs w:val="22"/>
              </w:rPr>
              <w:t xml:space="preserve">ka </w:t>
            </w:r>
            <w:r>
              <w:rPr>
                <w:bCs/>
                <w:sz w:val="22"/>
                <w:szCs w:val="22"/>
              </w:rPr>
              <w:lastRenderedPageBreak/>
              <w:t>Ministru kabinetam būtu jāizveido šāda sistēma</w:t>
            </w:r>
            <w:r w:rsidRPr="001B241A">
              <w:rPr>
                <w:bCs/>
                <w:sz w:val="22"/>
                <w:szCs w:val="22"/>
              </w:rPr>
              <w:t>.</w:t>
            </w:r>
          </w:p>
          <w:p w:rsidR="0040670F" w:rsidRDefault="0040670F" w:rsidP="0040670F">
            <w:pPr>
              <w:pStyle w:val="naisc"/>
              <w:jc w:val="both"/>
              <w:rPr>
                <w:bCs/>
                <w:sz w:val="22"/>
                <w:szCs w:val="22"/>
                <w:u w:val="single"/>
              </w:rPr>
            </w:pPr>
          </w:p>
          <w:p w:rsidR="0040670F" w:rsidRPr="0040670F" w:rsidRDefault="0040670F" w:rsidP="0040670F">
            <w:pPr>
              <w:pStyle w:val="naisc"/>
              <w:jc w:val="both"/>
              <w:rPr>
                <w:bCs/>
                <w:sz w:val="22"/>
                <w:szCs w:val="22"/>
              </w:rPr>
            </w:pPr>
            <w:r w:rsidRPr="0040670F">
              <w:rPr>
                <w:bCs/>
                <w:sz w:val="22"/>
                <w:szCs w:val="22"/>
              </w:rPr>
              <w:t>48.panta desmitā daļa:</w:t>
            </w:r>
          </w:p>
          <w:p w:rsidR="0040670F" w:rsidRPr="00D548F2" w:rsidRDefault="0040670F" w:rsidP="0040670F">
            <w:pPr>
              <w:pStyle w:val="naisc"/>
              <w:jc w:val="both"/>
              <w:rPr>
                <w:bCs/>
                <w:sz w:val="22"/>
                <w:szCs w:val="22"/>
              </w:rPr>
            </w:pPr>
            <w:r w:rsidRPr="00D548F2">
              <w:rPr>
                <w:bCs/>
                <w:sz w:val="22"/>
                <w:szCs w:val="22"/>
                <w:u w:val="single"/>
              </w:rPr>
              <w:t>Ministru kabinets nosaka</w:t>
            </w:r>
            <w:r w:rsidRPr="00D548F2">
              <w:rPr>
                <w:bCs/>
                <w:sz w:val="22"/>
                <w:szCs w:val="22"/>
              </w:rPr>
              <w:t>:</w:t>
            </w:r>
          </w:p>
          <w:p w:rsidR="0040670F" w:rsidRPr="00D548F2" w:rsidRDefault="0040670F" w:rsidP="0040670F">
            <w:pPr>
              <w:pStyle w:val="naisc"/>
              <w:numPr>
                <w:ilvl w:val="0"/>
                <w:numId w:val="7"/>
              </w:numPr>
              <w:jc w:val="both"/>
              <w:rPr>
                <w:bCs/>
                <w:sz w:val="22"/>
                <w:szCs w:val="22"/>
              </w:rPr>
            </w:pPr>
            <w:r w:rsidRPr="00D548F2">
              <w:rPr>
                <w:bCs/>
                <w:sz w:val="22"/>
                <w:szCs w:val="22"/>
                <w:u w:val="single"/>
              </w:rPr>
              <w:t>informācijas sistēmu</w:t>
            </w:r>
            <w:r w:rsidRPr="00D548F2">
              <w:rPr>
                <w:bCs/>
                <w:sz w:val="22"/>
                <w:szCs w:val="22"/>
              </w:rPr>
              <w:t>, kurā veicama šā panta piektās daļas 1. punktā minētā pārbaude, kā arī šīs sistēmas uzturēšanas un izmantošanas kārtību;</w:t>
            </w:r>
          </w:p>
          <w:p w:rsidR="0040670F" w:rsidRPr="00D548F2" w:rsidRDefault="0040670F" w:rsidP="0040670F">
            <w:pPr>
              <w:pStyle w:val="naisc"/>
              <w:numPr>
                <w:ilvl w:val="0"/>
                <w:numId w:val="7"/>
              </w:numPr>
              <w:jc w:val="both"/>
              <w:rPr>
                <w:bCs/>
                <w:sz w:val="22"/>
                <w:szCs w:val="22"/>
              </w:rPr>
            </w:pPr>
            <w:r w:rsidRPr="00D548F2">
              <w:rPr>
                <w:bCs/>
                <w:sz w:val="22"/>
                <w:szCs w:val="22"/>
              </w:rPr>
              <w:t>šā panta piektās daļas 1. punkta “a” apakšpunktā minētās pārbaudāmās informācijas apstrādes mērķi un apjomu, kā arī tos normatīvos aktus un to pantus, kuri atbilst šā panta otrajā daļā noteiktajiem pretendentu izslēgšanas iemesliem un par kuros paredzētajiem pārkāpumiem un noziedzīgajiem nodarījumiem veicama šā panta piektās daļas 1. punkta “a” apakšpunktā noteiktā pārbaude;</w:t>
            </w:r>
          </w:p>
          <w:p w:rsidR="0040670F" w:rsidRPr="00D548F2" w:rsidRDefault="0040670F" w:rsidP="0040670F">
            <w:pPr>
              <w:pStyle w:val="naisc"/>
              <w:numPr>
                <w:ilvl w:val="0"/>
                <w:numId w:val="7"/>
              </w:numPr>
              <w:jc w:val="both"/>
              <w:rPr>
                <w:bCs/>
                <w:sz w:val="22"/>
                <w:szCs w:val="22"/>
              </w:rPr>
            </w:pPr>
            <w:r w:rsidRPr="00D548F2">
              <w:rPr>
                <w:bCs/>
                <w:sz w:val="22"/>
                <w:szCs w:val="22"/>
              </w:rPr>
              <w:t>kārtību, kādā šīs daļas 1. punktā minētā informācijas sistēma saņem un apstrādā informāciju no šā panta piektajā daļā minēto iestāžu uzturētajām informācijas sistēmām.</w:t>
            </w:r>
          </w:p>
          <w:p w:rsidR="0040670F" w:rsidRDefault="0040670F" w:rsidP="0040670F">
            <w:pPr>
              <w:pStyle w:val="naisc"/>
              <w:spacing w:after="0"/>
              <w:jc w:val="both"/>
              <w:rPr>
                <w:sz w:val="22"/>
                <w:szCs w:val="22"/>
              </w:rPr>
            </w:pPr>
          </w:p>
          <w:p w:rsidR="0040670F" w:rsidRPr="00D548F2" w:rsidRDefault="0040670F" w:rsidP="0040670F">
            <w:pPr>
              <w:pStyle w:val="naisc"/>
              <w:spacing w:after="0"/>
              <w:jc w:val="both"/>
              <w:rPr>
                <w:bCs/>
                <w:sz w:val="22"/>
                <w:szCs w:val="22"/>
              </w:rPr>
            </w:pPr>
            <w:r w:rsidRPr="00D548F2">
              <w:rPr>
                <w:sz w:val="22"/>
                <w:szCs w:val="22"/>
              </w:rPr>
              <w:t>Iepriekš minētais</w:t>
            </w:r>
            <w:r w:rsidR="00215969">
              <w:rPr>
                <w:sz w:val="22"/>
                <w:szCs w:val="22"/>
              </w:rPr>
              <w:t xml:space="preserve"> attiecas arī uz likumprojekta 4</w:t>
            </w:r>
            <w:r w:rsidRPr="00D548F2">
              <w:rPr>
                <w:sz w:val="22"/>
                <w:szCs w:val="22"/>
              </w:rPr>
              <w:t>.pantu.</w:t>
            </w:r>
          </w:p>
          <w:p w:rsidR="0040670F" w:rsidRPr="001B241A" w:rsidRDefault="0040670F" w:rsidP="0040670F">
            <w:pPr>
              <w:pStyle w:val="naisc"/>
              <w:spacing w:before="0" w:after="0"/>
              <w:jc w:val="both"/>
              <w:rPr>
                <w:sz w:val="22"/>
                <w:szCs w:val="22"/>
              </w:rPr>
            </w:pPr>
          </w:p>
          <w:p w:rsidR="00E017C3" w:rsidRPr="00343BEE" w:rsidRDefault="0040670F" w:rsidP="0040670F">
            <w:pPr>
              <w:pStyle w:val="naisc"/>
              <w:spacing w:before="0" w:after="0"/>
              <w:jc w:val="both"/>
              <w:rPr>
                <w:sz w:val="22"/>
                <w:szCs w:val="22"/>
              </w:rPr>
            </w:pPr>
            <w:r w:rsidRPr="001B241A">
              <w:rPr>
                <w:sz w:val="22"/>
                <w:szCs w:val="22"/>
              </w:rPr>
              <w:t xml:space="preserve">Papildus darām zināmu, ka Valsts sekretāru 2020.gada 22.oktobra sanāksmē atbalstīja saistīto </w:t>
            </w:r>
            <w:r w:rsidRPr="001B241A">
              <w:rPr>
                <w:sz w:val="22"/>
                <w:szCs w:val="22"/>
              </w:rPr>
              <w:lastRenderedPageBreak/>
              <w:t>likumprojektu “Grozījumi Publisko iepirkumu likumā”, kurā ir ietverta analoģiska norma.</w:t>
            </w:r>
          </w:p>
        </w:tc>
        <w:tc>
          <w:tcPr>
            <w:tcW w:w="3402" w:type="dxa"/>
            <w:tcBorders>
              <w:top w:val="single" w:sz="4" w:space="0" w:color="auto"/>
              <w:left w:val="single" w:sz="4" w:space="0" w:color="auto"/>
              <w:bottom w:val="single" w:sz="4" w:space="0" w:color="auto"/>
            </w:tcBorders>
          </w:tcPr>
          <w:p w:rsidR="00343BEE" w:rsidRPr="00343BEE" w:rsidRDefault="00343BEE" w:rsidP="0040670F">
            <w:pPr>
              <w:jc w:val="both"/>
              <w:rPr>
                <w:sz w:val="22"/>
                <w:szCs w:val="22"/>
              </w:rPr>
            </w:pPr>
          </w:p>
        </w:tc>
      </w:tr>
      <w:tr w:rsidR="002967AE" w:rsidRPr="002967AE" w:rsidTr="00873779">
        <w:tc>
          <w:tcPr>
            <w:tcW w:w="567" w:type="dxa"/>
            <w:tcBorders>
              <w:top w:val="single" w:sz="6" w:space="0" w:color="000000"/>
              <w:left w:val="single" w:sz="6" w:space="0" w:color="000000"/>
              <w:bottom w:val="single" w:sz="6" w:space="0" w:color="000000"/>
              <w:right w:val="single" w:sz="6" w:space="0" w:color="000000"/>
            </w:tcBorders>
          </w:tcPr>
          <w:p w:rsidR="002967AE" w:rsidRPr="002967AE" w:rsidRDefault="002967AE" w:rsidP="002967AE">
            <w:pPr>
              <w:pStyle w:val="naisc"/>
              <w:spacing w:before="0" w:after="0"/>
              <w:jc w:val="both"/>
              <w:rPr>
                <w:sz w:val="22"/>
                <w:szCs w:val="22"/>
              </w:rPr>
            </w:pPr>
            <w:r w:rsidRPr="002967AE">
              <w:rPr>
                <w:sz w:val="22"/>
                <w:szCs w:val="22"/>
              </w:rPr>
              <w:lastRenderedPageBreak/>
              <w:t>4.</w:t>
            </w:r>
          </w:p>
        </w:tc>
        <w:tc>
          <w:tcPr>
            <w:tcW w:w="2835" w:type="dxa"/>
            <w:gridSpan w:val="2"/>
            <w:tcBorders>
              <w:top w:val="single" w:sz="6" w:space="0" w:color="000000"/>
              <w:left w:val="single" w:sz="6" w:space="0" w:color="000000"/>
              <w:bottom w:val="single" w:sz="6" w:space="0" w:color="000000"/>
              <w:right w:val="single" w:sz="6" w:space="0" w:color="000000"/>
            </w:tcBorders>
          </w:tcPr>
          <w:p w:rsidR="002967AE" w:rsidRPr="0057531D" w:rsidRDefault="0057531D" w:rsidP="002967AE">
            <w:pPr>
              <w:jc w:val="both"/>
              <w:rPr>
                <w:b/>
                <w:sz w:val="22"/>
                <w:szCs w:val="22"/>
              </w:rPr>
            </w:pPr>
            <w:r w:rsidRPr="0057531D">
              <w:rPr>
                <w:b/>
                <w:sz w:val="22"/>
                <w:szCs w:val="22"/>
              </w:rPr>
              <w:t>48.panta 10.daļa:</w:t>
            </w:r>
          </w:p>
          <w:p w:rsidR="0057531D" w:rsidRPr="0057531D" w:rsidRDefault="0057531D" w:rsidP="0057531D">
            <w:pPr>
              <w:jc w:val="both"/>
              <w:rPr>
                <w:sz w:val="22"/>
                <w:szCs w:val="22"/>
              </w:rPr>
            </w:pPr>
            <w:r>
              <w:rPr>
                <w:sz w:val="22"/>
                <w:szCs w:val="22"/>
              </w:rPr>
              <w:t>“</w:t>
            </w:r>
            <w:r w:rsidRPr="0057531D">
              <w:rPr>
                <w:sz w:val="22"/>
                <w:szCs w:val="22"/>
              </w:rPr>
              <w:t>Ministru kabinets nosaka:</w:t>
            </w:r>
          </w:p>
          <w:p w:rsidR="0057531D" w:rsidRPr="0057531D" w:rsidRDefault="0057531D" w:rsidP="0057531D">
            <w:pPr>
              <w:jc w:val="both"/>
              <w:rPr>
                <w:sz w:val="22"/>
                <w:szCs w:val="22"/>
              </w:rPr>
            </w:pPr>
            <w:r w:rsidRPr="0057531D">
              <w:rPr>
                <w:sz w:val="22"/>
                <w:szCs w:val="22"/>
              </w:rPr>
              <w:t>1)</w:t>
            </w:r>
            <w:r w:rsidRPr="0057531D">
              <w:rPr>
                <w:sz w:val="22"/>
                <w:szCs w:val="22"/>
              </w:rPr>
              <w:tab/>
              <w:t>informācijas sistēmu, kurā veicama šā panta piektās daļas 1. punktā minētā pārbaude, kā arī šīs sistēmas uzturēšanas un izmantošanas kārtību;</w:t>
            </w:r>
          </w:p>
          <w:p w:rsidR="0057531D" w:rsidRPr="0057531D" w:rsidRDefault="0057531D" w:rsidP="0057531D">
            <w:pPr>
              <w:jc w:val="both"/>
              <w:rPr>
                <w:sz w:val="22"/>
                <w:szCs w:val="22"/>
              </w:rPr>
            </w:pPr>
            <w:r w:rsidRPr="0057531D">
              <w:rPr>
                <w:sz w:val="22"/>
                <w:szCs w:val="22"/>
              </w:rPr>
              <w:t>2)</w:t>
            </w:r>
            <w:r w:rsidRPr="0057531D">
              <w:rPr>
                <w:sz w:val="22"/>
                <w:szCs w:val="22"/>
              </w:rPr>
              <w:tab/>
              <w:t>šā panta piektās daļas 1. punkta “a” apakšpunktā minētās pārbaudāmās informācijas apstrādes mērķi un apjomu, kā arī tos normatīvos aktus un to pantus, kuri atbilst šā panta otrajā daļā noteiktajiem kandidātu un pretendentu izslēgšanas iemesliem un par kuros paredzētajiem pārkāpumiem un noziedzīgajiem nodarījumiem veicama šā panta piektās daļas 1. punkta “a” apakšpunktā noteiktā pārbaude;</w:t>
            </w:r>
          </w:p>
          <w:p w:rsidR="0057531D" w:rsidRPr="002967AE" w:rsidRDefault="0057531D" w:rsidP="0057531D">
            <w:pPr>
              <w:jc w:val="both"/>
              <w:rPr>
                <w:sz w:val="22"/>
                <w:szCs w:val="22"/>
              </w:rPr>
            </w:pPr>
            <w:r w:rsidRPr="0057531D">
              <w:rPr>
                <w:sz w:val="22"/>
                <w:szCs w:val="22"/>
              </w:rPr>
              <w:t>3)</w:t>
            </w:r>
            <w:r w:rsidRPr="0057531D">
              <w:rPr>
                <w:sz w:val="22"/>
                <w:szCs w:val="22"/>
              </w:rPr>
              <w:tab/>
              <w:t xml:space="preserve">kārtību, kādā šīs daļas 1. punktā minētā informācijas sistēma saņem un apstrādā informāciju no šā panta piektajā daļā minēto </w:t>
            </w:r>
            <w:r w:rsidRPr="0057531D">
              <w:rPr>
                <w:sz w:val="22"/>
                <w:szCs w:val="22"/>
              </w:rPr>
              <w:lastRenderedPageBreak/>
              <w:t>iestāžu uzturētajām informācijas sistēmām.</w:t>
            </w:r>
            <w:r>
              <w:rPr>
                <w:sz w:val="22"/>
                <w:szCs w:val="22"/>
              </w:rPr>
              <w:t>”</w:t>
            </w:r>
          </w:p>
        </w:tc>
        <w:tc>
          <w:tcPr>
            <w:tcW w:w="4111" w:type="dxa"/>
            <w:gridSpan w:val="2"/>
            <w:tcBorders>
              <w:top w:val="single" w:sz="6" w:space="0" w:color="000000"/>
              <w:left w:val="single" w:sz="6" w:space="0" w:color="000000"/>
              <w:bottom w:val="single" w:sz="6" w:space="0" w:color="000000"/>
              <w:right w:val="single" w:sz="6" w:space="0" w:color="000000"/>
            </w:tcBorders>
          </w:tcPr>
          <w:p w:rsidR="002967AE" w:rsidRPr="001B241A" w:rsidRDefault="002967AE" w:rsidP="002967AE">
            <w:pPr>
              <w:pStyle w:val="ListParagraph"/>
              <w:spacing w:after="0" w:line="240" w:lineRule="auto"/>
              <w:ind w:left="0"/>
              <w:jc w:val="center"/>
              <w:rPr>
                <w:rFonts w:ascii="Times New Roman" w:hAnsi="Times New Roman"/>
                <w:b/>
              </w:rPr>
            </w:pPr>
            <w:r w:rsidRPr="001B241A">
              <w:rPr>
                <w:rFonts w:ascii="Times New Roman" w:hAnsi="Times New Roman"/>
                <w:b/>
              </w:rPr>
              <w:lastRenderedPageBreak/>
              <w:t>Tieslietu ministrija</w:t>
            </w:r>
          </w:p>
          <w:p w:rsidR="002967AE" w:rsidRPr="001B241A" w:rsidRDefault="002967AE" w:rsidP="002967AE">
            <w:pPr>
              <w:jc w:val="both"/>
              <w:rPr>
                <w:bCs/>
                <w:sz w:val="22"/>
                <w:szCs w:val="22"/>
              </w:rPr>
            </w:pPr>
            <w:r w:rsidRPr="001B241A">
              <w:rPr>
                <w:bCs/>
                <w:sz w:val="22"/>
                <w:szCs w:val="22"/>
              </w:rPr>
              <w:t>Likumprojekta 2. pantā izteiktajā likuma 48. panta 10. daļā norādīti vairāki pilnvarojumi Ministru kabinetam. Pirmkārt, vēršam uzmanību, ka attiecīgie pilnvarojumi ir sadrumstaloti un grūti uztverami to apjoma dēļ. Attiecīgi lūdzam tos sadalīt vairākos pilnvarojumos, lai vēlāk izstrādājot attiecīgos Ministru kabineta noteikumus, nerastos šaubas par to tvērumu, kā arī nebūtu problēmas, piemēram, izteikt attiecīgo Ministru kabineta noteikumu nosaukumu.</w:t>
            </w:r>
            <w:r w:rsidRPr="001B241A">
              <w:rPr>
                <w:sz w:val="22"/>
                <w:szCs w:val="22"/>
              </w:rPr>
              <w:t xml:space="preserve"> Pamatojoties uz Valsts sekretāru sanāksmes 2020. gada 9. janvāra sēdē Tieslietu ministrijai doto uzdevumu (prot. Nr. 2 14. § 2. punkts</w:t>
            </w:r>
            <w:r w:rsidRPr="001B241A">
              <w:rPr>
                <w:sz w:val="22"/>
                <w:szCs w:val="22"/>
                <w:vertAlign w:val="superscript"/>
              </w:rPr>
              <w:footnoteReference w:id="1"/>
            </w:r>
            <w:r w:rsidRPr="001B241A">
              <w:rPr>
                <w:sz w:val="22"/>
                <w:szCs w:val="22"/>
              </w:rPr>
              <w:t>), lūdzam izvērtēt likumprojektā ietvertā pilnvarojuma atbilstību tiesību akta saturam, kuru paredzēts izdot uz šā pilnvarojuma pamata. Atgādinām, ka saskaņā ar Ministru kabineta iekārtas likuma 31. panta pirmās daļas 1. punktu, pilnvarojot Ministru kabinetu izdot noteikumus, pilnvarojumā jānorāda tā satura galvenie virzieni. Pilnvarojuma saturam ir jābūt tik skaidram, lai atklātu pilnvarojuma būtību un jēgu.</w:t>
            </w:r>
            <w:r w:rsidRPr="001B241A">
              <w:rPr>
                <w:sz w:val="22"/>
                <w:szCs w:val="22"/>
                <w:vertAlign w:val="superscript"/>
              </w:rPr>
              <w:footnoteReference w:id="2"/>
            </w:r>
            <w:r w:rsidRPr="001B241A">
              <w:rPr>
                <w:sz w:val="22"/>
                <w:szCs w:val="22"/>
              </w:rPr>
              <w:t xml:space="preserve"> Nav pieļaujama personas </w:t>
            </w:r>
            <w:proofErr w:type="spellStart"/>
            <w:r w:rsidRPr="001B241A">
              <w:rPr>
                <w:sz w:val="22"/>
                <w:szCs w:val="22"/>
              </w:rPr>
              <w:t>pamattiesību</w:t>
            </w:r>
            <w:proofErr w:type="spellEnd"/>
            <w:r w:rsidRPr="001B241A">
              <w:rPr>
                <w:sz w:val="22"/>
                <w:szCs w:val="22"/>
              </w:rPr>
              <w:t xml:space="preserve"> ierobežošana, atsaucoties uz neskaidru vai pārprotamu likumdevēja pilnvarojumu.</w:t>
            </w:r>
            <w:r w:rsidRPr="001B241A">
              <w:rPr>
                <w:sz w:val="22"/>
                <w:szCs w:val="22"/>
                <w:vertAlign w:val="superscript"/>
              </w:rPr>
              <w:footnoteReference w:id="3"/>
            </w:r>
          </w:p>
          <w:p w:rsidR="002967AE" w:rsidRPr="00B47D0A" w:rsidRDefault="002967AE" w:rsidP="00B47D0A">
            <w:pPr>
              <w:jc w:val="both"/>
              <w:rPr>
                <w:sz w:val="22"/>
                <w:szCs w:val="22"/>
              </w:rPr>
            </w:pPr>
            <w:r w:rsidRPr="001B241A">
              <w:rPr>
                <w:bCs/>
                <w:sz w:val="22"/>
                <w:szCs w:val="22"/>
              </w:rPr>
              <w:t xml:space="preserve">Otrkārt, </w:t>
            </w:r>
            <w:r w:rsidRPr="001B241A">
              <w:rPr>
                <w:sz w:val="22"/>
                <w:szCs w:val="22"/>
              </w:rPr>
              <w:t xml:space="preserve">Ministru kabinetam vai citai institūcijai var uzdot likuma ieviešanai dzīvē nepieciešamā regulējuma izstrādāšanu, lai </w:t>
            </w:r>
            <w:r w:rsidRPr="001B241A">
              <w:rPr>
                <w:sz w:val="22"/>
                <w:szCs w:val="22"/>
              </w:rPr>
              <w:lastRenderedPageBreak/>
              <w:t>tiktu detalizēta likumā ietvertā politiskā griba vai noteikta likuma īstenošanas kārtība. Šādos normatīvajos aktos nedrīkst ietvert tiesību normas, kas nav uzskatāmas par palīglīdzekļiem likuma normas īstenošanai.</w:t>
            </w:r>
            <w:r w:rsidRPr="001B241A">
              <w:rPr>
                <w:sz w:val="22"/>
                <w:szCs w:val="22"/>
                <w:vertAlign w:val="superscript"/>
              </w:rPr>
              <w:footnoteReference w:id="4"/>
            </w:r>
            <w:r w:rsidRPr="001B241A">
              <w:rPr>
                <w:sz w:val="22"/>
                <w:szCs w:val="22"/>
              </w:rPr>
              <w:t xml:space="preserve"> Attiecīgi lūdzam likumprojekta anotācijā sniegt izvērstu pamatojumu, kāpēc Ministru kabinetam deleģētie jautājumi nav ietverami likumā vai papildināt likumprojektu. Līdzīgi lūdzam precizēt un skaidrot attiecīgo regulējumu likumprojekta 4. pantā.</w:t>
            </w:r>
          </w:p>
        </w:tc>
        <w:tc>
          <w:tcPr>
            <w:tcW w:w="3827" w:type="dxa"/>
            <w:tcBorders>
              <w:top w:val="single" w:sz="6" w:space="0" w:color="000000"/>
              <w:left w:val="single" w:sz="6" w:space="0" w:color="000000"/>
              <w:bottom w:val="single" w:sz="6" w:space="0" w:color="000000"/>
              <w:right w:val="single" w:sz="6" w:space="0" w:color="000000"/>
            </w:tcBorders>
          </w:tcPr>
          <w:p w:rsidR="006835D4" w:rsidRPr="001B241A" w:rsidRDefault="006835D4" w:rsidP="0057531D">
            <w:pPr>
              <w:pStyle w:val="ListParagraph"/>
              <w:spacing w:after="0" w:line="240" w:lineRule="auto"/>
              <w:ind w:left="0"/>
              <w:jc w:val="both"/>
              <w:rPr>
                <w:rFonts w:ascii="Times New Roman" w:hAnsi="Times New Roman"/>
                <w:b/>
              </w:rPr>
            </w:pPr>
            <w:r w:rsidRPr="001B241A">
              <w:rPr>
                <w:rFonts w:ascii="Times New Roman" w:hAnsi="Times New Roman"/>
                <w:b/>
              </w:rPr>
              <w:lastRenderedPageBreak/>
              <w:t>Vienošanās panāk</w:t>
            </w:r>
            <w:r w:rsidR="00152E47">
              <w:rPr>
                <w:rFonts w:ascii="Times New Roman" w:hAnsi="Times New Roman"/>
                <w:b/>
              </w:rPr>
              <w:t>ta</w:t>
            </w:r>
            <w:r w:rsidRPr="001B241A">
              <w:rPr>
                <w:rFonts w:ascii="Times New Roman" w:hAnsi="Times New Roman"/>
                <w:b/>
              </w:rPr>
              <w:t xml:space="preserve"> saskaņošanas laikā</w:t>
            </w:r>
          </w:p>
          <w:p w:rsidR="00E017C3" w:rsidRPr="001B241A" w:rsidRDefault="00E017C3" w:rsidP="00E017C3">
            <w:pPr>
              <w:pStyle w:val="naisc"/>
              <w:spacing w:before="0" w:after="0"/>
              <w:jc w:val="both"/>
              <w:rPr>
                <w:bCs/>
                <w:sz w:val="22"/>
                <w:szCs w:val="22"/>
              </w:rPr>
            </w:pPr>
            <w:r w:rsidRPr="001B241A">
              <w:rPr>
                <w:sz w:val="22"/>
                <w:szCs w:val="22"/>
              </w:rPr>
              <w:t>Attiecībā par doto piln</w:t>
            </w:r>
            <w:r w:rsidR="00821CB3">
              <w:rPr>
                <w:sz w:val="22"/>
                <w:szCs w:val="22"/>
              </w:rPr>
              <w:t>varojumu Ministru kabinetam</w:t>
            </w:r>
            <w:r w:rsidRPr="001B241A">
              <w:rPr>
                <w:sz w:val="22"/>
                <w:szCs w:val="22"/>
              </w:rPr>
              <w:t xml:space="preserve"> norādām, ka analoģisks pilnvarojums jau ir ietverts spēkā esošajā Sabiedrisko pakalpojumu sniedzēju iepirkumu likumā</w:t>
            </w:r>
            <w:r w:rsidR="00821CB3">
              <w:rPr>
                <w:sz w:val="22"/>
                <w:szCs w:val="22"/>
              </w:rPr>
              <w:t>,</w:t>
            </w:r>
            <w:r w:rsidRPr="001B241A">
              <w:rPr>
                <w:sz w:val="22"/>
                <w:szCs w:val="22"/>
              </w:rPr>
              <w:t xml:space="preserve"> uz kura pamata ir izdoti Ministru kabineta 2017.gada 28.februāra noteikumi Nr.108</w:t>
            </w:r>
            <w:r w:rsidRPr="001B241A">
              <w:rPr>
                <w:rFonts w:ascii="Arial" w:hAnsi="Arial" w:cs="Arial"/>
                <w:bCs/>
                <w:color w:val="414142"/>
                <w:sz w:val="22"/>
                <w:szCs w:val="22"/>
                <w:shd w:val="clear" w:color="auto" w:fill="FFFFFF"/>
              </w:rPr>
              <w:t xml:space="preserve"> “</w:t>
            </w:r>
            <w:r w:rsidRPr="001B241A">
              <w:rPr>
                <w:bCs/>
                <w:sz w:val="22"/>
                <w:szCs w:val="22"/>
              </w:rPr>
              <w:t>Publisko elektronisko iepirkumu noteikumi”. Minētā dele</w:t>
            </w:r>
            <w:r w:rsidR="00821CB3">
              <w:rPr>
                <w:bCs/>
                <w:sz w:val="22"/>
                <w:szCs w:val="22"/>
              </w:rPr>
              <w:t>ģējuma saturs netiek mainīts un</w:t>
            </w:r>
            <w:r w:rsidRPr="001B241A">
              <w:rPr>
                <w:bCs/>
                <w:sz w:val="22"/>
                <w:szCs w:val="22"/>
              </w:rPr>
              <w:t xml:space="preserve"> tas ir saprotams iesaistītajām pusēm. </w:t>
            </w:r>
          </w:p>
          <w:p w:rsidR="00E017C3" w:rsidRPr="001B241A" w:rsidRDefault="00E017C3" w:rsidP="00E017C3">
            <w:pPr>
              <w:pStyle w:val="naisc"/>
              <w:spacing w:before="0" w:after="0"/>
              <w:jc w:val="both"/>
              <w:rPr>
                <w:bCs/>
                <w:sz w:val="22"/>
                <w:szCs w:val="22"/>
              </w:rPr>
            </w:pPr>
          </w:p>
          <w:p w:rsidR="00E017C3" w:rsidRPr="001B241A" w:rsidRDefault="006835D4" w:rsidP="006835D4">
            <w:pPr>
              <w:pStyle w:val="naisc"/>
              <w:spacing w:before="0" w:after="0"/>
              <w:jc w:val="both"/>
              <w:rPr>
                <w:bCs/>
                <w:sz w:val="22"/>
                <w:szCs w:val="22"/>
              </w:rPr>
            </w:pPr>
            <w:r w:rsidRPr="001B241A">
              <w:rPr>
                <w:sz w:val="22"/>
                <w:szCs w:val="22"/>
              </w:rPr>
              <w:t>Ministru kabineta 2017.gada 28.februāra noteikumi Nr.108</w:t>
            </w:r>
            <w:r w:rsidRPr="001B241A">
              <w:rPr>
                <w:rFonts w:ascii="Arial" w:hAnsi="Arial" w:cs="Arial"/>
                <w:bCs/>
                <w:color w:val="414142"/>
                <w:sz w:val="22"/>
                <w:szCs w:val="22"/>
                <w:shd w:val="clear" w:color="auto" w:fill="FFFFFF"/>
              </w:rPr>
              <w:t xml:space="preserve"> “</w:t>
            </w:r>
            <w:r w:rsidRPr="001B241A">
              <w:rPr>
                <w:bCs/>
                <w:sz w:val="22"/>
                <w:szCs w:val="22"/>
              </w:rPr>
              <w:t xml:space="preserve">Publisko elektronisko iepirkumu noteikumi” ir uzskatāmi par Sabiedrisko pakalpojumu sniedzēju iepirkumu likuma palīglīdzekli, jo tajos ir atrunātas detalizētas prasības, pienākumi, tiesības darbībai Elektronisko iepirkumu sistēmā, ko nav nepieciešams regulēt ar likumu. </w:t>
            </w:r>
          </w:p>
          <w:p w:rsidR="006835D4" w:rsidRPr="001B241A" w:rsidRDefault="006835D4" w:rsidP="006835D4">
            <w:pPr>
              <w:pStyle w:val="naisc"/>
              <w:spacing w:before="0" w:after="0"/>
              <w:jc w:val="both"/>
              <w:rPr>
                <w:bCs/>
                <w:sz w:val="22"/>
                <w:szCs w:val="22"/>
              </w:rPr>
            </w:pPr>
          </w:p>
          <w:p w:rsidR="006835D4" w:rsidRDefault="006835D4" w:rsidP="006835D4">
            <w:pPr>
              <w:pStyle w:val="naisc"/>
              <w:spacing w:before="0" w:after="0"/>
              <w:jc w:val="both"/>
              <w:rPr>
                <w:sz w:val="22"/>
                <w:szCs w:val="22"/>
              </w:rPr>
            </w:pPr>
            <w:r w:rsidRPr="001B241A">
              <w:rPr>
                <w:bCs/>
                <w:sz w:val="22"/>
                <w:szCs w:val="22"/>
              </w:rPr>
              <w:t xml:space="preserve">Kā jau </w:t>
            </w:r>
            <w:r w:rsidR="0042064D">
              <w:rPr>
                <w:bCs/>
                <w:sz w:val="22"/>
                <w:szCs w:val="22"/>
              </w:rPr>
              <w:t xml:space="preserve">ir </w:t>
            </w:r>
            <w:r w:rsidRPr="001B241A">
              <w:rPr>
                <w:bCs/>
                <w:sz w:val="22"/>
                <w:szCs w:val="22"/>
              </w:rPr>
              <w:t xml:space="preserve">norādīts anotācijas IV sadaļā, </w:t>
            </w:r>
            <w:r w:rsidRPr="001B241A">
              <w:rPr>
                <w:sz w:val="22"/>
                <w:szCs w:val="22"/>
              </w:rPr>
              <w:t>grozījumi paredzami arī Ministru kabineta 2017.gada 28.februāra noteikumos Nr.108 “Publisko el</w:t>
            </w:r>
            <w:r w:rsidR="0042064D">
              <w:rPr>
                <w:sz w:val="22"/>
                <w:szCs w:val="22"/>
              </w:rPr>
              <w:t>ektronisko iepirkumu noteikumi”</w:t>
            </w:r>
            <w:r w:rsidRPr="001B241A">
              <w:rPr>
                <w:sz w:val="22"/>
                <w:szCs w:val="22"/>
              </w:rPr>
              <w:t>.</w:t>
            </w:r>
          </w:p>
          <w:p w:rsidR="00CF2C55" w:rsidRDefault="00CF2C55" w:rsidP="006835D4">
            <w:pPr>
              <w:pStyle w:val="naisc"/>
              <w:spacing w:before="0" w:after="0"/>
              <w:jc w:val="both"/>
              <w:rPr>
                <w:sz w:val="22"/>
                <w:szCs w:val="22"/>
              </w:rPr>
            </w:pPr>
          </w:p>
          <w:p w:rsidR="00B47D0A" w:rsidRDefault="00B47D0A" w:rsidP="006835D4">
            <w:pPr>
              <w:pStyle w:val="naisc"/>
              <w:spacing w:before="0" w:after="0"/>
              <w:jc w:val="both"/>
              <w:rPr>
                <w:sz w:val="22"/>
                <w:szCs w:val="22"/>
              </w:rPr>
            </w:pPr>
            <w:r w:rsidRPr="00B47D0A">
              <w:rPr>
                <w:sz w:val="22"/>
                <w:szCs w:val="22"/>
              </w:rPr>
              <w:t>Iepriekš minētais attiecas arī uz likumprojekta 4.pantu.</w:t>
            </w:r>
          </w:p>
          <w:p w:rsidR="00CF2C55" w:rsidRPr="001B241A" w:rsidRDefault="00CF2C55" w:rsidP="006835D4">
            <w:pPr>
              <w:pStyle w:val="naisc"/>
              <w:spacing w:before="0" w:after="0"/>
              <w:jc w:val="both"/>
              <w:rPr>
                <w:sz w:val="22"/>
                <w:szCs w:val="22"/>
              </w:rPr>
            </w:pPr>
            <w:r w:rsidRPr="001B241A">
              <w:rPr>
                <w:sz w:val="22"/>
                <w:szCs w:val="22"/>
              </w:rPr>
              <w:lastRenderedPageBreak/>
              <w:t>Papildus darām zināmu, ka Valsts sekretāru 2020.gada 22.oktobra sanāksmē atbalstīja saistīto likumprojektu “Grozījumi Publisko iepirkumu likumā”, kurā ir ietverta analoģiska norma.</w:t>
            </w:r>
          </w:p>
        </w:tc>
        <w:tc>
          <w:tcPr>
            <w:tcW w:w="3402" w:type="dxa"/>
            <w:tcBorders>
              <w:top w:val="single" w:sz="4" w:space="0" w:color="auto"/>
              <w:left w:val="single" w:sz="4" w:space="0" w:color="auto"/>
              <w:bottom w:val="single" w:sz="4" w:space="0" w:color="auto"/>
            </w:tcBorders>
          </w:tcPr>
          <w:p w:rsidR="002967AE" w:rsidRPr="001B241A" w:rsidRDefault="002967AE" w:rsidP="002967AE">
            <w:pPr>
              <w:jc w:val="both"/>
              <w:rPr>
                <w:sz w:val="22"/>
                <w:szCs w:val="22"/>
              </w:rPr>
            </w:pPr>
          </w:p>
        </w:tc>
      </w:tr>
      <w:tr w:rsidR="002967AE" w:rsidRPr="002967AE" w:rsidTr="00873779">
        <w:tc>
          <w:tcPr>
            <w:tcW w:w="567" w:type="dxa"/>
            <w:tcBorders>
              <w:top w:val="single" w:sz="6" w:space="0" w:color="000000"/>
              <w:left w:val="single" w:sz="6" w:space="0" w:color="000000"/>
              <w:bottom w:val="single" w:sz="6" w:space="0" w:color="000000"/>
              <w:right w:val="single" w:sz="6" w:space="0" w:color="000000"/>
            </w:tcBorders>
          </w:tcPr>
          <w:p w:rsidR="002967AE" w:rsidRPr="002967AE" w:rsidRDefault="002967AE" w:rsidP="002967AE">
            <w:pPr>
              <w:pStyle w:val="naisc"/>
              <w:spacing w:before="0" w:after="0"/>
              <w:jc w:val="both"/>
              <w:rPr>
                <w:sz w:val="22"/>
                <w:szCs w:val="22"/>
              </w:rPr>
            </w:pPr>
            <w:r w:rsidRPr="002967AE">
              <w:rPr>
                <w:sz w:val="22"/>
                <w:szCs w:val="22"/>
              </w:rPr>
              <w:t>5.</w:t>
            </w:r>
          </w:p>
        </w:tc>
        <w:tc>
          <w:tcPr>
            <w:tcW w:w="2835" w:type="dxa"/>
            <w:gridSpan w:val="2"/>
            <w:tcBorders>
              <w:top w:val="single" w:sz="6" w:space="0" w:color="000000"/>
              <w:left w:val="single" w:sz="6" w:space="0" w:color="000000"/>
              <w:bottom w:val="single" w:sz="6" w:space="0" w:color="000000"/>
              <w:right w:val="single" w:sz="6" w:space="0" w:color="000000"/>
            </w:tcBorders>
          </w:tcPr>
          <w:p w:rsidR="002967AE" w:rsidRPr="003E6298" w:rsidRDefault="003E6298" w:rsidP="002967AE">
            <w:pPr>
              <w:jc w:val="both"/>
              <w:rPr>
                <w:b/>
                <w:sz w:val="22"/>
                <w:szCs w:val="22"/>
              </w:rPr>
            </w:pPr>
            <w:r w:rsidRPr="003E6298">
              <w:rPr>
                <w:b/>
                <w:sz w:val="22"/>
                <w:szCs w:val="22"/>
              </w:rPr>
              <w:t>49.panta trešā daļa:</w:t>
            </w:r>
          </w:p>
          <w:p w:rsidR="003E6298" w:rsidRPr="002967AE" w:rsidRDefault="003E6298" w:rsidP="002967AE">
            <w:pPr>
              <w:jc w:val="both"/>
              <w:rPr>
                <w:sz w:val="22"/>
                <w:szCs w:val="22"/>
              </w:rPr>
            </w:pPr>
            <w:r>
              <w:rPr>
                <w:sz w:val="22"/>
                <w:szCs w:val="22"/>
              </w:rPr>
              <w:t>“</w:t>
            </w:r>
            <w:r w:rsidRPr="003E6298">
              <w:rPr>
                <w:sz w:val="22"/>
                <w:szCs w:val="22"/>
              </w:rPr>
              <w:t xml:space="preserve">Sabiedrisko pakalpojumu sniedzējs izvērtē kandidāta, pretendenta vai personālsabiedrības biedra </w:t>
            </w:r>
            <w:r w:rsidR="000952F6">
              <w:rPr>
                <w:sz w:val="22"/>
                <w:szCs w:val="22"/>
              </w:rPr>
              <w:t>(</w:t>
            </w:r>
            <w:r w:rsidRPr="003E6298">
              <w:rPr>
                <w:sz w:val="22"/>
                <w:szCs w:val="22"/>
              </w:rPr>
              <w:t>ja kandidāts vai pretendents ir personālsabiedrība</w:t>
            </w:r>
            <w:r w:rsidR="000952F6">
              <w:rPr>
                <w:sz w:val="22"/>
                <w:szCs w:val="22"/>
              </w:rPr>
              <w:t>)</w:t>
            </w:r>
            <w:r w:rsidRPr="003E6298">
              <w:rPr>
                <w:sz w:val="22"/>
                <w:szCs w:val="22"/>
              </w:rPr>
              <w:t xml:space="preserve"> skaidrojumā sniegto informāciju, veiktos pasākumus un to pierādījumus, ņemot vērā pārkāpuma smagumu un konkrētos apstākļus. Sabiedrisko pakalpojumu sniedzējs var prasīt no attiecīgā pārkāpuma jomā kompetentām institūcijām atzinumus par to, vai kandidāta vai pretendenta veiktie pasākumi ir pietiekami uzticamības atjaunošanai un tādu pašu un līdzīgu gadījumu novēršanai nākotnē. Atzinumu </w:t>
            </w:r>
            <w:r w:rsidRPr="003E6298">
              <w:rPr>
                <w:sz w:val="22"/>
                <w:szCs w:val="22"/>
              </w:rPr>
              <w:lastRenderedPageBreak/>
              <w:t>nepieprasa, ja sabiedrisko pakalpojumu sniedzējam ir pieejams vai arī kandidāts vai pretendents ir iesniedzis attiecīgā pārkāpuma jomā kompetentas institūcijas atzinumu par konkrētā kandidāta vai pretendenta veikto pasākumu pietiekamību uzticamības atjaunošanai un tādu pašu un līdzīgu gadījumu novēršanai nākotnē.</w:t>
            </w:r>
            <w:r>
              <w:rPr>
                <w:sz w:val="22"/>
                <w:szCs w:val="22"/>
              </w:rPr>
              <w:t>”</w:t>
            </w:r>
          </w:p>
        </w:tc>
        <w:tc>
          <w:tcPr>
            <w:tcW w:w="4111" w:type="dxa"/>
            <w:gridSpan w:val="2"/>
            <w:tcBorders>
              <w:top w:val="single" w:sz="6" w:space="0" w:color="000000"/>
              <w:left w:val="single" w:sz="6" w:space="0" w:color="000000"/>
              <w:bottom w:val="single" w:sz="6" w:space="0" w:color="000000"/>
              <w:right w:val="single" w:sz="6" w:space="0" w:color="000000"/>
            </w:tcBorders>
          </w:tcPr>
          <w:p w:rsidR="002967AE" w:rsidRPr="001B241A" w:rsidRDefault="002967AE" w:rsidP="002967AE">
            <w:pPr>
              <w:pStyle w:val="ListParagraph"/>
              <w:spacing w:after="0" w:line="240" w:lineRule="auto"/>
              <w:ind w:left="0"/>
              <w:jc w:val="center"/>
              <w:rPr>
                <w:rFonts w:ascii="Times New Roman" w:hAnsi="Times New Roman"/>
                <w:b/>
              </w:rPr>
            </w:pPr>
            <w:r w:rsidRPr="001B241A">
              <w:rPr>
                <w:rFonts w:ascii="Times New Roman" w:hAnsi="Times New Roman"/>
                <w:b/>
              </w:rPr>
              <w:lastRenderedPageBreak/>
              <w:t>Tieslietu ministrija</w:t>
            </w:r>
          </w:p>
          <w:p w:rsidR="002967AE" w:rsidRPr="001B241A" w:rsidRDefault="002967AE" w:rsidP="002967AE">
            <w:pPr>
              <w:pStyle w:val="ListParagraph"/>
              <w:spacing w:after="0" w:line="240" w:lineRule="auto"/>
              <w:ind w:left="0"/>
              <w:jc w:val="both"/>
              <w:rPr>
                <w:rFonts w:ascii="Times New Roman" w:hAnsi="Times New Roman"/>
              </w:rPr>
            </w:pPr>
            <w:r w:rsidRPr="001B241A">
              <w:rPr>
                <w:rFonts w:ascii="Times New Roman" w:hAnsi="Times New Roman"/>
                <w:bCs/>
              </w:rPr>
              <w:t xml:space="preserve">Lūdzam likumprojekta 2. pantā izteiktajā likuma 49. panta trešajā daļā norādīt </w:t>
            </w:r>
            <w:proofErr w:type="spellStart"/>
            <w:r w:rsidRPr="001B241A">
              <w:rPr>
                <w:rFonts w:ascii="Times New Roman" w:hAnsi="Times New Roman"/>
                <w:bCs/>
              </w:rPr>
              <w:t>izvērtējuma</w:t>
            </w:r>
            <w:proofErr w:type="spellEnd"/>
            <w:r w:rsidRPr="001B241A">
              <w:rPr>
                <w:rFonts w:ascii="Times New Roman" w:hAnsi="Times New Roman"/>
                <w:bCs/>
              </w:rPr>
              <w:t xml:space="preserve"> ilguma termiņu. Pretējā gadījumā minētā norma var tikt izmantota nelabticīgi.</w:t>
            </w:r>
          </w:p>
        </w:tc>
        <w:tc>
          <w:tcPr>
            <w:tcW w:w="3827" w:type="dxa"/>
            <w:tcBorders>
              <w:top w:val="single" w:sz="6" w:space="0" w:color="000000"/>
              <w:left w:val="single" w:sz="6" w:space="0" w:color="000000"/>
              <w:bottom w:val="single" w:sz="6" w:space="0" w:color="000000"/>
              <w:right w:val="single" w:sz="6" w:space="0" w:color="000000"/>
            </w:tcBorders>
          </w:tcPr>
          <w:p w:rsidR="00343BEE" w:rsidRPr="001B241A" w:rsidRDefault="00343BEE" w:rsidP="00E918F3">
            <w:pPr>
              <w:pStyle w:val="ListParagraph"/>
              <w:spacing w:after="0" w:line="240" w:lineRule="auto"/>
              <w:ind w:left="0"/>
              <w:jc w:val="both"/>
              <w:rPr>
                <w:rFonts w:ascii="Times New Roman" w:hAnsi="Times New Roman"/>
                <w:b/>
              </w:rPr>
            </w:pPr>
            <w:r w:rsidRPr="001B241A">
              <w:rPr>
                <w:rFonts w:ascii="Times New Roman" w:hAnsi="Times New Roman"/>
                <w:b/>
              </w:rPr>
              <w:t>Vienošanās panāk</w:t>
            </w:r>
            <w:r w:rsidR="00152E47">
              <w:rPr>
                <w:rFonts w:ascii="Times New Roman" w:hAnsi="Times New Roman"/>
                <w:b/>
              </w:rPr>
              <w:t>ta</w:t>
            </w:r>
            <w:bookmarkStart w:id="0" w:name="_GoBack"/>
            <w:bookmarkEnd w:id="0"/>
            <w:r w:rsidRPr="001B241A">
              <w:rPr>
                <w:rFonts w:ascii="Times New Roman" w:hAnsi="Times New Roman"/>
                <w:b/>
              </w:rPr>
              <w:t xml:space="preserve"> saskaņošanas laikā</w:t>
            </w:r>
          </w:p>
          <w:p w:rsidR="002967AE" w:rsidRDefault="000B1D4C" w:rsidP="001B241A">
            <w:pPr>
              <w:pStyle w:val="naisc"/>
              <w:jc w:val="both"/>
              <w:rPr>
                <w:sz w:val="22"/>
                <w:szCs w:val="22"/>
              </w:rPr>
            </w:pPr>
            <w:r w:rsidRPr="001B241A">
              <w:rPr>
                <w:sz w:val="22"/>
                <w:szCs w:val="22"/>
              </w:rPr>
              <w:t xml:space="preserve">Attiecībā uz priekšlikumu  noteikt iesniegto pierādījumu </w:t>
            </w:r>
            <w:proofErr w:type="spellStart"/>
            <w:r w:rsidRPr="001B241A">
              <w:rPr>
                <w:sz w:val="22"/>
                <w:szCs w:val="22"/>
              </w:rPr>
              <w:t>izvērtējumu</w:t>
            </w:r>
            <w:proofErr w:type="spellEnd"/>
            <w:r w:rsidRPr="001B241A">
              <w:rPr>
                <w:sz w:val="22"/>
                <w:szCs w:val="22"/>
              </w:rPr>
              <w:t xml:space="preserve"> termiņu, kurā sabiedrisko pakalpojumu sniedzējam jāpieņem lēmums, jāņem vērā, ka katrā iepirkumā var būt citi lēmuma pieņemšanu ietekmējošie faktori, piemēram, iesniegto pierādījumu daudzums, līdz ar to vienota termiņa noteikšana ir problemātiska un varētu radīt būtiskus riskus lēmuma pieņemšanas procesā. Nav pamats uzskatīt, ka norma var tik izmantota nelabticīgi, jo jāvērš uzmanība, ka sabiedrisko pakalpojumu sniedzēji paši ir ieinteresēti pēc iespējas ātrāk</w:t>
            </w:r>
            <w:r w:rsidR="00BB528A">
              <w:rPr>
                <w:sz w:val="22"/>
                <w:szCs w:val="22"/>
              </w:rPr>
              <w:t xml:space="preserve"> pabeigt iepirkuma procedūru un</w:t>
            </w:r>
            <w:r w:rsidR="00E918F3">
              <w:rPr>
                <w:sz w:val="22"/>
                <w:szCs w:val="22"/>
              </w:rPr>
              <w:t xml:space="preserve"> noslēgt iepirkuma līgumu, kā arī uz</w:t>
            </w:r>
            <w:r w:rsidRPr="001B241A">
              <w:rPr>
                <w:sz w:val="22"/>
                <w:szCs w:val="22"/>
              </w:rPr>
              <w:t xml:space="preserve">sākt līguma izpildi. </w:t>
            </w:r>
          </w:p>
          <w:p w:rsidR="00CF2C55" w:rsidRDefault="00CF2C55" w:rsidP="001B241A">
            <w:pPr>
              <w:pStyle w:val="naisc"/>
              <w:jc w:val="both"/>
              <w:rPr>
                <w:sz w:val="22"/>
                <w:szCs w:val="22"/>
              </w:rPr>
            </w:pPr>
          </w:p>
          <w:p w:rsidR="00CF2C55" w:rsidRPr="001B241A" w:rsidRDefault="00CF2C55" w:rsidP="001B241A">
            <w:pPr>
              <w:pStyle w:val="naisc"/>
              <w:jc w:val="both"/>
              <w:rPr>
                <w:sz w:val="22"/>
                <w:szCs w:val="22"/>
              </w:rPr>
            </w:pPr>
            <w:r w:rsidRPr="001B241A">
              <w:rPr>
                <w:sz w:val="22"/>
                <w:szCs w:val="22"/>
              </w:rPr>
              <w:t xml:space="preserve">Papildus darām zināmu, ka Valsts sekretāru 2020.gada 22.oktobra </w:t>
            </w:r>
            <w:r w:rsidRPr="001B241A">
              <w:rPr>
                <w:sz w:val="22"/>
                <w:szCs w:val="22"/>
              </w:rPr>
              <w:lastRenderedPageBreak/>
              <w:t>sanāksmē atbalstīja saistīto likumprojektu “Grozījumi Publisko iepirkumu likumā”, kurā ir ietverta analoģiska norma.</w:t>
            </w:r>
          </w:p>
        </w:tc>
        <w:tc>
          <w:tcPr>
            <w:tcW w:w="3402" w:type="dxa"/>
            <w:tcBorders>
              <w:top w:val="single" w:sz="4" w:space="0" w:color="auto"/>
              <w:left w:val="single" w:sz="4" w:space="0" w:color="auto"/>
              <w:bottom w:val="single" w:sz="4" w:space="0" w:color="auto"/>
            </w:tcBorders>
          </w:tcPr>
          <w:p w:rsidR="002967AE" w:rsidRPr="001B241A" w:rsidRDefault="002967AE" w:rsidP="002967AE">
            <w:pPr>
              <w:jc w:val="both"/>
              <w:rPr>
                <w:sz w:val="22"/>
                <w:szCs w:val="22"/>
              </w:rPr>
            </w:pPr>
          </w:p>
        </w:tc>
      </w:tr>
      <w:tr w:rsidR="002967AE" w:rsidRPr="002967AE" w:rsidTr="00873779">
        <w:tc>
          <w:tcPr>
            <w:tcW w:w="567" w:type="dxa"/>
            <w:tcBorders>
              <w:top w:val="single" w:sz="6" w:space="0" w:color="000000"/>
              <w:left w:val="single" w:sz="6" w:space="0" w:color="000000"/>
              <w:bottom w:val="single" w:sz="6" w:space="0" w:color="000000"/>
              <w:right w:val="single" w:sz="6" w:space="0" w:color="000000"/>
            </w:tcBorders>
          </w:tcPr>
          <w:p w:rsidR="002967AE" w:rsidRPr="002967AE" w:rsidRDefault="002967AE" w:rsidP="002967AE">
            <w:pPr>
              <w:pStyle w:val="naisc"/>
              <w:spacing w:before="0" w:after="0"/>
              <w:jc w:val="both"/>
              <w:rPr>
                <w:sz w:val="22"/>
                <w:szCs w:val="22"/>
              </w:rPr>
            </w:pPr>
            <w:r w:rsidRPr="002967AE">
              <w:rPr>
                <w:sz w:val="22"/>
                <w:szCs w:val="22"/>
              </w:rPr>
              <w:t>6.</w:t>
            </w:r>
          </w:p>
        </w:tc>
        <w:tc>
          <w:tcPr>
            <w:tcW w:w="2835" w:type="dxa"/>
            <w:gridSpan w:val="2"/>
            <w:tcBorders>
              <w:top w:val="single" w:sz="6" w:space="0" w:color="000000"/>
              <w:left w:val="single" w:sz="6" w:space="0" w:color="000000"/>
              <w:bottom w:val="single" w:sz="6" w:space="0" w:color="000000"/>
              <w:right w:val="single" w:sz="6" w:space="0" w:color="000000"/>
            </w:tcBorders>
          </w:tcPr>
          <w:p w:rsidR="002967AE" w:rsidRPr="002967AE" w:rsidRDefault="002967AE" w:rsidP="002967AE">
            <w:pPr>
              <w:jc w:val="both"/>
              <w:rPr>
                <w:sz w:val="22"/>
                <w:szCs w:val="22"/>
              </w:rPr>
            </w:pPr>
          </w:p>
        </w:tc>
        <w:tc>
          <w:tcPr>
            <w:tcW w:w="4111" w:type="dxa"/>
            <w:gridSpan w:val="2"/>
            <w:tcBorders>
              <w:top w:val="single" w:sz="6" w:space="0" w:color="000000"/>
              <w:left w:val="single" w:sz="6" w:space="0" w:color="000000"/>
              <w:bottom w:val="single" w:sz="6" w:space="0" w:color="000000"/>
              <w:right w:val="single" w:sz="6" w:space="0" w:color="000000"/>
            </w:tcBorders>
          </w:tcPr>
          <w:p w:rsidR="002967AE" w:rsidRPr="001B241A" w:rsidRDefault="002967AE" w:rsidP="002967AE">
            <w:pPr>
              <w:pStyle w:val="ListParagraph"/>
              <w:spacing w:after="0" w:line="240" w:lineRule="auto"/>
              <w:ind w:left="0"/>
              <w:jc w:val="center"/>
              <w:rPr>
                <w:rFonts w:ascii="Times New Roman" w:hAnsi="Times New Roman"/>
                <w:b/>
              </w:rPr>
            </w:pPr>
            <w:r w:rsidRPr="001B241A">
              <w:rPr>
                <w:rFonts w:ascii="Times New Roman" w:hAnsi="Times New Roman"/>
                <w:b/>
              </w:rPr>
              <w:t>Tieslietu ministrija</w:t>
            </w:r>
          </w:p>
          <w:p w:rsidR="002967AE" w:rsidRPr="001B241A" w:rsidRDefault="002967AE" w:rsidP="002967AE">
            <w:pPr>
              <w:jc w:val="both"/>
              <w:rPr>
                <w:bCs/>
                <w:sz w:val="22"/>
                <w:szCs w:val="22"/>
              </w:rPr>
            </w:pPr>
            <w:r w:rsidRPr="001B241A">
              <w:rPr>
                <w:bCs/>
                <w:sz w:val="22"/>
                <w:szCs w:val="22"/>
              </w:rPr>
              <w:t xml:space="preserve">Likumprojekta anotācijā norādīts, ka “kandidātam (..)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1B241A">
              <w:rPr>
                <w:bCs/>
                <w:i/>
                <w:sz w:val="22"/>
                <w:szCs w:val="22"/>
              </w:rPr>
              <w:t>euro</w:t>
            </w:r>
            <w:proofErr w:type="spellEnd"/>
            <w:r w:rsidRPr="001B241A">
              <w:rPr>
                <w:bCs/>
                <w:sz w:val="22"/>
                <w:szCs w:val="22"/>
              </w:rPr>
              <w:t>. Līdz ar to, no dalības iepirkumā tiek izslēgts kandidāts vai pretendents, kuram ir konstatēti nodokļu parādi”. Vēršam uzmanību, ka likumprojektā šāds regulējums nav ietverts. Attiecīgi lūdzam precizēt likumprojektu vai tā anotāciju.</w:t>
            </w:r>
          </w:p>
          <w:p w:rsidR="002967AE" w:rsidRPr="001B241A" w:rsidRDefault="002967AE" w:rsidP="002967AE">
            <w:pPr>
              <w:pStyle w:val="ListParagraph"/>
              <w:spacing w:after="0" w:line="240" w:lineRule="auto"/>
              <w:ind w:left="0"/>
              <w:jc w:val="both"/>
              <w:rPr>
                <w:rFonts w:ascii="Times New Roman" w:hAnsi="Times New Roman"/>
              </w:rPr>
            </w:pPr>
          </w:p>
        </w:tc>
        <w:tc>
          <w:tcPr>
            <w:tcW w:w="3827" w:type="dxa"/>
            <w:tcBorders>
              <w:top w:val="single" w:sz="6" w:space="0" w:color="000000"/>
              <w:left w:val="single" w:sz="6" w:space="0" w:color="000000"/>
              <w:bottom w:val="single" w:sz="6" w:space="0" w:color="000000"/>
              <w:right w:val="single" w:sz="6" w:space="0" w:color="000000"/>
            </w:tcBorders>
          </w:tcPr>
          <w:p w:rsidR="000B1D4C" w:rsidRPr="001B241A" w:rsidRDefault="000B1D4C" w:rsidP="000B1D4C">
            <w:pPr>
              <w:pStyle w:val="naisc"/>
              <w:rPr>
                <w:b/>
                <w:sz w:val="22"/>
                <w:szCs w:val="22"/>
              </w:rPr>
            </w:pPr>
            <w:r w:rsidRPr="001B241A">
              <w:rPr>
                <w:b/>
                <w:sz w:val="22"/>
                <w:szCs w:val="22"/>
              </w:rPr>
              <w:t>Ņemts vērā</w:t>
            </w:r>
          </w:p>
          <w:p w:rsidR="000B1D4C" w:rsidRPr="001B241A" w:rsidRDefault="000B1D4C" w:rsidP="00F44DB5">
            <w:pPr>
              <w:pStyle w:val="naisc"/>
              <w:jc w:val="both"/>
              <w:rPr>
                <w:sz w:val="22"/>
                <w:szCs w:val="22"/>
              </w:rPr>
            </w:pPr>
            <w:r w:rsidRPr="001B241A">
              <w:rPr>
                <w:sz w:val="22"/>
                <w:szCs w:val="22"/>
              </w:rPr>
              <w:t>Anotācijā minētais teksts ir attiecināms uz spēkā esošo regulējumu, kas ietverts Sabiedrisko pakalpo</w:t>
            </w:r>
            <w:r w:rsidR="009562A9">
              <w:rPr>
                <w:sz w:val="22"/>
                <w:szCs w:val="22"/>
              </w:rPr>
              <w:t>jumu sniedzēju iepirkumu likumā. Attiecīgi nav konstatējama neatbilstība ar likumprojektā norādīto.</w:t>
            </w:r>
          </w:p>
          <w:p w:rsidR="000B1D4C" w:rsidRPr="001B241A" w:rsidRDefault="00411BEA" w:rsidP="00F44DB5">
            <w:pPr>
              <w:pStyle w:val="naisc"/>
              <w:jc w:val="both"/>
              <w:rPr>
                <w:sz w:val="22"/>
                <w:szCs w:val="22"/>
              </w:rPr>
            </w:pPr>
            <w:r>
              <w:rPr>
                <w:sz w:val="22"/>
                <w:szCs w:val="22"/>
              </w:rPr>
              <w:t>Proti, anotācijā ir minēts</w:t>
            </w:r>
            <w:r w:rsidR="000B1D4C" w:rsidRPr="001B241A">
              <w:rPr>
                <w:sz w:val="22"/>
                <w:szCs w:val="22"/>
              </w:rPr>
              <w:t>:</w:t>
            </w:r>
          </w:p>
          <w:p w:rsidR="002967AE" w:rsidRPr="000E49E8" w:rsidRDefault="000B1D4C" w:rsidP="000E49E8">
            <w:pPr>
              <w:pStyle w:val="naisc"/>
              <w:jc w:val="both"/>
              <w:rPr>
                <w:i/>
                <w:sz w:val="22"/>
                <w:szCs w:val="22"/>
              </w:rPr>
            </w:pPr>
            <w:r w:rsidRPr="001B241A">
              <w:rPr>
                <w:i/>
                <w:sz w:val="22"/>
                <w:szCs w:val="22"/>
                <w:u w:val="single"/>
              </w:rPr>
              <w:t>Šobrīd SPSIL ir paredzēts, ka</w:t>
            </w:r>
            <w:r w:rsidRPr="001B241A">
              <w:rPr>
                <w:i/>
                <w:sz w:val="22"/>
                <w:szCs w:val="22"/>
              </w:rPr>
              <w:t xml:space="preserve"> sabiedrisko pakalpojumu sniedzējs izslēdz kandidātu vai pretendentu no dalības iepirkuma procedūrā, ja ir konstatēts, ka </w:t>
            </w:r>
            <w:r w:rsidRPr="001B241A">
              <w:rPr>
                <w:i/>
                <w:sz w:val="22"/>
                <w:szCs w:val="22"/>
                <w:u w:val="single"/>
              </w:rPr>
              <w:t>kandidātam</w:t>
            </w:r>
            <w:r w:rsidRPr="001B241A">
              <w:rPr>
                <w:i/>
                <w:sz w:val="22"/>
                <w:szCs w:val="22"/>
              </w:rPr>
              <w:t xml:space="preserve"> pieteikumu </w:t>
            </w:r>
            <w:r w:rsidRPr="001B241A">
              <w:rPr>
                <w:i/>
                <w:sz w:val="22"/>
                <w:szCs w:val="22"/>
                <w:u w:val="single"/>
              </w:rPr>
              <w:t>un</w:t>
            </w:r>
            <w:r w:rsidRPr="001B241A">
              <w:rPr>
                <w:i/>
                <w:sz w:val="22"/>
                <w:szCs w:val="22"/>
              </w:rPr>
              <w:t xml:space="preserve"> </w:t>
            </w:r>
            <w:r w:rsidRPr="001B241A">
              <w:rPr>
                <w:i/>
                <w:sz w:val="22"/>
                <w:szCs w:val="22"/>
                <w:u w:val="single"/>
              </w:rPr>
              <w:t>pretendentam</w:t>
            </w:r>
            <w:r w:rsidRPr="001B241A">
              <w:rPr>
                <w:i/>
                <w:sz w:val="22"/>
                <w:szCs w:val="22"/>
              </w:rPr>
              <w:t xml:space="preserve"> piedāvājumu iesniegšanas termiņa pēdējā dienā vai dienā, kad pieņemts lēmums par iespējamu iepirkuma līguma slēgšanas tiesību piešķiršanu, </w:t>
            </w:r>
            <w:r w:rsidRPr="001B241A">
              <w:rPr>
                <w:i/>
                <w:sz w:val="22"/>
                <w:szCs w:val="22"/>
                <w:u w:val="single"/>
              </w:rPr>
              <w:t xml:space="preserve">Latvijā vai valstī, kurā tas reģistrēts vai kurā atrodas tā pastāvīgā dzīvesvieta, ir nodokļu parādi, tai skaitā valsts sociālās apdrošināšanas obligāto iemaksu parādi, kas kopsummā kādā no valstīm pārsniedz 150 </w:t>
            </w:r>
            <w:proofErr w:type="spellStart"/>
            <w:r w:rsidRPr="001B241A">
              <w:rPr>
                <w:i/>
                <w:sz w:val="22"/>
                <w:szCs w:val="22"/>
                <w:u w:val="single"/>
              </w:rPr>
              <w:t>euro</w:t>
            </w:r>
            <w:proofErr w:type="spellEnd"/>
            <w:r w:rsidRPr="001B241A">
              <w:rPr>
                <w:i/>
                <w:sz w:val="22"/>
                <w:szCs w:val="22"/>
                <w:u w:val="single"/>
              </w:rPr>
              <w:t xml:space="preserve">. Līdz ar to, no dalības iepirkumā tiek izslēgts kandidāts vai </w:t>
            </w:r>
            <w:r w:rsidRPr="001B241A">
              <w:rPr>
                <w:i/>
                <w:sz w:val="22"/>
                <w:szCs w:val="22"/>
                <w:u w:val="single"/>
              </w:rPr>
              <w:lastRenderedPageBreak/>
              <w:t>pretendents, kuram ir konstatēti nodokļu parādi</w:t>
            </w:r>
            <w:r w:rsidRPr="001B241A">
              <w:rPr>
                <w:i/>
                <w:sz w:val="22"/>
                <w:szCs w:val="22"/>
              </w:rPr>
              <w:t xml:space="preserve">. </w:t>
            </w:r>
          </w:p>
        </w:tc>
        <w:tc>
          <w:tcPr>
            <w:tcW w:w="3402" w:type="dxa"/>
            <w:tcBorders>
              <w:top w:val="single" w:sz="4" w:space="0" w:color="auto"/>
              <w:left w:val="single" w:sz="4" w:space="0" w:color="auto"/>
              <w:bottom w:val="single" w:sz="4" w:space="0" w:color="auto"/>
            </w:tcBorders>
          </w:tcPr>
          <w:p w:rsidR="002967AE" w:rsidRPr="001B241A" w:rsidRDefault="002967AE" w:rsidP="002967AE">
            <w:pPr>
              <w:jc w:val="both"/>
              <w:rPr>
                <w:sz w:val="22"/>
                <w:szCs w:val="22"/>
              </w:rPr>
            </w:pPr>
          </w:p>
        </w:tc>
      </w:tr>
      <w:tr w:rsidR="002967AE" w:rsidRPr="002967AE" w:rsidTr="00873779">
        <w:tc>
          <w:tcPr>
            <w:tcW w:w="567" w:type="dxa"/>
            <w:tcBorders>
              <w:top w:val="single" w:sz="6" w:space="0" w:color="000000"/>
              <w:left w:val="single" w:sz="6" w:space="0" w:color="000000"/>
              <w:bottom w:val="single" w:sz="6" w:space="0" w:color="000000"/>
              <w:right w:val="single" w:sz="6" w:space="0" w:color="000000"/>
            </w:tcBorders>
          </w:tcPr>
          <w:p w:rsidR="002967AE" w:rsidRPr="002967AE" w:rsidRDefault="002967AE" w:rsidP="002967AE">
            <w:pPr>
              <w:pStyle w:val="naisc"/>
              <w:spacing w:before="0" w:after="0"/>
              <w:jc w:val="both"/>
              <w:rPr>
                <w:sz w:val="22"/>
                <w:szCs w:val="22"/>
              </w:rPr>
            </w:pPr>
            <w:r w:rsidRPr="002967AE">
              <w:rPr>
                <w:sz w:val="22"/>
                <w:szCs w:val="22"/>
              </w:rPr>
              <w:t>7.</w:t>
            </w:r>
          </w:p>
        </w:tc>
        <w:tc>
          <w:tcPr>
            <w:tcW w:w="2835" w:type="dxa"/>
            <w:gridSpan w:val="2"/>
            <w:tcBorders>
              <w:top w:val="single" w:sz="6" w:space="0" w:color="000000"/>
              <w:left w:val="single" w:sz="6" w:space="0" w:color="000000"/>
              <w:bottom w:val="single" w:sz="6" w:space="0" w:color="000000"/>
              <w:right w:val="single" w:sz="6" w:space="0" w:color="000000"/>
            </w:tcBorders>
          </w:tcPr>
          <w:p w:rsidR="002967AE" w:rsidRPr="002967AE" w:rsidRDefault="002967AE" w:rsidP="002967AE">
            <w:pPr>
              <w:jc w:val="both"/>
              <w:rPr>
                <w:sz w:val="22"/>
                <w:szCs w:val="22"/>
              </w:rPr>
            </w:pPr>
          </w:p>
        </w:tc>
        <w:tc>
          <w:tcPr>
            <w:tcW w:w="4111" w:type="dxa"/>
            <w:gridSpan w:val="2"/>
            <w:tcBorders>
              <w:top w:val="single" w:sz="6" w:space="0" w:color="000000"/>
              <w:left w:val="single" w:sz="6" w:space="0" w:color="000000"/>
              <w:bottom w:val="single" w:sz="6" w:space="0" w:color="000000"/>
              <w:right w:val="single" w:sz="6" w:space="0" w:color="000000"/>
            </w:tcBorders>
          </w:tcPr>
          <w:p w:rsidR="002967AE" w:rsidRPr="001B241A" w:rsidRDefault="002967AE" w:rsidP="002967AE">
            <w:pPr>
              <w:pStyle w:val="ListParagraph"/>
              <w:spacing w:after="0" w:line="240" w:lineRule="auto"/>
              <w:ind w:left="0"/>
              <w:jc w:val="center"/>
              <w:rPr>
                <w:rFonts w:ascii="Times New Roman" w:hAnsi="Times New Roman"/>
                <w:b/>
              </w:rPr>
            </w:pPr>
            <w:r w:rsidRPr="001B241A">
              <w:rPr>
                <w:rFonts w:ascii="Times New Roman" w:hAnsi="Times New Roman"/>
                <w:b/>
              </w:rPr>
              <w:t>Tieslietu ministrija</w:t>
            </w:r>
          </w:p>
          <w:p w:rsidR="002967AE" w:rsidRPr="001B241A" w:rsidRDefault="002967AE" w:rsidP="002967AE">
            <w:pPr>
              <w:jc w:val="both"/>
              <w:rPr>
                <w:bCs/>
                <w:sz w:val="22"/>
                <w:szCs w:val="22"/>
              </w:rPr>
            </w:pPr>
            <w:r w:rsidRPr="001B241A">
              <w:rPr>
                <w:sz w:val="22"/>
                <w:szCs w:val="22"/>
              </w:rPr>
              <w:t xml:space="preserve">Likumprojekta anotācijā norādīts, ka Eiropas Parlamenta un Padomes 2014. gada 26. februāra Direktīvas 2014/25/ES par iepirkumu, ko īsteno subjekti, kuri darbojas ūdensapgādes, enerģētikas, transporta un pasta pakalpojumu nozarēs, un ar ko atceļ Direktīvu 2004/17/EK (turpmāk – Direktīva 2014/25) 80. pantā ir noteikts, ka sabiedrisko pakalpojumu sniedzēji </w:t>
            </w:r>
            <w:r w:rsidRPr="001B241A">
              <w:rPr>
                <w:sz w:val="22"/>
                <w:szCs w:val="22"/>
                <w:u w:val="single"/>
              </w:rPr>
              <w:t>var izslēgt</w:t>
            </w:r>
            <w:r w:rsidRPr="001B241A">
              <w:rPr>
                <w:sz w:val="22"/>
                <w:szCs w:val="22"/>
              </w:rPr>
              <w:t xml:space="preserve"> kandidātus vai pretendentus atbilstoši Eiropas Parlamenta un Padomes 2014. gada 26. februāra direktīvas 2014/24/ES par publisko iepirkumu un ar ko atceļ Direktīvu 2004/18/EK (turpmāk – Direktīva 2014/24) 57. pantā uzskaitītajiem izslēgšanas iemesliem. </w:t>
            </w:r>
          </w:p>
          <w:p w:rsidR="002967AE" w:rsidRPr="001B241A" w:rsidRDefault="002967AE" w:rsidP="002967AE">
            <w:pPr>
              <w:jc w:val="both"/>
              <w:rPr>
                <w:sz w:val="22"/>
                <w:szCs w:val="22"/>
              </w:rPr>
            </w:pPr>
            <w:r w:rsidRPr="001B241A">
              <w:rPr>
                <w:sz w:val="22"/>
                <w:szCs w:val="22"/>
              </w:rPr>
              <w:t>Pirmkārt, lūdzam likumprojekta anotācijas V sadaļas 1. tabulā norādīt likumprojekta atbilstību arī Direktīva</w:t>
            </w:r>
            <w:r w:rsidR="0055025C">
              <w:rPr>
                <w:sz w:val="22"/>
                <w:szCs w:val="22"/>
              </w:rPr>
              <w:t>s</w:t>
            </w:r>
            <w:r w:rsidRPr="001B241A">
              <w:rPr>
                <w:sz w:val="22"/>
                <w:szCs w:val="22"/>
              </w:rPr>
              <w:t xml:space="preserve"> 2014/24 57. pantam, jo tas, ka minētās normas jau pārņemtas Publisko iepirkumu likumā, nenozīmē, ka tās nevar pārņemt arī likumprojektā. </w:t>
            </w:r>
          </w:p>
          <w:p w:rsidR="002967AE" w:rsidRPr="001B241A" w:rsidRDefault="002967AE" w:rsidP="002967AE">
            <w:pPr>
              <w:jc w:val="both"/>
              <w:rPr>
                <w:sz w:val="22"/>
                <w:szCs w:val="22"/>
              </w:rPr>
            </w:pPr>
            <w:r w:rsidRPr="001B241A">
              <w:rPr>
                <w:sz w:val="22"/>
                <w:szCs w:val="22"/>
              </w:rPr>
              <w:t xml:space="preserve">Otrkārt gan no Direktīvas Direktīva 2014/25 80. panta, gan Direktīvas 2014/24 57. panta izriet dalībvalsts rīcības brīvība noteikt izslēgšanas kritērijus. Tādējādi lūdzam atbilstoši Ministru kabineta 2009. gada 15. decembra instrukcijas Nr. 19 “Tiesību akta projekta sākotnējās ietekmes izvērtēšanas kārtība” (turpmāk – instrukcija) 56.5. apakšpunktam likumprojekta anotācijas V sadaļas 1. tabulas rīcības brīvības sadaļā pamatot, kādēļ ir vai nav izmantota Direktīvā paredzētā rīcības brīvība dalībvalstij pārņemt noteiktas </w:t>
            </w:r>
            <w:r w:rsidRPr="001B241A">
              <w:rPr>
                <w:sz w:val="22"/>
                <w:szCs w:val="22"/>
              </w:rPr>
              <w:lastRenderedPageBreak/>
              <w:t>Direktīvas normas, it sevišķi pievēršot uzmanību Direktīvas 2014/24 57. panta normām, piemēram, Direktīvas 2014/24 57. panta 2. punkta otrajai daļai, 57. panta 3. punkta pirmajai un otrajai daļai, 57. panta 4. punkta pirmajai un otrajai daļai, kas paredz rīcības brīvību dalībvalstij.</w:t>
            </w:r>
          </w:p>
        </w:tc>
        <w:tc>
          <w:tcPr>
            <w:tcW w:w="3827" w:type="dxa"/>
            <w:tcBorders>
              <w:top w:val="single" w:sz="6" w:space="0" w:color="000000"/>
              <w:left w:val="single" w:sz="6" w:space="0" w:color="000000"/>
              <w:bottom w:val="single" w:sz="6" w:space="0" w:color="000000"/>
              <w:right w:val="single" w:sz="6" w:space="0" w:color="000000"/>
            </w:tcBorders>
          </w:tcPr>
          <w:p w:rsidR="002967AE" w:rsidRDefault="00F44DB5" w:rsidP="00F44DB5">
            <w:pPr>
              <w:pStyle w:val="naisc"/>
              <w:spacing w:before="0" w:after="0"/>
              <w:rPr>
                <w:b/>
                <w:sz w:val="22"/>
                <w:szCs w:val="22"/>
              </w:rPr>
            </w:pPr>
            <w:r w:rsidRPr="001B241A">
              <w:rPr>
                <w:b/>
                <w:sz w:val="22"/>
                <w:szCs w:val="22"/>
              </w:rPr>
              <w:lastRenderedPageBreak/>
              <w:t>Ņemts vērā</w:t>
            </w:r>
          </w:p>
          <w:p w:rsidR="003C2F49" w:rsidRDefault="003C2F49" w:rsidP="003C2F49">
            <w:pPr>
              <w:pStyle w:val="naisc"/>
              <w:jc w:val="both"/>
              <w:rPr>
                <w:sz w:val="22"/>
                <w:szCs w:val="22"/>
              </w:rPr>
            </w:pPr>
            <w:r w:rsidRPr="00EC062F">
              <w:rPr>
                <w:sz w:val="22"/>
                <w:szCs w:val="22"/>
              </w:rPr>
              <w:t xml:space="preserve">Paskaidrojam, ka, pārņemot Direktīvu, ir izmantota dalībvalstij paredzētā rīcības brīvība, nosakot konkrētu nodokļu parādu summu, kuras pārsniegšanas gadījumā ir jāpiemēro attiecīgais izslēgšanas iemesls. </w:t>
            </w:r>
          </w:p>
          <w:p w:rsidR="003C2F49" w:rsidRDefault="003C2F49" w:rsidP="003C2F49">
            <w:pPr>
              <w:pStyle w:val="naisc"/>
              <w:jc w:val="both"/>
              <w:rPr>
                <w:sz w:val="22"/>
                <w:szCs w:val="22"/>
              </w:rPr>
            </w:pPr>
          </w:p>
          <w:p w:rsidR="003C2F49" w:rsidRPr="00EC062F" w:rsidRDefault="003C2F49" w:rsidP="003C2F49">
            <w:pPr>
              <w:pStyle w:val="naisc"/>
              <w:jc w:val="both"/>
              <w:rPr>
                <w:sz w:val="22"/>
                <w:szCs w:val="22"/>
              </w:rPr>
            </w:pPr>
          </w:p>
          <w:p w:rsidR="003C2F49" w:rsidRPr="001B241A" w:rsidRDefault="003C2F49" w:rsidP="00F44DB5">
            <w:pPr>
              <w:pStyle w:val="naisc"/>
              <w:spacing w:before="0" w:after="0"/>
              <w:rPr>
                <w:b/>
                <w:sz w:val="22"/>
                <w:szCs w:val="22"/>
              </w:rPr>
            </w:pPr>
          </w:p>
        </w:tc>
        <w:tc>
          <w:tcPr>
            <w:tcW w:w="3402" w:type="dxa"/>
            <w:tcBorders>
              <w:top w:val="single" w:sz="4" w:space="0" w:color="auto"/>
              <w:left w:val="single" w:sz="4" w:space="0" w:color="auto"/>
              <w:bottom w:val="single" w:sz="4" w:space="0" w:color="auto"/>
            </w:tcBorders>
          </w:tcPr>
          <w:p w:rsidR="002967AE" w:rsidRPr="001B241A" w:rsidRDefault="00F44DB5" w:rsidP="002967AE">
            <w:pPr>
              <w:jc w:val="both"/>
              <w:rPr>
                <w:b/>
                <w:sz w:val="22"/>
                <w:szCs w:val="22"/>
              </w:rPr>
            </w:pPr>
            <w:r w:rsidRPr="001B241A">
              <w:rPr>
                <w:b/>
                <w:sz w:val="22"/>
                <w:szCs w:val="22"/>
              </w:rPr>
              <w:t>Skatīt precizēto anotācijas V sadaļu.</w:t>
            </w:r>
          </w:p>
        </w:tc>
      </w:tr>
      <w:tr w:rsidR="002967AE" w:rsidRPr="002967AE" w:rsidTr="00873779">
        <w:tc>
          <w:tcPr>
            <w:tcW w:w="567" w:type="dxa"/>
            <w:tcBorders>
              <w:top w:val="single" w:sz="6" w:space="0" w:color="000000"/>
              <w:left w:val="single" w:sz="6" w:space="0" w:color="000000"/>
              <w:bottom w:val="single" w:sz="6" w:space="0" w:color="000000"/>
              <w:right w:val="single" w:sz="6" w:space="0" w:color="000000"/>
            </w:tcBorders>
          </w:tcPr>
          <w:p w:rsidR="002967AE" w:rsidRPr="002967AE" w:rsidRDefault="002967AE" w:rsidP="002967AE">
            <w:pPr>
              <w:pStyle w:val="naisc"/>
              <w:spacing w:before="0" w:after="0"/>
              <w:jc w:val="both"/>
              <w:rPr>
                <w:sz w:val="22"/>
                <w:szCs w:val="22"/>
              </w:rPr>
            </w:pPr>
            <w:r w:rsidRPr="002967AE">
              <w:rPr>
                <w:sz w:val="22"/>
                <w:szCs w:val="22"/>
              </w:rPr>
              <w:t>8.</w:t>
            </w:r>
          </w:p>
        </w:tc>
        <w:tc>
          <w:tcPr>
            <w:tcW w:w="2835" w:type="dxa"/>
            <w:gridSpan w:val="2"/>
            <w:tcBorders>
              <w:top w:val="single" w:sz="6" w:space="0" w:color="000000"/>
              <w:left w:val="single" w:sz="6" w:space="0" w:color="000000"/>
              <w:bottom w:val="single" w:sz="6" w:space="0" w:color="000000"/>
              <w:right w:val="single" w:sz="6" w:space="0" w:color="000000"/>
            </w:tcBorders>
          </w:tcPr>
          <w:p w:rsidR="002967AE" w:rsidRPr="002967AE" w:rsidRDefault="002967AE" w:rsidP="002967AE">
            <w:pPr>
              <w:jc w:val="both"/>
              <w:rPr>
                <w:sz w:val="22"/>
                <w:szCs w:val="22"/>
              </w:rPr>
            </w:pPr>
          </w:p>
        </w:tc>
        <w:tc>
          <w:tcPr>
            <w:tcW w:w="4111" w:type="dxa"/>
            <w:gridSpan w:val="2"/>
            <w:tcBorders>
              <w:top w:val="single" w:sz="6" w:space="0" w:color="000000"/>
              <w:left w:val="single" w:sz="6" w:space="0" w:color="000000"/>
              <w:bottom w:val="single" w:sz="6" w:space="0" w:color="000000"/>
              <w:right w:val="single" w:sz="6" w:space="0" w:color="000000"/>
            </w:tcBorders>
          </w:tcPr>
          <w:p w:rsidR="002967AE" w:rsidRPr="001B241A" w:rsidRDefault="002967AE" w:rsidP="002967AE">
            <w:pPr>
              <w:pStyle w:val="ListParagraph"/>
              <w:spacing w:after="0" w:line="240" w:lineRule="auto"/>
              <w:ind w:left="0"/>
              <w:jc w:val="center"/>
              <w:rPr>
                <w:rFonts w:ascii="Times New Roman" w:hAnsi="Times New Roman"/>
                <w:b/>
              </w:rPr>
            </w:pPr>
            <w:r w:rsidRPr="001B241A">
              <w:rPr>
                <w:rFonts w:ascii="Times New Roman" w:hAnsi="Times New Roman"/>
                <w:b/>
              </w:rPr>
              <w:t>Tieslietu ministrija</w:t>
            </w:r>
          </w:p>
          <w:p w:rsidR="002967AE" w:rsidRPr="001B241A" w:rsidRDefault="002967AE" w:rsidP="002967AE">
            <w:pPr>
              <w:jc w:val="both"/>
              <w:rPr>
                <w:sz w:val="22"/>
                <w:szCs w:val="22"/>
                <w:u w:val="single"/>
              </w:rPr>
            </w:pPr>
            <w:r w:rsidRPr="001B241A">
              <w:rPr>
                <w:sz w:val="22"/>
                <w:szCs w:val="22"/>
              </w:rPr>
              <w:t>Saistībā ar likumprojekta 13. pantu lūdzam papildināt likumprojekta anotācijas V sadaļas 2. punktu un 2. tabulu saskaņā ar instrukcijas 57. un 58. punktu.</w:t>
            </w:r>
          </w:p>
          <w:p w:rsidR="002967AE" w:rsidRPr="001B241A" w:rsidRDefault="002967AE" w:rsidP="002967AE">
            <w:pPr>
              <w:pStyle w:val="ListParagraph"/>
              <w:spacing w:after="0" w:line="240" w:lineRule="auto"/>
              <w:ind w:left="0"/>
              <w:jc w:val="both"/>
              <w:rPr>
                <w:rFonts w:ascii="Times New Roman" w:hAnsi="Times New Roman"/>
              </w:rPr>
            </w:pPr>
          </w:p>
        </w:tc>
        <w:tc>
          <w:tcPr>
            <w:tcW w:w="3827" w:type="dxa"/>
            <w:tcBorders>
              <w:top w:val="single" w:sz="6" w:space="0" w:color="000000"/>
              <w:left w:val="single" w:sz="6" w:space="0" w:color="000000"/>
              <w:bottom w:val="single" w:sz="6" w:space="0" w:color="000000"/>
              <w:right w:val="single" w:sz="6" w:space="0" w:color="000000"/>
            </w:tcBorders>
          </w:tcPr>
          <w:p w:rsidR="002967AE" w:rsidRDefault="001B241A" w:rsidP="001B241A">
            <w:pPr>
              <w:pStyle w:val="naisc"/>
              <w:spacing w:before="0" w:after="0"/>
              <w:rPr>
                <w:b/>
                <w:sz w:val="22"/>
                <w:szCs w:val="22"/>
              </w:rPr>
            </w:pPr>
            <w:r w:rsidRPr="001B241A">
              <w:rPr>
                <w:b/>
                <w:sz w:val="22"/>
                <w:szCs w:val="22"/>
              </w:rPr>
              <w:t>Ņemts vērā</w:t>
            </w:r>
          </w:p>
          <w:p w:rsidR="005C4BE1" w:rsidRPr="005C4BE1" w:rsidRDefault="005C4BE1" w:rsidP="005C4BE1">
            <w:pPr>
              <w:pStyle w:val="naisc"/>
              <w:spacing w:before="0" w:after="0"/>
              <w:jc w:val="both"/>
              <w:rPr>
                <w:sz w:val="22"/>
                <w:szCs w:val="22"/>
              </w:rPr>
            </w:pPr>
          </w:p>
        </w:tc>
        <w:tc>
          <w:tcPr>
            <w:tcW w:w="3402" w:type="dxa"/>
            <w:tcBorders>
              <w:top w:val="single" w:sz="4" w:space="0" w:color="auto"/>
              <w:left w:val="single" w:sz="4" w:space="0" w:color="auto"/>
              <w:bottom w:val="single" w:sz="4" w:space="0" w:color="auto"/>
            </w:tcBorders>
          </w:tcPr>
          <w:p w:rsidR="002967AE" w:rsidRPr="00D62C02" w:rsidRDefault="00D62C02" w:rsidP="002967AE">
            <w:pPr>
              <w:jc w:val="both"/>
              <w:rPr>
                <w:b/>
                <w:sz w:val="22"/>
                <w:szCs w:val="22"/>
              </w:rPr>
            </w:pPr>
            <w:r w:rsidRPr="00D62C02">
              <w:rPr>
                <w:b/>
                <w:sz w:val="22"/>
                <w:szCs w:val="22"/>
              </w:rPr>
              <w:t>Skatīt precizēto anotācijas V sadaļu.</w:t>
            </w:r>
          </w:p>
        </w:tc>
      </w:tr>
      <w:tr w:rsidR="00E8574E" w:rsidRPr="001B241A" w:rsidTr="00873779">
        <w:tblPrEx>
          <w:tblBorders>
            <w:top w:val="none" w:sz="0" w:space="0" w:color="auto"/>
            <w:left w:val="none" w:sz="0" w:space="0" w:color="auto"/>
            <w:bottom w:val="none" w:sz="0" w:space="0" w:color="auto"/>
            <w:right w:val="none" w:sz="0" w:space="0" w:color="auto"/>
          </w:tblBorders>
        </w:tblPrEx>
        <w:trPr>
          <w:gridAfter w:val="3"/>
          <w:wAfter w:w="9491" w:type="dxa"/>
        </w:trPr>
        <w:tc>
          <w:tcPr>
            <w:tcW w:w="2410" w:type="dxa"/>
            <w:gridSpan w:val="2"/>
          </w:tcPr>
          <w:p w:rsidR="00E8574E" w:rsidRPr="00CD2F09" w:rsidRDefault="00E8574E" w:rsidP="00873779">
            <w:pPr>
              <w:pStyle w:val="naiskr"/>
              <w:spacing w:before="0" w:after="0"/>
              <w:ind w:firstLine="720"/>
              <w:rPr>
                <w:sz w:val="22"/>
                <w:szCs w:val="22"/>
              </w:rPr>
            </w:pPr>
          </w:p>
        </w:tc>
        <w:tc>
          <w:tcPr>
            <w:tcW w:w="2841" w:type="dxa"/>
            <w:gridSpan w:val="2"/>
            <w:tcBorders>
              <w:top w:val="single" w:sz="6" w:space="0" w:color="000000"/>
            </w:tcBorders>
          </w:tcPr>
          <w:p w:rsidR="00E8574E" w:rsidRPr="001B241A" w:rsidRDefault="00E8574E" w:rsidP="009F219F">
            <w:pPr>
              <w:pStyle w:val="naisc"/>
              <w:spacing w:before="0" w:after="0"/>
              <w:ind w:firstLine="720"/>
              <w:jc w:val="both"/>
              <w:rPr>
                <w:sz w:val="22"/>
                <w:szCs w:val="22"/>
              </w:rPr>
            </w:pPr>
          </w:p>
        </w:tc>
      </w:tr>
    </w:tbl>
    <w:p w:rsidR="00E8574E" w:rsidRDefault="00E8574E" w:rsidP="00E8574E">
      <w:pPr>
        <w:pStyle w:val="NormalLatvian"/>
        <w:spacing w:after="0"/>
        <w:rPr>
          <w:sz w:val="22"/>
          <w:szCs w:val="22"/>
          <w:highlight w:val="yellow"/>
        </w:rPr>
      </w:pPr>
    </w:p>
    <w:tbl>
      <w:tblPr>
        <w:tblW w:w="14992" w:type="dxa"/>
        <w:tblLayout w:type="fixed"/>
        <w:tblLook w:val="00A0" w:firstRow="1" w:lastRow="0" w:firstColumn="1" w:lastColumn="0" w:noHBand="0" w:noVBand="0"/>
      </w:tblPr>
      <w:tblGrid>
        <w:gridCol w:w="5017"/>
        <w:gridCol w:w="9975"/>
      </w:tblGrid>
      <w:tr w:rsidR="00593F15" w:rsidRPr="00593F15" w:rsidTr="004F2BD7">
        <w:tc>
          <w:tcPr>
            <w:tcW w:w="3108" w:type="dxa"/>
          </w:tcPr>
          <w:p w:rsidR="00593F15" w:rsidRPr="00593F15" w:rsidRDefault="00593F15" w:rsidP="00593F15">
            <w:pPr>
              <w:pStyle w:val="Header"/>
              <w:tabs>
                <w:tab w:val="center" w:pos="900"/>
              </w:tabs>
              <w:rPr>
                <w:bCs/>
                <w:sz w:val="22"/>
                <w:szCs w:val="22"/>
                <w:lang w:eastAsia="en-US"/>
              </w:rPr>
            </w:pPr>
          </w:p>
          <w:p w:rsidR="00593F15" w:rsidRPr="00593F15" w:rsidRDefault="00593F15" w:rsidP="00593F15">
            <w:pPr>
              <w:pStyle w:val="Header"/>
              <w:tabs>
                <w:tab w:val="center" w:pos="900"/>
              </w:tabs>
              <w:rPr>
                <w:bCs/>
                <w:sz w:val="22"/>
                <w:szCs w:val="22"/>
                <w:lang w:eastAsia="en-US"/>
              </w:rPr>
            </w:pPr>
            <w:r w:rsidRPr="00593F15">
              <w:rPr>
                <w:bCs/>
                <w:sz w:val="22"/>
                <w:szCs w:val="22"/>
                <w:lang w:eastAsia="en-US"/>
              </w:rPr>
              <w:t>Atbildīgā amatpersona</w:t>
            </w:r>
          </w:p>
        </w:tc>
        <w:tc>
          <w:tcPr>
            <w:tcW w:w="6179" w:type="dxa"/>
          </w:tcPr>
          <w:p w:rsidR="00593F15" w:rsidRPr="00593F15" w:rsidRDefault="00593F15" w:rsidP="00593F15">
            <w:pPr>
              <w:pStyle w:val="Header"/>
              <w:tabs>
                <w:tab w:val="center" w:pos="900"/>
              </w:tabs>
              <w:rPr>
                <w:bCs/>
                <w:sz w:val="22"/>
                <w:szCs w:val="22"/>
                <w:lang w:eastAsia="en-US"/>
              </w:rPr>
            </w:pPr>
            <w:r w:rsidRPr="00593F15">
              <w:rPr>
                <w:bCs/>
                <w:sz w:val="22"/>
                <w:szCs w:val="22"/>
                <w:lang w:eastAsia="en-US"/>
              </w:rPr>
              <w:t>  </w:t>
            </w:r>
          </w:p>
        </w:tc>
      </w:tr>
      <w:tr w:rsidR="00593F15" w:rsidRPr="00593F15" w:rsidTr="004F2BD7">
        <w:tc>
          <w:tcPr>
            <w:tcW w:w="3108" w:type="dxa"/>
          </w:tcPr>
          <w:p w:rsidR="00593F15" w:rsidRPr="00593F15" w:rsidRDefault="00593F15" w:rsidP="00593F15">
            <w:pPr>
              <w:pStyle w:val="Header"/>
              <w:tabs>
                <w:tab w:val="center" w:pos="900"/>
              </w:tabs>
              <w:rPr>
                <w:bCs/>
                <w:sz w:val="22"/>
                <w:szCs w:val="22"/>
                <w:lang w:eastAsia="en-US"/>
              </w:rPr>
            </w:pPr>
          </w:p>
        </w:tc>
        <w:tc>
          <w:tcPr>
            <w:tcW w:w="6179" w:type="dxa"/>
            <w:tcBorders>
              <w:top w:val="single" w:sz="6" w:space="0" w:color="000000"/>
            </w:tcBorders>
          </w:tcPr>
          <w:p w:rsidR="00593F15" w:rsidRPr="00593F15" w:rsidRDefault="00593F15" w:rsidP="00593F15">
            <w:pPr>
              <w:pStyle w:val="Header"/>
              <w:tabs>
                <w:tab w:val="center" w:pos="900"/>
              </w:tabs>
              <w:rPr>
                <w:bCs/>
                <w:sz w:val="22"/>
                <w:szCs w:val="22"/>
                <w:lang w:eastAsia="en-US"/>
              </w:rPr>
            </w:pPr>
            <w:r w:rsidRPr="00593F15">
              <w:rPr>
                <w:bCs/>
                <w:sz w:val="22"/>
                <w:szCs w:val="22"/>
                <w:lang w:eastAsia="en-US"/>
              </w:rPr>
              <w:t>(paraksts*)</w:t>
            </w:r>
          </w:p>
        </w:tc>
      </w:tr>
    </w:tbl>
    <w:p w:rsidR="00593F15" w:rsidRPr="00593F15" w:rsidRDefault="00593F15" w:rsidP="00593F15">
      <w:pPr>
        <w:pStyle w:val="Header"/>
        <w:tabs>
          <w:tab w:val="center" w:pos="900"/>
        </w:tabs>
        <w:rPr>
          <w:bCs/>
          <w:sz w:val="22"/>
          <w:szCs w:val="22"/>
          <w:lang w:eastAsia="en-US"/>
        </w:rPr>
      </w:pPr>
    </w:p>
    <w:p w:rsidR="00593F15" w:rsidRPr="00593F15" w:rsidRDefault="00593F15" w:rsidP="00593F15">
      <w:pPr>
        <w:pStyle w:val="Header"/>
        <w:tabs>
          <w:tab w:val="center" w:pos="900"/>
        </w:tabs>
        <w:rPr>
          <w:bCs/>
          <w:sz w:val="22"/>
          <w:szCs w:val="22"/>
          <w:lang w:eastAsia="en-US"/>
        </w:rPr>
      </w:pPr>
    </w:p>
    <w:p w:rsidR="00593F15" w:rsidRPr="00593F15" w:rsidRDefault="00593F15" w:rsidP="00593F15">
      <w:pPr>
        <w:pStyle w:val="Header"/>
        <w:tabs>
          <w:tab w:val="center" w:pos="900"/>
        </w:tabs>
        <w:rPr>
          <w:bCs/>
          <w:sz w:val="22"/>
          <w:szCs w:val="22"/>
          <w:lang w:eastAsia="en-US"/>
        </w:rPr>
      </w:pPr>
      <w:r w:rsidRPr="00593F15">
        <w:rPr>
          <w:bCs/>
          <w:sz w:val="22"/>
          <w:szCs w:val="22"/>
          <w:lang w:eastAsia="en-US"/>
        </w:rPr>
        <w:t>Piezīme. * Dokumenta rekvizītu "paraksts" neaizpilda, ja elektroniskais dokuments ir sagatavots atbilstoši normatīvajiem aktiem par elektronisko dokumentu noformēšanu.</w:t>
      </w:r>
    </w:p>
    <w:p w:rsidR="00593F15" w:rsidRPr="00593F15" w:rsidRDefault="00593F15" w:rsidP="00593F15">
      <w:pPr>
        <w:pStyle w:val="Header"/>
        <w:tabs>
          <w:tab w:val="center" w:pos="900"/>
        </w:tabs>
        <w:rPr>
          <w:bCs/>
          <w:sz w:val="22"/>
          <w:szCs w:val="22"/>
          <w:lang w:eastAsia="en-US"/>
        </w:rPr>
      </w:pPr>
    </w:p>
    <w:p w:rsidR="00593F15" w:rsidRPr="00593F15" w:rsidRDefault="00593F15" w:rsidP="00593F15">
      <w:pPr>
        <w:pStyle w:val="Header"/>
        <w:tabs>
          <w:tab w:val="center" w:pos="900"/>
        </w:tabs>
        <w:rPr>
          <w:bCs/>
          <w:sz w:val="22"/>
          <w:szCs w:val="22"/>
          <w:lang w:eastAsia="en-US"/>
        </w:rPr>
      </w:pPr>
      <w:r w:rsidRPr="00593F15">
        <w:rPr>
          <w:bCs/>
          <w:sz w:val="22"/>
          <w:szCs w:val="22"/>
          <w:lang w:eastAsia="en-US"/>
        </w:rPr>
        <w:t xml:space="preserve">   Edgars Matulis</w:t>
      </w:r>
    </w:p>
    <w:tbl>
      <w:tblPr>
        <w:tblW w:w="0" w:type="auto"/>
        <w:tblLook w:val="00A0" w:firstRow="1" w:lastRow="0" w:firstColumn="1" w:lastColumn="0" w:noHBand="0" w:noVBand="0"/>
      </w:tblPr>
      <w:tblGrid>
        <w:gridCol w:w="8268"/>
      </w:tblGrid>
      <w:tr w:rsidR="00593F15" w:rsidRPr="00593F15" w:rsidTr="004F2BD7">
        <w:tc>
          <w:tcPr>
            <w:tcW w:w="8268" w:type="dxa"/>
            <w:tcBorders>
              <w:top w:val="single" w:sz="4" w:space="0" w:color="000000"/>
            </w:tcBorders>
          </w:tcPr>
          <w:p w:rsidR="00593F15" w:rsidRPr="00593F15" w:rsidRDefault="00593F15" w:rsidP="00593F15">
            <w:pPr>
              <w:pStyle w:val="Header"/>
              <w:tabs>
                <w:tab w:val="center" w:pos="900"/>
              </w:tabs>
              <w:rPr>
                <w:bCs/>
                <w:sz w:val="22"/>
                <w:szCs w:val="22"/>
                <w:lang w:eastAsia="en-US"/>
              </w:rPr>
            </w:pPr>
            <w:r w:rsidRPr="00593F15">
              <w:rPr>
                <w:bCs/>
                <w:sz w:val="22"/>
                <w:szCs w:val="22"/>
                <w:lang w:eastAsia="en-US"/>
              </w:rPr>
              <w:t>(par projektu atbildīgās amatpersonas vārds un uzvārds)</w:t>
            </w:r>
          </w:p>
        </w:tc>
      </w:tr>
      <w:tr w:rsidR="00593F15" w:rsidRPr="00593F15" w:rsidTr="004F2BD7">
        <w:tc>
          <w:tcPr>
            <w:tcW w:w="8268" w:type="dxa"/>
            <w:tcBorders>
              <w:bottom w:val="single" w:sz="4" w:space="0" w:color="000000"/>
            </w:tcBorders>
          </w:tcPr>
          <w:p w:rsidR="00593F15" w:rsidRPr="00593F15" w:rsidRDefault="00593F15" w:rsidP="00593F15">
            <w:pPr>
              <w:pStyle w:val="Header"/>
              <w:tabs>
                <w:tab w:val="center" w:pos="900"/>
              </w:tabs>
              <w:rPr>
                <w:bCs/>
                <w:sz w:val="22"/>
                <w:szCs w:val="22"/>
                <w:lang w:eastAsia="en-US"/>
              </w:rPr>
            </w:pPr>
            <w:r w:rsidRPr="00593F15">
              <w:rPr>
                <w:bCs/>
                <w:sz w:val="22"/>
                <w:szCs w:val="22"/>
                <w:lang w:eastAsia="en-US"/>
              </w:rPr>
              <w:t>Finanšu ministrijas Juridiskā departamenta Iepirkumu politikas un valsts nekustamo īpašumu pārvaldīšanas politikas nodaļas vecākais eksperts</w:t>
            </w:r>
          </w:p>
        </w:tc>
      </w:tr>
      <w:tr w:rsidR="00593F15" w:rsidRPr="00593F15" w:rsidTr="004F2BD7">
        <w:tc>
          <w:tcPr>
            <w:tcW w:w="8268" w:type="dxa"/>
            <w:tcBorders>
              <w:top w:val="single" w:sz="4" w:space="0" w:color="000000"/>
            </w:tcBorders>
          </w:tcPr>
          <w:p w:rsidR="00593F15" w:rsidRPr="00593F15" w:rsidRDefault="00593F15" w:rsidP="00593F15">
            <w:pPr>
              <w:pStyle w:val="Header"/>
              <w:tabs>
                <w:tab w:val="center" w:pos="900"/>
              </w:tabs>
              <w:rPr>
                <w:bCs/>
                <w:sz w:val="22"/>
                <w:szCs w:val="22"/>
                <w:lang w:eastAsia="en-US"/>
              </w:rPr>
            </w:pPr>
            <w:r w:rsidRPr="00593F15">
              <w:rPr>
                <w:bCs/>
                <w:sz w:val="22"/>
                <w:szCs w:val="22"/>
                <w:lang w:eastAsia="en-US"/>
              </w:rPr>
              <w:t>(amats)</w:t>
            </w:r>
          </w:p>
        </w:tc>
      </w:tr>
      <w:tr w:rsidR="00593F15" w:rsidRPr="00593F15" w:rsidTr="004F2BD7">
        <w:tc>
          <w:tcPr>
            <w:tcW w:w="8268" w:type="dxa"/>
            <w:tcBorders>
              <w:bottom w:val="single" w:sz="4" w:space="0" w:color="000000"/>
            </w:tcBorders>
          </w:tcPr>
          <w:p w:rsidR="00593F15" w:rsidRPr="00593F15" w:rsidRDefault="00593F15" w:rsidP="00593F15">
            <w:pPr>
              <w:pStyle w:val="Header"/>
              <w:tabs>
                <w:tab w:val="center" w:pos="900"/>
              </w:tabs>
              <w:rPr>
                <w:bCs/>
                <w:sz w:val="22"/>
                <w:szCs w:val="22"/>
                <w:lang w:eastAsia="en-US"/>
              </w:rPr>
            </w:pPr>
            <w:r w:rsidRPr="00593F15">
              <w:rPr>
                <w:bCs/>
                <w:sz w:val="22"/>
                <w:szCs w:val="22"/>
                <w:lang w:eastAsia="en-US"/>
              </w:rPr>
              <w:t>67095457</w:t>
            </w:r>
          </w:p>
        </w:tc>
      </w:tr>
      <w:tr w:rsidR="00593F15" w:rsidRPr="00593F15" w:rsidTr="004F2BD7">
        <w:tc>
          <w:tcPr>
            <w:tcW w:w="8268" w:type="dxa"/>
            <w:tcBorders>
              <w:top w:val="single" w:sz="4" w:space="0" w:color="000000"/>
            </w:tcBorders>
          </w:tcPr>
          <w:p w:rsidR="00593F15" w:rsidRPr="00593F15" w:rsidRDefault="00593F15" w:rsidP="00593F15">
            <w:pPr>
              <w:pStyle w:val="Header"/>
              <w:tabs>
                <w:tab w:val="center" w:pos="900"/>
              </w:tabs>
              <w:rPr>
                <w:bCs/>
                <w:sz w:val="22"/>
                <w:szCs w:val="22"/>
                <w:lang w:eastAsia="en-US"/>
              </w:rPr>
            </w:pPr>
            <w:r w:rsidRPr="00593F15">
              <w:rPr>
                <w:bCs/>
                <w:sz w:val="22"/>
                <w:szCs w:val="22"/>
                <w:lang w:eastAsia="en-US"/>
              </w:rPr>
              <w:t>(tālruņa un faksa numurs)</w:t>
            </w:r>
          </w:p>
        </w:tc>
      </w:tr>
      <w:tr w:rsidR="00593F15" w:rsidRPr="00593F15" w:rsidTr="004F2BD7">
        <w:tc>
          <w:tcPr>
            <w:tcW w:w="8268" w:type="dxa"/>
            <w:tcBorders>
              <w:bottom w:val="single" w:sz="4" w:space="0" w:color="000000"/>
            </w:tcBorders>
          </w:tcPr>
          <w:p w:rsidR="00593F15" w:rsidRPr="00593F15" w:rsidRDefault="00593F15" w:rsidP="00593F15">
            <w:pPr>
              <w:pStyle w:val="Header"/>
              <w:tabs>
                <w:tab w:val="center" w:pos="900"/>
              </w:tabs>
              <w:rPr>
                <w:bCs/>
                <w:sz w:val="22"/>
                <w:szCs w:val="22"/>
                <w:lang w:eastAsia="en-US"/>
              </w:rPr>
            </w:pPr>
            <w:r w:rsidRPr="00593F15">
              <w:rPr>
                <w:bCs/>
                <w:sz w:val="22"/>
                <w:szCs w:val="22"/>
                <w:lang w:eastAsia="en-US"/>
              </w:rPr>
              <w:t>Edgars.Matulis@fm.gov.lv</w:t>
            </w:r>
          </w:p>
        </w:tc>
      </w:tr>
    </w:tbl>
    <w:p w:rsidR="00E8574E" w:rsidRPr="00265A3A" w:rsidRDefault="00E8574E" w:rsidP="00E8574E">
      <w:pPr>
        <w:pStyle w:val="Header"/>
        <w:tabs>
          <w:tab w:val="center" w:pos="900"/>
        </w:tabs>
        <w:rPr>
          <w:bCs/>
          <w:sz w:val="16"/>
          <w:szCs w:val="22"/>
          <w:highlight w:val="yellow"/>
        </w:rPr>
      </w:pPr>
    </w:p>
    <w:p w:rsidR="00E8574E" w:rsidRPr="00265A3A" w:rsidRDefault="00E8574E" w:rsidP="00E8574E">
      <w:pPr>
        <w:pStyle w:val="Header"/>
        <w:tabs>
          <w:tab w:val="center" w:pos="900"/>
        </w:tabs>
        <w:rPr>
          <w:bCs/>
          <w:sz w:val="16"/>
          <w:szCs w:val="22"/>
          <w:highlight w:val="yellow"/>
        </w:rPr>
      </w:pPr>
    </w:p>
    <w:p w:rsidR="00E8574E" w:rsidRPr="00265A3A" w:rsidRDefault="00E8574E" w:rsidP="00E8574E">
      <w:pPr>
        <w:pStyle w:val="Header"/>
        <w:tabs>
          <w:tab w:val="center" w:pos="900"/>
        </w:tabs>
        <w:rPr>
          <w:bCs/>
          <w:sz w:val="16"/>
          <w:szCs w:val="22"/>
          <w:highlight w:val="yellow"/>
        </w:rPr>
      </w:pPr>
    </w:p>
    <w:p w:rsidR="00E8574E" w:rsidRPr="005F080C" w:rsidRDefault="00E8574E" w:rsidP="00E8574E">
      <w:pPr>
        <w:pStyle w:val="naisf"/>
        <w:spacing w:before="0" w:after="0"/>
        <w:ind w:firstLine="0"/>
        <w:rPr>
          <w:sz w:val="16"/>
          <w:szCs w:val="22"/>
        </w:rPr>
      </w:pPr>
    </w:p>
    <w:p w:rsidR="00617653" w:rsidRDefault="00617653"/>
    <w:sectPr w:rsidR="00617653" w:rsidSect="00980710">
      <w:headerReference w:type="even" r:id="rId7"/>
      <w:headerReference w:type="default" r:id="rId8"/>
      <w:footerReference w:type="default" r:id="rId9"/>
      <w:footerReference w:type="first" r:id="rId10"/>
      <w:pgSz w:w="16838" w:h="11906" w:orient="landscape" w:code="9"/>
      <w:pgMar w:top="709"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BA9" w:rsidRDefault="00494BA9">
      <w:r>
        <w:separator/>
      </w:r>
    </w:p>
  </w:endnote>
  <w:endnote w:type="continuationSeparator" w:id="0">
    <w:p w:rsidR="00494BA9" w:rsidRDefault="00494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3C5" w:rsidRPr="00593F15" w:rsidRDefault="00E8574E" w:rsidP="00EF7B65">
    <w:pPr>
      <w:pStyle w:val="Footer"/>
      <w:rPr>
        <w:sz w:val="20"/>
        <w:szCs w:val="20"/>
      </w:rPr>
    </w:pPr>
    <w:r w:rsidRPr="00593F15">
      <w:rPr>
        <w:sz w:val="20"/>
        <w:szCs w:val="20"/>
      </w:rPr>
      <w:fldChar w:fldCharType="begin"/>
    </w:r>
    <w:r w:rsidRPr="00593F15">
      <w:rPr>
        <w:sz w:val="20"/>
        <w:szCs w:val="20"/>
      </w:rPr>
      <w:instrText xml:space="preserve"> FILENAME   \* MERGEFORMAT </w:instrText>
    </w:r>
    <w:r w:rsidRPr="00593F15">
      <w:rPr>
        <w:sz w:val="20"/>
        <w:szCs w:val="20"/>
      </w:rPr>
      <w:fldChar w:fldCharType="separate"/>
    </w:r>
    <w:r w:rsidR="00593F15" w:rsidRPr="00593F15">
      <w:rPr>
        <w:noProof/>
        <w:sz w:val="20"/>
        <w:szCs w:val="20"/>
      </w:rPr>
      <w:t>FMizzina_</w:t>
    </w:r>
    <w:r w:rsidR="001B241A">
      <w:rPr>
        <w:noProof/>
        <w:sz w:val="20"/>
        <w:szCs w:val="20"/>
      </w:rPr>
      <w:t>SPSIL</w:t>
    </w:r>
    <w:r w:rsidRPr="00593F15">
      <w:rPr>
        <w:noProof/>
        <w:sz w:val="20"/>
        <w:szCs w:val="20"/>
      </w:rPr>
      <w:t>doc</w:t>
    </w:r>
    <w:r w:rsidRPr="00593F15">
      <w:rPr>
        <w:sz w:val="20"/>
        <w:szCs w:val="20"/>
      </w:rPr>
      <w:fldChar w:fldCharType="end"/>
    </w:r>
    <w:r w:rsidR="00C12F45">
      <w:rPr>
        <w:sz w:val="20"/>
        <w:szCs w:val="20"/>
      </w:rPr>
      <w:t>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3C5" w:rsidRPr="00593F15" w:rsidRDefault="00593F15" w:rsidP="00593F15">
    <w:pPr>
      <w:pStyle w:val="Footer"/>
      <w:rPr>
        <w:sz w:val="20"/>
        <w:szCs w:val="20"/>
      </w:rPr>
    </w:pPr>
    <w:r w:rsidRPr="00593F15">
      <w:rPr>
        <w:sz w:val="20"/>
        <w:szCs w:val="20"/>
      </w:rPr>
      <w:fldChar w:fldCharType="begin"/>
    </w:r>
    <w:r w:rsidRPr="00593F15">
      <w:rPr>
        <w:sz w:val="20"/>
        <w:szCs w:val="20"/>
      </w:rPr>
      <w:instrText xml:space="preserve"> FILENAME   \* MERGEFORMAT </w:instrText>
    </w:r>
    <w:r w:rsidRPr="00593F15">
      <w:rPr>
        <w:sz w:val="20"/>
        <w:szCs w:val="20"/>
      </w:rPr>
      <w:fldChar w:fldCharType="separate"/>
    </w:r>
    <w:r w:rsidRPr="00593F15">
      <w:rPr>
        <w:noProof/>
        <w:sz w:val="20"/>
        <w:szCs w:val="20"/>
      </w:rPr>
      <w:t>FMizzina_</w:t>
    </w:r>
    <w:r w:rsidR="001B241A">
      <w:rPr>
        <w:noProof/>
        <w:sz w:val="20"/>
        <w:szCs w:val="20"/>
      </w:rPr>
      <w:t>SPSIL</w:t>
    </w:r>
    <w:r w:rsidRPr="00593F15">
      <w:rPr>
        <w:noProof/>
        <w:sz w:val="20"/>
        <w:szCs w:val="20"/>
      </w:rPr>
      <w:t>.doc</w:t>
    </w:r>
    <w:r w:rsidRPr="00593F15">
      <w:rPr>
        <w:sz w:val="20"/>
        <w:szCs w:val="20"/>
      </w:rPr>
      <w:fldChar w:fldCharType="end"/>
    </w:r>
    <w:r w:rsidR="00C12F45">
      <w:rPr>
        <w:sz w:val="20"/>
        <w:szCs w:val="20"/>
      </w:rPr>
      <w:t>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BA9" w:rsidRDefault="00494BA9">
      <w:r>
        <w:separator/>
      </w:r>
    </w:p>
  </w:footnote>
  <w:footnote w:type="continuationSeparator" w:id="0">
    <w:p w:rsidR="00494BA9" w:rsidRDefault="00494BA9">
      <w:r>
        <w:continuationSeparator/>
      </w:r>
    </w:p>
  </w:footnote>
  <w:footnote w:id="1">
    <w:p w:rsidR="002967AE" w:rsidRDefault="002967AE" w:rsidP="002967AE">
      <w:pPr>
        <w:pStyle w:val="FootnoteText"/>
        <w:jc w:val="both"/>
      </w:pPr>
      <w:r>
        <w:rPr>
          <w:rStyle w:val="FootnoteReference"/>
        </w:rPr>
        <w:footnoteRef/>
      </w:r>
      <w:r>
        <w:t xml:space="preserve"> </w:t>
      </w:r>
      <w:hyperlink r:id="rId1" w:history="1">
        <w:r>
          <w:rPr>
            <w:rStyle w:val="Hyperlink"/>
          </w:rPr>
          <w:t>http://tap.mk.gov.lv/mk/vsssanaksmes/saraksts/protokols/?protokols=2020-01-09</w:t>
        </w:r>
      </w:hyperlink>
    </w:p>
  </w:footnote>
  <w:footnote w:id="2">
    <w:p w:rsidR="002967AE" w:rsidRDefault="002967AE" w:rsidP="002967AE">
      <w:pPr>
        <w:pStyle w:val="FootnoteText"/>
        <w:jc w:val="both"/>
        <w:rPr>
          <w:color w:val="000000" w:themeColor="text1"/>
        </w:rPr>
      </w:pPr>
      <w:r>
        <w:rPr>
          <w:rStyle w:val="FootnoteReference"/>
        </w:rPr>
        <w:footnoteRef/>
      </w:r>
      <w:r>
        <w:t xml:space="preserve"> </w:t>
      </w:r>
      <w:r>
        <w:rPr>
          <w:color w:val="000000" w:themeColor="text1"/>
        </w:rPr>
        <w:t>Satversmes tiesas 2015. gada 14. oktobra spriedums lietā Nr. 2015-05-03, 13.1. apakšpunkts.</w:t>
      </w:r>
    </w:p>
  </w:footnote>
  <w:footnote w:id="3">
    <w:p w:rsidR="002967AE" w:rsidRDefault="002967AE" w:rsidP="002967AE">
      <w:pPr>
        <w:pStyle w:val="FootnoteText"/>
        <w:jc w:val="both"/>
      </w:pPr>
      <w:r>
        <w:rPr>
          <w:rStyle w:val="FootnoteReference"/>
        </w:rPr>
        <w:footnoteRef/>
      </w:r>
      <w:r>
        <w:t xml:space="preserve"> </w:t>
      </w:r>
      <w:r>
        <w:rPr>
          <w:color w:val="000000" w:themeColor="text1"/>
        </w:rPr>
        <w:t>Satversmes tiesas 2011. gada 11. janvāra spriedums lietā Nr. 2010-40-03, 10.1. apakšpunkts.</w:t>
      </w:r>
    </w:p>
  </w:footnote>
  <w:footnote w:id="4">
    <w:p w:rsidR="002967AE" w:rsidRDefault="002967AE" w:rsidP="002967AE">
      <w:pPr>
        <w:pStyle w:val="FootnoteText"/>
        <w:jc w:val="both"/>
      </w:pPr>
      <w:r>
        <w:rPr>
          <w:rStyle w:val="FootnoteReference"/>
          <w:color w:val="000000" w:themeColor="text1"/>
        </w:rPr>
        <w:footnoteRef/>
      </w:r>
      <w:r>
        <w:rPr>
          <w:color w:val="000000" w:themeColor="text1"/>
        </w:rPr>
        <w:t xml:space="preserve"> </w:t>
      </w:r>
      <w:r>
        <w:rPr>
          <w:color w:val="000000" w:themeColor="text1"/>
        </w:rPr>
        <w:t>Satversmes tiesas 2011. gada 11. janvāra spriedums lietā Nr. 2010-40-03, 10. punkts.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3C5" w:rsidRDefault="00E8574E"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43C5" w:rsidRDefault="00152E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3C5" w:rsidRDefault="00E8574E"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2E47">
      <w:rPr>
        <w:rStyle w:val="PageNumber"/>
        <w:noProof/>
      </w:rPr>
      <w:t>9</w:t>
    </w:r>
    <w:r>
      <w:rPr>
        <w:rStyle w:val="PageNumber"/>
      </w:rPr>
      <w:fldChar w:fldCharType="end"/>
    </w:r>
  </w:p>
  <w:p w:rsidR="00EC43C5" w:rsidRDefault="00152E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16483"/>
    <w:multiLevelType w:val="hybridMultilevel"/>
    <w:tmpl w:val="9508E2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B9D0117"/>
    <w:multiLevelType w:val="hybridMultilevel"/>
    <w:tmpl w:val="1742ABF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52B75D3"/>
    <w:multiLevelType w:val="hybridMultilevel"/>
    <w:tmpl w:val="F5C080C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1">
    <w:nsid w:val="3CB76AA9"/>
    <w:multiLevelType w:val="hybridMultilevel"/>
    <w:tmpl w:val="FDD0BD68"/>
    <w:lvl w:ilvl="0" w:tplc="278477FE">
      <w:start w:val="1"/>
      <w:numFmt w:val="decimal"/>
      <w:lvlText w:val="%1."/>
      <w:lvlJc w:val="left"/>
      <w:pPr>
        <w:ind w:left="720" w:hanging="360"/>
      </w:pPr>
      <w:rPr>
        <w:rFonts w:hint="default"/>
      </w:rPr>
    </w:lvl>
    <w:lvl w:ilvl="1" w:tplc="E8A464C6" w:tentative="1">
      <w:start w:val="1"/>
      <w:numFmt w:val="lowerLetter"/>
      <w:lvlText w:val="%2."/>
      <w:lvlJc w:val="left"/>
      <w:pPr>
        <w:ind w:left="1440" w:hanging="360"/>
      </w:pPr>
    </w:lvl>
    <w:lvl w:ilvl="2" w:tplc="55AC3ACE" w:tentative="1">
      <w:start w:val="1"/>
      <w:numFmt w:val="lowerRoman"/>
      <w:lvlText w:val="%3."/>
      <w:lvlJc w:val="right"/>
      <w:pPr>
        <w:ind w:left="2160" w:hanging="180"/>
      </w:pPr>
    </w:lvl>
    <w:lvl w:ilvl="3" w:tplc="5F4EADFE" w:tentative="1">
      <w:start w:val="1"/>
      <w:numFmt w:val="decimal"/>
      <w:lvlText w:val="%4."/>
      <w:lvlJc w:val="left"/>
      <w:pPr>
        <w:ind w:left="2880" w:hanging="360"/>
      </w:pPr>
    </w:lvl>
    <w:lvl w:ilvl="4" w:tplc="80604E70" w:tentative="1">
      <w:start w:val="1"/>
      <w:numFmt w:val="lowerLetter"/>
      <w:lvlText w:val="%5."/>
      <w:lvlJc w:val="left"/>
      <w:pPr>
        <w:ind w:left="3600" w:hanging="360"/>
      </w:pPr>
    </w:lvl>
    <w:lvl w:ilvl="5" w:tplc="777E7706" w:tentative="1">
      <w:start w:val="1"/>
      <w:numFmt w:val="lowerRoman"/>
      <w:lvlText w:val="%6."/>
      <w:lvlJc w:val="right"/>
      <w:pPr>
        <w:ind w:left="4320" w:hanging="180"/>
      </w:pPr>
    </w:lvl>
    <w:lvl w:ilvl="6" w:tplc="8B547C74" w:tentative="1">
      <w:start w:val="1"/>
      <w:numFmt w:val="decimal"/>
      <w:lvlText w:val="%7."/>
      <w:lvlJc w:val="left"/>
      <w:pPr>
        <w:ind w:left="5040" w:hanging="360"/>
      </w:pPr>
    </w:lvl>
    <w:lvl w:ilvl="7" w:tplc="1234DCE0" w:tentative="1">
      <w:start w:val="1"/>
      <w:numFmt w:val="lowerLetter"/>
      <w:lvlText w:val="%8."/>
      <w:lvlJc w:val="left"/>
      <w:pPr>
        <w:ind w:left="5760" w:hanging="360"/>
      </w:pPr>
    </w:lvl>
    <w:lvl w:ilvl="8" w:tplc="310AA992" w:tentative="1">
      <w:start w:val="1"/>
      <w:numFmt w:val="lowerRoman"/>
      <w:lvlText w:val="%9."/>
      <w:lvlJc w:val="right"/>
      <w:pPr>
        <w:ind w:left="6480" w:hanging="180"/>
      </w:pPr>
    </w:lvl>
  </w:abstractNum>
  <w:abstractNum w:abstractNumId="4" w15:restartNumberingAfterBreak="0">
    <w:nsid w:val="45076985"/>
    <w:multiLevelType w:val="hybridMultilevel"/>
    <w:tmpl w:val="3BCA2D1C"/>
    <w:lvl w:ilvl="0" w:tplc="04260017">
      <w:start w:val="1"/>
      <w:numFmt w:val="lowerLetter"/>
      <w:lvlText w:val="%1)"/>
      <w:lvlJc w:val="left"/>
      <w:pPr>
        <w:ind w:left="1495" w:hanging="360"/>
      </w:pPr>
    </w:lvl>
    <w:lvl w:ilvl="1" w:tplc="E80EDDC4">
      <w:start w:val="2"/>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EE324B2"/>
    <w:multiLevelType w:val="hybridMultilevel"/>
    <w:tmpl w:val="D00041E4"/>
    <w:lvl w:ilvl="0" w:tplc="04260011">
      <w:start w:val="1"/>
      <w:numFmt w:val="decimal"/>
      <w:lvlText w:val="%1)"/>
      <w:lvlJc w:val="left"/>
      <w:pPr>
        <w:ind w:left="1320" w:hanging="360"/>
      </w:pPr>
    </w:lvl>
    <w:lvl w:ilvl="1" w:tplc="04260011">
      <w:start w:val="1"/>
      <w:numFmt w:val="decimal"/>
      <w:lvlText w:val="%2)"/>
      <w:lvlJc w:val="left"/>
      <w:pPr>
        <w:ind w:left="2040" w:hanging="360"/>
      </w:pPr>
    </w:lvl>
    <w:lvl w:ilvl="2" w:tplc="0426001B" w:tentative="1">
      <w:start w:val="1"/>
      <w:numFmt w:val="lowerRoman"/>
      <w:lvlText w:val="%3."/>
      <w:lvlJc w:val="right"/>
      <w:pPr>
        <w:ind w:left="2760" w:hanging="180"/>
      </w:pPr>
    </w:lvl>
    <w:lvl w:ilvl="3" w:tplc="0426000F" w:tentative="1">
      <w:start w:val="1"/>
      <w:numFmt w:val="decimal"/>
      <w:lvlText w:val="%4."/>
      <w:lvlJc w:val="left"/>
      <w:pPr>
        <w:ind w:left="3480" w:hanging="360"/>
      </w:pPr>
    </w:lvl>
    <w:lvl w:ilvl="4" w:tplc="04260019" w:tentative="1">
      <w:start w:val="1"/>
      <w:numFmt w:val="lowerLetter"/>
      <w:lvlText w:val="%5."/>
      <w:lvlJc w:val="left"/>
      <w:pPr>
        <w:ind w:left="4200" w:hanging="360"/>
      </w:pPr>
    </w:lvl>
    <w:lvl w:ilvl="5" w:tplc="0426001B" w:tentative="1">
      <w:start w:val="1"/>
      <w:numFmt w:val="lowerRoman"/>
      <w:lvlText w:val="%6."/>
      <w:lvlJc w:val="right"/>
      <w:pPr>
        <w:ind w:left="4920" w:hanging="180"/>
      </w:pPr>
    </w:lvl>
    <w:lvl w:ilvl="6" w:tplc="0426000F" w:tentative="1">
      <w:start w:val="1"/>
      <w:numFmt w:val="decimal"/>
      <w:lvlText w:val="%7."/>
      <w:lvlJc w:val="left"/>
      <w:pPr>
        <w:ind w:left="5640" w:hanging="360"/>
      </w:pPr>
    </w:lvl>
    <w:lvl w:ilvl="7" w:tplc="04260019" w:tentative="1">
      <w:start w:val="1"/>
      <w:numFmt w:val="lowerLetter"/>
      <w:lvlText w:val="%8."/>
      <w:lvlJc w:val="left"/>
      <w:pPr>
        <w:ind w:left="6360" w:hanging="360"/>
      </w:pPr>
    </w:lvl>
    <w:lvl w:ilvl="8" w:tplc="0426001B" w:tentative="1">
      <w:start w:val="1"/>
      <w:numFmt w:val="lowerRoman"/>
      <w:lvlText w:val="%9."/>
      <w:lvlJc w:val="right"/>
      <w:pPr>
        <w:ind w:left="7080" w:hanging="180"/>
      </w:pPr>
    </w:lvl>
  </w:abstractNum>
  <w:abstractNum w:abstractNumId="6" w15:restartNumberingAfterBreak="0">
    <w:nsid w:val="64266107"/>
    <w:multiLevelType w:val="hybridMultilevel"/>
    <w:tmpl w:val="253A642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BB1"/>
    <w:rsid w:val="000151A1"/>
    <w:rsid w:val="000952F6"/>
    <w:rsid w:val="000B1D4C"/>
    <w:rsid w:val="000D59CE"/>
    <w:rsid w:val="000E49E8"/>
    <w:rsid w:val="00152E47"/>
    <w:rsid w:val="00161CC2"/>
    <w:rsid w:val="001B241A"/>
    <w:rsid w:val="00215969"/>
    <w:rsid w:val="002967AE"/>
    <w:rsid w:val="00310B6B"/>
    <w:rsid w:val="00343BEE"/>
    <w:rsid w:val="003C2F49"/>
    <w:rsid w:val="003E6298"/>
    <w:rsid w:val="0040670F"/>
    <w:rsid w:val="0041176A"/>
    <w:rsid w:val="00411BEA"/>
    <w:rsid w:val="0042064D"/>
    <w:rsid w:val="00433F7C"/>
    <w:rsid w:val="00490010"/>
    <w:rsid w:val="00494BA9"/>
    <w:rsid w:val="004D2F20"/>
    <w:rsid w:val="00541718"/>
    <w:rsid w:val="0055025C"/>
    <w:rsid w:val="0057531D"/>
    <w:rsid w:val="00593F15"/>
    <w:rsid w:val="00593F4F"/>
    <w:rsid w:val="005C0BB1"/>
    <w:rsid w:val="005C4BE1"/>
    <w:rsid w:val="006036EC"/>
    <w:rsid w:val="00617653"/>
    <w:rsid w:val="006835D4"/>
    <w:rsid w:val="006D145A"/>
    <w:rsid w:val="006D5E78"/>
    <w:rsid w:val="007654C9"/>
    <w:rsid w:val="007A5894"/>
    <w:rsid w:val="007D3A9D"/>
    <w:rsid w:val="00821CB3"/>
    <w:rsid w:val="008419B2"/>
    <w:rsid w:val="00865455"/>
    <w:rsid w:val="008B7BC4"/>
    <w:rsid w:val="008C0F2F"/>
    <w:rsid w:val="009228EB"/>
    <w:rsid w:val="009562A9"/>
    <w:rsid w:val="009C42A1"/>
    <w:rsid w:val="009F219F"/>
    <w:rsid w:val="00A011A2"/>
    <w:rsid w:val="00A32BA7"/>
    <w:rsid w:val="00AA64EE"/>
    <w:rsid w:val="00B47D0A"/>
    <w:rsid w:val="00BA4655"/>
    <w:rsid w:val="00BB528A"/>
    <w:rsid w:val="00BC2E0C"/>
    <w:rsid w:val="00C12F45"/>
    <w:rsid w:val="00C34E4E"/>
    <w:rsid w:val="00C3697D"/>
    <w:rsid w:val="00C8637E"/>
    <w:rsid w:val="00CE2509"/>
    <w:rsid w:val="00CF2C55"/>
    <w:rsid w:val="00D4170D"/>
    <w:rsid w:val="00D62C02"/>
    <w:rsid w:val="00DA7578"/>
    <w:rsid w:val="00DB1BA3"/>
    <w:rsid w:val="00E017C3"/>
    <w:rsid w:val="00E743A5"/>
    <w:rsid w:val="00E8574E"/>
    <w:rsid w:val="00E918F3"/>
    <w:rsid w:val="00ED08AA"/>
    <w:rsid w:val="00F44DB5"/>
    <w:rsid w:val="00FF02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2F39E"/>
  <w15:chartTrackingRefBased/>
  <w15:docId w15:val="{77D4E44D-D557-4FC0-B337-9CD1596C9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74E"/>
    <w:pPr>
      <w:spacing w:after="0" w:line="240" w:lineRule="auto"/>
    </w:pPr>
    <w:rPr>
      <w:rFonts w:eastAsia="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8574E"/>
    <w:pPr>
      <w:spacing w:before="100" w:beforeAutospacing="1" w:after="100" w:afterAutospacing="1"/>
    </w:pPr>
  </w:style>
  <w:style w:type="paragraph" w:customStyle="1" w:styleId="naisf">
    <w:name w:val="naisf"/>
    <w:basedOn w:val="Normal"/>
    <w:rsid w:val="00E8574E"/>
    <w:pPr>
      <w:spacing w:before="75" w:after="75"/>
      <w:ind w:firstLine="375"/>
      <w:jc w:val="both"/>
    </w:pPr>
  </w:style>
  <w:style w:type="paragraph" w:customStyle="1" w:styleId="naisnod">
    <w:name w:val="naisnod"/>
    <w:basedOn w:val="Normal"/>
    <w:uiPriority w:val="99"/>
    <w:rsid w:val="00E8574E"/>
    <w:pPr>
      <w:spacing w:before="150" w:after="150"/>
      <w:jc w:val="center"/>
    </w:pPr>
    <w:rPr>
      <w:b/>
      <w:bCs/>
    </w:rPr>
  </w:style>
  <w:style w:type="paragraph" w:customStyle="1" w:styleId="naiskr">
    <w:name w:val="naiskr"/>
    <w:basedOn w:val="Normal"/>
    <w:rsid w:val="00E8574E"/>
    <w:pPr>
      <w:spacing w:before="75" w:after="75"/>
    </w:pPr>
  </w:style>
  <w:style w:type="paragraph" w:customStyle="1" w:styleId="naisc">
    <w:name w:val="naisc"/>
    <w:basedOn w:val="Normal"/>
    <w:rsid w:val="00E8574E"/>
    <w:pPr>
      <w:spacing w:before="75" w:after="75"/>
      <w:jc w:val="center"/>
    </w:pPr>
  </w:style>
  <w:style w:type="character" w:styleId="Strong">
    <w:name w:val="Strong"/>
    <w:uiPriority w:val="22"/>
    <w:qFormat/>
    <w:rsid w:val="00E8574E"/>
    <w:rPr>
      <w:rFonts w:cs="Times New Roman"/>
      <w:b/>
      <w:bCs/>
    </w:rPr>
  </w:style>
  <w:style w:type="paragraph" w:styleId="Header">
    <w:name w:val="header"/>
    <w:basedOn w:val="Normal"/>
    <w:link w:val="HeaderChar"/>
    <w:uiPriority w:val="99"/>
    <w:rsid w:val="00E8574E"/>
    <w:pPr>
      <w:tabs>
        <w:tab w:val="center" w:pos="4153"/>
        <w:tab w:val="right" w:pos="8306"/>
      </w:tabs>
    </w:pPr>
  </w:style>
  <w:style w:type="character" w:customStyle="1" w:styleId="HeaderChar">
    <w:name w:val="Header Char"/>
    <w:basedOn w:val="DefaultParagraphFont"/>
    <w:link w:val="Header"/>
    <w:uiPriority w:val="99"/>
    <w:rsid w:val="00E8574E"/>
    <w:rPr>
      <w:rFonts w:eastAsia="Times New Roman"/>
      <w:lang w:eastAsia="lv-LV"/>
    </w:rPr>
  </w:style>
  <w:style w:type="character" w:styleId="PageNumber">
    <w:name w:val="page number"/>
    <w:uiPriority w:val="99"/>
    <w:rsid w:val="00E8574E"/>
    <w:rPr>
      <w:rFonts w:cs="Times New Roman"/>
    </w:rPr>
  </w:style>
  <w:style w:type="paragraph" w:styleId="Footer">
    <w:name w:val="footer"/>
    <w:basedOn w:val="Normal"/>
    <w:link w:val="FooterChar"/>
    <w:uiPriority w:val="99"/>
    <w:rsid w:val="00E8574E"/>
    <w:pPr>
      <w:tabs>
        <w:tab w:val="center" w:pos="4153"/>
        <w:tab w:val="right" w:pos="8306"/>
      </w:tabs>
    </w:pPr>
  </w:style>
  <w:style w:type="character" w:customStyle="1" w:styleId="FooterChar">
    <w:name w:val="Footer Char"/>
    <w:basedOn w:val="DefaultParagraphFont"/>
    <w:link w:val="Footer"/>
    <w:uiPriority w:val="99"/>
    <w:rsid w:val="00E8574E"/>
    <w:rPr>
      <w:rFonts w:eastAsia="Times New Roman"/>
      <w:lang w:eastAsia="lv-LV"/>
    </w:rPr>
  </w:style>
  <w:style w:type="paragraph" w:styleId="ListParagraph">
    <w:name w:val="List Paragraph"/>
    <w:aliases w:val="2,H&amp;P List Paragraph,Strip,Saraksta rindkopa,Saraksta rindkopa1"/>
    <w:basedOn w:val="Normal"/>
    <w:link w:val="ListParagraphChar"/>
    <w:uiPriority w:val="34"/>
    <w:qFormat/>
    <w:rsid w:val="00E8574E"/>
    <w:pPr>
      <w:spacing w:after="200" w:line="276" w:lineRule="auto"/>
      <w:ind w:left="720"/>
      <w:contextualSpacing/>
    </w:pPr>
    <w:rPr>
      <w:rFonts w:ascii="Calibri" w:hAnsi="Calibri"/>
      <w:sz w:val="22"/>
      <w:szCs w:val="22"/>
      <w:lang w:eastAsia="en-US"/>
    </w:rPr>
  </w:style>
  <w:style w:type="paragraph" w:customStyle="1" w:styleId="NormalLatvian">
    <w:name w:val="Normal – Latvian"/>
    <w:basedOn w:val="Normal"/>
    <w:rsid w:val="00E8574E"/>
    <w:pPr>
      <w:tabs>
        <w:tab w:val="left" w:pos="1829"/>
      </w:tabs>
      <w:spacing w:after="120"/>
      <w:jc w:val="both"/>
    </w:pPr>
    <w:rPr>
      <w:bCs/>
      <w:sz w:val="28"/>
      <w:lang w:eastAsia="en-US"/>
    </w:rPr>
  </w:style>
  <w:style w:type="character" w:customStyle="1" w:styleId="ListParagraphChar">
    <w:name w:val="List Paragraph Char"/>
    <w:aliases w:val="2 Char,H&amp;P List Paragraph Char,Strip Char,Saraksta rindkopa Char,Saraksta rindkopa1 Char"/>
    <w:link w:val="ListParagraph"/>
    <w:uiPriority w:val="34"/>
    <w:locked/>
    <w:rsid w:val="00E8574E"/>
    <w:rPr>
      <w:rFonts w:ascii="Calibri" w:eastAsia="Times New Roman" w:hAnsi="Calibri"/>
      <w:sz w:val="22"/>
      <w:szCs w:val="22"/>
    </w:rPr>
  </w:style>
  <w:style w:type="character" w:styleId="FollowedHyperlink">
    <w:name w:val="FollowedHyperlink"/>
    <w:basedOn w:val="DefaultParagraphFont"/>
    <w:uiPriority w:val="99"/>
    <w:semiHidden/>
    <w:unhideWhenUsed/>
    <w:rsid w:val="008C0F2F"/>
    <w:rPr>
      <w:color w:val="954F72" w:themeColor="followedHyperlink"/>
      <w:u w:val="single"/>
    </w:rPr>
  </w:style>
  <w:style w:type="paragraph" w:customStyle="1" w:styleId="h2">
    <w:name w:val="h2"/>
    <w:basedOn w:val="Normal"/>
    <w:uiPriority w:val="99"/>
    <w:rsid w:val="00490010"/>
    <w:pPr>
      <w:spacing w:before="100" w:beforeAutospacing="1" w:after="100" w:afterAutospacing="1"/>
    </w:pPr>
    <w:rPr>
      <w:color w:val="306060"/>
    </w:rPr>
  </w:style>
  <w:style w:type="table" w:styleId="TableGrid">
    <w:name w:val="Table Grid"/>
    <w:basedOn w:val="TableNormal"/>
    <w:uiPriority w:val="39"/>
    <w:rsid w:val="00296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967AE"/>
    <w:rPr>
      <w:sz w:val="20"/>
      <w:szCs w:val="20"/>
    </w:rPr>
  </w:style>
  <w:style w:type="character" w:customStyle="1" w:styleId="FootnoteTextChar">
    <w:name w:val="Footnote Text Char"/>
    <w:basedOn w:val="DefaultParagraphFont"/>
    <w:link w:val="FootnoteText"/>
    <w:uiPriority w:val="99"/>
    <w:semiHidden/>
    <w:rsid w:val="002967AE"/>
    <w:rPr>
      <w:rFonts w:eastAsia="Times New Roman"/>
      <w:sz w:val="20"/>
      <w:szCs w:val="20"/>
      <w:lang w:eastAsia="lv-LV"/>
    </w:rPr>
  </w:style>
  <w:style w:type="character" w:styleId="Hyperlink">
    <w:name w:val="Hyperlink"/>
    <w:uiPriority w:val="99"/>
    <w:unhideWhenUsed/>
    <w:rsid w:val="002967AE"/>
    <w:rPr>
      <w:color w:val="0000FF"/>
      <w:u w:val="single"/>
    </w:rPr>
  </w:style>
  <w:style w:type="character" w:styleId="FootnoteReference">
    <w:name w:val="footnote reference"/>
    <w:basedOn w:val="DefaultParagraphFont"/>
    <w:semiHidden/>
    <w:unhideWhenUsed/>
    <w:rsid w:val="002967AE"/>
    <w:rPr>
      <w:vertAlign w:val="superscript"/>
    </w:rPr>
  </w:style>
  <w:style w:type="paragraph" w:customStyle="1" w:styleId="tv213">
    <w:name w:val="tv213"/>
    <w:basedOn w:val="Normal"/>
    <w:rsid w:val="009C42A1"/>
    <w:pPr>
      <w:spacing w:before="100" w:beforeAutospacing="1" w:after="100" w:afterAutospacing="1"/>
    </w:pPr>
  </w:style>
  <w:style w:type="paragraph" w:styleId="BalloonText">
    <w:name w:val="Balloon Text"/>
    <w:basedOn w:val="Normal"/>
    <w:link w:val="BalloonTextChar"/>
    <w:uiPriority w:val="99"/>
    <w:semiHidden/>
    <w:unhideWhenUsed/>
    <w:rsid w:val="007D3A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A9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tap.mk.gov.lv/mk/vsssanaksmes/saraksts/protokols/?protokols=2020-0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9</Pages>
  <Words>11542</Words>
  <Characters>6579</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Finanšu Ministrija</Company>
  <LinksUpToDate>false</LinksUpToDate>
  <CharactersWithSpaces>18085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Izzina</dc:subject>
  <dc:creator>Edgars Matulis</dc:creator>
  <cp:keywords/>
  <dc:description>Edgars.Matulis@fm.gov.lv_x000d_
67095457</dc:description>
  <cp:lastModifiedBy>Edgars Matulis</cp:lastModifiedBy>
  <cp:revision>48</cp:revision>
  <dcterms:created xsi:type="dcterms:W3CDTF">2020-09-18T06:26:00Z</dcterms:created>
  <dcterms:modified xsi:type="dcterms:W3CDTF">2020-12-03T12:55:00Z</dcterms:modified>
</cp:coreProperties>
</file>