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5A" w:rsidRDefault="00FB195A" w:rsidP="00FB195A">
      <w:pPr>
        <w:spacing w:after="0" w:line="240" w:lineRule="auto"/>
        <w:jc w:val="center"/>
        <w:rPr>
          <w:rFonts w:ascii="Times New Roman" w:hAnsi="Times New Roman" w:cs="Times New Roman"/>
          <w:b/>
          <w:sz w:val="24"/>
          <w:szCs w:val="24"/>
        </w:rPr>
      </w:pPr>
    </w:p>
    <w:p w:rsidR="00FB195A" w:rsidRDefault="00FB195A" w:rsidP="00FB195A">
      <w:pPr>
        <w:spacing w:after="0" w:line="240" w:lineRule="auto"/>
        <w:jc w:val="center"/>
        <w:rPr>
          <w:rFonts w:ascii="Times New Roman" w:hAnsi="Times New Roman" w:cs="Times New Roman"/>
          <w:b/>
          <w:sz w:val="24"/>
          <w:szCs w:val="24"/>
        </w:rPr>
      </w:pPr>
      <w:r w:rsidRPr="00EA3AB6">
        <w:rPr>
          <w:rFonts w:ascii="Times New Roman" w:hAnsi="Times New Roman" w:cs="Times New Roman"/>
          <w:b/>
          <w:sz w:val="24"/>
          <w:szCs w:val="24"/>
        </w:rPr>
        <w:t>Ministru kabineta noteikumu projekta</w:t>
      </w:r>
      <w:r>
        <w:rPr>
          <w:rFonts w:ascii="Times New Roman" w:hAnsi="Times New Roman" w:cs="Times New Roman"/>
          <w:b/>
          <w:sz w:val="24"/>
          <w:szCs w:val="24"/>
        </w:rPr>
        <w:t xml:space="preserve"> </w:t>
      </w:r>
    </w:p>
    <w:p w:rsidR="00FB195A" w:rsidRDefault="00FB195A" w:rsidP="00FB195A">
      <w:pPr>
        <w:spacing w:after="0" w:line="240" w:lineRule="auto"/>
        <w:jc w:val="center"/>
        <w:rPr>
          <w:rFonts w:ascii="Times New Roman" w:eastAsia="Calibri" w:hAnsi="Times New Roman" w:cs="Times New Roman"/>
          <w:b/>
          <w:sz w:val="24"/>
          <w:szCs w:val="24"/>
        </w:rPr>
      </w:pPr>
      <w:r>
        <w:rPr>
          <w:rFonts w:ascii="Times New Roman" w:hAnsi="Times New Roman" w:cs="Times New Roman"/>
          <w:b/>
          <w:sz w:val="24"/>
          <w:szCs w:val="24"/>
        </w:rPr>
        <w:t>“</w:t>
      </w:r>
      <w:r>
        <w:rPr>
          <w:rFonts w:ascii="Times New Roman" w:eastAsia="Times New Roman" w:hAnsi="Times New Roman" w:cs="Times New Roman"/>
          <w:b/>
          <w:bCs/>
          <w:sz w:val="24"/>
          <w:szCs w:val="24"/>
          <w:lang w:eastAsia="lv-LV"/>
        </w:rPr>
        <w:t>Grozījum</w:t>
      </w:r>
      <w:r w:rsidR="00F221A7">
        <w:rPr>
          <w:rFonts w:ascii="Times New Roman" w:eastAsia="Times New Roman" w:hAnsi="Times New Roman" w:cs="Times New Roman"/>
          <w:b/>
          <w:bCs/>
          <w:sz w:val="24"/>
          <w:szCs w:val="24"/>
          <w:lang w:eastAsia="lv-LV"/>
        </w:rPr>
        <w:t>i</w:t>
      </w:r>
      <w:r w:rsidRPr="00EA3AB6">
        <w:rPr>
          <w:rFonts w:ascii="Times New Roman" w:eastAsia="Times New Roman" w:hAnsi="Times New Roman" w:cs="Times New Roman"/>
          <w:b/>
          <w:bCs/>
          <w:sz w:val="24"/>
          <w:szCs w:val="24"/>
          <w:lang w:eastAsia="lv-LV"/>
        </w:rPr>
        <w:t xml:space="preserve"> Ministru kabineta 2020. gada 9. jūnija noteikumos Nr. 360 “</w:t>
      </w:r>
      <w:hyperlink r:id="rId6" w:tgtFrame="_blank" w:history="1">
        <w:r w:rsidRPr="00EA3AB6">
          <w:rPr>
            <w:rFonts w:ascii="Times New Roman" w:eastAsia="Times New Roman" w:hAnsi="Times New Roman" w:cs="Times New Roman"/>
            <w:b/>
            <w:bCs/>
            <w:sz w:val="24"/>
            <w:szCs w:val="24"/>
            <w:lang w:eastAsia="lv-LV"/>
          </w:rPr>
          <w:t>Epidemioloģiskās drošības pasākumi Covid-19 infekcijas izplatības ierobežošanai</w:t>
        </w:r>
      </w:hyperlink>
      <w:r w:rsidRPr="00EA3AB6">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w:t>
      </w:r>
      <w:r>
        <w:rPr>
          <w:rFonts w:ascii="Times New Roman" w:hAnsi="Times New Roman" w:cs="Times New Roman"/>
          <w:b/>
          <w:sz w:val="24"/>
          <w:szCs w:val="24"/>
        </w:rPr>
        <w:t xml:space="preserve"> </w:t>
      </w:r>
      <w:r w:rsidRPr="00882454">
        <w:rPr>
          <w:rFonts w:ascii="Times New Roman" w:eastAsia="Times New Roman" w:hAnsi="Times New Roman" w:cs="Times New Roman"/>
          <w:b/>
          <w:bCs/>
          <w:sz w:val="24"/>
          <w:szCs w:val="24"/>
          <w:lang w:eastAsia="lv-LV"/>
        </w:rPr>
        <w:t>sākotnējās ietekmes novērtējuma ziņojums (anotācija</w:t>
      </w:r>
      <w:r w:rsidRPr="00882454">
        <w:rPr>
          <w:rFonts w:ascii="Times New Roman" w:eastAsia="Calibri" w:hAnsi="Times New Roman" w:cs="Times New Roman"/>
          <w:b/>
          <w:sz w:val="24"/>
          <w:szCs w:val="24"/>
        </w:rPr>
        <w:t>)</w:t>
      </w:r>
    </w:p>
    <w:p w:rsidR="00FB195A" w:rsidRPr="00882454" w:rsidRDefault="00FB195A" w:rsidP="00FB195A">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1"/>
        <w:gridCol w:w="5810"/>
      </w:tblGrid>
      <w:tr w:rsidR="00FB195A" w:rsidRPr="00882454" w:rsidTr="002970BB">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B195A" w:rsidRPr="00882454" w:rsidRDefault="00FB195A" w:rsidP="002970BB">
            <w:pPr>
              <w:spacing w:after="0" w:line="240" w:lineRule="auto"/>
              <w:jc w:val="center"/>
              <w:rPr>
                <w:rFonts w:ascii="Times New Roman" w:eastAsia="Times New Roman" w:hAnsi="Times New Roman" w:cs="Times New Roman"/>
                <w:b/>
                <w:iCs/>
                <w:sz w:val="24"/>
                <w:szCs w:val="24"/>
              </w:rPr>
            </w:pPr>
            <w:r w:rsidRPr="00882454">
              <w:rPr>
                <w:rFonts w:ascii="Times New Roman" w:eastAsia="Times New Roman" w:hAnsi="Times New Roman" w:cs="Times New Roman"/>
                <w:b/>
                <w:iCs/>
                <w:sz w:val="24"/>
                <w:szCs w:val="24"/>
              </w:rPr>
              <w:t>Tiesību akta projekta anotācijas kopsavilkums</w:t>
            </w:r>
          </w:p>
        </w:tc>
      </w:tr>
      <w:tr w:rsidR="00FB195A" w:rsidRPr="00882454" w:rsidTr="002970BB">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FB195A" w:rsidRPr="00882454" w:rsidRDefault="00FB195A" w:rsidP="002970BB">
            <w:pPr>
              <w:spacing w:after="0" w:line="240" w:lineRule="auto"/>
              <w:jc w:val="both"/>
              <w:rPr>
                <w:rFonts w:ascii="Times New Roman" w:eastAsia="Times New Roman" w:hAnsi="Times New Roman" w:cs="Times New Roman"/>
                <w:iCs/>
                <w:sz w:val="24"/>
                <w:szCs w:val="24"/>
              </w:rPr>
            </w:pPr>
            <w:r w:rsidRPr="00882454">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FB195A" w:rsidRPr="001670CB" w:rsidRDefault="00FB195A" w:rsidP="002970BB">
            <w:pPr>
              <w:spacing w:after="0" w:line="240" w:lineRule="auto"/>
              <w:ind w:firstLine="674"/>
              <w:jc w:val="both"/>
              <w:rPr>
                <w:rFonts w:ascii="Times New Roman" w:hAnsi="Times New Roman" w:cs="Times New Roman"/>
                <w:sz w:val="24"/>
                <w:szCs w:val="24"/>
              </w:rPr>
            </w:pPr>
            <w:r w:rsidRPr="00401658">
              <w:rPr>
                <w:rFonts w:ascii="Times New Roman" w:eastAsia="Times New Roman" w:hAnsi="Times New Roman" w:cs="Times New Roman"/>
                <w:iCs/>
                <w:sz w:val="24"/>
                <w:szCs w:val="24"/>
              </w:rPr>
              <w:t xml:space="preserve">Atbilstoši </w:t>
            </w:r>
            <w:r w:rsidRPr="00401658">
              <w:rPr>
                <w:rFonts w:ascii="Times New Roman" w:hAnsi="Times New Roman" w:cs="Times New Roman"/>
                <w:sz w:val="24"/>
                <w:szCs w:val="24"/>
              </w:rPr>
              <w:t>Ministru kabineta 2009. gada 15. decembra instrukcijas Nr.19 “Tiesību akta projekta sākotnējās ietekmes izvērtēšanas kārtība” 5.</w:t>
            </w:r>
            <w:r w:rsidRPr="00401658">
              <w:rPr>
                <w:rFonts w:ascii="Times New Roman" w:hAnsi="Times New Roman" w:cs="Times New Roman"/>
                <w:sz w:val="24"/>
                <w:szCs w:val="24"/>
                <w:vertAlign w:val="superscript"/>
              </w:rPr>
              <w:t>1 </w:t>
            </w:r>
            <w:r w:rsidRPr="00401658">
              <w:rPr>
                <w:rFonts w:ascii="Times New Roman" w:hAnsi="Times New Roman" w:cs="Times New Roman"/>
                <w:sz w:val="24"/>
                <w:szCs w:val="24"/>
              </w:rPr>
              <w:t>punktā noteiktajam anotācijas kopsavilkumu nav nepieciešams aizpildīt.</w:t>
            </w:r>
          </w:p>
        </w:tc>
      </w:tr>
    </w:tbl>
    <w:p w:rsidR="00FB195A" w:rsidRDefault="00FB195A" w:rsidP="00FB195A">
      <w:pPr>
        <w:spacing w:after="0" w:line="240" w:lineRule="auto"/>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FB195A" w:rsidRPr="00882454" w:rsidTr="002970BB">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B195A" w:rsidRPr="00DC3A61" w:rsidRDefault="00FB195A" w:rsidP="002970BB">
            <w:pPr>
              <w:spacing w:after="0" w:line="240" w:lineRule="auto"/>
              <w:jc w:val="center"/>
              <w:rPr>
                <w:rFonts w:ascii="Times New Roman" w:eastAsia="Times New Roman" w:hAnsi="Times New Roman" w:cs="Times New Roman"/>
                <w:b/>
                <w:bCs/>
                <w:sz w:val="24"/>
                <w:szCs w:val="24"/>
              </w:rPr>
            </w:pPr>
            <w:r w:rsidRPr="00C70637">
              <w:rPr>
                <w:rFonts w:ascii="Times New Roman" w:eastAsia="Times New Roman" w:hAnsi="Times New Roman" w:cs="Times New Roman"/>
                <w:b/>
                <w:bCs/>
                <w:sz w:val="24"/>
                <w:szCs w:val="24"/>
              </w:rPr>
              <w:t>I. Tiesību akta projekta izstrādes nepieciešamība</w:t>
            </w:r>
          </w:p>
        </w:tc>
      </w:tr>
      <w:tr w:rsidR="00FB195A" w:rsidRPr="00882454" w:rsidTr="002970BB">
        <w:trPr>
          <w:trHeight w:val="40"/>
        </w:trPr>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rsidR="00FB195A" w:rsidRPr="00DC3A61" w:rsidRDefault="00FB195A" w:rsidP="002970BB">
            <w:pPr>
              <w:spacing w:after="0" w:line="240" w:lineRule="auto"/>
              <w:rPr>
                <w:rFonts w:ascii="Times New Roman" w:eastAsia="Times New Roman" w:hAnsi="Times New Roman" w:cs="Times New Roman"/>
                <w:sz w:val="24"/>
                <w:szCs w:val="24"/>
              </w:rPr>
            </w:pPr>
            <w:r w:rsidRPr="00C70637">
              <w:rPr>
                <w:rFonts w:ascii="Times New Roman" w:eastAsia="Times New Roman" w:hAnsi="Times New Roman" w:cs="Times New Roman"/>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rsidR="00F221A7" w:rsidRDefault="00F221A7" w:rsidP="002970B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Ekonomikas ministrijas iniciatīva.</w:t>
            </w:r>
          </w:p>
          <w:p w:rsidR="00F221A7" w:rsidRPr="00110333" w:rsidRDefault="00FB195A" w:rsidP="002970BB">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Iekšlietu ministrijas iniciatīva.</w:t>
            </w:r>
          </w:p>
        </w:tc>
      </w:tr>
      <w:tr w:rsidR="00FB195A" w:rsidRPr="00882454" w:rsidTr="002970BB">
        <w:trPr>
          <w:trHeight w:val="1407"/>
        </w:trPr>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rsidR="00FB195A" w:rsidRPr="001018EC" w:rsidRDefault="00FB195A" w:rsidP="00DA6DC4">
            <w:pPr>
              <w:spacing w:after="0" w:line="240" w:lineRule="auto"/>
              <w:rPr>
                <w:rFonts w:ascii="Times New Roman" w:eastAsia="Times New Roman" w:hAnsi="Times New Roman" w:cs="Times New Roman"/>
                <w:sz w:val="24"/>
                <w:szCs w:val="24"/>
              </w:rPr>
            </w:pPr>
            <w:r w:rsidRPr="001018E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tcPr>
          <w:p w:rsidR="00F221A7" w:rsidRPr="00F221A7" w:rsidRDefault="00F221A7" w:rsidP="00F221A7">
            <w:pPr>
              <w:spacing w:line="240" w:lineRule="auto"/>
              <w:ind w:firstLine="533"/>
              <w:contextualSpacing/>
              <w:jc w:val="both"/>
              <w:rPr>
                <w:rFonts w:ascii="Times New Roman" w:hAnsi="Times New Roman" w:cs="Times New Roman"/>
                <w:sz w:val="24"/>
                <w:szCs w:val="24"/>
              </w:rPr>
            </w:pPr>
            <w:r w:rsidRPr="00F221A7">
              <w:rPr>
                <w:rFonts w:ascii="Times New Roman" w:hAnsi="Times New Roman" w:cs="Times New Roman"/>
                <w:sz w:val="24"/>
                <w:szCs w:val="24"/>
              </w:rPr>
              <w:t>Datoru un mobilo telefonu veikalu darbība tirdzniecības centrā, kura kopējā tirdzniecībai atvēlētā platība ir lielāka par 7000 m</w:t>
            </w:r>
            <w:r w:rsidRPr="00F221A7">
              <w:rPr>
                <w:rFonts w:ascii="Times New Roman" w:hAnsi="Times New Roman" w:cs="Times New Roman"/>
                <w:sz w:val="24"/>
                <w:szCs w:val="24"/>
                <w:vertAlign w:val="superscript"/>
              </w:rPr>
              <w:t>2</w:t>
            </w:r>
            <w:r w:rsidRPr="00F221A7">
              <w:rPr>
                <w:rFonts w:ascii="Times New Roman" w:hAnsi="Times New Roman" w:cs="Times New Roman"/>
                <w:sz w:val="24"/>
                <w:szCs w:val="24"/>
              </w:rPr>
              <w:t xml:space="preserve">, būtu atļaujama, ņemot vērā, ka Covid-19 infekcijas slimības laikā liela daļa sabiedrības, pielāgojoties esošajai epidemioloģiskajai situācijai valstī, strādā attālināti. Arī mācību process izglītības iegūšanai lielā mērā tiek organizēts attālināti tiešsaistes režīmā. Proti, pildot darba pienākumus un īstenojot izglītības procesu attālināti, objektīvi ir pastiprināta nepieciešamība nodrošināt iedzīvotājiem iespēju iegādāties neciešamo datortehniku, tās piederumus un programmatūru, kā arī telekomunikācijas iekārtas. </w:t>
            </w:r>
          </w:p>
          <w:p w:rsidR="00F221A7" w:rsidRPr="00F221A7" w:rsidRDefault="00F221A7" w:rsidP="00F221A7">
            <w:pPr>
              <w:spacing w:line="240" w:lineRule="auto"/>
              <w:ind w:firstLine="533"/>
              <w:contextualSpacing/>
              <w:jc w:val="both"/>
              <w:rPr>
                <w:rFonts w:ascii="Times New Roman" w:hAnsi="Times New Roman" w:cs="Times New Roman"/>
                <w:i/>
                <w:sz w:val="24"/>
                <w:szCs w:val="24"/>
              </w:rPr>
            </w:pPr>
            <w:r w:rsidRPr="00F221A7">
              <w:rPr>
                <w:rFonts w:ascii="Times New Roman" w:hAnsi="Times New Roman" w:cs="Times New Roman"/>
                <w:sz w:val="24"/>
                <w:szCs w:val="24"/>
              </w:rPr>
              <w:t xml:space="preserve">Papildus norādāms, ka bieži vien elektronisko sakaru pakalpojumu sniegšana praksē nav nodalāma no attiecīgu telekomunikācijas iekārtu iegādes šo pakalpojumu izmantošanai, tādēļ, ierobežojot attiecīgo preču tirdzniecību, ir apdraudēta arī elektronisko sakaru pakalpojumu pieejamība (izmantošana). Piemēram, noslēdzot līgumu par elektronisko sakaru pakalpojuma izmantošanu, bieži vien ir nepieciešams papildus iegādāties  arī attiecīgu ierīci – </w:t>
            </w:r>
            <w:r w:rsidRPr="00F221A7">
              <w:rPr>
                <w:rStyle w:val="acopre"/>
                <w:rFonts w:ascii="Times New Roman" w:hAnsi="Times New Roman" w:cs="Times New Roman"/>
                <w:sz w:val="24"/>
                <w:szCs w:val="24"/>
              </w:rPr>
              <w:t>mobilo telefonu, planšetdatoru, datoru</w:t>
            </w:r>
            <w:r w:rsidRPr="00F221A7">
              <w:rPr>
                <w:rStyle w:val="acopre"/>
                <w:rFonts w:ascii="Times New Roman" w:hAnsi="Times New Roman" w:cs="Times New Roman"/>
                <w:i/>
                <w:iCs/>
                <w:sz w:val="24"/>
                <w:szCs w:val="24"/>
              </w:rPr>
              <w:t xml:space="preserve">, </w:t>
            </w:r>
            <w:r w:rsidRPr="00F221A7">
              <w:rPr>
                <w:rStyle w:val="Emphasis"/>
                <w:rFonts w:ascii="Times New Roman" w:hAnsi="Times New Roman" w:cs="Times New Roman"/>
                <w:i w:val="0"/>
                <w:sz w:val="24"/>
                <w:szCs w:val="24"/>
              </w:rPr>
              <w:t>rūteri</w:t>
            </w:r>
            <w:r w:rsidRPr="00F221A7">
              <w:rPr>
                <w:rStyle w:val="acopre"/>
                <w:rFonts w:ascii="Times New Roman" w:hAnsi="Times New Roman" w:cs="Times New Roman"/>
                <w:i/>
                <w:iCs/>
                <w:sz w:val="24"/>
                <w:szCs w:val="24"/>
              </w:rPr>
              <w:t xml:space="preserve">, </w:t>
            </w:r>
            <w:r w:rsidRPr="00F221A7">
              <w:rPr>
                <w:rStyle w:val="Emphasis"/>
                <w:rFonts w:ascii="Times New Roman" w:hAnsi="Times New Roman" w:cs="Times New Roman"/>
                <w:i w:val="0"/>
                <w:sz w:val="24"/>
                <w:szCs w:val="24"/>
              </w:rPr>
              <w:t>modemu vai kādu citu telekomunikācijas iekārtu</w:t>
            </w:r>
            <w:r w:rsidRPr="00F221A7">
              <w:rPr>
                <w:rFonts w:ascii="Times New Roman" w:hAnsi="Times New Roman" w:cs="Times New Roman"/>
                <w:i/>
                <w:iCs/>
                <w:sz w:val="24"/>
                <w:szCs w:val="24"/>
              </w:rPr>
              <w:t xml:space="preserve">. </w:t>
            </w:r>
          </w:p>
          <w:p w:rsidR="00F221A7" w:rsidRPr="00F221A7" w:rsidRDefault="00F221A7" w:rsidP="00F221A7">
            <w:pPr>
              <w:spacing w:line="240" w:lineRule="auto"/>
              <w:ind w:firstLine="533"/>
              <w:contextualSpacing/>
              <w:jc w:val="both"/>
              <w:rPr>
                <w:rFonts w:ascii="Times New Roman" w:hAnsi="Times New Roman" w:cs="Times New Roman"/>
                <w:sz w:val="24"/>
                <w:szCs w:val="24"/>
              </w:rPr>
            </w:pPr>
            <w:r w:rsidRPr="00F221A7">
              <w:rPr>
                <w:rFonts w:ascii="Times New Roman" w:hAnsi="Times New Roman" w:cs="Times New Roman"/>
                <w:sz w:val="24"/>
                <w:szCs w:val="24"/>
              </w:rPr>
              <w:t>Atbilstoši Eiropas Parlamenta un Padomes 2006. gada 20. decembra Regulai (EK) Nr. 1893/2006, ar ko izveido NACE 2. red. saimniecisko darbību statistisko klasifikāciju, kā arī groza Padomes Regulu (EEK) Nr. 3037/90 un dažas EK regulas par īpašām statistikas jomām šie veikalu veidi atbilstu NACE 47.41 (datoru mazumtirdzniecība, datoru perifēro iekārtu mazumtirdzniecība, videospēļu vadības paneļu mazumtirdzniecība, standarta programmatūras, ieskaitot videospēles, mazumtirdzniecība) un NACE 47.42. (telekomunikāciju iekārtu mazumtirdzniecība specializētajos veikalos).</w:t>
            </w:r>
          </w:p>
          <w:p w:rsidR="00F221A7" w:rsidRPr="00F221A7" w:rsidRDefault="00F221A7" w:rsidP="00F221A7">
            <w:pPr>
              <w:spacing w:line="240" w:lineRule="auto"/>
              <w:ind w:firstLine="533"/>
              <w:contextualSpacing/>
              <w:jc w:val="both"/>
              <w:rPr>
                <w:rFonts w:ascii="Times New Roman" w:hAnsi="Times New Roman" w:cs="Times New Roman"/>
                <w:sz w:val="24"/>
                <w:szCs w:val="24"/>
                <w:shd w:val="clear" w:color="auto" w:fill="FFFFFF"/>
              </w:rPr>
            </w:pPr>
            <w:r w:rsidRPr="00F221A7">
              <w:rPr>
                <w:rFonts w:ascii="Times New Roman" w:hAnsi="Times New Roman" w:cs="Times New Roman"/>
                <w:sz w:val="24"/>
                <w:szCs w:val="24"/>
              </w:rPr>
              <w:t>Vienlaikus ir norādāms, ka s</w:t>
            </w:r>
            <w:r w:rsidR="00FB195A" w:rsidRPr="00F221A7">
              <w:rPr>
                <w:rFonts w:ascii="Times New Roman" w:hAnsi="Times New Roman" w:cs="Times New Roman"/>
                <w:sz w:val="24"/>
                <w:szCs w:val="24"/>
              </w:rPr>
              <w:t>askaņā ar Ministru kabineta 2017. gada 27. jūnija noteikumu Nr. 380 “Apsardzes sertifikātu izsniegšanas kārtība” 24.3. apakšpunktu p</w:t>
            </w:r>
            <w:r w:rsidR="00FB195A" w:rsidRPr="00F221A7">
              <w:rPr>
                <w:rFonts w:ascii="Times New Roman" w:hAnsi="Times New Roman" w:cs="Times New Roman"/>
                <w:sz w:val="24"/>
                <w:szCs w:val="24"/>
                <w:shd w:val="clear" w:color="auto" w:fill="FFFFFF"/>
              </w:rPr>
              <w:t xml:space="preserve">ersona, kura sekmīgi </w:t>
            </w:r>
            <w:r w:rsidR="00FB195A" w:rsidRPr="00F221A7">
              <w:rPr>
                <w:rFonts w:ascii="Times New Roman" w:hAnsi="Times New Roman" w:cs="Times New Roman"/>
                <w:sz w:val="24"/>
                <w:szCs w:val="24"/>
                <w:shd w:val="clear" w:color="auto" w:fill="FFFFFF"/>
              </w:rPr>
              <w:lastRenderedPageBreak/>
              <w:t>nokārtojusi pārbaudījumu, kā arī šo noteikumu </w:t>
            </w:r>
            <w:hyperlink r:id="rId7" w:anchor="p5" w:history="1">
              <w:r w:rsidR="00FB195A" w:rsidRPr="00F221A7">
                <w:rPr>
                  <w:rStyle w:val="Hyperlink"/>
                  <w:rFonts w:ascii="Times New Roman" w:hAnsi="Times New Roman" w:cs="Times New Roman"/>
                  <w:color w:val="auto"/>
                  <w:sz w:val="24"/>
                  <w:szCs w:val="24"/>
                  <w:u w:val="none"/>
                  <w:shd w:val="clear" w:color="auto" w:fill="FFFFFF"/>
                </w:rPr>
                <w:t>5. punktā</w:t>
              </w:r>
            </w:hyperlink>
            <w:r w:rsidR="00FB195A" w:rsidRPr="00F221A7">
              <w:rPr>
                <w:rFonts w:ascii="Times New Roman" w:hAnsi="Times New Roman" w:cs="Times New Roman"/>
                <w:sz w:val="24"/>
                <w:szCs w:val="24"/>
                <w:shd w:val="clear" w:color="auto" w:fill="FFFFFF"/>
              </w:rPr>
              <w:t> minētā persona iesniedz Valsts policijā iesniegumu apsardzes sertifikāta saņemšanai (</w:t>
            </w:r>
            <w:hyperlink r:id="rId8" w:anchor="piel3" w:history="1">
              <w:r w:rsidR="00FB195A" w:rsidRPr="00F221A7">
                <w:rPr>
                  <w:rStyle w:val="Hyperlink"/>
                  <w:rFonts w:ascii="Times New Roman" w:hAnsi="Times New Roman" w:cs="Times New Roman"/>
                  <w:color w:val="auto"/>
                  <w:sz w:val="24"/>
                  <w:szCs w:val="24"/>
                  <w:u w:val="none"/>
                  <w:shd w:val="clear" w:color="auto" w:fill="FFFFFF"/>
                </w:rPr>
                <w:t>3. pielikums</w:t>
              </w:r>
            </w:hyperlink>
            <w:r w:rsidR="00FB195A" w:rsidRPr="00F221A7">
              <w:rPr>
                <w:rFonts w:ascii="Times New Roman" w:hAnsi="Times New Roman" w:cs="Times New Roman"/>
                <w:sz w:val="24"/>
                <w:szCs w:val="24"/>
                <w:shd w:val="clear" w:color="auto" w:fill="FFFFFF"/>
              </w:rPr>
              <w:t>). Iesniegumam pievieno arī apliecības kopiju par pirmās palīdzības pamatzināšanu apmācības kursa beigšanu 12 stundu apjomā ar triju stundu zināšanu pārbaudi vai medicīniskās izglītības dokumenta kopiju, vai izglītības iestādes dokumenta un sekmju izraksta kopiju, kas apliecina, ka minētā persona ir apguvusi atbilstošu mācību kursu šajā izglītības iestādē.</w:t>
            </w:r>
          </w:p>
          <w:p w:rsidR="00FB195A" w:rsidRPr="00F221A7" w:rsidRDefault="00FB195A" w:rsidP="00F221A7">
            <w:pPr>
              <w:spacing w:line="240" w:lineRule="auto"/>
              <w:ind w:firstLine="533"/>
              <w:contextualSpacing/>
              <w:jc w:val="both"/>
              <w:rPr>
                <w:rFonts w:ascii="Times New Roman" w:hAnsi="Times New Roman" w:cs="Times New Roman"/>
                <w:sz w:val="24"/>
                <w:szCs w:val="24"/>
              </w:rPr>
            </w:pPr>
            <w:r w:rsidRPr="00F221A7">
              <w:rPr>
                <w:rFonts w:ascii="Times New Roman" w:hAnsi="Times New Roman" w:cs="Times New Roman"/>
                <w:sz w:val="24"/>
                <w:szCs w:val="24"/>
              </w:rPr>
              <w:t xml:space="preserve">Ievērojot to, ka persona nevar iegūt apsardzes sertifikātu bez </w:t>
            </w:r>
            <w:r w:rsidR="00DA6DC4" w:rsidRPr="00F221A7">
              <w:rPr>
                <w:rFonts w:ascii="Times New Roman" w:hAnsi="Times New Roman" w:cs="Times New Roman"/>
                <w:sz w:val="24"/>
                <w:szCs w:val="24"/>
              </w:rPr>
              <w:t>pirmās palīdzības pamatzināšanu apmācības kursa apgūšanas</w:t>
            </w:r>
            <w:r w:rsidRPr="00F221A7">
              <w:rPr>
                <w:rFonts w:ascii="Times New Roman" w:hAnsi="Times New Roman" w:cs="Times New Roman"/>
                <w:sz w:val="24"/>
                <w:szCs w:val="24"/>
              </w:rPr>
              <w:t xml:space="preserve">, ir nepieciešami attiecīgi grozījumi </w:t>
            </w:r>
            <w:r w:rsidR="00DA6DC4" w:rsidRPr="00F221A7">
              <w:rPr>
                <w:rFonts w:ascii="Times New Roman" w:hAnsi="Times New Roman" w:cs="Times New Roman"/>
                <w:sz w:val="24"/>
                <w:szCs w:val="24"/>
              </w:rPr>
              <w:t>Ministru kabineta 2020. gada 9. jūnija noteikumos Nr. 360 “Epidemioloģiskās drošības pasākumi Covid-19 infekcijas izplatības ierobežošanai”, tādējādi nosakot, ka no 2021. gada 7. aprīļa notiek apmācības apsardzes darbības jomā, tai skaitā arī Ministru kabineta 2012. gada 14. augusta noteikumu Nr. 557 “Noteikumi par apmācību pirmās palīdzības sniegšanā” 4.2. apakšpunktā minētās pirmās palīdzības pamatzināšanu 12 stundu apmācības programmas rakstisku teorētisko un triju stundu praktisko zināšanu apguvi.</w:t>
            </w:r>
          </w:p>
        </w:tc>
      </w:tr>
      <w:tr w:rsidR="00FB195A" w:rsidRPr="00882454" w:rsidTr="002970BB">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tcPr>
          <w:p w:rsidR="00FB195A" w:rsidRPr="00DC3A61" w:rsidRDefault="00FB195A" w:rsidP="002970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FB195A" w:rsidRPr="00882454" w:rsidTr="002970BB">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tcPr>
          <w:p w:rsidR="00FB195A" w:rsidRPr="00DC3A61" w:rsidRDefault="00FB195A" w:rsidP="002970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FB195A" w:rsidRDefault="00FB195A" w:rsidP="00FB195A">
      <w:pPr>
        <w:spacing w:after="0" w:line="240" w:lineRule="auto"/>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FB195A" w:rsidRPr="00882454" w:rsidTr="002970BB">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B195A" w:rsidRPr="00882454" w:rsidRDefault="00FB195A" w:rsidP="002970BB">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 Tiesību akta projekta ietekme uz sabiedrību, tautsaimniecības attīstību un administratīvo slogu</w:t>
            </w:r>
          </w:p>
        </w:tc>
      </w:tr>
      <w:tr w:rsidR="00FB195A" w:rsidRPr="00882454" w:rsidTr="002970BB">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rsidR="00F221A7" w:rsidRPr="00F221A7" w:rsidRDefault="00F221A7" w:rsidP="00DA6DC4">
            <w:pPr>
              <w:pStyle w:val="tv213"/>
              <w:shd w:val="clear" w:color="auto" w:fill="FFFFFF"/>
              <w:spacing w:before="0" w:beforeAutospacing="0" w:after="0" w:afterAutospacing="0" w:line="293" w:lineRule="atLeast"/>
              <w:jc w:val="both"/>
            </w:pPr>
            <w:r w:rsidRPr="00F221A7">
              <w:t>Datoru, to perifēro iekārtu un programmatūras, un telekomunikācijas iekārtu veikali.</w:t>
            </w:r>
          </w:p>
          <w:p w:rsidR="00DA6DC4" w:rsidRPr="00F221A7" w:rsidRDefault="00DA6DC4" w:rsidP="00DA6DC4">
            <w:pPr>
              <w:pStyle w:val="tv213"/>
              <w:shd w:val="clear" w:color="auto" w:fill="FFFFFF"/>
              <w:spacing w:before="0" w:beforeAutospacing="0" w:after="0" w:afterAutospacing="0" w:line="293" w:lineRule="atLeast"/>
              <w:jc w:val="both"/>
            </w:pPr>
            <w:r w:rsidRPr="00F221A7">
              <w:t xml:space="preserve">Ministru kabineta 2017. gada 27. jūnija noteikumu Nr. 380 “Apsardzes sertifikātu izsniegšanas kārtība” </w:t>
            </w:r>
          </w:p>
          <w:p w:rsidR="00FB195A" w:rsidRPr="00F221A7" w:rsidRDefault="00DA6DC4" w:rsidP="00DA6DC4">
            <w:pPr>
              <w:spacing w:line="240" w:lineRule="auto"/>
              <w:contextualSpacing/>
              <w:jc w:val="both"/>
              <w:rPr>
                <w:rFonts w:ascii="Times New Roman" w:hAnsi="Times New Roman" w:cs="Times New Roman"/>
                <w:sz w:val="24"/>
                <w:szCs w:val="24"/>
              </w:rPr>
            </w:pPr>
            <w:r w:rsidRPr="00F221A7">
              <w:rPr>
                <w:rFonts w:ascii="Times New Roman" w:hAnsi="Times New Roman" w:cs="Times New Roman"/>
                <w:sz w:val="24"/>
                <w:szCs w:val="24"/>
              </w:rPr>
              <w:t>24. punktā noteiktā persona.</w:t>
            </w:r>
          </w:p>
          <w:p w:rsidR="00C84DDD" w:rsidRPr="00F221A7" w:rsidRDefault="00C84DDD" w:rsidP="00DA6DC4">
            <w:pPr>
              <w:spacing w:line="240" w:lineRule="auto"/>
              <w:contextualSpacing/>
              <w:jc w:val="both"/>
              <w:rPr>
                <w:rFonts w:ascii="Times New Roman" w:hAnsi="Times New Roman" w:cs="Times New Roman"/>
                <w:sz w:val="24"/>
                <w:szCs w:val="24"/>
              </w:rPr>
            </w:pPr>
            <w:r w:rsidRPr="00F221A7">
              <w:rPr>
                <w:rFonts w:ascii="Times New Roman" w:hAnsi="Times New Roman" w:cs="Times New Roman"/>
                <w:bCs/>
                <w:sz w:val="24"/>
                <w:szCs w:val="24"/>
                <w:shd w:val="clear" w:color="auto" w:fill="FFFFFF"/>
              </w:rPr>
              <w:t>Personas, kuras veic pirmās palīdzības sniegšanas apmācību.</w:t>
            </w:r>
          </w:p>
        </w:tc>
      </w:tr>
      <w:tr w:rsidR="00FB195A" w:rsidRPr="00882454" w:rsidTr="002970BB">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rsidR="00FB195A" w:rsidRPr="00DC3A61" w:rsidRDefault="00FB195A" w:rsidP="002970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FB195A" w:rsidRPr="00882454" w:rsidTr="002970BB">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FB195A" w:rsidRPr="00DC3A61" w:rsidRDefault="00FB195A" w:rsidP="002970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FB195A" w:rsidRPr="00882454" w:rsidTr="002970BB">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FB195A" w:rsidRPr="00DC3A61" w:rsidRDefault="00FB195A" w:rsidP="002970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FB195A" w:rsidRPr="00882454" w:rsidTr="002970BB">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both"/>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FB195A" w:rsidRPr="00DC3A61" w:rsidRDefault="00FB195A" w:rsidP="002970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FB195A" w:rsidRDefault="00FB195A" w:rsidP="00FB195A">
      <w:pPr>
        <w:spacing w:after="0" w:line="240" w:lineRule="auto"/>
        <w:rPr>
          <w:rFonts w:ascii="Times New Roman" w:eastAsia="Times New Roman" w:hAnsi="Times New Roman" w:cs="Times New Roman"/>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FB195A" w:rsidRPr="00882454" w:rsidTr="002970BB">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rsidR="00FB195A" w:rsidRPr="00882454" w:rsidRDefault="00FB195A" w:rsidP="002970BB">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III. Tiesību akta projekta ietekme uz valsts budžetu un pašvaldību budžetiem</w:t>
            </w:r>
          </w:p>
        </w:tc>
      </w:tr>
      <w:tr w:rsidR="00FB195A" w:rsidRPr="00882454" w:rsidTr="002970BB">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tcPr>
          <w:p w:rsidR="00FB195A" w:rsidRPr="00DC3A61" w:rsidRDefault="00FB195A" w:rsidP="002970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FB195A" w:rsidRPr="00882454" w:rsidTr="002970BB">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FB195A" w:rsidRPr="009F2145" w:rsidTr="002970BB">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rsidR="00FB195A" w:rsidRPr="009F2145" w:rsidRDefault="00FB195A" w:rsidP="002970BB">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F2145">
                    <w:rPr>
                      <w:rFonts w:ascii="Times New Roman" w:eastAsia="Times New Roman" w:hAnsi="Times New Roman" w:cs="Times New Roman"/>
                      <w:b/>
                      <w:bCs/>
                      <w:sz w:val="24"/>
                      <w:szCs w:val="24"/>
                      <w:lang w:eastAsia="lv-LV"/>
                    </w:rPr>
                    <w:t>IV. Tiesību akta projekta ietekme uz spēkā esošo tiesību normu sistēmu</w:t>
                  </w:r>
                </w:p>
              </w:tc>
            </w:tr>
            <w:tr w:rsidR="00FB195A" w:rsidRPr="009F2145" w:rsidTr="002970BB">
              <w:trPr>
                <w:tblCellSpacing w:w="15" w:type="dxa"/>
              </w:trPr>
              <w:tc>
                <w:tcPr>
                  <w:tcW w:w="8924" w:type="dxa"/>
                  <w:tcBorders>
                    <w:top w:val="outset" w:sz="6" w:space="0" w:color="auto"/>
                    <w:left w:val="outset" w:sz="6" w:space="0" w:color="auto"/>
                    <w:bottom w:val="outset" w:sz="6" w:space="0" w:color="auto"/>
                    <w:right w:val="outset" w:sz="6" w:space="0" w:color="auto"/>
                  </w:tcBorders>
                </w:tcPr>
                <w:p w:rsidR="00FB195A" w:rsidRPr="00DC3A61" w:rsidRDefault="00FB195A" w:rsidP="002970BB">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Projekts šo jomu neskar.</w:t>
                  </w:r>
                </w:p>
              </w:tc>
            </w:tr>
          </w:tbl>
          <w:p w:rsidR="00FB195A" w:rsidRPr="00882454" w:rsidRDefault="00FB195A" w:rsidP="002970BB">
            <w:pPr>
              <w:spacing w:after="0" w:line="240" w:lineRule="auto"/>
              <w:rPr>
                <w:rFonts w:ascii="Times New Roman" w:hAnsi="Times New Roman" w:cs="Times New Roman"/>
                <w:b/>
                <w:sz w:val="24"/>
                <w:szCs w:val="24"/>
              </w:rPr>
            </w:pPr>
          </w:p>
        </w:tc>
      </w:tr>
      <w:tr w:rsidR="00FB195A" w:rsidRPr="00882454" w:rsidTr="002970BB">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rsidR="00FB195A" w:rsidRDefault="00FB195A" w:rsidP="002970BB">
            <w:pPr>
              <w:spacing w:after="0" w:line="240" w:lineRule="auto"/>
              <w:jc w:val="center"/>
              <w:rPr>
                <w:rFonts w:ascii="Times New Roman" w:eastAsia="Times New Roman" w:hAnsi="Times New Roman" w:cs="Times New Roman"/>
                <w:b/>
                <w:bCs/>
                <w:sz w:val="24"/>
                <w:szCs w:val="24"/>
              </w:rPr>
            </w:pPr>
          </w:p>
          <w:p w:rsidR="00FB195A" w:rsidRPr="00882454" w:rsidRDefault="00FB195A" w:rsidP="002970BB">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 Tiesību akta projekta atbilstība Latvijas Republikas starptautiskajām saistībām</w:t>
            </w:r>
          </w:p>
        </w:tc>
      </w:tr>
      <w:tr w:rsidR="00FB195A" w:rsidRPr="00882454" w:rsidTr="002970BB">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tcPr>
          <w:p w:rsidR="00FB195A" w:rsidRPr="00DC3A61" w:rsidRDefault="00FB195A" w:rsidP="002970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rsidR="00FB195A" w:rsidRPr="00882454" w:rsidRDefault="00FB195A" w:rsidP="00FB195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FB195A" w:rsidRPr="00882454" w:rsidTr="002970BB">
        <w:tc>
          <w:tcPr>
            <w:tcW w:w="5000" w:type="pct"/>
            <w:tcBorders>
              <w:top w:val="single" w:sz="4" w:space="0" w:color="auto"/>
              <w:left w:val="single" w:sz="4" w:space="0" w:color="auto"/>
              <w:bottom w:val="single" w:sz="4" w:space="0" w:color="auto"/>
              <w:right w:val="single" w:sz="4" w:space="0" w:color="auto"/>
            </w:tcBorders>
            <w:vAlign w:val="center"/>
            <w:hideMark/>
          </w:tcPr>
          <w:p w:rsidR="00FB195A" w:rsidRPr="00882454" w:rsidRDefault="00FB195A" w:rsidP="002970BB">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 Sabiedrības līdzdalība un komunikācijas aktivitātes</w:t>
            </w:r>
          </w:p>
        </w:tc>
      </w:tr>
      <w:tr w:rsidR="00FB195A" w:rsidRPr="00882454" w:rsidTr="002970BB">
        <w:tc>
          <w:tcPr>
            <w:tcW w:w="5000" w:type="pct"/>
            <w:tcBorders>
              <w:top w:val="single" w:sz="4" w:space="0" w:color="auto"/>
              <w:left w:val="single" w:sz="4" w:space="0" w:color="auto"/>
              <w:bottom w:val="single" w:sz="4" w:space="0" w:color="auto"/>
              <w:right w:val="single" w:sz="4" w:space="0" w:color="auto"/>
            </w:tcBorders>
          </w:tcPr>
          <w:p w:rsidR="00FB195A" w:rsidRPr="003F7D3D" w:rsidRDefault="00FB195A" w:rsidP="002970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bl>
    <w:p w:rsidR="00FB195A" w:rsidRDefault="00FB195A" w:rsidP="00FB195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FB195A" w:rsidRPr="00882454" w:rsidTr="002970BB">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B195A" w:rsidRPr="00882454" w:rsidRDefault="00FB195A" w:rsidP="002970BB">
            <w:pPr>
              <w:spacing w:after="0" w:line="240" w:lineRule="auto"/>
              <w:jc w:val="center"/>
              <w:rPr>
                <w:rFonts w:ascii="Times New Roman" w:eastAsia="Times New Roman" w:hAnsi="Times New Roman" w:cs="Times New Roman"/>
                <w:b/>
                <w:bCs/>
                <w:sz w:val="24"/>
                <w:szCs w:val="24"/>
              </w:rPr>
            </w:pPr>
            <w:r w:rsidRPr="00882454">
              <w:rPr>
                <w:rFonts w:ascii="Times New Roman" w:eastAsia="Times New Roman" w:hAnsi="Times New Roman" w:cs="Times New Roman"/>
                <w:b/>
                <w:bCs/>
                <w:sz w:val="24"/>
                <w:szCs w:val="24"/>
              </w:rPr>
              <w:t>VII. Tiesību akta projekta izpildes nodrošināšana un tās ietekme uz institūcijām</w:t>
            </w:r>
          </w:p>
        </w:tc>
      </w:tr>
      <w:tr w:rsidR="00FB195A" w:rsidRPr="00882454" w:rsidTr="002970BB">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rsidR="00FB195A" w:rsidRPr="003F7D3D" w:rsidRDefault="00C84DDD" w:rsidP="002970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FB195A" w:rsidRPr="00882454" w:rsidTr="002970BB">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rsidR="00FB195A" w:rsidRPr="00C70637" w:rsidRDefault="00FB195A" w:rsidP="002970B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Projekta izpildes ietekme uz pārvaldes funkcijām un institucionālo struktūru.</w:t>
            </w:r>
            <w:r w:rsidRPr="00882454">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tcPr>
          <w:p w:rsidR="00FB195A" w:rsidRPr="00DC3A61" w:rsidRDefault="00C84DDD" w:rsidP="002970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FB195A" w:rsidRPr="00882454" w:rsidTr="002970BB">
        <w:tc>
          <w:tcPr>
            <w:tcW w:w="311"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jc w:val="center"/>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rsidR="00FB195A" w:rsidRPr="00882454" w:rsidRDefault="00FB195A" w:rsidP="002970BB">
            <w:pPr>
              <w:spacing w:after="0" w:line="240" w:lineRule="auto"/>
              <w:rPr>
                <w:rFonts w:ascii="Times New Roman" w:eastAsia="Times New Roman" w:hAnsi="Times New Roman" w:cs="Times New Roman"/>
                <w:sz w:val="24"/>
                <w:szCs w:val="24"/>
              </w:rPr>
            </w:pPr>
            <w:r w:rsidRPr="00882454">
              <w:rPr>
                <w:rFonts w:ascii="Times New Roman" w:eastAsia="Times New Roman" w:hAnsi="Times New Roman" w:cs="Times New Roman"/>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tcPr>
          <w:p w:rsidR="00FB195A" w:rsidRPr="00DC3A61" w:rsidRDefault="00FB195A" w:rsidP="002970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FB195A" w:rsidRPr="00882454" w:rsidRDefault="00FB195A" w:rsidP="00FB195A">
      <w:pPr>
        <w:spacing w:after="0" w:line="240" w:lineRule="auto"/>
        <w:jc w:val="both"/>
        <w:rPr>
          <w:rFonts w:ascii="Times New Roman" w:eastAsia="Times New Roman" w:hAnsi="Times New Roman" w:cs="Times New Roman"/>
          <w:sz w:val="24"/>
          <w:szCs w:val="24"/>
        </w:rPr>
      </w:pPr>
    </w:p>
    <w:p w:rsidR="00FB195A" w:rsidRDefault="00FB195A" w:rsidP="00FB195A">
      <w:pPr>
        <w:spacing w:after="0" w:line="240" w:lineRule="auto"/>
        <w:jc w:val="both"/>
        <w:rPr>
          <w:rFonts w:ascii="Times New Roman" w:eastAsia="Times New Roman" w:hAnsi="Times New Roman" w:cs="Times New Roman"/>
          <w:sz w:val="24"/>
          <w:szCs w:val="24"/>
        </w:rPr>
      </w:pPr>
    </w:p>
    <w:p w:rsidR="00FB195A" w:rsidRDefault="00FB195A" w:rsidP="00FB195A">
      <w:pPr>
        <w:spacing w:after="0" w:line="240" w:lineRule="auto"/>
        <w:ind w:right="13"/>
        <w:jc w:val="both"/>
        <w:rPr>
          <w:rFonts w:ascii="Times New Roman" w:hAnsi="Times New Roman"/>
          <w:sz w:val="28"/>
          <w:szCs w:val="28"/>
        </w:rPr>
      </w:pPr>
      <w:r>
        <w:rPr>
          <w:rFonts w:ascii="Times New Roman" w:hAnsi="Times New Roman"/>
          <w:sz w:val="28"/>
          <w:szCs w:val="28"/>
        </w:rPr>
        <w:t>Iekšlietu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S.Ģirģens</w:t>
      </w:r>
      <w:proofErr w:type="spellEnd"/>
    </w:p>
    <w:p w:rsidR="00FB195A" w:rsidRDefault="00FB195A" w:rsidP="00DA6DC4">
      <w:pPr>
        <w:pStyle w:val="naisf"/>
        <w:rPr>
          <w:sz w:val="20"/>
          <w:szCs w:val="20"/>
        </w:rPr>
      </w:pPr>
      <w:r w:rsidRPr="00254F4C">
        <w:rPr>
          <w:sz w:val="28"/>
          <w:szCs w:val="28"/>
        </w:rPr>
        <w:t>Vīza: valsts sekretār</w:t>
      </w:r>
      <w:r>
        <w:rPr>
          <w:sz w:val="28"/>
          <w:szCs w:val="28"/>
        </w:rPr>
        <w:t>s</w:t>
      </w:r>
      <w:r w:rsidRPr="00254F4C">
        <w:rPr>
          <w:sz w:val="28"/>
          <w:szCs w:val="28"/>
        </w:rPr>
        <w:tab/>
      </w:r>
      <w:r w:rsidRPr="00254F4C">
        <w:rPr>
          <w:sz w:val="28"/>
          <w:szCs w:val="28"/>
        </w:rPr>
        <w:tab/>
      </w:r>
      <w:r w:rsidRPr="00254F4C">
        <w:rPr>
          <w:sz w:val="28"/>
          <w:szCs w:val="28"/>
        </w:rPr>
        <w:tab/>
      </w:r>
      <w:r w:rsidRPr="00254F4C">
        <w:rPr>
          <w:sz w:val="28"/>
          <w:szCs w:val="28"/>
        </w:rPr>
        <w:tab/>
        <w:t xml:space="preserve">                                 </w:t>
      </w:r>
      <w:proofErr w:type="spellStart"/>
      <w:r>
        <w:rPr>
          <w:sz w:val="28"/>
          <w:szCs w:val="28"/>
        </w:rPr>
        <w:t>D.Trofimovs</w:t>
      </w:r>
      <w:proofErr w:type="spellEnd"/>
    </w:p>
    <w:p w:rsidR="00FB195A" w:rsidRDefault="00FB195A"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221A7" w:rsidRDefault="00F221A7" w:rsidP="00FB195A">
      <w:pPr>
        <w:contextualSpacing/>
        <w:rPr>
          <w:rFonts w:ascii="Times New Roman" w:hAnsi="Times New Roman" w:cs="Times New Roman"/>
          <w:sz w:val="20"/>
          <w:szCs w:val="20"/>
        </w:rPr>
      </w:pPr>
    </w:p>
    <w:p w:rsidR="00FB195A" w:rsidRPr="00F221A7" w:rsidRDefault="00FB195A" w:rsidP="00FB195A">
      <w:pPr>
        <w:contextualSpacing/>
        <w:rPr>
          <w:rFonts w:ascii="Times New Roman" w:hAnsi="Times New Roman" w:cs="Times New Roman"/>
          <w:sz w:val="20"/>
          <w:szCs w:val="20"/>
        </w:rPr>
      </w:pPr>
      <w:r w:rsidRPr="00F221A7">
        <w:rPr>
          <w:rFonts w:ascii="Times New Roman" w:hAnsi="Times New Roman" w:cs="Times New Roman"/>
          <w:sz w:val="20"/>
          <w:szCs w:val="20"/>
        </w:rPr>
        <w:fldChar w:fldCharType="begin"/>
      </w:r>
      <w:r w:rsidRPr="00F221A7">
        <w:rPr>
          <w:rFonts w:ascii="Times New Roman" w:hAnsi="Times New Roman" w:cs="Times New Roman"/>
          <w:sz w:val="20"/>
          <w:szCs w:val="20"/>
        </w:rPr>
        <w:instrText xml:space="preserve"> TIME \@ "dd.MM.yyyy H:mm" </w:instrText>
      </w:r>
      <w:r w:rsidRPr="00F221A7">
        <w:rPr>
          <w:rFonts w:ascii="Times New Roman" w:hAnsi="Times New Roman" w:cs="Times New Roman"/>
          <w:sz w:val="20"/>
          <w:szCs w:val="20"/>
        </w:rPr>
        <w:fldChar w:fldCharType="separate"/>
      </w:r>
      <w:r w:rsidR="009A00DD">
        <w:rPr>
          <w:rFonts w:ascii="Times New Roman" w:hAnsi="Times New Roman" w:cs="Times New Roman"/>
          <w:noProof/>
          <w:sz w:val="20"/>
          <w:szCs w:val="20"/>
        </w:rPr>
        <w:t>07.04.2021 11:52</w:t>
      </w:r>
      <w:r w:rsidRPr="00F221A7">
        <w:rPr>
          <w:rFonts w:ascii="Times New Roman" w:hAnsi="Times New Roman" w:cs="Times New Roman"/>
          <w:sz w:val="20"/>
          <w:szCs w:val="20"/>
        </w:rPr>
        <w:fldChar w:fldCharType="end"/>
      </w:r>
    </w:p>
    <w:p w:rsidR="00FB195A" w:rsidRPr="00F221A7" w:rsidRDefault="00F221A7" w:rsidP="00FB195A">
      <w:pPr>
        <w:contextualSpacing/>
        <w:rPr>
          <w:rFonts w:ascii="Times New Roman" w:hAnsi="Times New Roman" w:cs="Times New Roman"/>
          <w:sz w:val="20"/>
          <w:szCs w:val="20"/>
        </w:rPr>
      </w:pPr>
      <w:r>
        <w:rPr>
          <w:rFonts w:ascii="Times New Roman" w:hAnsi="Times New Roman" w:cs="Times New Roman"/>
          <w:sz w:val="20"/>
          <w:szCs w:val="20"/>
        </w:rPr>
        <w:t>702</w:t>
      </w:r>
    </w:p>
    <w:p w:rsidR="00DA6DC4" w:rsidRPr="00F221A7" w:rsidRDefault="00FB195A" w:rsidP="00FB195A">
      <w:pPr>
        <w:contextualSpacing/>
        <w:rPr>
          <w:rStyle w:val="Hyperlink"/>
          <w:rFonts w:ascii="Times New Roman" w:hAnsi="Times New Roman" w:cs="Times New Roman"/>
          <w:color w:val="auto"/>
          <w:sz w:val="20"/>
          <w:szCs w:val="20"/>
          <w:u w:val="none"/>
        </w:rPr>
      </w:pPr>
      <w:r w:rsidRPr="00F221A7">
        <w:rPr>
          <w:rStyle w:val="Hyperlink"/>
          <w:rFonts w:ascii="Times New Roman" w:hAnsi="Times New Roman" w:cs="Times New Roman"/>
          <w:color w:val="auto"/>
          <w:sz w:val="20"/>
          <w:szCs w:val="20"/>
          <w:u w:val="none"/>
        </w:rPr>
        <w:t>D.Radzeviča</w:t>
      </w:r>
    </w:p>
    <w:p w:rsidR="00F221A7" w:rsidRPr="00F221A7" w:rsidRDefault="00FB195A">
      <w:pPr>
        <w:contextualSpacing/>
        <w:rPr>
          <w:rStyle w:val="Hyperlink"/>
          <w:rFonts w:ascii="Times New Roman" w:hAnsi="Times New Roman" w:cs="Times New Roman"/>
          <w:color w:val="auto"/>
          <w:sz w:val="20"/>
          <w:szCs w:val="20"/>
          <w:u w:val="none"/>
        </w:rPr>
      </w:pPr>
      <w:r w:rsidRPr="00F221A7">
        <w:rPr>
          <w:rStyle w:val="Hyperlink"/>
          <w:rFonts w:ascii="Times New Roman" w:hAnsi="Times New Roman" w:cs="Times New Roman"/>
          <w:color w:val="auto"/>
          <w:sz w:val="20"/>
          <w:szCs w:val="20"/>
          <w:u w:val="none"/>
        </w:rPr>
        <w:t xml:space="preserve">67219418, </w:t>
      </w:r>
      <w:hyperlink r:id="rId9" w:history="1">
        <w:r w:rsidRPr="00F221A7">
          <w:rPr>
            <w:rStyle w:val="Hyperlink"/>
            <w:rFonts w:ascii="Times New Roman" w:hAnsi="Times New Roman" w:cs="Times New Roman"/>
            <w:color w:val="auto"/>
            <w:sz w:val="20"/>
            <w:szCs w:val="20"/>
            <w:u w:val="none"/>
          </w:rPr>
          <w:t>dace.radzevica@iem.gov.lv</w:t>
        </w:r>
      </w:hyperlink>
    </w:p>
    <w:p w:rsidR="00F221A7" w:rsidRPr="00F221A7" w:rsidRDefault="00F221A7">
      <w:pPr>
        <w:contextualSpacing/>
        <w:rPr>
          <w:rStyle w:val="Hyperlink"/>
          <w:rFonts w:ascii="Times New Roman" w:hAnsi="Times New Roman" w:cs="Times New Roman"/>
          <w:color w:val="auto"/>
          <w:sz w:val="20"/>
          <w:szCs w:val="20"/>
          <w:u w:val="none"/>
        </w:rPr>
      </w:pPr>
      <w:r w:rsidRPr="00F221A7">
        <w:rPr>
          <w:rStyle w:val="Hyperlink"/>
          <w:rFonts w:ascii="Times New Roman" w:hAnsi="Times New Roman" w:cs="Times New Roman"/>
          <w:color w:val="auto"/>
          <w:sz w:val="20"/>
          <w:szCs w:val="20"/>
          <w:u w:val="none"/>
        </w:rPr>
        <w:t>I.Apsīte</w:t>
      </w:r>
    </w:p>
    <w:p w:rsidR="00F221A7" w:rsidRPr="00F221A7" w:rsidRDefault="00F221A7">
      <w:pPr>
        <w:contextualSpacing/>
        <w:rPr>
          <w:rStyle w:val="Hyperlink"/>
          <w:rFonts w:ascii="Times New Roman" w:hAnsi="Times New Roman" w:cs="Times New Roman"/>
          <w:color w:val="auto"/>
          <w:sz w:val="20"/>
          <w:szCs w:val="20"/>
          <w:u w:val="none"/>
        </w:rPr>
      </w:pPr>
      <w:r w:rsidRPr="00F221A7">
        <w:rPr>
          <w:rFonts w:ascii="Times New Roman" w:hAnsi="Times New Roman" w:cs="Times New Roman"/>
          <w:color w:val="000000"/>
          <w:sz w:val="20"/>
          <w:szCs w:val="20"/>
          <w:lang w:val="sv-SE"/>
        </w:rPr>
        <w:t>67013106, inga.apsite@em.gov.lv</w:t>
      </w:r>
    </w:p>
    <w:p w:rsidR="00F221A7" w:rsidRPr="00F221A7" w:rsidRDefault="00F221A7">
      <w:pPr>
        <w:contextualSpacing/>
        <w:rPr>
          <w:rStyle w:val="Hyperlink"/>
          <w:rFonts w:ascii="Times New Roman" w:hAnsi="Times New Roman" w:cs="Times New Roman"/>
          <w:color w:val="auto"/>
          <w:sz w:val="20"/>
          <w:szCs w:val="20"/>
          <w:u w:val="none"/>
        </w:rPr>
      </w:pPr>
    </w:p>
    <w:p w:rsidR="00F221A7" w:rsidRDefault="00F221A7">
      <w:pPr>
        <w:contextualSpacing/>
        <w:rPr>
          <w:rStyle w:val="Hyperlink"/>
          <w:rFonts w:ascii="Times New Roman" w:hAnsi="Times New Roman"/>
          <w:color w:val="auto"/>
          <w:sz w:val="20"/>
          <w:szCs w:val="20"/>
          <w:u w:val="none"/>
        </w:rPr>
      </w:pPr>
    </w:p>
    <w:sectPr w:rsidR="00F221A7" w:rsidSect="00B750DB">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2A" w:rsidRDefault="00551B2A" w:rsidP="00DA6DC4">
      <w:pPr>
        <w:spacing w:after="0" w:line="240" w:lineRule="auto"/>
      </w:pPr>
      <w:r>
        <w:separator/>
      </w:r>
    </w:p>
  </w:endnote>
  <w:endnote w:type="continuationSeparator" w:id="0">
    <w:p w:rsidR="00551B2A" w:rsidRDefault="00551B2A" w:rsidP="00DA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DC4" w:rsidRPr="00650639" w:rsidRDefault="00F221A7" w:rsidP="00DA6DC4">
    <w:pPr>
      <w:pStyle w:val="Footer"/>
    </w:pPr>
    <w:r>
      <w:rPr>
        <w:rFonts w:ascii="Times New Roman" w:eastAsia="Times New Roman" w:hAnsi="Times New Roman" w:cs="Times New Roman"/>
        <w:sz w:val="20"/>
        <w:szCs w:val="20"/>
        <w:lang w:eastAsia="lv-LV"/>
      </w:rPr>
      <w:t>IeMAnot_07</w:t>
    </w:r>
    <w:r w:rsidR="00DA6DC4">
      <w:rPr>
        <w:rFonts w:ascii="Times New Roman" w:eastAsia="Times New Roman" w:hAnsi="Times New Roman" w:cs="Times New Roman"/>
        <w:sz w:val="20"/>
        <w:szCs w:val="20"/>
        <w:lang w:eastAsia="lv-LV"/>
      </w:rPr>
      <w:t>042021</w:t>
    </w:r>
  </w:p>
  <w:p w:rsidR="00E81FE9" w:rsidRPr="009B744D" w:rsidRDefault="00551B2A" w:rsidP="009B74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9A" w:rsidRPr="00650639" w:rsidRDefault="00F221A7" w:rsidP="00083F9A">
    <w:pPr>
      <w:pStyle w:val="Footer"/>
    </w:pPr>
    <w:r>
      <w:rPr>
        <w:rFonts w:ascii="Times New Roman" w:eastAsia="Times New Roman" w:hAnsi="Times New Roman" w:cs="Times New Roman"/>
        <w:sz w:val="20"/>
        <w:szCs w:val="20"/>
        <w:lang w:eastAsia="lv-LV"/>
      </w:rPr>
      <w:t>IeMAnot_07</w:t>
    </w:r>
    <w:r w:rsidR="00DA6DC4">
      <w:rPr>
        <w:rFonts w:ascii="Times New Roman" w:eastAsia="Times New Roman" w:hAnsi="Times New Roman" w:cs="Times New Roman"/>
        <w:sz w:val="20"/>
        <w:szCs w:val="20"/>
        <w:lang w:eastAsia="lv-LV"/>
      </w:rPr>
      <w:t>04</w:t>
    </w:r>
    <w:r w:rsidR="00C84DDD">
      <w:rPr>
        <w:rFonts w:ascii="Times New Roman" w:eastAsia="Times New Roman" w:hAnsi="Times New Roman" w:cs="Times New Roman"/>
        <w:sz w:val="20"/>
        <w:szCs w:val="20"/>
        <w:lang w:eastAsia="lv-LV"/>
      </w:rPr>
      <w:t>2021</w:t>
    </w:r>
  </w:p>
  <w:p w:rsidR="00093C5E" w:rsidRPr="00083F9A" w:rsidRDefault="00551B2A" w:rsidP="00083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2A" w:rsidRDefault="00551B2A" w:rsidP="00DA6DC4">
      <w:pPr>
        <w:spacing w:after="0" w:line="240" w:lineRule="auto"/>
      </w:pPr>
      <w:r>
        <w:separator/>
      </w:r>
    </w:p>
  </w:footnote>
  <w:footnote w:type="continuationSeparator" w:id="0">
    <w:p w:rsidR="00551B2A" w:rsidRDefault="00551B2A" w:rsidP="00DA6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00B02E6B" w:rsidRPr="004D15A9" w:rsidRDefault="00C84DDD">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A00DD">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B02E6B" w:rsidRDefault="00551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5A"/>
    <w:rsid w:val="00333189"/>
    <w:rsid w:val="00550BFF"/>
    <w:rsid w:val="00551B2A"/>
    <w:rsid w:val="009A00DD"/>
    <w:rsid w:val="00C84DDD"/>
    <w:rsid w:val="00DA6DC4"/>
    <w:rsid w:val="00F221A7"/>
    <w:rsid w:val="00FB1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1D278-C1A5-485B-97A0-1E8E3738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9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95A"/>
  </w:style>
  <w:style w:type="paragraph" w:styleId="Footer">
    <w:name w:val="footer"/>
    <w:basedOn w:val="Normal"/>
    <w:link w:val="FooterChar"/>
    <w:uiPriority w:val="99"/>
    <w:unhideWhenUsed/>
    <w:rsid w:val="00FB19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195A"/>
  </w:style>
  <w:style w:type="paragraph" w:customStyle="1" w:styleId="tv213">
    <w:name w:val="tv213"/>
    <w:basedOn w:val="Normal"/>
    <w:rsid w:val="00FB19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rsid w:val="00FB195A"/>
    <w:rPr>
      <w:color w:val="0000FF"/>
      <w:u w:val="single"/>
    </w:rPr>
  </w:style>
  <w:style w:type="paragraph" w:customStyle="1" w:styleId="naisf">
    <w:name w:val="naisf"/>
    <w:basedOn w:val="Normal"/>
    <w:rsid w:val="00FB195A"/>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NoSpacing">
    <w:name w:val="No Spacing"/>
    <w:uiPriority w:val="1"/>
    <w:qFormat/>
    <w:rsid w:val="00FB195A"/>
    <w:pPr>
      <w:spacing w:after="0" w:line="240" w:lineRule="auto"/>
    </w:pPr>
    <w:rPr>
      <w:rFonts w:ascii="Times New Roman" w:eastAsia="Times New Roman" w:hAnsi="Times New Roman" w:cs="Times New Roman"/>
      <w:sz w:val="24"/>
      <w:szCs w:val="24"/>
      <w:lang w:val="en-US"/>
    </w:rPr>
  </w:style>
  <w:style w:type="character" w:customStyle="1" w:styleId="acopre">
    <w:name w:val="acopre"/>
    <w:basedOn w:val="DefaultParagraphFont"/>
    <w:rsid w:val="00F221A7"/>
  </w:style>
  <w:style w:type="character" w:styleId="Emphasis">
    <w:name w:val="Emphasis"/>
    <w:basedOn w:val="DefaultParagraphFont"/>
    <w:uiPriority w:val="20"/>
    <w:qFormat/>
    <w:rsid w:val="00F22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975635">
      <w:bodyDiv w:val="1"/>
      <w:marLeft w:val="0"/>
      <w:marRight w:val="0"/>
      <w:marTop w:val="0"/>
      <w:marBottom w:val="0"/>
      <w:divBdr>
        <w:top w:val="none" w:sz="0" w:space="0" w:color="auto"/>
        <w:left w:val="none" w:sz="0" w:space="0" w:color="auto"/>
        <w:bottom w:val="none" w:sz="0" w:space="0" w:color="auto"/>
        <w:right w:val="none" w:sz="0" w:space="0" w:color="auto"/>
      </w:divBdr>
      <w:divsChild>
        <w:div w:id="940066343">
          <w:marLeft w:val="0"/>
          <w:marRight w:val="0"/>
          <w:marTop w:val="480"/>
          <w:marBottom w:val="240"/>
          <w:divBdr>
            <w:top w:val="none" w:sz="0" w:space="0" w:color="auto"/>
            <w:left w:val="none" w:sz="0" w:space="0" w:color="auto"/>
            <w:bottom w:val="none" w:sz="0" w:space="0" w:color="auto"/>
            <w:right w:val="none" w:sz="0" w:space="0" w:color="auto"/>
          </w:divBdr>
        </w:div>
        <w:div w:id="1554075512">
          <w:marLeft w:val="0"/>
          <w:marRight w:val="0"/>
          <w:marTop w:val="0"/>
          <w:marBottom w:val="567"/>
          <w:divBdr>
            <w:top w:val="none" w:sz="0" w:space="0" w:color="auto"/>
            <w:left w:val="none" w:sz="0" w:space="0" w:color="auto"/>
            <w:bottom w:val="none" w:sz="0" w:space="0" w:color="auto"/>
            <w:right w:val="none" w:sz="0" w:space="0" w:color="auto"/>
          </w:divBdr>
        </w:div>
      </w:divsChild>
    </w:div>
    <w:div w:id="18009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92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91924"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15304-epidemiologiskas-drosibas-pasakumi-covid-19-infekcijas-izplatibas-ierobezosana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ce.radzevic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3957</Words>
  <Characters>2257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cp:keywords/>
  <dc:description/>
  <cp:lastModifiedBy>Inguna Gorbačova-Ščogole</cp:lastModifiedBy>
  <cp:revision>4</cp:revision>
  <dcterms:created xsi:type="dcterms:W3CDTF">2021-04-01T08:44:00Z</dcterms:created>
  <dcterms:modified xsi:type="dcterms:W3CDTF">2021-04-07T08:53:00Z</dcterms:modified>
</cp:coreProperties>
</file>