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BD" w:rsidRPr="00A27BBC" w:rsidRDefault="00FB68BD" w:rsidP="00FB68BD">
      <w:pPr>
        <w:jc w:val="center"/>
        <w:rPr>
          <w:b/>
        </w:rPr>
      </w:pPr>
      <w:smartTag w:uri="schemas-tilde-lv/tildestengine" w:element="veidnes">
        <w:smartTagPr>
          <w:attr w:name="text" w:val="Izziņa"/>
          <w:attr w:name="baseform" w:val="Izziņa"/>
          <w:attr w:name="id" w:val="-1"/>
        </w:smartTagPr>
        <w:r w:rsidRPr="00A27BBC">
          <w:rPr>
            <w:b/>
          </w:rPr>
          <w:t>Izziņa</w:t>
        </w:r>
      </w:smartTag>
      <w:r w:rsidRPr="00A27BBC">
        <w:rPr>
          <w:b/>
        </w:rPr>
        <w:t xml:space="preserve"> par atzinumos sniegtajiem iebildumiem par </w:t>
      </w:r>
      <w:r w:rsidR="0056229C">
        <w:rPr>
          <w:b/>
        </w:rPr>
        <w:t>i</w:t>
      </w:r>
      <w:r w:rsidR="0056229C" w:rsidRPr="0056229C">
        <w:rPr>
          <w:b/>
        </w:rPr>
        <w:t>nformatīv</w:t>
      </w:r>
      <w:r w:rsidR="0056229C">
        <w:rPr>
          <w:b/>
        </w:rPr>
        <w:t>ā</w:t>
      </w:r>
      <w:r w:rsidR="0056229C" w:rsidRPr="0056229C">
        <w:rPr>
          <w:b/>
        </w:rPr>
        <w:t xml:space="preserve"> ziņojum</w:t>
      </w:r>
      <w:r w:rsidR="0056229C">
        <w:rPr>
          <w:b/>
        </w:rPr>
        <w:t>a</w:t>
      </w:r>
      <w:r w:rsidR="0056229C" w:rsidRPr="0056229C">
        <w:rPr>
          <w:b/>
        </w:rPr>
        <w:t xml:space="preserve"> “Par šūnu apraides sistēmu un citām iespējamajām apziņošanas sistēmām, to ieviešanas un uzturēšanas izmaksām”</w:t>
      </w:r>
      <w:r w:rsidR="00755EA1">
        <w:rPr>
          <w:b/>
        </w:rPr>
        <w:t xml:space="preserve"> projektu</w:t>
      </w:r>
      <w:r w:rsidR="00AF46E1">
        <w:rPr>
          <w:b/>
        </w:rPr>
        <w:t xml:space="preserve"> (VSS-567)</w:t>
      </w:r>
      <w:r w:rsidR="00C16D28">
        <w:rPr>
          <w:b/>
        </w:rPr>
        <w:t xml:space="preserve"> </w:t>
      </w:r>
    </w:p>
    <w:p w:rsidR="00FB68BD" w:rsidRDefault="00FB68BD" w:rsidP="00FB68BD">
      <w:pPr>
        <w:pStyle w:val="naisf"/>
        <w:spacing w:before="0" w:after="0"/>
        <w:ind w:firstLine="720"/>
        <w:rPr>
          <w:b/>
        </w:rPr>
      </w:pPr>
    </w:p>
    <w:p w:rsidR="00AF46E1" w:rsidRPr="00CA3440" w:rsidRDefault="00AF46E1" w:rsidP="00AF46E1">
      <w:pPr>
        <w:pStyle w:val="naisf"/>
        <w:spacing w:before="0" w:after="0"/>
        <w:ind w:firstLine="0"/>
        <w:jc w:val="center"/>
        <w:rPr>
          <w:b/>
          <w:sz w:val="28"/>
          <w:szCs w:val="28"/>
        </w:rPr>
      </w:pPr>
    </w:p>
    <w:p w:rsidR="00AF46E1" w:rsidRPr="00CA3440" w:rsidRDefault="00AF46E1" w:rsidP="00AF46E1">
      <w:pPr>
        <w:pStyle w:val="naisf"/>
        <w:spacing w:before="0" w:after="0"/>
        <w:ind w:firstLine="0"/>
        <w:jc w:val="center"/>
        <w:rPr>
          <w:b/>
        </w:rPr>
      </w:pPr>
      <w:r w:rsidRPr="00CA3440">
        <w:rPr>
          <w:b/>
        </w:rPr>
        <w:t>I. Jautājumi, par kuriem saskaņošanā vienošanās nav panākta</w:t>
      </w:r>
    </w:p>
    <w:p w:rsidR="00AF46E1" w:rsidRPr="00CA3440" w:rsidRDefault="00AF46E1" w:rsidP="00AF46E1">
      <w:pPr>
        <w:pStyle w:val="naisf"/>
        <w:spacing w:before="0" w:after="0"/>
        <w:ind w:firstLine="720"/>
      </w:pP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2409"/>
        <w:gridCol w:w="4820"/>
        <w:gridCol w:w="2835"/>
        <w:gridCol w:w="1701"/>
        <w:gridCol w:w="2693"/>
      </w:tblGrid>
      <w:tr w:rsidR="00AF46E1" w:rsidRPr="00CA3440" w:rsidTr="00272677">
        <w:tc>
          <w:tcPr>
            <w:tcW w:w="710" w:type="dxa"/>
            <w:tcBorders>
              <w:top w:val="single" w:sz="6" w:space="0" w:color="000000"/>
              <w:left w:val="single" w:sz="6" w:space="0" w:color="000000"/>
              <w:bottom w:val="single" w:sz="6" w:space="0" w:color="000000"/>
              <w:right w:val="single" w:sz="6" w:space="0" w:color="000000"/>
            </w:tcBorders>
            <w:vAlign w:val="center"/>
          </w:tcPr>
          <w:p w:rsidR="00AF46E1" w:rsidRPr="00CA3440" w:rsidRDefault="00AF46E1" w:rsidP="00272677">
            <w:pPr>
              <w:pStyle w:val="naisc"/>
              <w:spacing w:before="0" w:after="0"/>
              <w:rPr>
                <w:sz w:val="22"/>
                <w:szCs w:val="22"/>
              </w:rPr>
            </w:pPr>
            <w:r w:rsidRPr="00CA3440">
              <w:rPr>
                <w:sz w:val="22"/>
                <w:szCs w:val="22"/>
              </w:rPr>
              <w:t>Nr. p.k.</w:t>
            </w:r>
          </w:p>
        </w:tc>
        <w:tc>
          <w:tcPr>
            <w:tcW w:w="2409" w:type="dxa"/>
            <w:tcBorders>
              <w:top w:val="single" w:sz="6" w:space="0" w:color="000000"/>
              <w:left w:val="single" w:sz="6" w:space="0" w:color="000000"/>
              <w:bottom w:val="single" w:sz="6" w:space="0" w:color="000000"/>
              <w:right w:val="single" w:sz="6" w:space="0" w:color="000000"/>
            </w:tcBorders>
            <w:vAlign w:val="center"/>
          </w:tcPr>
          <w:p w:rsidR="00AF46E1" w:rsidRPr="00CA3440" w:rsidRDefault="00AF46E1" w:rsidP="00272677">
            <w:pPr>
              <w:pStyle w:val="naisc"/>
              <w:spacing w:before="0" w:after="0"/>
              <w:ind w:firstLine="12"/>
              <w:rPr>
                <w:sz w:val="22"/>
                <w:szCs w:val="22"/>
              </w:rPr>
            </w:pPr>
            <w:r w:rsidRPr="00CA3440">
              <w:rPr>
                <w:sz w:val="22"/>
                <w:szCs w:val="22"/>
              </w:rPr>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rsidR="00AF46E1" w:rsidRPr="00CA3440" w:rsidRDefault="00AF46E1" w:rsidP="00272677">
            <w:pPr>
              <w:pStyle w:val="naisc"/>
              <w:spacing w:before="0" w:after="0"/>
              <w:ind w:right="3"/>
              <w:rPr>
                <w:sz w:val="22"/>
                <w:szCs w:val="22"/>
              </w:rPr>
            </w:pPr>
            <w:r w:rsidRPr="00CA3440">
              <w:rPr>
                <w:sz w:val="22"/>
                <w:szCs w:val="22"/>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rsidR="00AF46E1" w:rsidRPr="00CA3440" w:rsidRDefault="00AF46E1" w:rsidP="00272677">
            <w:pPr>
              <w:pStyle w:val="naisc"/>
              <w:spacing w:before="0" w:after="0"/>
              <w:ind w:firstLine="21"/>
              <w:rPr>
                <w:sz w:val="22"/>
                <w:szCs w:val="22"/>
              </w:rPr>
            </w:pPr>
            <w:r w:rsidRPr="00CA3440">
              <w:rPr>
                <w:sz w:val="22"/>
                <w:szCs w:val="22"/>
              </w:rPr>
              <w:t>Atbildīgās ministrijas pamatojums iebilduma noraidījumam</w:t>
            </w:r>
          </w:p>
        </w:tc>
        <w:tc>
          <w:tcPr>
            <w:tcW w:w="1701" w:type="dxa"/>
            <w:tcBorders>
              <w:top w:val="single" w:sz="4" w:space="0" w:color="auto"/>
              <w:left w:val="single" w:sz="4" w:space="0" w:color="auto"/>
              <w:bottom w:val="single" w:sz="4" w:space="0" w:color="auto"/>
              <w:right w:val="single" w:sz="4" w:space="0" w:color="auto"/>
            </w:tcBorders>
            <w:vAlign w:val="center"/>
          </w:tcPr>
          <w:p w:rsidR="00AF46E1" w:rsidRPr="00CA3440" w:rsidRDefault="00AF46E1" w:rsidP="00272677">
            <w:pPr>
              <w:jc w:val="center"/>
              <w:rPr>
                <w:sz w:val="22"/>
                <w:szCs w:val="22"/>
              </w:rPr>
            </w:pPr>
            <w:r w:rsidRPr="00CA3440">
              <w:rPr>
                <w:sz w:val="22"/>
                <w:szCs w:val="22"/>
              </w:rPr>
              <w:t>Atzinuma sniedzēja uzturētais iebildums, ja tas atšķiras no atzinumā norādītā iebilduma pamatojuma</w:t>
            </w:r>
          </w:p>
        </w:tc>
        <w:tc>
          <w:tcPr>
            <w:tcW w:w="2693" w:type="dxa"/>
            <w:tcBorders>
              <w:top w:val="single" w:sz="4" w:space="0" w:color="auto"/>
              <w:left w:val="single" w:sz="4" w:space="0" w:color="auto"/>
              <w:bottom w:val="single" w:sz="4" w:space="0" w:color="auto"/>
            </w:tcBorders>
            <w:vAlign w:val="center"/>
          </w:tcPr>
          <w:p w:rsidR="00AF46E1" w:rsidRPr="00CA3440" w:rsidRDefault="00AF46E1" w:rsidP="00272677">
            <w:pPr>
              <w:jc w:val="center"/>
              <w:rPr>
                <w:sz w:val="22"/>
                <w:szCs w:val="22"/>
              </w:rPr>
            </w:pPr>
            <w:r w:rsidRPr="00CA3440">
              <w:rPr>
                <w:sz w:val="22"/>
                <w:szCs w:val="22"/>
              </w:rPr>
              <w:t>Projekta attiecīgā punkta (panta) galīgā redakcija</w:t>
            </w:r>
          </w:p>
        </w:tc>
      </w:tr>
      <w:tr w:rsidR="00AF46E1" w:rsidRPr="00CA3440" w:rsidTr="00272677">
        <w:tc>
          <w:tcPr>
            <w:tcW w:w="710" w:type="dxa"/>
            <w:tcBorders>
              <w:top w:val="single" w:sz="6" w:space="0" w:color="000000"/>
              <w:left w:val="single" w:sz="6" w:space="0" w:color="000000"/>
              <w:bottom w:val="single" w:sz="6" w:space="0" w:color="000000"/>
              <w:right w:val="single" w:sz="6" w:space="0" w:color="000000"/>
            </w:tcBorders>
            <w:vAlign w:val="center"/>
          </w:tcPr>
          <w:p w:rsidR="00AF46E1" w:rsidRPr="00CA3440" w:rsidRDefault="00AF46E1" w:rsidP="00272677">
            <w:pPr>
              <w:pStyle w:val="naisc"/>
              <w:spacing w:before="0" w:after="0"/>
              <w:rPr>
                <w:sz w:val="22"/>
                <w:szCs w:val="22"/>
              </w:rPr>
            </w:pPr>
            <w:r w:rsidRPr="00CA3440">
              <w:rPr>
                <w:sz w:val="22"/>
                <w:szCs w:val="22"/>
              </w:rPr>
              <w:t>1.</w:t>
            </w:r>
          </w:p>
        </w:tc>
        <w:tc>
          <w:tcPr>
            <w:tcW w:w="2409" w:type="dxa"/>
            <w:tcBorders>
              <w:top w:val="single" w:sz="6" w:space="0" w:color="000000"/>
              <w:left w:val="single" w:sz="6" w:space="0" w:color="000000"/>
              <w:bottom w:val="single" w:sz="4" w:space="0" w:color="auto"/>
              <w:right w:val="single" w:sz="6" w:space="0" w:color="000000"/>
            </w:tcBorders>
            <w:vAlign w:val="center"/>
          </w:tcPr>
          <w:p w:rsidR="00AF46E1" w:rsidRPr="00CA3440" w:rsidRDefault="00AF46E1" w:rsidP="00272677">
            <w:pPr>
              <w:pStyle w:val="naisc"/>
              <w:spacing w:before="0" w:after="0"/>
              <w:ind w:firstLine="12"/>
              <w:rPr>
                <w:sz w:val="22"/>
                <w:szCs w:val="22"/>
              </w:rPr>
            </w:pPr>
            <w:r w:rsidRPr="00CA3440">
              <w:rPr>
                <w:sz w:val="22"/>
                <w:szCs w:val="22"/>
              </w:rPr>
              <w:t>2.</w:t>
            </w:r>
          </w:p>
        </w:tc>
        <w:tc>
          <w:tcPr>
            <w:tcW w:w="4820" w:type="dxa"/>
            <w:tcBorders>
              <w:top w:val="single" w:sz="6" w:space="0" w:color="000000"/>
              <w:left w:val="single" w:sz="6" w:space="0" w:color="000000"/>
              <w:bottom w:val="single" w:sz="6" w:space="0" w:color="000000"/>
              <w:right w:val="single" w:sz="6" w:space="0" w:color="000000"/>
            </w:tcBorders>
            <w:vAlign w:val="center"/>
          </w:tcPr>
          <w:p w:rsidR="00AF46E1" w:rsidRPr="00CA3440" w:rsidRDefault="00AF46E1" w:rsidP="00272677">
            <w:pPr>
              <w:pStyle w:val="naisc"/>
              <w:spacing w:before="0" w:after="0"/>
              <w:ind w:right="3"/>
              <w:rPr>
                <w:sz w:val="22"/>
                <w:szCs w:val="22"/>
              </w:rPr>
            </w:pPr>
            <w:r w:rsidRPr="00CA3440">
              <w:rPr>
                <w:sz w:val="22"/>
                <w:szCs w:val="22"/>
              </w:rPr>
              <w:t>3.</w:t>
            </w:r>
          </w:p>
        </w:tc>
        <w:tc>
          <w:tcPr>
            <w:tcW w:w="2835" w:type="dxa"/>
            <w:tcBorders>
              <w:top w:val="single" w:sz="6" w:space="0" w:color="000000"/>
              <w:left w:val="single" w:sz="6" w:space="0" w:color="000000"/>
              <w:bottom w:val="single" w:sz="6" w:space="0" w:color="000000"/>
              <w:right w:val="single" w:sz="6" w:space="0" w:color="000000"/>
            </w:tcBorders>
            <w:vAlign w:val="center"/>
          </w:tcPr>
          <w:p w:rsidR="00AF46E1" w:rsidRPr="00CA3440" w:rsidRDefault="00AF46E1" w:rsidP="00272677">
            <w:pPr>
              <w:pStyle w:val="naisc"/>
              <w:spacing w:before="0" w:after="0"/>
              <w:ind w:firstLine="21"/>
              <w:rPr>
                <w:sz w:val="22"/>
                <w:szCs w:val="22"/>
              </w:rPr>
            </w:pPr>
            <w:r w:rsidRPr="00CA3440">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AF46E1" w:rsidRPr="00CA3440" w:rsidRDefault="00AF46E1" w:rsidP="00272677">
            <w:pPr>
              <w:jc w:val="center"/>
              <w:rPr>
                <w:sz w:val="22"/>
                <w:szCs w:val="22"/>
              </w:rPr>
            </w:pPr>
            <w:r w:rsidRPr="00CA3440">
              <w:rPr>
                <w:sz w:val="22"/>
                <w:szCs w:val="22"/>
              </w:rPr>
              <w:t>5.</w:t>
            </w:r>
          </w:p>
        </w:tc>
        <w:tc>
          <w:tcPr>
            <w:tcW w:w="2693" w:type="dxa"/>
            <w:tcBorders>
              <w:top w:val="single" w:sz="4" w:space="0" w:color="auto"/>
              <w:left w:val="single" w:sz="4" w:space="0" w:color="auto"/>
              <w:bottom w:val="single" w:sz="4" w:space="0" w:color="auto"/>
            </w:tcBorders>
            <w:vAlign w:val="center"/>
          </w:tcPr>
          <w:p w:rsidR="00AF46E1" w:rsidRPr="00CA3440" w:rsidRDefault="00AF46E1" w:rsidP="00272677">
            <w:pPr>
              <w:jc w:val="center"/>
              <w:rPr>
                <w:sz w:val="22"/>
                <w:szCs w:val="22"/>
              </w:rPr>
            </w:pPr>
            <w:r w:rsidRPr="00CA3440">
              <w:rPr>
                <w:sz w:val="22"/>
                <w:szCs w:val="22"/>
              </w:rPr>
              <w:t>6.</w:t>
            </w:r>
          </w:p>
        </w:tc>
      </w:tr>
    </w:tbl>
    <w:p w:rsidR="00AF46E1" w:rsidRPr="00CA3440" w:rsidRDefault="00AF46E1" w:rsidP="00AF46E1">
      <w:pPr>
        <w:pStyle w:val="naisf"/>
        <w:spacing w:before="0" w:after="0"/>
        <w:ind w:firstLine="0"/>
      </w:pPr>
    </w:p>
    <w:p w:rsidR="00AF46E1" w:rsidRPr="00CA3440" w:rsidRDefault="00AF46E1" w:rsidP="00AF46E1">
      <w:pPr>
        <w:pStyle w:val="naisf"/>
        <w:spacing w:before="0" w:after="0"/>
        <w:ind w:firstLine="0"/>
        <w:rPr>
          <w:b/>
        </w:rPr>
      </w:pPr>
      <w:r w:rsidRPr="00CA3440">
        <w:rPr>
          <w:b/>
        </w:rPr>
        <w:t xml:space="preserve">Informācija par </w:t>
      </w:r>
      <w:proofErr w:type="spellStart"/>
      <w:r w:rsidRPr="00CA3440">
        <w:rPr>
          <w:b/>
        </w:rPr>
        <w:t>starpministriju</w:t>
      </w:r>
      <w:proofErr w:type="spellEnd"/>
      <w:r w:rsidRPr="00CA3440">
        <w:rPr>
          <w:b/>
        </w:rPr>
        <w:t xml:space="preserve"> (starpinstitūciju) sanāksmi vai elektronisko saskaņošanu</w:t>
      </w:r>
    </w:p>
    <w:p w:rsidR="00AF46E1" w:rsidRPr="00CA3440" w:rsidRDefault="00AF46E1" w:rsidP="00AF46E1">
      <w:pPr>
        <w:pStyle w:val="naisf"/>
        <w:spacing w:before="0" w:after="0"/>
        <w:ind w:firstLine="0"/>
        <w:rPr>
          <w:b/>
        </w:rPr>
      </w:pPr>
    </w:p>
    <w:p w:rsidR="00AF46E1" w:rsidRPr="00385246" w:rsidRDefault="00AF46E1" w:rsidP="00AF46E1">
      <w:pPr>
        <w:tabs>
          <w:tab w:val="left" w:pos="1089"/>
        </w:tabs>
        <w:spacing w:after="240"/>
        <w:ind w:left="5760" w:hanging="5760"/>
      </w:pPr>
      <w:r w:rsidRPr="00385246">
        <w:t>Datums</w:t>
      </w:r>
      <w:r w:rsidRPr="00385246">
        <w:tab/>
      </w:r>
      <w:r w:rsidRPr="00385246">
        <w:tab/>
        <w:t xml:space="preserve">2020.gada </w:t>
      </w:r>
      <w:r w:rsidR="00385246" w:rsidRPr="00385246">
        <w:t>9</w:t>
      </w:r>
      <w:r w:rsidRPr="00385246">
        <w:t>.</w:t>
      </w:r>
      <w:r w:rsidR="00385246" w:rsidRPr="00385246">
        <w:t>jūlijs</w:t>
      </w:r>
      <w:r w:rsidR="00C60D15">
        <w:t>, 2020</w:t>
      </w:r>
      <w:r w:rsidR="00F11FA1">
        <w:t xml:space="preserve">.gada 23.decembris, 2021.gada </w:t>
      </w:r>
      <w:r w:rsidR="002A16CA">
        <w:t>21</w:t>
      </w:r>
      <w:r w:rsidR="00C60D15">
        <w:t>.februāris</w:t>
      </w:r>
    </w:p>
    <w:p w:rsidR="00AF46E1" w:rsidRDefault="00AF46E1" w:rsidP="00AF46E1">
      <w:pPr>
        <w:tabs>
          <w:tab w:val="left" w:pos="1089"/>
        </w:tabs>
        <w:spacing w:after="120"/>
        <w:ind w:left="5761" w:hanging="5761"/>
        <w:jc w:val="both"/>
      </w:pPr>
      <w:r w:rsidRPr="00CA3440">
        <w:t>Saskaņošanas dalībnieki</w:t>
      </w:r>
      <w:r w:rsidRPr="00CA3440">
        <w:tab/>
        <w:t>Tieslietu ministrija,</w:t>
      </w:r>
      <w:r>
        <w:t xml:space="preserve"> Finanšu ministrija,</w:t>
      </w:r>
      <w:r w:rsidRPr="00CA3440">
        <w:t xml:space="preserve"> Aizsardzības ministrija, </w:t>
      </w:r>
      <w:r>
        <w:t xml:space="preserve">Kultūras ministrija, </w:t>
      </w:r>
      <w:r w:rsidRPr="00CA3440">
        <w:t>Satiksmes ministrija, Vides aizsardzības un reģionālās</w:t>
      </w:r>
      <w:r>
        <w:t xml:space="preserve"> attīstības ministrija</w:t>
      </w:r>
      <w:r w:rsidR="00AF41CF">
        <w:t xml:space="preserve">, </w:t>
      </w:r>
      <w:r w:rsidR="00AF41CF" w:rsidRPr="00AF41CF">
        <w:t>Latvijas Darba devēju konfederācija</w:t>
      </w:r>
    </w:p>
    <w:p w:rsidR="00AF46E1" w:rsidRPr="00CA3440" w:rsidRDefault="00AF46E1" w:rsidP="00AF46E1">
      <w:pPr>
        <w:tabs>
          <w:tab w:val="left" w:pos="1089"/>
        </w:tabs>
        <w:spacing w:after="120"/>
        <w:ind w:left="5761" w:hanging="5761"/>
        <w:jc w:val="both"/>
      </w:pPr>
      <w:r w:rsidRPr="00CA3440">
        <w:tab/>
      </w:r>
      <w:r w:rsidRPr="00CA3440">
        <w:tab/>
      </w:r>
    </w:p>
    <w:p w:rsidR="00AF46E1" w:rsidRPr="00CA3440" w:rsidRDefault="00AF46E1" w:rsidP="00AF46E1">
      <w:r w:rsidRPr="00CA3440">
        <w:t xml:space="preserve">Saskaņošanas dalībnieki izskatīja šādu ministriju </w:t>
      </w:r>
      <w:r w:rsidR="00385246">
        <w:tab/>
      </w:r>
      <w:r w:rsidR="00385246">
        <w:tab/>
        <w:t>Nav</w:t>
      </w:r>
    </w:p>
    <w:p w:rsidR="00AF46E1" w:rsidRDefault="00AF46E1" w:rsidP="00AF46E1">
      <w:pPr>
        <w:ind w:left="5761" w:hanging="5761"/>
        <w:jc w:val="both"/>
      </w:pPr>
      <w:r w:rsidRPr="00CA3440">
        <w:t>(citu institūciju) iebildumus</w:t>
      </w:r>
      <w:r w:rsidRPr="00CA3440">
        <w:tab/>
      </w:r>
    </w:p>
    <w:p w:rsidR="00385246" w:rsidRPr="00CA3440" w:rsidRDefault="00385246" w:rsidP="00AF46E1">
      <w:pPr>
        <w:ind w:left="5761" w:hanging="5761"/>
        <w:jc w:val="both"/>
      </w:pPr>
    </w:p>
    <w:p w:rsidR="00AF46E1" w:rsidRPr="00CA3440" w:rsidRDefault="00AF46E1" w:rsidP="00AF46E1">
      <w:r w:rsidRPr="00CA3440">
        <w:t xml:space="preserve">uz sanāksmi vai kuras nav atbildējušas uz </w:t>
      </w:r>
      <w:r>
        <w:tab/>
      </w:r>
      <w:r>
        <w:tab/>
      </w:r>
      <w:r>
        <w:tab/>
      </w:r>
      <w:r w:rsidR="00385246">
        <w:t>Nav</w:t>
      </w:r>
    </w:p>
    <w:p w:rsidR="00AF46E1" w:rsidRPr="00CA3440" w:rsidRDefault="00AF46E1" w:rsidP="00AF46E1">
      <w:pPr>
        <w:ind w:left="5760" w:hanging="5760"/>
        <w:jc w:val="both"/>
      </w:pPr>
      <w:r w:rsidRPr="00CA3440">
        <w:t>uzaicinājumu piedalīties elektroniskajā saskaņošanā</w:t>
      </w:r>
    </w:p>
    <w:p w:rsidR="00AF46E1" w:rsidRDefault="00AF46E1" w:rsidP="00AF46E1">
      <w:pPr>
        <w:ind w:left="5760" w:hanging="5760"/>
        <w:jc w:val="both"/>
      </w:pPr>
    </w:p>
    <w:p w:rsidR="00AF46E1" w:rsidRDefault="00AF46E1" w:rsidP="00AF46E1">
      <w:pPr>
        <w:ind w:left="5760" w:hanging="5760"/>
        <w:jc w:val="both"/>
      </w:pPr>
    </w:p>
    <w:p w:rsidR="00AF46E1" w:rsidRDefault="00AF46E1" w:rsidP="00AF46E1">
      <w:pPr>
        <w:ind w:left="5760" w:hanging="5760"/>
        <w:jc w:val="both"/>
      </w:pPr>
      <w:r w:rsidRPr="00CA3440">
        <w:tab/>
      </w:r>
    </w:p>
    <w:p w:rsidR="00385246" w:rsidRDefault="00385246" w:rsidP="00AF46E1">
      <w:pPr>
        <w:ind w:left="5760" w:hanging="5760"/>
        <w:jc w:val="both"/>
      </w:pPr>
    </w:p>
    <w:p w:rsidR="00AF46E1" w:rsidRPr="00CA3440" w:rsidRDefault="00AF46E1" w:rsidP="00AF46E1">
      <w:pPr>
        <w:pStyle w:val="naisf"/>
        <w:spacing w:before="0" w:after="0"/>
        <w:ind w:firstLine="0"/>
        <w:jc w:val="center"/>
        <w:rPr>
          <w:b/>
        </w:rPr>
      </w:pPr>
      <w:r w:rsidRPr="00CA3440">
        <w:rPr>
          <w:b/>
        </w:rPr>
        <w:lastRenderedPageBreak/>
        <w:t>II. Jautājumi, par kuriem saskaņošanā vienošanās ir panākta</w:t>
      </w:r>
    </w:p>
    <w:p w:rsidR="00AF46E1" w:rsidRPr="00CA3440" w:rsidRDefault="00AF46E1" w:rsidP="00AF46E1">
      <w:pPr>
        <w:pStyle w:val="naisf"/>
        <w:spacing w:before="0" w:after="0"/>
        <w:ind w:firstLine="720"/>
      </w:pPr>
    </w:p>
    <w:tbl>
      <w:tblPr>
        <w:tblW w:w="15026" w:type="dxa"/>
        <w:tblInd w:w="-22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3195"/>
        <w:gridCol w:w="5245"/>
        <w:gridCol w:w="2409"/>
        <w:gridCol w:w="3467"/>
      </w:tblGrid>
      <w:tr w:rsidR="00AF46E1" w:rsidRPr="00AA4E69" w:rsidTr="00E82337">
        <w:tc>
          <w:tcPr>
            <w:tcW w:w="710" w:type="dxa"/>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AF46E1" w:rsidRPr="00AA4E69" w:rsidRDefault="00AF46E1" w:rsidP="00272677">
            <w:pPr>
              <w:pStyle w:val="naisc"/>
              <w:spacing w:before="0" w:after="0"/>
              <w:rPr>
                <w:b/>
                <w:sz w:val="22"/>
                <w:szCs w:val="22"/>
              </w:rPr>
            </w:pPr>
            <w:r w:rsidRPr="00AA4E69">
              <w:rPr>
                <w:b/>
                <w:sz w:val="22"/>
                <w:szCs w:val="22"/>
              </w:rPr>
              <w:t>Nr. p.k.</w:t>
            </w:r>
          </w:p>
        </w:tc>
        <w:tc>
          <w:tcPr>
            <w:tcW w:w="3195" w:type="dxa"/>
            <w:tcBorders>
              <w:top w:val="single" w:sz="6" w:space="0" w:color="000000"/>
              <w:left w:val="single" w:sz="6" w:space="0" w:color="000000"/>
              <w:bottom w:val="single" w:sz="6" w:space="0" w:color="000000"/>
              <w:right w:val="single" w:sz="6" w:space="0" w:color="000000"/>
            </w:tcBorders>
            <w:vAlign w:val="center"/>
          </w:tcPr>
          <w:p w:rsidR="00AF46E1" w:rsidRPr="00AA4E69" w:rsidRDefault="00AF46E1" w:rsidP="00272677">
            <w:pPr>
              <w:pStyle w:val="naisc"/>
              <w:spacing w:before="0" w:after="0"/>
              <w:ind w:firstLine="12"/>
              <w:rPr>
                <w:b/>
                <w:sz w:val="22"/>
                <w:szCs w:val="22"/>
              </w:rPr>
            </w:pPr>
            <w:r w:rsidRPr="00AA4E69">
              <w:rPr>
                <w:b/>
                <w:sz w:val="22"/>
                <w:szCs w:val="22"/>
              </w:rPr>
              <w:t>Saskaņošanai nosūtītā projekta redakcija (konkrēta punkta (panta) redakcija)</w:t>
            </w:r>
          </w:p>
        </w:tc>
        <w:tc>
          <w:tcPr>
            <w:tcW w:w="5245" w:type="dxa"/>
            <w:tcBorders>
              <w:top w:val="single" w:sz="6" w:space="0" w:color="000000"/>
              <w:left w:val="single" w:sz="6" w:space="0" w:color="000000"/>
              <w:bottom w:val="single" w:sz="6" w:space="0" w:color="000000"/>
              <w:right w:val="single" w:sz="6" w:space="0" w:color="000000"/>
            </w:tcBorders>
            <w:vAlign w:val="center"/>
          </w:tcPr>
          <w:p w:rsidR="00AF46E1" w:rsidRPr="00AA4E69" w:rsidRDefault="00AF46E1" w:rsidP="00272677">
            <w:pPr>
              <w:pStyle w:val="naisc"/>
              <w:spacing w:before="0" w:after="0"/>
              <w:ind w:right="3"/>
              <w:rPr>
                <w:b/>
                <w:sz w:val="22"/>
                <w:szCs w:val="22"/>
              </w:rPr>
            </w:pPr>
            <w:r w:rsidRPr="00AA4E69">
              <w:rPr>
                <w:b/>
                <w:sz w:val="22"/>
                <w:szCs w:val="22"/>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rsidR="00AF46E1" w:rsidRPr="00AA4E69" w:rsidRDefault="00AF46E1" w:rsidP="00272677">
            <w:pPr>
              <w:pStyle w:val="naisc"/>
              <w:spacing w:before="0" w:after="0"/>
              <w:ind w:firstLine="21"/>
              <w:rPr>
                <w:b/>
                <w:sz w:val="22"/>
                <w:szCs w:val="22"/>
              </w:rPr>
            </w:pPr>
            <w:r w:rsidRPr="00AA4E69">
              <w:rPr>
                <w:b/>
                <w:sz w:val="22"/>
                <w:szCs w:val="22"/>
              </w:rPr>
              <w:t>Atbildīgās ministrijas norāde par to, ka iebildums ir ņemts vērā, vai informācija par saskaņošanā panākto alternatīvo risinājumu</w:t>
            </w:r>
          </w:p>
        </w:tc>
        <w:tc>
          <w:tcPr>
            <w:tcW w:w="3467" w:type="dxa"/>
            <w:tcBorders>
              <w:top w:val="single" w:sz="4" w:space="0" w:color="auto"/>
              <w:left w:val="single" w:sz="4" w:space="0" w:color="auto"/>
              <w:bottom w:val="single" w:sz="4" w:space="0" w:color="auto"/>
            </w:tcBorders>
            <w:vAlign w:val="center"/>
          </w:tcPr>
          <w:p w:rsidR="00AF46E1" w:rsidRPr="00AA4E69" w:rsidRDefault="00AF46E1" w:rsidP="00272677">
            <w:pPr>
              <w:jc w:val="center"/>
              <w:rPr>
                <w:b/>
                <w:sz w:val="22"/>
                <w:szCs w:val="22"/>
              </w:rPr>
            </w:pPr>
            <w:r w:rsidRPr="00AA4E69">
              <w:rPr>
                <w:b/>
                <w:sz w:val="22"/>
                <w:szCs w:val="22"/>
              </w:rPr>
              <w:t>Projekta attiecīgā punkta (panta) galīgā redakcija</w:t>
            </w:r>
          </w:p>
        </w:tc>
      </w:tr>
      <w:tr w:rsidR="00AF46E1" w:rsidRPr="0080010C" w:rsidTr="00E82337">
        <w:tc>
          <w:tcPr>
            <w:tcW w:w="710" w:type="dxa"/>
            <w:tcBorders>
              <w:top w:val="single" w:sz="6" w:space="0" w:color="000000"/>
              <w:left w:val="single" w:sz="6" w:space="0" w:color="000000"/>
              <w:bottom w:val="single" w:sz="6" w:space="0" w:color="000000"/>
              <w:right w:val="single" w:sz="6" w:space="0" w:color="000000"/>
            </w:tcBorders>
          </w:tcPr>
          <w:p w:rsidR="00AF46E1" w:rsidRPr="0080010C" w:rsidRDefault="00AF46E1" w:rsidP="00272677">
            <w:pPr>
              <w:pStyle w:val="naisc"/>
              <w:spacing w:before="0" w:after="0"/>
              <w:rPr>
                <w:sz w:val="22"/>
                <w:szCs w:val="22"/>
              </w:rPr>
            </w:pPr>
            <w:r w:rsidRPr="0080010C">
              <w:rPr>
                <w:sz w:val="22"/>
                <w:szCs w:val="22"/>
              </w:rPr>
              <w:t>1</w:t>
            </w:r>
          </w:p>
        </w:tc>
        <w:tc>
          <w:tcPr>
            <w:tcW w:w="3195" w:type="dxa"/>
            <w:tcBorders>
              <w:top w:val="single" w:sz="6" w:space="0" w:color="000000"/>
              <w:left w:val="single" w:sz="6" w:space="0" w:color="000000"/>
              <w:bottom w:val="single" w:sz="6" w:space="0" w:color="000000"/>
              <w:right w:val="single" w:sz="6" w:space="0" w:color="000000"/>
            </w:tcBorders>
          </w:tcPr>
          <w:p w:rsidR="00AF46E1" w:rsidRPr="0080010C" w:rsidRDefault="00AF46E1" w:rsidP="00272677">
            <w:pPr>
              <w:pStyle w:val="naisc"/>
              <w:spacing w:before="0" w:after="0"/>
              <w:rPr>
                <w:sz w:val="22"/>
                <w:szCs w:val="22"/>
              </w:rPr>
            </w:pPr>
            <w:r w:rsidRPr="0080010C">
              <w:rPr>
                <w:sz w:val="22"/>
                <w:szCs w:val="22"/>
              </w:rPr>
              <w:t>2</w:t>
            </w:r>
          </w:p>
        </w:tc>
        <w:tc>
          <w:tcPr>
            <w:tcW w:w="5245" w:type="dxa"/>
            <w:tcBorders>
              <w:top w:val="single" w:sz="6" w:space="0" w:color="000000"/>
              <w:left w:val="single" w:sz="6" w:space="0" w:color="000000"/>
              <w:bottom w:val="single" w:sz="6" w:space="0" w:color="000000"/>
              <w:right w:val="single" w:sz="6" w:space="0" w:color="000000"/>
            </w:tcBorders>
          </w:tcPr>
          <w:p w:rsidR="00AF46E1" w:rsidRPr="0080010C" w:rsidRDefault="00AF46E1" w:rsidP="00272677">
            <w:pPr>
              <w:pStyle w:val="naisc"/>
              <w:spacing w:before="0" w:after="0"/>
              <w:rPr>
                <w:sz w:val="22"/>
                <w:szCs w:val="22"/>
              </w:rPr>
            </w:pPr>
            <w:r w:rsidRPr="0080010C">
              <w:rPr>
                <w:sz w:val="22"/>
                <w:szCs w:val="22"/>
              </w:rPr>
              <w:t>3</w:t>
            </w:r>
          </w:p>
        </w:tc>
        <w:tc>
          <w:tcPr>
            <w:tcW w:w="2409" w:type="dxa"/>
            <w:tcBorders>
              <w:top w:val="single" w:sz="6" w:space="0" w:color="000000"/>
              <w:left w:val="single" w:sz="6" w:space="0" w:color="000000"/>
              <w:bottom w:val="single" w:sz="6" w:space="0" w:color="000000"/>
              <w:right w:val="single" w:sz="6" w:space="0" w:color="000000"/>
            </w:tcBorders>
          </w:tcPr>
          <w:p w:rsidR="00AF46E1" w:rsidRPr="0080010C" w:rsidRDefault="00AF46E1" w:rsidP="00272677">
            <w:pPr>
              <w:pStyle w:val="naisc"/>
              <w:spacing w:before="0" w:after="0"/>
              <w:rPr>
                <w:sz w:val="22"/>
                <w:szCs w:val="22"/>
              </w:rPr>
            </w:pPr>
            <w:r w:rsidRPr="0080010C">
              <w:rPr>
                <w:sz w:val="22"/>
                <w:szCs w:val="22"/>
              </w:rPr>
              <w:t>4</w:t>
            </w:r>
          </w:p>
        </w:tc>
        <w:tc>
          <w:tcPr>
            <w:tcW w:w="3467" w:type="dxa"/>
            <w:tcBorders>
              <w:top w:val="single" w:sz="4" w:space="0" w:color="auto"/>
              <w:left w:val="single" w:sz="4" w:space="0" w:color="auto"/>
              <w:bottom w:val="single" w:sz="4" w:space="0" w:color="auto"/>
            </w:tcBorders>
          </w:tcPr>
          <w:p w:rsidR="00AF46E1" w:rsidRPr="0080010C" w:rsidRDefault="00AF46E1" w:rsidP="00272677">
            <w:pPr>
              <w:jc w:val="center"/>
              <w:rPr>
                <w:sz w:val="22"/>
                <w:szCs w:val="22"/>
              </w:rPr>
            </w:pPr>
            <w:r w:rsidRPr="0080010C">
              <w:rPr>
                <w:sz w:val="22"/>
                <w:szCs w:val="22"/>
              </w:rPr>
              <w:t>5</w:t>
            </w:r>
          </w:p>
        </w:tc>
      </w:tr>
      <w:tr w:rsidR="00AF46E1" w:rsidRPr="0080010C" w:rsidTr="00E82337">
        <w:tc>
          <w:tcPr>
            <w:tcW w:w="710" w:type="dxa"/>
            <w:tcBorders>
              <w:top w:val="single" w:sz="6" w:space="0" w:color="000000"/>
              <w:left w:val="single" w:sz="6" w:space="0" w:color="000000"/>
              <w:bottom w:val="single" w:sz="6" w:space="0" w:color="000000"/>
              <w:right w:val="single" w:sz="6" w:space="0" w:color="000000"/>
            </w:tcBorders>
          </w:tcPr>
          <w:p w:rsidR="00AF46E1" w:rsidRPr="0080010C" w:rsidRDefault="00AF46E1" w:rsidP="00272677">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AF46E1" w:rsidRPr="0080010C" w:rsidRDefault="00AF46E1" w:rsidP="00AF46E1">
            <w:pPr>
              <w:pStyle w:val="naisc"/>
              <w:spacing w:before="0" w:after="0"/>
              <w:rPr>
                <w:sz w:val="22"/>
                <w:szCs w:val="22"/>
              </w:rPr>
            </w:pPr>
            <w:r w:rsidRPr="0080010C">
              <w:rPr>
                <w:sz w:val="22"/>
                <w:szCs w:val="22"/>
              </w:rPr>
              <w:t>Informatīvā ziņojuma projekts</w:t>
            </w:r>
            <w:r w:rsidR="00D53507" w:rsidRPr="0080010C">
              <w:rPr>
                <w:sz w:val="22"/>
                <w:szCs w:val="22"/>
              </w:rPr>
              <w:t xml:space="preserve"> un </w:t>
            </w:r>
            <w:proofErr w:type="spellStart"/>
            <w:r w:rsidR="00D53507" w:rsidRPr="0080010C">
              <w:rPr>
                <w:sz w:val="22"/>
                <w:szCs w:val="22"/>
              </w:rPr>
              <w:t>protokollēmuma</w:t>
            </w:r>
            <w:proofErr w:type="spellEnd"/>
            <w:r w:rsidR="00D53507" w:rsidRPr="0080010C">
              <w:rPr>
                <w:sz w:val="22"/>
                <w:szCs w:val="22"/>
              </w:rPr>
              <w:t xml:space="preserve"> projekts</w:t>
            </w:r>
          </w:p>
        </w:tc>
        <w:tc>
          <w:tcPr>
            <w:tcW w:w="5245" w:type="dxa"/>
            <w:tcBorders>
              <w:top w:val="single" w:sz="6" w:space="0" w:color="000000"/>
              <w:left w:val="single" w:sz="6" w:space="0" w:color="000000"/>
              <w:bottom w:val="single" w:sz="6" w:space="0" w:color="000000"/>
              <w:right w:val="single" w:sz="6" w:space="0" w:color="000000"/>
            </w:tcBorders>
          </w:tcPr>
          <w:p w:rsidR="00AF46E1" w:rsidRPr="0080010C" w:rsidRDefault="00AF46E1" w:rsidP="00272677">
            <w:pPr>
              <w:pStyle w:val="naisc"/>
              <w:spacing w:before="0" w:after="0"/>
              <w:rPr>
                <w:b/>
                <w:bCs/>
                <w:sz w:val="22"/>
                <w:szCs w:val="22"/>
              </w:rPr>
            </w:pPr>
            <w:r w:rsidRPr="0080010C">
              <w:rPr>
                <w:b/>
                <w:bCs/>
                <w:sz w:val="22"/>
                <w:szCs w:val="22"/>
              </w:rPr>
              <w:t>Satiksmes ministrija</w:t>
            </w:r>
            <w:r w:rsidR="00312C38">
              <w:rPr>
                <w:b/>
                <w:bCs/>
                <w:sz w:val="22"/>
                <w:szCs w:val="22"/>
              </w:rPr>
              <w:t xml:space="preserve"> (iebildumi)</w:t>
            </w:r>
          </w:p>
          <w:p w:rsidR="00FF5AC0" w:rsidRPr="000F17ED" w:rsidRDefault="00D53507" w:rsidP="00316294">
            <w:pPr>
              <w:jc w:val="both"/>
              <w:rPr>
                <w:sz w:val="22"/>
                <w:szCs w:val="22"/>
                <w:lang w:eastAsia="en-US"/>
              </w:rPr>
            </w:pPr>
            <w:r w:rsidRPr="0080010C">
              <w:rPr>
                <w:sz w:val="22"/>
                <w:szCs w:val="22"/>
                <w:lang w:eastAsia="en-US"/>
              </w:rPr>
              <w:t>Vienlaikus Satiksmes ministrija norāda, ka Elektronis</w:t>
            </w:r>
            <w:r w:rsidR="000F17ED">
              <w:rPr>
                <w:sz w:val="22"/>
                <w:szCs w:val="22"/>
                <w:lang w:eastAsia="en-US"/>
              </w:rPr>
              <w:t xml:space="preserve">ko sakaru likuma 3.panta trešā </w:t>
            </w:r>
            <w:r w:rsidRPr="0080010C">
              <w:rPr>
                <w:sz w:val="22"/>
                <w:szCs w:val="22"/>
                <w:lang w:eastAsia="en-US"/>
              </w:rPr>
              <w:t>daļa nosaka, ka likums neattiecas uz informācijas sabiedrības pakalpojumu sniegšanu un tās informācijas saturu, kuru pārraida vai saņem elektronisko sakaru tīklos. Vēršam uzmanību, ka elektroniskie plašsaziņas līdzekļi ir Nacionālajā elektronisko plašsaziņas līdzekļu padomē reģistrēti komersanti, kuri nodrošina pārraidāmās informācijas saturu. Līdz ar to vērtējams, vai regulējuma izstrādē attiecībā uz elektronisko plašsaziņas līdzekļu lomu agrīnās brīdinājuma sistēmas modernizēšanā nebūtu lietderīgi iesaistīt ne tika</w:t>
            </w:r>
            <w:r w:rsidR="00385246">
              <w:rPr>
                <w:sz w:val="22"/>
                <w:szCs w:val="22"/>
                <w:lang w:eastAsia="en-US"/>
              </w:rPr>
              <w:t xml:space="preserve">i Kultūras ministriju, bet arī </w:t>
            </w:r>
            <w:r w:rsidRPr="0080010C">
              <w:rPr>
                <w:sz w:val="22"/>
                <w:szCs w:val="22"/>
                <w:lang w:eastAsia="en-US"/>
              </w:rPr>
              <w:t xml:space="preserve">Nacionālo elektronisko plašsaziņas līdzekļu padomi.  </w:t>
            </w:r>
          </w:p>
        </w:tc>
        <w:tc>
          <w:tcPr>
            <w:tcW w:w="2409" w:type="dxa"/>
            <w:tcBorders>
              <w:top w:val="single" w:sz="6" w:space="0" w:color="000000"/>
              <w:left w:val="single" w:sz="6" w:space="0" w:color="000000"/>
              <w:bottom w:val="single" w:sz="6" w:space="0" w:color="000000"/>
              <w:right w:val="single" w:sz="6" w:space="0" w:color="000000"/>
            </w:tcBorders>
          </w:tcPr>
          <w:p w:rsidR="00AF46E1" w:rsidRPr="0080010C" w:rsidRDefault="00AF46E1" w:rsidP="00272677">
            <w:pPr>
              <w:pStyle w:val="naisc"/>
              <w:spacing w:before="0" w:after="0"/>
              <w:rPr>
                <w:b/>
                <w:sz w:val="22"/>
                <w:szCs w:val="22"/>
              </w:rPr>
            </w:pPr>
            <w:r w:rsidRPr="0080010C">
              <w:rPr>
                <w:b/>
                <w:sz w:val="22"/>
                <w:szCs w:val="22"/>
              </w:rPr>
              <w:t>Ņemts vērā</w:t>
            </w:r>
          </w:p>
          <w:p w:rsidR="00AF46E1" w:rsidRPr="0080010C" w:rsidRDefault="00AF46E1" w:rsidP="00272677">
            <w:pPr>
              <w:pStyle w:val="naisc"/>
              <w:spacing w:before="0" w:after="0"/>
              <w:jc w:val="both"/>
              <w:rPr>
                <w:b/>
                <w:sz w:val="22"/>
                <w:szCs w:val="22"/>
              </w:rPr>
            </w:pPr>
          </w:p>
        </w:tc>
        <w:tc>
          <w:tcPr>
            <w:tcW w:w="3467" w:type="dxa"/>
            <w:tcBorders>
              <w:top w:val="single" w:sz="4" w:space="0" w:color="auto"/>
              <w:left w:val="single" w:sz="4" w:space="0" w:color="auto"/>
              <w:bottom w:val="single" w:sz="4" w:space="0" w:color="auto"/>
              <w:right w:val="single" w:sz="4" w:space="0" w:color="auto"/>
            </w:tcBorders>
          </w:tcPr>
          <w:p w:rsidR="005A2F2E" w:rsidRDefault="00D53507" w:rsidP="00385246">
            <w:pPr>
              <w:jc w:val="both"/>
              <w:rPr>
                <w:sz w:val="22"/>
                <w:szCs w:val="22"/>
                <w:lang w:eastAsia="en-US"/>
              </w:rPr>
            </w:pPr>
            <w:r w:rsidRPr="0080010C">
              <w:rPr>
                <w:sz w:val="22"/>
                <w:szCs w:val="22"/>
              </w:rPr>
              <w:t xml:space="preserve">Informatīvā ziņojuma projekta </w:t>
            </w:r>
            <w:r w:rsidR="00385246">
              <w:rPr>
                <w:sz w:val="22"/>
                <w:szCs w:val="22"/>
              </w:rPr>
              <w:t xml:space="preserve">sagatavošanas procesā </w:t>
            </w:r>
            <w:r w:rsidRPr="0080010C">
              <w:rPr>
                <w:sz w:val="22"/>
                <w:szCs w:val="22"/>
              </w:rPr>
              <w:t>tik</w:t>
            </w:r>
            <w:r w:rsidR="00385246">
              <w:rPr>
                <w:sz w:val="22"/>
                <w:szCs w:val="22"/>
              </w:rPr>
              <w:t>a</w:t>
            </w:r>
            <w:r w:rsidRPr="0080010C">
              <w:rPr>
                <w:sz w:val="22"/>
                <w:szCs w:val="22"/>
              </w:rPr>
              <w:t xml:space="preserve"> iesaistīta </w:t>
            </w:r>
            <w:r w:rsidRPr="0080010C">
              <w:rPr>
                <w:sz w:val="22"/>
                <w:szCs w:val="22"/>
                <w:lang w:eastAsia="en-US"/>
              </w:rPr>
              <w:t>Nacionālo elektronisko plašsaziņas līdzekļu padome.</w:t>
            </w:r>
            <w:r w:rsidR="00385246">
              <w:rPr>
                <w:sz w:val="22"/>
                <w:szCs w:val="22"/>
                <w:lang w:eastAsia="en-US"/>
              </w:rPr>
              <w:t xml:space="preserve"> </w:t>
            </w:r>
          </w:p>
          <w:p w:rsidR="00385246" w:rsidRDefault="00385246" w:rsidP="00385246">
            <w:pPr>
              <w:jc w:val="both"/>
              <w:rPr>
                <w:sz w:val="22"/>
                <w:szCs w:val="22"/>
                <w:lang w:eastAsia="en-US"/>
              </w:rPr>
            </w:pPr>
            <w:r>
              <w:rPr>
                <w:sz w:val="22"/>
                <w:szCs w:val="22"/>
                <w:lang w:eastAsia="en-US"/>
              </w:rPr>
              <w:t>Atbilstoši 2020.gada 9.jūlija</w:t>
            </w:r>
            <w:r w:rsidRPr="00385246">
              <w:rPr>
                <w:sz w:val="22"/>
                <w:szCs w:val="22"/>
                <w:lang w:eastAsia="en-US"/>
              </w:rPr>
              <w:t xml:space="preserve"> </w:t>
            </w:r>
            <w:r>
              <w:rPr>
                <w:sz w:val="22"/>
                <w:szCs w:val="22"/>
                <w:lang w:eastAsia="en-US"/>
              </w:rPr>
              <w:t>Valsts sekretāru sanāksmes protokola Nr</w:t>
            </w:r>
            <w:r w:rsidR="005A2F2E">
              <w:rPr>
                <w:sz w:val="22"/>
                <w:szCs w:val="22"/>
                <w:lang w:eastAsia="en-US"/>
              </w:rPr>
              <w:t>.</w:t>
            </w:r>
            <w:r>
              <w:rPr>
                <w:sz w:val="22"/>
                <w:szCs w:val="22"/>
                <w:lang w:eastAsia="en-US"/>
              </w:rPr>
              <w:t>27</w:t>
            </w:r>
            <w:r w:rsidR="00D8747D">
              <w:rPr>
                <w:sz w:val="22"/>
                <w:szCs w:val="22"/>
                <w:lang w:eastAsia="en-US"/>
              </w:rPr>
              <w:t xml:space="preserve"> </w:t>
            </w:r>
            <w:r w:rsidR="00D8747D" w:rsidRPr="00D8747D">
              <w:rPr>
                <w:sz w:val="22"/>
                <w:szCs w:val="22"/>
                <w:lang w:eastAsia="en-US"/>
              </w:rPr>
              <w:t>6.§</w:t>
            </w:r>
            <w:r w:rsidR="00D8747D">
              <w:rPr>
                <w:sz w:val="22"/>
                <w:szCs w:val="22"/>
                <w:lang w:eastAsia="en-US"/>
              </w:rPr>
              <w:t xml:space="preserve"> dotajam uzdevumam, tiek organizēta starpinstitūciju saskaņošana</w:t>
            </w:r>
            <w:r w:rsidR="00D8747D">
              <w:rPr>
                <w:rStyle w:val="Vresatsauce"/>
                <w:sz w:val="22"/>
                <w:szCs w:val="22"/>
                <w:lang w:eastAsia="en-US"/>
              </w:rPr>
              <w:footnoteReference w:id="1"/>
            </w:r>
            <w:r w:rsidR="00D8747D">
              <w:rPr>
                <w:sz w:val="22"/>
                <w:szCs w:val="22"/>
                <w:lang w:eastAsia="en-US"/>
              </w:rPr>
              <w:t>.</w:t>
            </w:r>
          </w:p>
          <w:p w:rsidR="00AF46E1" w:rsidRPr="0080010C" w:rsidRDefault="00385246" w:rsidP="00385246">
            <w:pPr>
              <w:jc w:val="both"/>
              <w:rPr>
                <w:sz w:val="22"/>
                <w:szCs w:val="22"/>
              </w:rPr>
            </w:pPr>
            <w:r>
              <w:rPr>
                <w:sz w:val="22"/>
                <w:szCs w:val="22"/>
              </w:rPr>
              <w:t xml:space="preserve">Informatīvā ziņojuma projekts un </w:t>
            </w:r>
            <w:proofErr w:type="spellStart"/>
            <w:r w:rsidRPr="00385246">
              <w:rPr>
                <w:sz w:val="22"/>
                <w:szCs w:val="22"/>
              </w:rPr>
              <w:t>protokollēmuma</w:t>
            </w:r>
            <w:proofErr w:type="spellEnd"/>
            <w:r w:rsidRPr="00385246">
              <w:rPr>
                <w:sz w:val="22"/>
                <w:szCs w:val="22"/>
              </w:rPr>
              <w:t xml:space="preserve"> projekts</w:t>
            </w:r>
            <w:r>
              <w:rPr>
                <w:sz w:val="22"/>
                <w:szCs w:val="22"/>
              </w:rPr>
              <w:t xml:space="preserve"> </w:t>
            </w:r>
            <w:r w:rsidRPr="00385246">
              <w:rPr>
                <w:sz w:val="22"/>
                <w:szCs w:val="22"/>
              </w:rPr>
              <w:t xml:space="preserve">papildināts un precizēts </w:t>
            </w:r>
            <w:r w:rsidR="000F17ED">
              <w:rPr>
                <w:sz w:val="22"/>
                <w:szCs w:val="22"/>
              </w:rPr>
              <w:t xml:space="preserve">ņemot vērā VUGD veiktā </w:t>
            </w:r>
            <w:r w:rsidR="000F17ED" w:rsidRPr="00385246">
              <w:rPr>
                <w:sz w:val="22"/>
                <w:szCs w:val="22"/>
              </w:rPr>
              <w:t>Pētījuma rezultāt</w:t>
            </w:r>
            <w:r w:rsidR="000F17ED">
              <w:rPr>
                <w:sz w:val="22"/>
                <w:szCs w:val="22"/>
              </w:rPr>
              <w:t>us</w:t>
            </w:r>
            <w:r>
              <w:rPr>
                <w:sz w:val="22"/>
                <w:szCs w:val="22"/>
              </w:rPr>
              <w:t>.</w:t>
            </w:r>
          </w:p>
        </w:tc>
      </w:tr>
      <w:tr w:rsidR="00AF46E1" w:rsidRPr="0080010C" w:rsidTr="00E82337">
        <w:tc>
          <w:tcPr>
            <w:tcW w:w="710" w:type="dxa"/>
            <w:tcBorders>
              <w:top w:val="single" w:sz="6" w:space="0" w:color="000000"/>
              <w:left w:val="single" w:sz="6" w:space="0" w:color="000000"/>
              <w:bottom w:val="single" w:sz="6" w:space="0" w:color="000000"/>
              <w:right w:val="single" w:sz="6" w:space="0" w:color="000000"/>
            </w:tcBorders>
          </w:tcPr>
          <w:p w:rsidR="00AF46E1" w:rsidRPr="0080010C" w:rsidRDefault="00AF46E1" w:rsidP="00272677">
            <w:pPr>
              <w:pStyle w:val="naisc"/>
              <w:numPr>
                <w:ilvl w:val="0"/>
                <w:numId w:val="3"/>
              </w:numPr>
              <w:spacing w:before="0" w:after="0"/>
              <w:ind w:left="397"/>
              <w:rPr>
                <w:sz w:val="22"/>
                <w:szCs w:val="22"/>
              </w:rPr>
            </w:pPr>
          </w:p>
        </w:tc>
        <w:tc>
          <w:tcPr>
            <w:tcW w:w="3195" w:type="dxa"/>
            <w:tcBorders>
              <w:top w:val="single" w:sz="6" w:space="0" w:color="000000"/>
              <w:left w:val="single" w:sz="6" w:space="0" w:color="000000"/>
              <w:right w:val="single" w:sz="6" w:space="0" w:color="000000"/>
            </w:tcBorders>
          </w:tcPr>
          <w:p w:rsidR="00AF46E1" w:rsidRPr="0080010C" w:rsidRDefault="000F17ED" w:rsidP="000F17ED">
            <w:pPr>
              <w:jc w:val="center"/>
              <w:rPr>
                <w:sz w:val="22"/>
                <w:szCs w:val="22"/>
              </w:rPr>
            </w:pPr>
            <w:proofErr w:type="spellStart"/>
            <w:r>
              <w:rPr>
                <w:sz w:val="22"/>
                <w:szCs w:val="22"/>
              </w:rPr>
              <w:t>P</w:t>
            </w:r>
            <w:r w:rsidR="00D53507" w:rsidRPr="0080010C">
              <w:rPr>
                <w:sz w:val="22"/>
                <w:szCs w:val="22"/>
              </w:rPr>
              <w:t>rotokollēmuma</w:t>
            </w:r>
            <w:proofErr w:type="spellEnd"/>
            <w:r w:rsidR="00D53507" w:rsidRPr="0080010C">
              <w:rPr>
                <w:sz w:val="22"/>
                <w:szCs w:val="22"/>
              </w:rPr>
              <w:t xml:space="preserve"> projekts</w:t>
            </w:r>
          </w:p>
        </w:tc>
        <w:tc>
          <w:tcPr>
            <w:tcW w:w="5245" w:type="dxa"/>
            <w:tcBorders>
              <w:top w:val="single" w:sz="6" w:space="0" w:color="000000"/>
              <w:left w:val="single" w:sz="6" w:space="0" w:color="000000"/>
              <w:bottom w:val="single" w:sz="6" w:space="0" w:color="000000"/>
              <w:right w:val="single" w:sz="6" w:space="0" w:color="000000"/>
            </w:tcBorders>
          </w:tcPr>
          <w:p w:rsidR="00D53507" w:rsidRPr="0080010C" w:rsidRDefault="00D53507" w:rsidP="00D53507">
            <w:pPr>
              <w:pStyle w:val="naisc"/>
              <w:spacing w:before="0" w:after="0"/>
              <w:rPr>
                <w:b/>
                <w:bCs/>
                <w:sz w:val="22"/>
                <w:szCs w:val="22"/>
              </w:rPr>
            </w:pPr>
            <w:r w:rsidRPr="0080010C">
              <w:rPr>
                <w:b/>
                <w:bCs/>
                <w:sz w:val="22"/>
                <w:szCs w:val="22"/>
              </w:rPr>
              <w:t>Satiksmes ministrija</w:t>
            </w:r>
            <w:r w:rsidR="00312C38">
              <w:rPr>
                <w:b/>
                <w:bCs/>
                <w:sz w:val="22"/>
                <w:szCs w:val="22"/>
              </w:rPr>
              <w:t xml:space="preserve"> (iebildumi)</w:t>
            </w:r>
          </w:p>
          <w:p w:rsidR="000F17ED" w:rsidRPr="000F17ED" w:rsidRDefault="000F17ED" w:rsidP="000F17ED">
            <w:pPr>
              <w:jc w:val="both"/>
              <w:rPr>
                <w:sz w:val="22"/>
                <w:szCs w:val="22"/>
                <w:lang w:eastAsia="en-US"/>
              </w:rPr>
            </w:pPr>
            <w:r w:rsidRPr="000F17ED">
              <w:rPr>
                <w:sz w:val="22"/>
                <w:szCs w:val="22"/>
                <w:lang w:eastAsia="en-US"/>
              </w:rPr>
              <w:t xml:space="preserve">Satiksmes ministrijas lūdz izteikt </w:t>
            </w:r>
            <w:proofErr w:type="spellStart"/>
            <w:r w:rsidRPr="000F17ED">
              <w:rPr>
                <w:sz w:val="22"/>
                <w:szCs w:val="22"/>
                <w:lang w:eastAsia="en-US"/>
              </w:rPr>
              <w:t>Protokollēmuma</w:t>
            </w:r>
            <w:proofErr w:type="spellEnd"/>
            <w:r w:rsidRPr="000F17ED">
              <w:rPr>
                <w:sz w:val="22"/>
                <w:szCs w:val="22"/>
                <w:lang w:eastAsia="en-US"/>
              </w:rPr>
              <w:t xml:space="preserve"> projekta 3.punktu jaunā redakcijā un papildināt </w:t>
            </w:r>
            <w:proofErr w:type="spellStart"/>
            <w:r w:rsidRPr="000F17ED">
              <w:rPr>
                <w:sz w:val="22"/>
                <w:szCs w:val="22"/>
                <w:lang w:eastAsia="en-US"/>
              </w:rPr>
              <w:t>Protokollēmuma</w:t>
            </w:r>
            <w:proofErr w:type="spellEnd"/>
            <w:r w:rsidRPr="000F17ED">
              <w:rPr>
                <w:sz w:val="22"/>
                <w:szCs w:val="22"/>
                <w:lang w:eastAsia="en-US"/>
              </w:rPr>
              <w:t xml:space="preserve"> projektu ar jaunu 4. un 5.punktu šādā redakcijā:</w:t>
            </w:r>
          </w:p>
          <w:p w:rsidR="00FF5AC0" w:rsidRPr="000F17ED" w:rsidRDefault="000F17ED" w:rsidP="00316294">
            <w:pPr>
              <w:jc w:val="both"/>
              <w:rPr>
                <w:sz w:val="22"/>
                <w:szCs w:val="22"/>
                <w:lang w:eastAsia="en-US"/>
              </w:rPr>
            </w:pPr>
            <w:r w:rsidRPr="000F17ED">
              <w:rPr>
                <w:sz w:val="22"/>
                <w:szCs w:val="22"/>
                <w:lang w:eastAsia="en-US"/>
              </w:rPr>
              <w:t xml:space="preserve">“3. Iekšlietu ministrijai sadarbībā ar Kultūras ministriju izvērtēt elektronisko plašsaziņas līdzekļu gatavību nodrošināt bezmaksas agrīnās brīdināšanas informācijas pārraidīšanu sabiedrībai katastrofas, tās draudu vai cita apdraudējuma gadījumā, kā arī valsts agrīnās brīdināšanas sistēmas gatavības pārbaudes laikā, un </w:t>
            </w:r>
            <w:proofErr w:type="spellStart"/>
            <w:r w:rsidRPr="000F17ED">
              <w:rPr>
                <w:sz w:val="22"/>
                <w:szCs w:val="22"/>
                <w:lang w:eastAsia="en-US"/>
              </w:rPr>
              <w:lastRenderedPageBreak/>
              <w:t>iekšlietu</w:t>
            </w:r>
            <w:proofErr w:type="spellEnd"/>
            <w:r w:rsidRPr="000F17ED">
              <w:rPr>
                <w:sz w:val="22"/>
                <w:szCs w:val="22"/>
                <w:lang w:eastAsia="en-US"/>
              </w:rPr>
              <w:t xml:space="preserve"> ministram nepieciešamības gadījumā līdz 2021.gada 1.maijam izstrādāt un noteiktā kārtībā iesniegt izskatīšanai Ministru kabinetā attiecīgu normatīvā akta projektu, kas tiem noteiktu šādu pienākumu.”</w:t>
            </w:r>
          </w:p>
        </w:tc>
        <w:tc>
          <w:tcPr>
            <w:tcW w:w="2409" w:type="dxa"/>
            <w:tcBorders>
              <w:top w:val="single" w:sz="6" w:space="0" w:color="000000"/>
              <w:left w:val="single" w:sz="6" w:space="0" w:color="000000"/>
              <w:bottom w:val="single" w:sz="6" w:space="0" w:color="000000"/>
              <w:right w:val="single" w:sz="6" w:space="0" w:color="000000"/>
            </w:tcBorders>
          </w:tcPr>
          <w:p w:rsidR="00AF46E1" w:rsidRPr="0080010C" w:rsidRDefault="00AF46E1" w:rsidP="00AF46E1">
            <w:pPr>
              <w:pStyle w:val="naisc"/>
              <w:spacing w:before="0" w:after="0"/>
              <w:rPr>
                <w:b/>
                <w:sz w:val="22"/>
                <w:szCs w:val="22"/>
              </w:rPr>
            </w:pPr>
            <w:r w:rsidRPr="0080010C">
              <w:rPr>
                <w:b/>
                <w:sz w:val="22"/>
                <w:szCs w:val="22"/>
              </w:rPr>
              <w:lastRenderedPageBreak/>
              <w:t>Ņemts vērā</w:t>
            </w:r>
          </w:p>
          <w:p w:rsidR="00AF46E1" w:rsidRPr="0080010C" w:rsidRDefault="00AF46E1" w:rsidP="00272677">
            <w:pPr>
              <w:pStyle w:val="naisc"/>
              <w:spacing w:before="0" w:after="0"/>
              <w:rPr>
                <w:b/>
                <w:sz w:val="22"/>
                <w:szCs w:val="22"/>
              </w:rPr>
            </w:pPr>
          </w:p>
        </w:tc>
        <w:tc>
          <w:tcPr>
            <w:tcW w:w="3467" w:type="dxa"/>
            <w:tcBorders>
              <w:top w:val="single" w:sz="4" w:space="0" w:color="auto"/>
              <w:left w:val="single" w:sz="4" w:space="0" w:color="auto"/>
              <w:bottom w:val="single" w:sz="4" w:space="0" w:color="auto"/>
            </w:tcBorders>
          </w:tcPr>
          <w:p w:rsidR="000F17ED" w:rsidRDefault="000F17ED" w:rsidP="00D53507">
            <w:pPr>
              <w:jc w:val="both"/>
              <w:rPr>
                <w:sz w:val="22"/>
                <w:szCs w:val="22"/>
                <w:lang w:eastAsia="en-US"/>
              </w:rPr>
            </w:pPr>
            <w:proofErr w:type="spellStart"/>
            <w:r>
              <w:rPr>
                <w:sz w:val="22"/>
                <w:szCs w:val="22"/>
              </w:rPr>
              <w:t>P</w:t>
            </w:r>
            <w:r w:rsidRPr="00385246">
              <w:rPr>
                <w:sz w:val="22"/>
                <w:szCs w:val="22"/>
              </w:rPr>
              <w:t>rotokollēmuma</w:t>
            </w:r>
            <w:proofErr w:type="spellEnd"/>
            <w:r w:rsidRPr="00385246">
              <w:rPr>
                <w:sz w:val="22"/>
                <w:szCs w:val="22"/>
              </w:rPr>
              <w:t xml:space="preserve"> projekts</w:t>
            </w:r>
            <w:r>
              <w:rPr>
                <w:sz w:val="22"/>
                <w:szCs w:val="22"/>
              </w:rPr>
              <w:t xml:space="preserve"> </w:t>
            </w:r>
            <w:r w:rsidRPr="00385246">
              <w:rPr>
                <w:sz w:val="22"/>
                <w:szCs w:val="22"/>
              </w:rPr>
              <w:t xml:space="preserve">papildināts un precizēts </w:t>
            </w:r>
            <w:r>
              <w:rPr>
                <w:sz w:val="22"/>
                <w:szCs w:val="22"/>
              </w:rPr>
              <w:t xml:space="preserve">ņemot vērā VUGD veiktā </w:t>
            </w:r>
            <w:r w:rsidRPr="00385246">
              <w:rPr>
                <w:sz w:val="22"/>
                <w:szCs w:val="22"/>
              </w:rPr>
              <w:t>Pētījuma rezultāt</w:t>
            </w:r>
            <w:r>
              <w:rPr>
                <w:sz w:val="22"/>
                <w:szCs w:val="22"/>
              </w:rPr>
              <w:t>us.</w:t>
            </w:r>
          </w:p>
          <w:p w:rsidR="00AF46E1" w:rsidRPr="0080010C" w:rsidRDefault="00AF46E1" w:rsidP="00AF46E1">
            <w:pPr>
              <w:jc w:val="both"/>
              <w:rPr>
                <w:sz w:val="22"/>
                <w:szCs w:val="22"/>
              </w:rPr>
            </w:pPr>
          </w:p>
        </w:tc>
      </w:tr>
      <w:tr w:rsidR="00D53507" w:rsidRPr="0080010C" w:rsidTr="00E82337">
        <w:tc>
          <w:tcPr>
            <w:tcW w:w="710" w:type="dxa"/>
            <w:tcBorders>
              <w:top w:val="single" w:sz="6" w:space="0" w:color="000000"/>
              <w:left w:val="single" w:sz="6" w:space="0" w:color="000000"/>
              <w:bottom w:val="single" w:sz="6" w:space="0" w:color="000000"/>
              <w:right w:val="single" w:sz="6" w:space="0" w:color="000000"/>
            </w:tcBorders>
          </w:tcPr>
          <w:p w:rsidR="00D53507" w:rsidRPr="0080010C" w:rsidRDefault="00D53507" w:rsidP="00272677">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D53507" w:rsidRPr="0080010C" w:rsidRDefault="000F17ED" w:rsidP="00AF46E1">
            <w:pPr>
              <w:jc w:val="center"/>
              <w:rPr>
                <w:sz w:val="22"/>
                <w:szCs w:val="22"/>
              </w:rPr>
            </w:pPr>
            <w:proofErr w:type="spellStart"/>
            <w:r>
              <w:rPr>
                <w:sz w:val="22"/>
                <w:szCs w:val="22"/>
              </w:rPr>
              <w:t>P</w:t>
            </w:r>
            <w:r w:rsidR="00D53507" w:rsidRPr="0080010C">
              <w:rPr>
                <w:sz w:val="22"/>
                <w:szCs w:val="22"/>
              </w:rPr>
              <w:t>rotokollēmuma</w:t>
            </w:r>
            <w:proofErr w:type="spellEnd"/>
            <w:r w:rsidR="00D53507" w:rsidRPr="0080010C">
              <w:rPr>
                <w:sz w:val="22"/>
                <w:szCs w:val="22"/>
              </w:rPr>
              <w:t xml:space="preserve"> projekts</w:t>
            </w:r>
          </w:p>
        </w:tc>
        <w:tc>
          <w:tcPr>
            <w:tcW w:w="5245" w:type="dxa"/>
            <w:tcBorders>
              <w:top w:val="single" w:sz="6" w:space="0" w:color="000000"/>
              <w:left w:val="single" w:sz="6" w:space="0" w:color="000000"/>
              <w:bottom w:val="single" w:sz="6" w:space="0" w:color="000000"/>
              <w:right w:val="single" w:sz="6" w:space="0" w:color="000000"/>
            </w:tcBorders>
          </w:tcPr>
          <w:p w:rsidR="00D53507" w:rsidRPr="0080010C" w:rsidRDefault="00D53507" w:rsidP="00D53507">
            <w:pPr>
              <w:pStyle w:val="naisc"/>
              <w:spacing w:before="0" w:after="0"/>
              <w:rPr>
                <w:b/>
                <w:bCs/>
                <w:sz w:val="22"/>
                <w:szCs w:val="22"/>
              </w:rPr>
            </w:pPr>
            <w:r w:rsidRPr="0080010C">
              <w:rPr>
                <w:b/>
                <w:bCs/>
                <w:sz w:val="22"/>
                <w:szCs w:val="22"/>
              </w:rPr>
              <w:t>Satiksmes ministrija</w:t>
            </w:r>
            <w:r w:rsidR="00312C38">
              <w:rPr>
                <w:b/>
                <w:bCs/>
                <w:sz w:val="22"/>
                <w:szCs w:val="22"/>
              </w:rPr>
              <w:t xml:space="preserve"> (iebildumi)</w:t>
            </w:r>
          </w:p>
          <w:p w:rsidR="00FF5AC0" w:rsidRPr="00E80010" w:rsidRDefault="00D53507" w:rsidP="00316294">
            <w:pPr>
              <w:jc w:val="both"/>
              <w:rPr>
                <w:sz w:val="22"/>
                <w:szCs w:val="22"/>
                <w:lang w:eastAsia="en-US"/>
              </w:rPr>
            </w:pPr>
            <w:r w:rsidRPr="0080010C">
              <w:rPr>
                <w:sz w:val="22"/>
                <w:szCs w:val="22"/>
                <w:lang w:eastAsia="en-US"/>
              </w:rPr>
              <w:t xml:space="preserve">“4. Iekšlietu ministrijai sadarbībā ar Satiksmes ministriju izvērtēt elektronisko sakaru komersantu gatavību nodrošināt bezmaksas agrīnās brīdināšanas informācijas pārraidīšanu sabiedrībai katastrofas, tās draudu vai cita apdraudējuma gadījumā, kā arī valsts agrīnās brīdināšanas sistēmas gatavības pārbaudes laikā, un </w:t>
            </w:r>
            <w:proofErr w:type="spellStart"/>
            <w:r w:rsidRPr="0080010C">
              <w:rPr>
                <w:sz w:val="22"/>
                <w:szCs w:val="22"/>
                <w:lang w:eastAsia="en-US"/>
              </w:rPr>
              <w:t>iekšlietu</w:t>
            </w:r>
            <w:proofErr w:type="spellEnd"/>
            <w:r w:rsidRPr="0080010C">
              <w:rPr>
                <w:sz w:val="22"/>
                <w:szCs w:val="22"/>
                <w:lang w:eastAsia="en-US"/>
              </w:rPr>
              <w:t xml:space="preserve"> ministram nepieciešamības gadījumā līdz 2021.gada 1.maijam izstrādāt un noteiktā kārtībā iesniegt izskatīšanai Ministru kabinetā attiecīgu normatīvā akta projektu, kas tiem noteiktu šādu pienākumu.</w:t>
            </w:r>
            <w:r w:rsidR="00E80010">
              <w:rPr>
                <w:sz w:val="22"/>
                <w:szCs w:val="22"/>
                <w:lang w:eastAsia="en-US"/>
              </w:rPr>
              <w:t>”</w:t>
            </w:r>
          </w:p>
        </w:tc>
        <w:tc>
          <w:tcPr>
            <w:tcW w:w="2409" w:type="dxa"/>
            <w:tcBorders>
              <w:top w:val="single" w:sz="6" w:space="0" w:color="000000"/>
              <w:left w:val="single" w:sz="6" w:space="0" w:color="000000"/>
              <w:bottom w:val="single" w:sz="6" w:space="0" w:color="000000"/>
              <w:right w:val="single" w:sz="6" w:space="0" w:color="000000"/>
            </w:tcBorders>
          </w:tcPr>
          <w:p w:rsidR="001D246D" w:rsidRPr="0080010C" w:rsidRDefault="001D246D" w:rsidP="001D246D">
            <w:pPr>
              <w:pStyle w:val="naisc"/>
              <w:spacing w:before="0" w:after="0"/>
              <w:rPr>
                <w:b/>
                <w:sz w:val="22"/>
                <w:szCs w:val="22"/>
              </w:rPr>
            </w:pPr>
            <w:r w:rsidRPr="0080010C">
              <w:rPr>
                <w:b/>
                <w:sz w:val="22"/>
                <w:szCs w:val="22"/>
              </w:rPr>
              <w:t>Ņemts vērā</w:t>
            </w:r>
          </w:p>
          <w:p w:rsidR="00D53507" w:rsidRPr="0080010C" w:rsidRDefault="00D53507" w:rsidP="00AF46E1">
            <w:pPr>
              <w:pStyle w:val="naisc"/>
              <w:spacing w:before="0" w:after="0"/>
              <w:rPr>
                <w:b/>
                <w:sz w:val="22"/>
                <w:szCs w:val="22"/>
              </w:rPr>
            </w:pPr>
          </w:p>
        </w:tc>
        <w:tc>
          <w:tcPr>
            <w:tcW w:w="3467" w:type="dxa"/>
            <w:tcBorders>
              <w:top w:val="single" w:sz="4" w:space="0" w:color="auto"/>
              <w:left w:val="single" w:sz="4" w:space="0" w:color="auto"/>
              <w:bottom w:val="single" w:sz="4" w:space="0" w:color="auto"/>
            </w:tcBorders>
          </w:tcPr>
          <w:p w:rsidR="00D53507" w:rsidRPr="0080010C" w:rsidRDefault="00E80010" w:rsidP="005A2F2E">
            <w:pPr>
              <w:jc w:val="both"/>
              <w:rPr>
                <w:sz w:val="22"/>
                <w:szCs w:val="22"/>
                <w:lang w:eastAsia="en-US"/>
              </w:rPr>
            </w:pPr>
            <w:proofErr w:type="spellStart"/>
            <w:r>
              <w:rPr>
                <w:sz w:val="22"/>
                <w:szCs w:val="22"/>
              </w:rPr>
              <w:t>P</w:t>
            </w:r>
            <w:r w:rsidRPr="00385246">
              <w:rPr>
                <w:sz w:val="22"/>
                <w:szCs w:val="22"/>
              </w:rPr>
              <w:t>rotokollēmuma</w:t>
            </w:r>
            <w:proofErr w:type="spellEnd"/>
            <w:r w:rsidRPr="00385246">
              <w:rPr>
                <w:sz w:val="22"/>
                <w:szCs w:val="22"/>
              </w:rPr>
              <w:t xml:space="preserve"> projekts</w:t>
            </w:r>
            <w:r>
              <w:rPr>
                <w:sz w:val="22"/>
                <w:szCs w:val="22"/>
              </w:rPr>
              <w:t xml:space="preserve"> </w:t>
            </w:r>
            <w:r w:rsidRPr="00385246">
              <w:rPr>
                <w:sz w:val="22"/>
                <w:szCs w:val="22"/>
              </w:rPr>
              <w:t xml:space="preserve">papildināts un precizēts </w:t>
            </w:r>
            <w:r>
              <w:rPr>
                <w:sz w:val="22"/>
                <w:szCs w:val="22"/>
              </w:rPr>
              <w:t xml:space="preserve">ņemot vērā VUGD veiktā </w:t>
            </w:r>
            <w:r w:rsidRPr="00385246">
              <w:rPr>
                <w:sz w:val="22"/>
                <w:szCs w:val="22"/>
              </w:rPr>
              <w:t>Pētījuma rezultāt</w:t>
            </w:r>
            <w:r>
              <w:rPr>
                <w:sz w:val="22"/>
                <w:szCs w:val="22"/>
              </w:rPr>
              <w:t>us.</w:t>
            </w:r>
          </w:p>
        </w:tc>
      </w:tr>
      <w:tr w:rsidR="00E80010" w:rsidRPr="00E80010" w:rsidTr="00E82337">
        <w:tc>
          <w:tcPr>
            <w:tcW w:w="710" w:type="dxa"/>
            <w:tcBorders>
              <w:top w:val="single" w:sz="6" w:space="0" w:color="000000"/>
              <w:left w:val="single" w:sz="6" w:space="0" w:color="000000"/>
              <w:bottom w:val="single" w:sz="6" w:space="0" w:color="000000"/>
              <w:right w:val="single" w:sz="6" w:space="0" w:color="000000"/>
            </w:tcBorders>
          </w:tcPr>
          <w:p w:rsidR="001D246D" w:rsidRPr="00E80010" w:rsidRDefault="001D246D" w:rsidP="001D246D">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1D246D" w:rsidRPr="00E80010" w:rsidRDefault="00E80010" w:rsidP="00E80010">
            <w:pPr>
              <w:jc w:val="center"/>
              <w:rPr>
                <w:sz w:val="22"/>
                <w:szCs w:val="22"/>
              </w:rPr>
            </w:pPr>
            <w:proofErr w:type="spellStart"/>
            <w:r w:rsidRPr="00E80010">
              <w:rPr>
                <w:sz w:val="22"/>
                <w:szCs w:val="22"/>
              </w:rPr>
              <w:t>P</w:t>
            </w:r>
            <w:r w:rsidR="001D246D" w:rsidRPr="00E80010">
              <w:rPr>
                <w:sz w:val="22"/>
                <w:szCs w:val="22"/>
              </w:rPr>
              <w:t>rotokollēmuma</w:t>
            </w:r>
            <w:proofErr w:type="spellEnd"/>
            <w:r w:rsidR="001D246D" w:rsidRPr="00E80010">
              <w:rPr>
                <w:sz w:val="22"/>
                <w:szCs w:val="22"/>
              </w:rPr>
              <w:t xml:space="preserve"> projekts</w:t>
            </w:r>
          </w:p>
        </w:tc>
        <w:tc>
          <w:tcPr>
            <w:tcW w:w="5245" w:type="dxa"/>
            <w:tcBorders>
              <w:top w:val="single" w:sz="6" w:space="0" w:color="000000"/>
              <w:left w:val="single" w:sz="6" w:space="0" w:color="000000"/>
              <w:bottom w:val="single" w:sz="6" w:space="0" w:color="000000"/>
              <w:right w:val="single" w:sz="6" w:space="0" w:color="000000"/>
            </w:tcBorders>
          </w:tcPr>
          <w:p w:rsidR="0080010C" w:rsidRPr="00E80010" w:rsidRDefault="001D246D" w:rsidP="0080010C">
            <w:pPr>
              <w:pStyle w:val="naisc"/>
              <w:spacing w:before="0" w:after="0"/>
              <w:rPr>
                <w:b/>
                <w:bCs/>
                <w:sz w:val="22"/>
                <w:szCs w:val="22"/>
              </w:rPr>
            </w:pPr>
            <w:r w:rsidRPr="00E80010">
              <w:rPr>
                <w:b/>
                <w:bCs/>
                <w:sz w:val="22"/>
                <w:szCs w:val="22"/>
              </w:rPr>
              <w:t>Satiksmes ministrija</w:t>
            </w:r>
            <w:r w:rsidR="005B5464" w:rsidRPr="00E80010">
              <w:rPr>
                <w:b/>
                <w:bCs/>
                <w:sz w:val="22"/>
                <w:szCs w:val="22"/>
              </w:rPr>
              <w:t xml:space="preserve"> (</w:t>
            </w:r>
            <w:r w:rsidR="00312C38" w:rsidRPr="00E80010">
              <w:rPr>
                <w:b/>
                <w:bCs/>
                <w:sz w:val="22"/>
                <w:szCs w:val="22"/>
              </w:rPr>
              <w:t>iebildumi</w:t>
            </w:r>
            <w:r w:rsidR="005B5464" w:rsidRPr="00E80010">
              <w:rPr>
                <w:b/>
                <w:bCs/>
                <w:sz w:val="22"/>
                <w:szCs w:val="22"/>
              </w:rPr>
              <w:t>)</w:t>
            </w:r>
          </w:p>
          <w:p w:rsidR="001D246D" w:rsidRPr="00E80010" w:rsidRDefault="001D246D" w:rsidP="00E80010">
            <w:pPr>
              <w:jc w:val="both"/>
              <w:rPr>
                <w:sz w:val="22"/>
                <w:szCs w:val="22"/>
                <w:lang w:eastAsia="en-US"/>
              </w:rPr>
            </w:pPr>
            <w:r w:rsidRPr="00E80010">
              <w:rPr>
                <w:sz w:val="22"/>
                <w:szCs w:val="22"/>
                <w:lang w:eastAsia="en-US"/>
              </w:rPr>
              <w:t xml:space="preserve">”5. </w:t>
            </w:r>
            <w:proofErr w:type="spellStart"/>
            <w:r w:rsidRPr="00E80010">
              <w:rPr>
                <w:sz w:val="22"/>
                <w:szCs w:val="22"/>
                <w:lang w:eastAsia="en-US"/>
              </w:rPr>
              <w:t>Protokollēmuma</w:t>
            </w:r>
            <w:proofErr w:type="spellEnd"/>
            <w:r w:rsidRPr="00E80010">
              <w:rPr>
                <w:sz w:val="22"/>
                <w:szCs w:val="22"/>
                <w:lang w:eastAsia="en-US"/>
              </w:rPr>
              <w:t xml:space="preserve"> 2., 3. un 4.punktā noteikto normatīvo aktu projektus </w:t>
            </w:r>
            <w:proofErr w:type="spellStart"/>
            <w:r w:rsidRPr="00E80010">
              <w:rPr>
                <w:sz w:val="22"/>
                <w:szCs w:val="22"/>
                <w:lang w:eastAsia="en-US"/>
              </w:rPr>
              <w:t>iekšlietu</w:t>
            </w:r>
            <w:proofErr w:type="spellEnd"/>
            <w:r w:rsidRPr="00E80010">
              <w:rPr>
                <w:sz w:val="22"/>
                <w:szCs w:val="22"/>
                <w:lang w:eastAsia="en-US"/>
              </w:rPr>
              <w:t xml:space="preserve"> ministrs  iesniedz izskatīšanai Ministru kabinetā vienotā paketē”.</w:t>
            </w:r>
          </w:p>
        </w:tc>
        <w:tc>
          <w:tcPr>
            <w:tcW w:w="2409" w:type="dxa"/>
            <w:tcBorders>
              <w:top w:val="single" w:sz="6" w:space="0" w:color="000000"/>
              <w:left w:val="single" w:sz="6" w:space="0" w:color="000000"/>
              <w:bottom w:val="single" w:sz="6" w:space="0" w:color="000000"/>
              <w:right w:val="single" w:sz="6" w:space="0" w:color="000000"/>
            </w:tcBorders>
          </w:tcPr>
          <w:p w:rsidR="001D246D" w:rsidRPr="00E80010" w:rsidRDefault="001D246D" w:rsidP="001D246D">
            <w:pPr>
              <w:pStyle w:val="naisc"/>
              <w:spacing w:before="0" w:after="0"/>
              <w:rPr>
                <w:b/>
                <w:sz w:val="22"/>
                <w:szCs w:val="22"/>
              </w:rPr>
            </w:pPr>
            <w:r w:rsidRPr="00E80010">
              <w:rPr>
                <w:b/>
                <w:sz w:val="22"/>
                <w:szCs w:val="22"/>
              </w:rPr>
              <w:t>Ņemts vērā</w:t>
            </w:r>
          </w:p>
          <w:p w:rsidR="001D246D" w:rsidRPr="00E80010" w:rsidRDefault="001D246D" w:rsidP="001D246D">
            <w:pPr>
              <w:rPr>
                <w:sz w:val="22"/>
                <w:szCs w:val="22"/>
              </w:rPr>
            </w:pPr>
          </w:p>
        </w:tc>
        <w:tc>
          <w:tcPr>
            <w:tcW w:w="3467" w:type="dxa"/>
            <w:tcBorders>
              <w:top w:val="single" w:sz="4" w:space="0" w:color="auto"/>
              <w:left w:val="single" w:sz="4" w:space="0" w:color="auto"/>
              <w:bottom w:val="single" w:sz="4" w:space="0" w:color="auto"/>
            </w:tcBorders>
          </w:tcPr>
          <w:p w:rsidR="001D246D" w:rsidRPr="00E80010" w:rsidRDefault="00E80010" w:rsidP="005A2F2E">
            <w:pPr>
              <w:jc w:val="both"/>
              <w:rPr>
                <w:sz w:val="22"/>
                <w:szCs w:val="22"/>
              </w:rPr>
            </w:pPr>
            <w:proofErr w:type="spellStart"/>
            <w:r w:rsidRPr="00E80010">
              <w:rPr>
                <w:sz w:val="22"/>
                <w:szCs w:val="22"/>
              </w:rPr>
              <w:t>Protokollēmuma</w:t>
            </w:r>
            <w:proofErr w:type="spellEnd"/>
            <w:r w:rsidRPr="00E80010">
              <w:rPr>
                <w:sz w:val="22"/>
                <w:szCs w:val="22"/>
              </w:rPr>
              <w:t xml:space="preserve"> projekts papildināts un precizēts ņemot vērā VUGD veiktā Pētījuma rezultātus.</w:t>
            </w:r>
          </w:p>
        </w:tc>
      </w:tr>
      <w:tr w:rsidR="001D246D" w:rsidRPr="0080010C" w:rsidTr="00E82337">
        <w:tc>
          <w:tcPr>
            <w:tcW w:w="710" w:type="dxa"/>
            <w:tcBorders>
              <w:top w:val="single" w:sz="6" w:space="0" w:color="000000"/>
              <w:left w:val="single" w:sz="6" w:space="0" w:color="000000"/>
              <w:bottom w:val="single" w:sz="6" w:space="0" w:color="000000"/>
              <w:right w:val="single" w:sz="6" w:space="0" w:color="000000"/>
            </w:tcBorders>
          </w:tcPr>
          <w:p w:rsidR="001D246D" w:rsidRPr="0080010C" w:rsidRDefault="001D246D" w:rsidP="001D246D">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1D246D" w:rsidRPr="0080010C" w:rsidRDefault="00D2227D" w:rsidP="00D2227D">
            <w:pPr>
              <w:jc w:val="center"/>
              <w:rPr>
                <w:sz w:val="22"/>
                <w:szCs w:val="22"/>
              </w:rPr>
            </w:pPr>
            <w:proofErr w:type="spellStart"/>
            <w:r>
              <w:rPr>
                <w:sz w:val="22"/>
                <w:szCs w:val="22"/>
              </w:rPr>
              <w:t>P</w:t>
            </w:r>
            <w:r w:rsidR="001D246D" w:rsidRPr="0080010C">
              <w:rPr>
                <w:sz w:val="22"/>
                <w:szCs w:val="22"/>
              </w:rPr>
              <w:t>rotokollēmuma</w:t>
            </w:r>
            <w:proofErr w:type="spellEnd"/>
            <w:r w:rsidR="001D246D" w:rsidRPr="0080010C">
              <w:rPr>
                <w:sz w:val="22"/>
                <w:szCs w:val="22"/>
              </w:rPr>
              <w:t xml:space="preserve"> projekts</w:t>
            </w:r>
          </w:p>
        </w:tc>
        <w:tc>
          <w:tcPr>
            <w:tcW w:w="5245" w:type="dxa"/>
            <w:tcBorders>
              <w:top w:val="single" w:sz="6" w:space="0" w:color="000000"/>
              <w:left w:val="single" w:sz="6" w:space="0" w:color="000000"/>
              <w:bottom w:val="single" w:sz="6" w:space="0" w:color="000000"/>
              <w:right w:val="single" w:sz="6" w:space="0" w:color="000000"/>
            </w:tcBorders>
          </w:tcPr>
          <w:p w:rsidR="001D246D" w:rsidRPr="0080010C" w:rsidRDefault="001D246D" w:rsidP="001D246D">
            <w:pPr>
              <w:pStyle w:val="naisc"/>
              <w:spacing w:before="0" w:after="0"/>
              <w:rPr>
                <w:b/>
                <w:bCs/>
                <w:sz w:val="22"/>
                <w:szCs w:val="22"/>
              </w:rPr>
            </w:pPr>
            <w:r w:rsidRPr="0080010C">
              <w:rPr>
                <w:b/>
                <w:bCs/>
                <w:sz w:val="22"/>
                <w:szCs w:val="22"/>
              </w:rPr>
              <w:t xml:space="preserve">Kultūras ministrija </w:t>
            </w:r>
            <w:r w:rsidR="00312C38">
              <w:rPr>
                <w:b/>
                <w:bCs/>
                <w:sz w:val="22"/>
                <w:szCs w:val="22"/>
              </w:rPr>
              <w:t>(iebildumi)</w:t>
            </w:r>
          </w:p>
          <w:p w:rsidR="00FF5AC0" w:rsidRPr="00D2227D" w:rsidRDefault="001D246D" w:rsidP="00316294">
            <w:pPr>
              <w:pStyle w:val="Bezatstarpm"/>
              <w:jc w:val="both"/>
              <w:rPr>
                <w:sz w:val="22"/>
              </w:rPr>
            </w:pPr>
            <w:proofErr w:type="spellStart"/>
            <w:r w:rsidRPr="0080010C">
              <w:rPr>
                <w:rFonts w:eastAsia="Times New Roman"/>
                <w:bCs/>
                <w:sz w:val="22"/>
                <w:lang w:eastAsia="lv-LV"/>
              </w:rPr>
              <w:t>Protokollēmuma</w:t>
            </w:r>
            <w:proofErr w:type="spellEnd"/>
            <w:r w:rsidRPr="0080010C">
              <w:rPr>
                <w:rFonts w:eastAsia="Times New Roman"/>
                <w:bCs/>
                <w:sz w:val="22"/>
                <w:lang w:eastAsia="lv-LV"/>
              </w:rPr>
              <w:t xml:space="preserve"> 3.punktā aiz vārdiem “</w:t>
            </w:r>
            <w:r w:rsidRPr="0080010C">
              <w:rPr>
                <w:bCs/>
                <w:i/>
                <w:iCs/>
                <w:sz w:val="22"/>
              </w:rPr>
              <w:t>Kultūras ministriju</w:t>
            </w:r>
            <w:r w:rsidRPr="0080010C">
              <w:rPr>
                <w:bCs/>
                <w:sz w:val="22"/>
              </w:rPr>
              <w:t>” pievienot “</w:t>
            </w:r>
            <w:r w:rsidRPr="0080010C">
              <w:rPr>
                <w:bCs/>
                <w:i/>
                <w:iCs/>
                <w:sz w:val="22"/>
              </w:rPr>
              <w:t>kā arī Nacionālo elektronisko plašsaziņas līdzekļu padomi</w:t>
            </w:r>
            <w:r w:rsidRPr="0080010C">
              <w:rPr>
                <w:bCs/>
                <w:sz w:val="22"/>
              </w:rPr>
              <w:t xml:space="preserve">”. Tāpat vēlamies uzsvērt, ka visas turpmākās saskaņošanas šajā jautājumā nepieciešams veikt arī ar Nacionālo elektronisko plašsaziņas līdzekļu padomi. Saskaņā ar Elektronisko plašsaziņas līdzekļu likumu </w:t>
            </w:r>
            <w:r w:rsidRPr="0080010C">
              <w:rPr>
                <w:sz w:val="22"/>
                <w:shd w:val="clear" w:color="auto" w:fill="FFFFFF"/>
              </w:rPr>
              <w:t>Nacionālā elektronisko plašsaziņas līdzekļu padome ir neatkarīga pilntiesīga autonoma institūcija, kas</w:t>
            </w:r>
            <w:r w:rsidRPr="0080010C">
              <w:rPr>
                <w:bCs/>
                <w:sz w:val="22"/>
              </w:rPr>
              <w:t xml:space="preserve"> pilda sabiedrisko mediju kapitāldaļu turētāja un komerciālo </w:t>
            </w:r>
            <w:r w:rsidRPr="0080010C">
              <w:rPr>
                <w:sz w:val="22"/>
                <w:shd w:val="clear" w:color="auto" w:fill="FFFFFF"/>
              </w:rPr>
              <w:t>elektronisko plašsaziņas līdzekļu</w:t>
            </w:r>
            <w:r w:rsidRPr="0080010C">
              <w:rPr>
                <w:bCs/>
                <w:sz w:val="22"/>
              </w:rPr>
              <w:t xml:space="preserve"> uzrauga funkcijas;</w:t>
            </w:r>
          </w:p>
        </w:tc>
        <w:tc>
          <w:tcPr>
            <w:tcW w:w="2409" w:type="dxa"/>
            <w:tcBorders>
              <w:top w:val="single" w:sz="6" w:space="0" w:color="000000"/>
              <w:left w:val="single" w:sz="6" w:space="0" w:color="000000"/>
              <w:bottom w:val="single" w:sz="6" w:space="0" w:color="000000"/>
              <w:right w:val="single" w:sz="6" w:space="0" w:color="000000"/>
            </w:tcBorders>
          </w:tcPr>
          <w:p w:rsidR="001D246D" w:rsidRPr="0080010C" w:rsidRDefault="001D246D" w:rsidP="001D246D">
            <w:pPr>
              <w:pStyle w:val="naisc"/>
              <w:spacing w:before="0" w:after="0"/>
              <w:rPr>
                <w:b/>
                <w:sz w:val="22"/>
                <w:szCs w:val="22"/>
              </w:rPr>
            </w:pPr>
            <w:r w:rsidRPr="0080010C">
              <w:rPr>
                <w:b/>
                <w:sz w:val="22"/>
                <w:szCs w:val="22"/>
              </w:rPr>
              <w:t>Ņemts vērā</w:t>
            </w:r>
          </w:p>
          <w:p w:rsidR="001D246D" w:rsidRPr="0080010C" w:rsidRDefault="001D246D" w:rsidP="001D246D">
            <w:pPr>
              <w:rPr>
                <w:sz w:val="22"/>
                <w:szCs w:val="22"/>
              </w:rPr>
            </w:pPr>
          </w:p>
        </w:tc>
        <w:tc>
          <w:tcPr>
            <w:tcW w:w="3467" w:type="dxa"/>
            <w:tcBorders>
              <w:top w:val="single" w:sz="4" w:space="0" w:color="auto"/>
              <w:left w:val="single" w:sz="4" w:space="0" w:color="auto"/>
              <w:bottom w:val="single" w:sz="4" w:space="0" w:color="auto"/>
            </w:tcBorders>
          </w:tcPr>
          <w:p w:rsidR="005D7E75" w:rsidRDefault="00D2227D" w:rsidP="00D2227D">
            <w:pPr>
              <w:jc w:val="both"/>
              <w:rPr>
                <w:sz w:val="22"/>
                <w:szCs w:val="22"/>
                <w:lang w:eastAsia="en-US"/>
              </w:rPr>
            </w:pPr>
            <w:r w:rsidRPr="0080010C">
              <w:rPr>
                <w:sz w:val="22"/>
                <w:szCs w:val="22"/>
              </w:rPr>
              <w:t xml:space="preserve">Informatīvā ziņojuma projekta </w:t>
            </w:r>
            <w:r>
              <w:rPr>
                <w:sz w:val="22"/>
                <w:szCs w:val="22"/>
              </w:rPr>
              <w:t xml:space="preserve">sagatavošanas procesā </w:t>
            </w:r>
            <w:r w:rsidRPr="0080010C">
              <w:rPr>
                <w:sz w:val="22"/>
                <w:szCs w:val="22"/>
              </w:rPr>
              <w:t>tik</w:t>
            </w:r>
            <w:r>
              <w:rPr>
                <w:sz w:val="22"/>
                <w:szCs w:val="22"/>
              </w:rPr>
              <w:t>a</w:t>
            </w:r>
            <w:r w:rsidRPr="0080010C">
              <w:rPr>
                <w:sz w:val="22"/>
                <w:szCs w:val="22"/>
              </w:rPr>
              <w:t xml:space="preserve"> iesaistīta </w:t>
            </w:r>
            <w:r w:rsidRPr="0080010C">
              <w:rPr>
                <w:sz w:val="22"/>
                <w:szCs w:val="22"/>
                <w:lang w:eastAsia="en-US"/>
              </w:rPr>
              <w:t>Nacionālo elektronisko plašsaziņas līdzekļu padome.</w:t>
            </w:r>
            <w:r>
              <w:rPr>
                <w:sz w:val="22"/>
                <w:szCs w:val="22"/>
                <w:lang w:eastAsia="en-US"/>
              </w:rPr>
              <w:t xml:space="preserve"> </w:t>
            </w:r>
          </w:p>
          <w:p w:rsidR="00D2227D" w:rsidRDefault="00D2227D" w:rsidP="00D2227D">
            <w:pPr>
              <w:jc w:val="both"/>
              <w:rPr>
                <w:sz w:val="22"/>
                <w:szCs w:val="22"/>
                <w:lang w:eastAsia="en-US"/>
              </w:rPr>
            </w:pPr>
            <w:r>
              <w:rPr>
                <w:sz w:val="22"/>
                <w:szCs w:val="22"/>
                <w:lang w:eastAsia="en-US"/>
              </w:rPr>
              <w:t>Atbilstoši 2020.gada 9.jūlija</w:t>
            </w:r>
            <w:r w:rsidRPr="00385246">
              <w:rPr>
                <w:sz w:val="22"/>
                <w:szCs w:val="22"/>
                <w:lang w:eastAsia="en-US"/>
              </w:rPr>
              <w:t xml:space="preserve"> </w:t>
            </w:r>
            <w:r>
              <w:rPr>
                <w:sz w:val="22"/>
                <w:szCs w:val="22"/>
                <w:lang w:eastAsia="en-US"/>
              </w:rPr>
              <w:t>Valsts sekretāru sanāksmes protokola Nr</w:t>
            </w:r>
            <w:r w:rsidR="005A2F2E">
              <w:rPr>
                <w:sz w:val="22"/>
                <w:szCs w:val="22"/>
                <w:lang w:eastAsia="en-US"/>
              </w:rPr>
              <w:t>.</w:t>
            </w:r>
            <w:r>
              <w:rPr>
                <w:sz w:val="22"/>
                <w:szCs w:val="22"/>
                <w:lang w:eastAsia="en-US"/>
              </w:rPr>
              <w:t xml:space="preserve">27 </w:t>
            </w:r>
            <w:r w:rsidRPr="00D8747D">
              <w:rPr>
                <w:sz w:val="22"/>
                <w:szCs w:val="22"/>
                <w:lang w:eastAsia="en-US"/>
              </w:rPr>
              <w:t>6.§</w:t>
            </w:r>
            <w:r>
              <w:rPr>
                <w:sz w:val="22"/>
                <w:szCs w:val="22"/>
                <w:lang w:eastAsia="en-US"/>
              </w:rPr>
              <w:t xml:space="preserve"> dotajam uzdevumam, tiek organizēta starpinstitūciju saskaņošana</w:t>
            </w:r>
            <w:r>
              <w:rPr>
                <w:rStyle w:val="Vresatsauce"/>
                <w:sz w:val="22"/>
                <w:szCs w:val="22"/>
                <w:lang w:eastAsia="en-US"/>
              </w:rPr>
              <w:footnoteReference w:id="2"/>
            </w:r>
            <w:r>
              <w:rPr>
                <w:sz w:val="22"/>
                <w:szCs w:val="22"/>
                <w:lang w:eastAsia="en-US"/>
              </w:rPr>
              <w:t>.</w:t>
            </w:r>
          </w:p>
          <w:p w:rsidR="001D246D" w:rsidRPr="0080010C" w:rsidRDefault="00D2227D" w:rsidP="00D2227D">
            <w:pPr>
              <w:jc w:val="both"/>
              <w:rPr>
                <w:sz w:val="22"/>
                <w:szCs w:val="22"/>
                <w:lang w:eastAsia="en-US"/>
              </w:rPr>
            </w:pPr>
            <w:proofErr w:type="spellStart"/>
            <w:r>
              <w:rPr>
                <w:sz w:val="22"/>
                <w:szCs w:val="22"/>
                <w:lang w:eastAsia="en-US"/>
              </w:rPr>
              <w:t>P</w:t>
            </w:r>
            <w:r w:rsidRPr="00385246">
              <w:rPr>
                <w:sz w:val="22"/>
                <w:szCs w:val="22"/>
              </w:rPr>
              <w:t>rotokollēmuma</w:t>
            </w:r>
            <w:proofErr w:type="spellEnd"/>
            <w:r w:rsidRPr="00385246">
              <w:rPr>
                <w:sz w:val="22"/>
                <w:szCs w:val="22"/>
              </w:rPr>
              <w:t xml:space="preserve"> projekts</w:t>
            </w:r>
            <w:r>
              <w:rPr>
                <w:sz w:val="22"/>
                <w:szCs w:val="22"/>
              </w:rPr>
              <w:t xml:space="preserve"> </w:t>
            </w:r>
            <w:r w:rsidRPr="00385246">
              <w:rPr>
                <w:sz w:val="22"/>
                <w:szCs w:val="22"/>
              </w:rPr>
              <w:t xml:space="preserve">papildināts un precizēts </w:t>
            </w:r>
            <w:r>
              <w:rPr>
                <w:sz w:val="22"/>
                <w:szCs w:val="22"/>
              </w:rPr>
              <w:t xml:space="preserve">ņemot vērā VUGD veiktā </w:t>
            </w:r>
            <w:r w:rsidRPr="00385246">
              <w:rPr>
                <w:sz w:val="22"/>
                <w:szCs w:val="22"/>
              </w:rPr>
              <w:t>Pētījuma rezultāt</w:t>
            </w:r>
            <w:r>
              <w:rPr>
                <w:sz w:val="22"/>
                <w:szCs w:val="22"/>
              </w:rPr>
              <w:t>us.</w:t>
            </w:r>
          </w:p>
        </w:tc>
      </w:tr>
      <w:tr w:rsidR="0076192B" w:rsidRPr="0076192B" w:rsidTr="00E82337">
        <w:tc>
          <w:tcPr>
            <w:tcW w:w="710" w:type="dxa"/>
            <w:tcBorders>
              <w:top w:val="single" w:sz="6" w:space="0" w:color="000000"/>
              <w:left w:val="single" w:sz="6" w:space="0" w:color="000000"/>
              <w:bottom w:val="single" w:sz="6" w:space="0" w:color="000000"/>
              <w:right w:val="single" w:sz="6" w:space="0" w:color="000000"/>
            </w:tcBorders>
          </w:tcPr>
          <w:p w:rsidR="00D53507" w:rsidRPr="0076192B" w:rsidRDefault="00D53507" w:rsidP="00272677">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D53507" w:rsidRPr="0076192B" w:rsidRDefault="00450571" w:rsidP="0076192B">
            <w:pPr>
              <w:jc w:val="center"/>
              <w:rPr>
                <w:sz w:val="22"/>
                <w:szCs w:val="22"/>
              </w:rPr>
            </w:pPr>
            <w:r w:rsidRPr="0076192B">
              <w:rPr>
                <w:sz w:val="22"/>
                <w:szCs w:val="22"/>
              </w:rPr>
              <w:t>Informatīvā ziņojuma projekts</w:t>
            </w:r>
          </w:p>
        </w:tc>
        <w:tc>
          <w:tcPr>
            <w:tcW w:w="5245" w:type="dxa"/>
            <w:tcBorders>
              <w:top w:val="single" w:sz="6" w:space="0" w:color="000000"/>
              <w:left w:val="single" w:sz="6" w:space="0" w:color="000000"/>
              <w:bottom w:val="single" w:sz="6" w:space="0" w:color="000000"/>
              <w:right w:val="single" w:sz="6" w:space="0" w:color="000000"/>
            </w:tcBorders>
          </w:tcPr>
          <w:p w:rsidR="00771E5F" w:rsidRPr="0076192B" w:rsidRDefault="00771E5F" w:rsidP="00771E5F">
            <w:pPr>
              <w:pStyle w:val="naisc"/>
              <w:spacing w:before="0" w:after="0"/>
              <w:rPr>
                <w:b/>
                <w:bCs/>
                <w:sz w:val="22"/>
                <w:szCs w:val="22"/>
              </w:rPr>
            </w:pPr>
            <w:r w:rsidRPr="0076192B">
              <w:rPr>
                <w:b/>
                <w:bCs/>
                <w:sz w:val="22"/>
                <w:szCs w:val="22"/>
              </w:rPr>
              <w:t xml:space="preserve">Kultūras ministrija </w:t>
            </w:r>
            <w:r w:rsidR="00312C38" w:rsidRPr="0076192B">
              <w:rPr>
                <w:b/>
                <w:bCs/>
                <w:sz w:val="22"/>
                <w:szCs w:val="22"/>
              </w:rPr>
              <w:t>(iebildumi)</w:t>
            </w:r>
          </w:p>
          <w:p w:rsidR="00771E5F" w:rsidRPr="0076192B" w:rsidRDefault="00771E5F" w:rsidP="005B5464">
            <w:pPr>
              <w:pStyle w:val="Bezatstarpm"/>
              <w:jc w:val="both"/>
              <w:rPr>
                <w:sz w:val="22"/>
              </w:rPr>
            </w:pPr>
            <w:r w:rsidRPr="0076192B">
              <w:rPr>
                <w:sz w:val="22"/>
              </w:rPr>
              <w:t>Informatīvā ziņojuma 7.lapā koriģēt vārdus “</w:t>
            </w:r>
            <w:r w:rsidRPr="0076192B">
              <w:rPr>
                <w:i/>
                <w:iCs/>
                <w:sz w:val="22"/>
              </w:rPr>
              <w:t xml:space="preserve">paredzot papildus pienākumus sabiedriskajiem un privātajiem medijiem – ja tie saņem finansējumu no Mediju atbalsta </w:t>
            </w:r>
            <w:r w:rsidRPr="0076192B">
              <w:rPr>
                <w:i/>
                <w:iCs/>
                <w:sz w:val="22"/>
              </w:rPr>
              <w:lastRenderedPageBreak/>
              <w:t>fonda satura izveidei, radīšanai un pārraidei</w:t>
            </w:r>
            <w:r w:rsidRPr="0076192B">
              <w:rPr>
                <w:sz w:val="22"/>
              </w:rPr>
              <w:t>”, ņemot vērā, ka:</w:t>
            </w:r>
          </w:p>
          <w:p w:rsidR="00FF5AC0" w:rsidRPr="0076192B" w:rsidRDefault="00771E5F" w:rsidP="00316294">
            <w:pPr>
              <w:pStyle w:val="Bezatstarpm"/>
              <w:numPr>
                <w:ilvl w:val="1"/>
                <w:numId w:val="4"/>
              </w:numPr>
              <w:ind w:left="720"/>
              <w:jc w:val="both"/>
              <w:rPr>
                <w:sz w:val="22"/>
              </w:rPr>
            </w:pPr>
            <w:r w:rsidRPr="0076192B">
              <w:rPr>
                <w:sz w:val="22"/>
              </w:rPr>
              <w:t>“</w:t>
            </w:r>
            <w:r w:rsidRPr="0076192B">
              <w:rPr>
                <w:i/>
                <w:iCs/>
                <w:sz w:val="22"/>
              </w:rPr>
              <w:t>privātie mediji</w:t>
            </w:r>
            <w:r w:rsidRPr="0076192B">
              <w:rPr>
                <w:sz w:val="22"/>
              </w:rPr>
              <w:t>” vietā labāk lietot “</w:t>
            </w:r>
            <w:proofErr w:type="spellStart"/>
            <w:r w:rsidRPr="0076192B">
              <w:rPr>
                <w:i/>
                <w:iCs/>
                <w:sz w:val="22"/>
              </w:rPr>
              <w:t>komercmediji</w:t>
            </w:r>
            <w:proofErr w:type="spellEnd"/>
            <w:r w:rsidRPr="0076192B">
              <w:rPr>
                <w:sz w:val="22"/>
              </w:rPr>
              <w:t xml:space="preserve">”; </w:t>
            </w:r>
          </w:p>
        </w:tc>
        <w:tc>
          <w:tcPr>
            <w:tcW w:w="2409" w:type="dxa"/>
            <w:tcBorders>
              <w:top w:val="single" w:sz="6" w:space="0" w:color="000000"/>
              <w:left w:val="single" w:sz="6" w:space="0" w:color="000000"/>
              <w:bottom w:val="single" w:sz="6" w:space="0" w:color="000000"/>
              <w:right w:val="single" w:sz="6" w:space="0" w:color="000000"/>
            </w:tcBorders>
          </w:tcPr>
          <w:p w:rsidR="001D246D" w:rsidRPr="0076192B" w:rsidRDefault="001D246D" w:rsidP="001D246D">
            <w:pPr>
              <w:pStyle w:val="naisc"/>
              <w:spacing w:before="0" w:after="0"/>
              <w:rPr>
                <w:b/>
                <w:sz w:val="22"/>
                <w:szCs w:val="22"/>
              </w:rPr>
            </w:pPr>
            <w:r w:rsidRPr="0076192B">
              <w:rPr>
                <w:b/>
                <w:sz w:val="22"/>
                <w:szCs w:val="22"/>
              </w:rPr>
              <w:lastRenderedPageBreak/>
              <w:t>Ņemts vērā</w:t>
            </w:r>
          </w:p>
          <w:p w:rsidR="00D53507" w:rsidRPr="0076192B" w:rsidRDefault="00D53507" w:rsidP="00AF46E1">
            <w:pPr>
              <w:pStyle w:val="naisc"/>
              <w:spacing w:before="0" w:after="0"/>
              <w:rPr>
                <w:b/>
                <w:sz w:val="22"/>
                <w:szCs w:val="22"/>
              </w:rPr>
            </w:pPr>
          </w:p>
        </w:tc>
        <w:tc>
          <w:tcPr>
            <w:tcW w:w="3467" w:type="dxa"/>
            <w:tcBorders>
              <w:top w:val="single" w:sz="4" w:space="0" w:color="auto"/>
              <w:left w:val="single" w:sz="4" w:space="0" w:color="auto"/>
              <w:bottom w:val="single" w:sz="4" w:space="0" w:color="auto"/>
            </w:tcBorders>
          </w:tcPr>
          <w:p w:rsidR="00D53507" w:rsidRPr="0076192B" w:rsidRDefault="0076192B" w:rsidP="005D7E75">
            <w:pPr>
              <w:jc w:val="both"/>
              <w:rPr>
                <w:sz w:val="22"/>
              </w:rPr>
            </w:pPr>
            <w:r w:rsidRPr="0076192B">
              <w:rPr>
                <w:sz w:val="22"/>
                <w:szCs w:val="22"/>
              </w:rPr>
              <w:t>Informatīvā ziņojuma projekt</w:t>
            </w:r>
            <w:r w:rsidR="005D7E75">
              <w:rPr>
                <w:sz w:val="22"/>
                <w:szCs w:val="22"/>
              </w:rPr>
              <w:t>s</w:t>
            </w:r>
            <w:r w:rsidRPr="0076192B">
              <w:rPr>
                <w:sz w:val="22"/>
                <w:szCs w:val="22"/>
              </w:rPr>
              <w:t xml:space="preserve"> papildināts un precizēts ņemot vērā VUGD veiktā Pētījuma rezultātus.</w:t>
            </w:r>
          </w:p>
        </w:tc>
      </w:tr>
      <w:tr w:rsidR="0076192B" w:rsidRPr="0076192B" w:rsidTr="00E82337">
        <w:tc>
          <w:tcPr>
            <w:tcW w:w="710" w:type="dxa"/>
            <w:tcBorders>
              <w:top w:val="single" w:sz="6" w:space="0" w:color="000000"/>
              <w:left w:val="single" w:sz="6" w:space="0" w:color="000000"/>
              <w:bottom w:val="single" w:sz="6" w:space="0" w:color="000000"/>
              <w:right w:val="single" w:sz="6" w:space="0" w:color="000000"/>
            </w:tcBorders>
          </w:tcPr>
          <w:p w:rsidR="00D53507" w:rsidRPr="0076192B" w:rsidRDefault="00D53507" w:rsidP="00272677">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D53507" w:rsidRPr="0076192B" w:rsidRDefault="00450571" w:rsidP="0076192B">
            <w:pPr>
              <w:jc w:val="center"/>
              <w:rPr>
                <w:sz w:val="22"/>
                <w:szCs w:val="22"/>
              </w:rPr>
            </w:pPr>
            <w:r w:rsidRPr="0076192B">
              <w:rPr>
                <w:sz w:val="22"/>
                <w:szCs w:val="22"/>
              </w:rPr>
              <w:t>Informatīvā ziņojuma projekts</w:t>
            </w:r>
          </w:p>
        </w:tc>
        <w:tc>
          <w:tcPr>
            <w:tcW w:w="5245" w:type="dxa"/>
            <w:tcBorders>
              <w:top w:val="single" w:sz="6" w:space="0" w:color="000000"/>
              <w:left w:val="single" w:sz="6" w:space="0" w:color="000000"/>
              <w:bottom w:val="single" w:sz="6" w:space="0" w:color="000000"/>
              <w:right w:val="single" w:sz="6" w:space="0" w:color="000000"/>
            </w:tcBorders>
          </w:tcPr>
          <w:p w:rsidR="00771E5F" w:rsidRPr="0076192B" w:rsidRDefault="00771E5F" w:rsidP="00771E5F">
            <w:pPr>
              <w:pStyle w:val="naisc"/>
              <w:spacing w:before="0" w:after="0"/>
              <w:rPr>
                <w:b/>
                <w:bCs/>
                <w:sz w:val="22"/>
                <w:szCs w:val="22"/>
              </w:rPr>
            </w:pPr>
            <w:r w:rsidRPr="0076192B">
              <w:rPr>
                <w:b/>
                <w:bCs/>
                <w:sz w:val="22"/>
                <w:szCs w:val="22"/>
              </w:rPr>
              <w:t xml:space="preserve">Kultūras ministrija </w:t>
            </w:r>
            <w:r w:rsidR="00312C38" w:rsidRPr="0076192B">
              <w:rPr>
                <w:b/>
                <w:bCs/>
                <w:sz w:val="22"/>
                <w:szCs w:val="22"/>
              </w:rPr>
              <w:t>(iebildumi)</w:t>
            </w:r>
          </w:p>
          <w:p w:rsidR="0076192B" w:rsidRPr="0076192B" w:rsidRDefault="0076192B" w:rsidP="0076192B">
            <w:pPr>
              <w:pStyle w:val="naisc"/>
              <w:spacing w:before="0" w:after="0"/>
              <w:jc w:val="both"/>
              <w:rPr>
                <w:bCs/>
                <w:sz w:val="22"/>
                <w:szCs w:val="22"/>
              </w:rPr>
            </w:pPr>
            <w:r w:rsidRPr="0076192B">
              <w:rPr>
                <w:bCs/>
                <w:sz w:val="22"/>
                <w:szCs w:val="22"/>
              </w:rPr>
              <w:t>Informatīvā ziņojuma 7.lapā koriģēt vārdus “paredzot papildus pienākumus sabiedriskajiem un privātajiem medijiem – ja tie saņem finansējumu no Mediju atbalsta fonda satura izveidei, radīšanai un pārraidei”, ņemot vērā, ka:</w:t>
            </w:r>
          </w:p>
          <w:p w:rsidR="00FF5AC0" w:rsidRPr="0076192B" w:rsidRDefault="00771E5F" w:rsidP="00316294">
            <w:pPr>
              <w:pStyle w:val="Bezatstarpm"/>
              <w:numPr>
                <w:ilvl w:val="1"/>
                <w:numId w:val="4"/>
              </w:numPr>
              <w:ind w:left="682"/>
              <w:jc w:val="both"/>
              <w:rPr>
                <w:sz w:val="22"/>
              </w:rPr>
            </w:pPr>
            <w:r w:rsidRPr="0076192B">
              <w:rPr>
                <w:sz w:val="22"/>
              </w:rPr>
              <w:t>sabiedriskie mediji nesaņem atbalstu no Mediju atbalsta fonda. Vienlaikus Elektronisko plašsaziņas līdzekļu likuma 24.panta septītā daļa jau paredz s</w:t>
            </w:r>
            <w:r w:rsidRPr="0076192B">
              <w:rPr>
                <w:sz w:val="22"/>
                <w:shd w:val="clear" w:color="auto" w:fill="FFFFFF"/>
              </w:rPr>
              <w:t xml:space="preserve">abiedriskajiem elektroniskajiem plašsaziņas līdzekļiem pienākumu ārkārtējās situācijas un izņēmuma stāvokļa laikā dot iespēju atbildīgajām institūcijām sniegt informāciju un paziņojumus iedzīvotājiem, bet šī paša panta astotā daļa paredz </w:t>
            </w:r>
            <w:r w:rsidRPr="0076192B">
              <w:rPr>
                <w:sz w:val="22"/>
              </w:rPr>
              <w:t>s</w:t>
            </w:r>
            <w:r w:rsidRPr="0076192B">
              <w:rPr>
                <w:sz w:val="22"/>
                <w:shd w:val="clear" w:color="auto" w:fill="FFFFFF"/>
              </w:rPr>
              <w:t>abiedriskajiem elektroniskajiem plašsaziņas līdzekļiem pienākumu nekavējoties dot iespēju Valsts prezidentam, Saeimas priekšsēdētājam vai Ministru prezidentam sniegt ārkārtas paziņojumu</w:t>
            </w:r>
            <w:r w:rsidRPr="0076192B">
              <w:rPr>
                <w:sz w:val="22"/>
              </w:rPr>
              <w:t>;</w:t>
            </w:r>
          </w:p>
        </w:tc>
        <w:tc>
          <w:tcPr>
            <w:tcW w:w="2409" w:type="dxa"/>
            <w:tcBorders>
              <w:top w:val="single" w:sz="6" w:space="0" w:color="000000"/>
              <w:left w:val="single" w:sz="6" w:space="0" w:color="000000"/>
              <w:bottom w:val="single" w:sz="6" w:space="0" w:color="000000"/>
              <w:right w:val="single" w:sz="6" w:space="0" w:color="000000"/>
            </w:tcBorders>
          </w:tcPr>
          <w:p w:rsidR="001D246D" w:rsidRPr="0076192B" w:rsidRDefault="001D246D" w:rsidP="001D246D">
            <w:pPr>
              <w:pStyle w:val="naisc"/>
              <w:spacing w:before="0" w:after="0"/>
              <w:rPr>
                <w:b/>
                <w:sz w:val="22"/>
                <w:szCs w:val="22"/>
              </w:rPr>
            </w:pPr>
            <w:r w:rsidRPr="0076192B">
              <w:rPr>
                <w:b/>
                <w:sz w:val="22"/>
                <w:szCs w:val="22"/>
              </w:rPr>
              <w:t>Ņemts vērā</w:t>
            </w:r>
          </w:p>
          <w:p w:rsidR="00D53507" w:rsidRPr="0076192B" w:rsidRDefault="00D53507" w:rsidP="00AF46E1">
            <w:pPr>
              <w:pStyle w:val="naisc"/>
              <w:spacing w:before="0" w:after="0"/>
              <w:rPr>
                <w:b/>
                <w:sz w:val="22"/>
                <w:szCs w:val="22"/>
              </w:rPr>
            </w:pPr>
          </w:p>
        </w:tc>
        <w:tc>
          <w:tcPr>
            <w:tcW w:w="3467" w:type="dxa"/>
            <w:tcBorders>
              <w:top w:val="single" w:sz="4" w:space="0" w:color="auto"/>
              <w:left w:val="single" w:sz="4" w:space="0" w:color="auto"/>
              <w:bottom w:val="single" w:sz="4" w:space="0" w:color="auto"/>
            </w:tcBorders>
          </w:tcPr>
          <w:p w:rsidR="00D53507" w:rsidRPr="0076192B" w:rsidRDefault="0076192B" w:rsidP="005D7E75">
            <w:pPr>
              <w:jc w:val="both"/>
              <w:rPr>
                <w:sz w:val="22"/>
                <w:szCs w:val="22"/>
              </w:rPr>
            </w:pPr>
            <w:r w:rsidRPr="0076192B">
              <w:rPr>
                <w:sz w:val="22"/>
                <w:szCs w:val="22"/>
              </w:rPr>
              <w:t>Informatīvā ziņojuma projekt</w:t>
            </w:r>
            <w:r w:rsidR="005D7E75">
              <w:rPr>
                <w:sz w:val="22"/>
                <w:szCs w:val="22"/>
              </w:rPr>
              <w:t>s</w:t>
            </w:r>
            <w:r w:rsidRPr="0076192B">
              <w:rPr>
                <w:sz w:val="22"/>
                <w:szCs w:val="22"/>
              </w:rPr>
              <w:t xml:space="preserve"> papildināts un precizēts ņemot vērā VUGD veiktā Pētījuma rezultātus.</w:t>
            </w:r>
          </w:p>
        </w:tc>
      </w:tr>
      <w:tr w:rsidR="0076192B" w:rsidRPr="0076192B" w:rsidTr="00E82337">
        <w:tc>
          <w:tcPr>
            <w:tcW w:w="710" w:type="dxa"/>
            <w:tcBorders>
              <w:top w:val="single" w:sz="6" w:space="0" w:color="000000"/>
              <w:left w:val="single" w:sz="6" w:space="0" w:color="000000"/>
              <w:bottom w:val="single" w:sz="6" w:space="0" w:color="000000"/>
              <w:right w:val="single" w:sz="6" w:space="0" w:color="000000"/>
            </w:tcBorders>
          </w:tcPr>
          <w:p w:rsidR="00D53507" w:rsidRPr="0076192B" w:rsidRDefault="00D53507" w:rsidP="00272677">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D53507" w:rsidRPr="0076192B" w:rsidRDefault="00450571" w:rsidP="0076192B">
            <w:pPr>
              <w:jc w:val="center"/>
              <w:rPr>
                <w:sz w:val="22"/>
                <w:szCs w:val="22"/>
              </w:rPr>
            </w:pPr>
            <w:r w:rsidRPr="0076192B">
              <w:rPr>
                <w:sz w:val="22"/>
                <w:szCs w:val="22"/>
              </w:rPr>
              <w:t>Informatīvā ziņojuma projekts</w:t>
            </w:r>
          </w:p>
        </w:tc>
        <w:tc>
          <w:tcPr>
            <w:tcW w:w="5245" w:type="dxa"/>
            <w:tcBorders>
              <w:top w:val="single" w:sz="6" w:space="0" w:color="000000"/>
              <w:left w:val="single" w:sz="6" w:space="0" w:color="000000"/>
              <w:bottom w:val="single" w:sz="6" w:space="0" w:color="000000"/>
              <w:right w:val="single" w:sz="6" w:space="0" w:color="000000"/>
            </w:tcBorders>
          </w:tcPr>
          <w:p w:rsidR="00771E5F" w:rsidRPr="0076192B" w:rsidRDefault="00771E5F" w:rsidP="00771E5F">
            <w:pPr>
              <w:pStyle w:val="naisc"/>
              <w:spacing w:before="0" w:after="0"/>
              <w:rPr>
                <w:b/>
                <w:bCs/>
                <w:sz w:val="22"/>
                <w:szCs w:val="22"/>
              </w:rPr>
            </w:pPr>
            <w:r w:rsidRPr="0076192B">
              <w:rPr>
                <w:b/>
                <w:bCs/>
                <w:sz w:val="22"/>
                <w:szCs w:val="22"/>
              </w:rPr>
              <w:t xml:space="preserve">Kultūras ministrija </w:t>
            </w:r>
            <w:r w:rsidR="00312C38" w:rsidRPr="0076192B">
              <w:rPr>
                <w:b/>
                <w:bCs/>
                <w:sz w:val="22"/>
                <w:szCs w:val="22"/>
              </w:rPr>
              <w:t>(iebildumi)</w:t>
            </w:r>
          </w:p>
          <w:p w:rsidR="0076192B" w:rsidRPr="0076192B" w:rsidRDefault="0076192B" w:rsidP="0076192B">
            <w:pPr>
              <w:pStyle w:val="naisc"/>
              <w:spacing w:before="0" w:after="0"/>
              <w:jc w:val="both"/>
              <w:rPr>
                <w:bCs/>
                <w:sz w:val="22"/>
                <w:szCs w:val="22"/>
              </w:rPr>
            </w:pPr>
            <w:r w:rsidRPr="0076192B">
              <w:rPr>
                <w:bCs/>
                <w:sz w:val="22"/>
                <w:szCs w:val="22"/>
              </w:rPr>
              <w:t>Informatīvā ziņojuma 7.lapā koriģēt vārdus “paredzot papildus pienākumus sabiedriskajiem un privātajiem medijiem – ja tie saņem finansējumu no Mediju atbalsta fonda satura izveidei, radīšanai un pārraidei”, ņemot vērā, ka:</w:t>
            </w:r>
          </w:p>
          <w:p w:rsidR="00FF5AC0" w:rsidRPr="0076192B" w:rsidRDefault="00771E5F" w:rsidP="00316294">
            <w:pPr>
              <w:pStyle w:val="Bezatstarpm"/>
              <w:numPr>
                <w:ilvl w:val="1"/>
                <w:numId w:val="4"/>
              </w:numPr>
              <w:ind w:left="682"/>
              <w:jc w:val="both"/>
              <w:rPr>
                <w:sz w:val="22"/>
              </w:rPr>
            </w:pPr>
            <w:r w:rsidRPr="0076192B">
              <w:rPr>
                <w:sz w:val="22"/>
              </w:rPr>
              <w:t xml:space="preserve">televīzijas un radio var saņemt atbalstu arī no </w:t>
            </w:r>
            <w:r w:rsidRPr="0076192B">
              <w:rPr>
                <w:bCs/>
                <w:sz w:val="22"/>
              </w:rPr>
              <w:t>Nacionālās elektronisko plašsaziņas līdzekļu padomes, kā tas bija ar lielu daļu no Covid-19 atbalsta;</w:t>
            </w:r>
          </w:p>
        </w:tc>
        <w:tc>
          <w:tcPr>
            <w:tcW w:w="2409" w:type="dxa"/>
            <w:tcBorders>
              <w:top w:val="single" w:sz="6" w:space="0" w:color="000000"/>
              <w:left w:val="single" w:sz="6" w:space="0" w:color="000000"/>
              <w:bottom w:val="single" w:sz="6" w:space="0" w:color="000000"/>
              <w:right w:val="single" w:sz="6" w:space="0" w:color="000000"/>
            </w:tcBorders>
          </w:tcPr>
          <w:p w:rsidR="001D246D" w:rsidRPr="0076192B" w:rsidRDefault="001D246D" w:rsidP="001D246D">
            <w:pPr>
              <w:pStyle w:val="naisc"/>
              <w:spacing w:before="0" w:after="0"/>
              <w:rPr>
                <w:b/>
                <w:sz w:val="22"/>
                <w:szCs w:val="22"/>
              </w:rPr>
            </w:pPr>
            <w:r w:rsidRPr="0076192B">
              <w:rPr>
                <w:b/>
                <w:sz w:val="22"/>
                <w:szCs w:val="22"/>
              </w:rPr>
              <w:t>Ņemts vērā</w:t>
            </w:r>
          </w:p>
          <w:p w:rsidR="00D53507" w:rsidRPr="0076192B" w:rsidRDefault="00D53507" w:rsidP="00AF46E1">
            <w:pPr>
              <w:pStyle w:val="naisc"/>
              <w:spacing w:before="0" w:after="0"/>
              <w:rPr>
                <w:b/>
                <w:sz w:val="22"/>
                <w:szCs w:val="22"/>
              </w:rPr>
            </w:pPr>
          </w:p>
        </w:tc>
        <w:tc>
          <w:tcPr>
            <w:tcW w:w="3467" w:type="dxa"/>
            <w:tcBorders>
              <w:top w:val="single" w:sz="4" w:space="0" w:color="auto"/>
              <w:left w:val="single" w:sz="4" w:space="0" w:color="auto"/>
              <w:bottom w:val="single" w:sz="4" w:space="0" w:color="auto"/>
            </w:tcBorders>
          </w:tcPr>
          <w:p w:rsidR="00D53507" w:rsidRPr="0076192B" w:rsidRDefault="0076192B" w:rsidP="005D7E75">
            <w:pPr>
              <w:jc w:val="both"/>
              <w:rPr>
                <w:sz w:val="22"/>
                <w:szCs w:val="22"/>
              </w:rPr>
            </w:pPr>
            <w:r w:rsidRPr="0076192B">
              <w:rPr>
                <w:sz w:val="22"/>
                <w:szCs w:val="22"/>
              </w:rPr>
              <w:t>Informatīvā ziņojuma projekt</w:t>
            </w:r>
            <w:r w:rsidR="005D7E75">
              <w:rPr>
                <w:sz w:val="22"/>
                <w:szCs w:val="22"/>
              </w:rPr>
              <w:t>s</w:t>
            </w:r>
            <w:r w:rsidRPr="0076192B">
              <w:rPr>
                <w:sz w:val="22"/>
                <w:szCs w:val="22"/>
              </w:rPr>
              <w:t xml:space="preserve"> papildināts un precizēts ņemot vērā VUGD veiktā Pētījuma rezultātus.</w:t>
            </w:r>
          </w:p>
        </w:tc>
      </w:tr>
      <w:tr w:rsidR="0076192B" w:rsidRPr="0076192B" w:rsidTr="00E82337">
        <w:tc>
          <w:tcPr>
            <w:tcW w:w="710" w:type="dxa"/>
            <w:tcBorders>
              <w:top w:val="single" w:sz="6" w:space="0" w:color="000000"/>
              <w:left w:val="single" w:sz="6" w:space="0" w:color="000000"/>
              <w:bottom w:val="single" w:sz="6" w:space="0" w:color="000000"/>
              <w:right w:val="single" w:sz="6" w:space="0" w:color="000000"/>
            </w:tcBorders>
          </w:tcPr>
          <w:p w:rsidR="00D53507" w:rsidRPr="0076192B" w:rsidRDefault="00D53507" w:rsidP="00272677">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D53507" w:rsidRPr="0076192B" w:rsidRDefault="00450571" w:rsidP="0076192B">
            <w:pPr>
              <w:jc w:val="center"/>
              <w:rPr>
                <w:sz w:val="22"/>
                <w:szCs w:val="22"/>
              </w:rPr>
            </w:pPr>
            <w:r w:rsidRPr="0076192B">
              <w:rPr>
                <w:sz w:val="22"/>
                <w:szCs w:val="22"/>
              </w:rPr>
              <w:t>Informatīvā ziņojuma projekts</w:t>
            </w:r>
          </w:p>
        </w:tc>
        <w:tc>
          <w:tcPr>
            <w:tcW w:w="5245" w:type="dxa"/>
            <w:tcBorders>
              <w:top w:val="single" w:sz="6" w:space="0" w:color="000000"/>
              <w:left w:val="single" w:sz="6" w:space="0" w:color="000000"/>
              <w:bottom w:val="single" w:sz="6" w:space="0" w:color="000000"/>
              <w:right w:val="single" w:sz="6" w:space="0" w:color="000000"/>
            </w:tcBorders>
          </w:tcPr>
          <w:p w:rsidR="00771E5F" w:rsidRPr="0076192B" w:rsidRDefault="00771E5F" w:rsidP="00771E5F">
            <w:pPr>
              <w:pStyle w:val="naisc"/>
              <w:spacing w:before="0" w:after="0"/>
              <w:rPr>
                <w:b/>
                <w:bCs/>
                <w:sz w:val="22"/>
                <w:szCs w:val="22"/>
              </w:rPr>
            </w:pPr>
            <w:r w:rsidRPr="0076192B">
              <w:rPr>
                <w:b/>
                <w:bCs/>
                <w:sz w:val="22"/>
                <w:szCs w:val="22"/>
              </w:rPr>
              <w:t xml:space="preserve">Kultūras ministrija </w:t>
            </w:r>
            <w:r w:rsidR="00312C38" w:rsidRPr="0076192B">
              <w:rPr>
                <w:b/>
                <w:bCs/>
                <w:sz w:val="22"/>
                <w:szCs w:val="22"/>
              </w:rPr>
              <w:t>(iebildumi)</w:t>
            </w:r>
          </w:p>
          <w:p w:rsidR="0076192B" w:rsidRPr="0076192B" w:rsidRDefault="0076192B" w:rsidP="0076192B">
            <w:pPr>
              <w:pStyle w:val="naisc"/>
              <w:spacing w:before="0" w:after="0"/>
              <w:jc w:val="both"/>
              <w:rPr>
                <w:bCs/>
                <w:sz w:val="22"/>
                <w:szCs w:val="22"/>
              </w:rPr>
            </w:pPr>
            <w:r w:rsidRPr="0076192B">
              <w:rPr>
                <w:bCs/>
                <w:sz w:val="22"/>
                <w:szCs w:val="22"/>
              </w:rPr>
              <w:t xml:space="preserve">Informatīvā ziņojuma 7.lapā koriģēt vārdus “paredzot papildus pienākumus sabiedriskajiem un privātajiem medijiem – ja tie saņem finansējumu no Mediju atbalsta </w:t>
            </w:r>
            <w:r w:rsidRPr="0076192B">
              <w:rPr>
                <w:bCs/>
                <w:sz w:val="22"/>
                <w:szCs w:val="22"/>
              </w:rPr>
              <w:lastRenderedPageBreak/>
              <w:t>fonda satura izveidei, radīšanai un pārraidei”, ņemot vērā, ka:</w:t>
            </w:r>
          </w:p>
          <w:p w:rsidR="00FF5AC0" w:rsidRPr="0076192B" w:rsidRDefault="00771E5F" w:rsidP="00316294">
            <w:pPr>
              <w:pStyle w:val="Bezatstarpm"/>
              <w:numPr>
                <w:ilvl w:val="1"/>
                <w:numId w:val="4"/>
              </w:numPr>
              <w:ind w:left="742"/>
              <w:jc w:val="both"/>
              <w:rPr>
                <w:sz w:val="22"/>
              </w:rPr>
            </w:pPr>
            <w:r w:rsidRPr="0076192B">
              <w:rPr>
                <w:bCs/>
                <w:sz w:val="22"/>
              </w:rPr>
              <w:t xml:space="preserve">Mediju atbalsta fonds nav tiesību subjekts vai kā citādi tiesību aktos nepārprotami nostiprināts termins. </w:t>
            </w:r>
            <w:r w:rsidRPr="0076192B">
              <w:rPr>
                <w:rFonts w:eastAsia="Times New Roman"/>
                <w:sz w:val="22"/>
              </w:rPr>
              <w:t xml:space="preserve">Ministru kabineta 2016.gada 8.novembrī apstiprinātajā Mediju politikas pamatnostādņu īstenošanas plānā šādi tika nosaukts finansējums, ko no valsts budžeta piešķir nekomerciāla, sabiedriski nozīmīga satura radīšanas veicināšanai medijos. Ņemot vērā minēto, nebūtu pareizi ārpus sarunvalodas atsaukties uz </w:t>
            </w:r>
            <w:r w:rsidRPr="0076192B">
              <w:rPr>
                <w:bCs/>
                <w:sz w:val="22"/>
              </w:rPr>
              <w:t>Mediju atbalsta fondu, jo šis termins ar laiku var zaudēt vai mainīt savu nozīmi</w:t>
            </w:r>
            <w:r w:rsidRPr="0076192B">
              <w:rPr>
                <w:rFonts w:eastAsia="Times New Roman"/>
                <w:sz w:val="22"/>
              </w:rPr>
              <w:t>;</w:t>
            </w:r>
            <w:r w:rsidRPr="0076192B">
              <w:rPr>
                <w:bCs/>
                <w:sz w:val="22"/>
              </w:rPr>
              <w:t xml:space="preserve"> </w:t>
            </w:r>
          </w:p>
        </w:tc>
        <w:tc>
          <w:tcPr>
            <w:tcW w:w="2409" w:type="dxa"/>
            <w:tcBorders>
              <w:top w:val="single" w:sz="6" w:space="0" w:color="000000"/>
              <w:left w:val="single" w:sz="6" w:space="0" w:color="000000"/>
              <w:bottom w:val="single" w:sz="6" w:space="0" w:color="000000"/>
              <w:right w:val="single" w:sz="6" w:space="0" w:color="000000"/>
            </w:tcBorders>
          </w:tcPr>
          <w:p w:rsidR="001D246D" w:rsidRPr="0076192B" w:rsidRDefault="001D246D" w:rsidP="001D246D">
            <w:pPr>
              <w:pStyle w:val="naisc"/>
              <w:spacing w:before="0" w:after="0"/>
              <w:rPr>
                <w:b/>
                <w:sz w:val="22"/>
                <w:szCs w:val="22"/>
              </w:rPr>
            </w:pPr>
            <w:r w:rsidRPr="0076192B">
              <w:rPr>
                <w:b/>
                <w:sz w:val="22"/>
                <w:szCs w:val="22"/>
              </w:rPr>
              <w:lastRenderedPageBreak/>
              <w:t>Ņemts vērā</w:t>
            </w:r>
          </w:p>
          <w:p w:rsidR="00D53507" w:rsidRPr="0076192B" w:rsidRDefault="00D53507" w:rsidP="00AF46E1">
            <w:pPr>
              <w:pStyle w:val="naisc"/>
              <w:spacing w:before="0" w:after="0"/>
              <w:rPr>
                <w:b/>
                <w:sz w:val="22"/>
                <w:szCs w:val="22"/>
              </w:rPr>
            </w:pPr>
          </w:p>
        </w:tc>
        <w:tc>
          <w:tcPr>
            <w:tcW w:w="3467" w:type="dxa"/>
            <w:tcBorders>
              <w:top w:val="single" w:sz="4" w:space="0" w:color="auto"/>
              <w:left w:val="single" w:sz="4" w:space="0" w:color="auto"/>
              <w:bottom w:val="single" w:sz="4" w:space="0" w:color="auto"/>
            </w:tcBorders>
          </w:tcPr>
          <w:p w:rsidR="00D53507" w:rsidRPr="0076192B" w:rsidRDefault="0076192B" w:rsidP="005D7E75">
            <w:pPr>
              <w:jc w:val="both"/>
              <w:rPr>
                <w:sz w:val="22"/>
                <w:szCs w:val="22"/>
              </w:rPr>
            </w:pPr>
            <w:r w:rsidRPr="0076192B">
              <w:rPr>
                <w:sz w:val="22"/>
                <w:szCs w:val="22"/>
              </w:rPr>
              <w:t>Informatīvā ziņojuma projekt</w:t>
            </w:r>
            <w:r w:rsidR="005D7E75">
              <w:rPr>
                <w:sz w:val="22"/>
                <w:szCs w:val="22"/>
              </w:rPr>
              <w:t>s</w:t>
            </w:r>
            <w:r w:rsidRPr="0076192B">
              <w:rPr>
                <w:sz w:val="22"/>
                <w:szCs w:val="22"/>
              </w:rPr>
              <w:t xml:space="preserve"> papildināts un precizēts ņemot vērā VUGD veiktā Pētījuma rezultātus.</w:t>
            </w:r>
          </w:p>
        </w:tc>
      </w:tr>
      <w:tr w:rsidR="0037339A" w:rsidRPr="0037339A" w:rsidTr="00E82337">
        <w:tc>
          <w:tcPr>
            <w:tcW w:w="710" w:type="dxa"/>
            <w:tcBorders>
              <w:top w:val="single" w:sz="6" w:space="0" w:color="000000"/>
              <w:left w:val="single" w:sz="6" w:space="0" w:color="000000"/>
              <w:bottom w:val="single" w:sz="6" w:space="0" w:color="000000"/>
              <w:right w:val="single" w:sz="6" w:space="0" w:color="000000"/>
            </w:tcBorders>
          </w:tcPr>
          <w:p w:rsidR="00D53507" w:rsidRPr="0037339A" w:rsidRDefault="00D53507" w:rsidP="00272677">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D53507" w:rsidRPr="0037339A" w:rsidRDefault="0076192B" w:rsidP="0076192B">
            <w:pPr>
              <w:jc w:val="center"/>
              <w:rPr>
                <w:sz w:val="22"/>
                <w:szCs w:val="22"/>
              </w:rPr>
            </w:pPr>
            <w:r w:rsidRPr="0037339A">
              <w:rPr>
                <w:sz w:val="22"/>
                <w:szCs w:val="22"/>
              </w:rPr>
              <w:t>Informatīvā ziņojuma</w:t>
            </w:r>
            <w:r w:rsidR="00450571" w:rsidRPr="0037339A">
              <w:rPr>
                <w:sz w:val="22"/>
                <w:szCs w:val="22"/>
              </w:rPr>
              <w:t xml:space="preserve"> projekts</w:t>
            </w:r>
          </w:p>
        </w:tc>
        <w:tc>
          <w:tcPr>
            <w:tcW w:w="5245" w:type="dxa"/>
            <w:tcBorders>
              <w:top w:val="single" w:sz="6" w:space="0" w:color="000000"/>
              <w:left w:val="single" w:sz="6" w:space="0" w:color="000000"/>
              <w:bottom w:val="single" w:sz="6" w:space="0" w:color="000000"/>
              <w:right w:val="single" w:sz="6" w:space="0" w:color="000000"/>
            </w:tcBorders>
          </w:tcPr>
          <w:p w:rsidR="00771E5F" w:rsidRPr="0037339A" w:rsidRDefault="00771E5F" w:rsidP="00771E5F">
            <w:pPr>
              <w:pStyle w:val="naisc"/>
              <w:spacing w:before="0" w:after="0"/>
              <w:rPr>
                <w:b/>
                <w:bCs/>
                <w:sz w:val="22"/>
                <w:szCs w:val="22"/>
              </w:rPr>
            </w:pPr>
            <w:r w:rsidRPr="0037339A">
              <w:rPr>
                <w:b/>
                <w:bCs/>
                <w:sz w:val="22"/>
                <w:szCs w:val="22"/>
              </w:rPr>
              <w:t xml:space="preserve">Kultūras ministrija </w:t>
            </w:r>
            <w:r w:rsidR="00312C38" w:rsidRPr="0037339A">
              <w:rPr>
                <w:b/>
                <w:bCs/>
                <w:sz w:val="22"/>
                <w:szCs w:val="22"/>
              </w:rPr>
              <w:t>(iebildumi)</w:t>
            </w:r>
          </w:p>
          <w:p w:rsidR="0076192B" w:rsidRPr="0037339A" w:rsidRDefault="0076192B" w:rsidP="0076192B">
            <w:pPr>
              <w:pStyle w:val="naisc"/>
              <w:spacing w:before="0" w:after="0"/>
              <w:jc w:val="both"/>
              <w:rPr>
                <w:bCs/>
                <w:sz w:val="22"/>
                <w:szCs w:val="22"/>
              </w:rPr>
            </w:pPr>
            <w:r w:rsidRPr="0037339A">
              <w:rPr>
                <w:bCs/>
                <w:sz w:val="22"/>
                <w:szCs w:val="22"/>
              </w:rPr>
              <w:t>Informatīvā ziņojuma 7.lapā koriģēt vārdus “paredzot papildus pienākumus sabiedriskajiem un privātajiem medijiem – ja tie saņem finansējumu no Mediju atbalsta fonda satura izveidei, radīšanai un pārraidei”, ņemot vērā, ka:</w:t>
            </w:r>
          </w:p>
          <w:p w:rsidR="00D53507" w:rsidRPr="0037339A" w:rsidRDefault="00771E5F" w:rsidP="00272677">
            <w:pPr>
              <w:pStyle w:val="Bezatstarpm"/>
              <w:numPr>
                <w:ilvl w:val="1"/>
                <w:numId w:val="4"/>
              </w:numPr>
              <w:ind w:left="682"/>
              <w:jc w:val="both"/>
              <w:rPr>
                <w:sz w:val="22"/>
              </w:rPr>
            </w:pPr>
            <w:r w:rsidRPr="0037339A">
              <w:rPr>
                <w:sz w:val="22"/>
              </w:rPr>
              <w:t xml:space="preserve">sniegtais problēmas apraksts liecina, ka, balstoties uz iepriekšēju pieredzi, ir pamats uzskatīt, ka katastrofu vai to draudu gadījumā atsevišķi elektroniskie plašsaziņas līdzekļi var nepārraidīt informāciju sabiedrībai atbilstoši noslēgto starpresoru vienošanos (līgumu) nosacījumiem. Vienlaikus kā risinājums tiek piedāvāts noslēgt jaunas starpresoru vienošanās (līgumus), bet netiek paskaidrots, kā tieši jaunu līgumu noslēgšana var sekmēt šo pašu līgumu ievērošanu. </w:t>
            </w:r>
            <w:r w:rsidRPr="0037339A">
              <w:rPr>
                <w:bCs/>
                <w:sz w:val="22"/>
              </w:rPr>
              <w:t>Ņemot vērā minēto, izsakām priekšlikumu dzēst vārdus “</w:t>
            </w:r>
            <w:r w:rsidRPr="0037339A">
              <w:rPr>
                <w:i/>
                <w:iCs/>
                <w:sz w:val="22"/>
              </w:rPr>
              <w:t xml:space="preserve">piemēram, nepieciešamību veikt grozījumus Elektronisko plašsaziņas līdzekļu likumā, paredzot papildus pienākumus sabiedriskajiem un privātajiem medijiem - ja tie saņem finansējumu no Mediju atbalsta fonda satura izveidei, radīšanai un </w:t>
            </w:r>
            <w:r w:rsidRPr="0037339A">
              <w:rPr>
                <w:i/>
                <w:iCs/>
                <w:sz w:val="22"/>
              </w:rPr>
              <w:lastRenderedPageBreak/>
              <w:t>pārraidei, tad šiem elektroniskajiem plašsaziņas līdzekļiem jāparedz uzdevumi noslēgt starpresoru vienošanos (līgumus) ar VUGD”.</w:t>
            </w:r>
          </w:p>
        </w:tc>
        <w:tc>
          <w:tcPr>
            <w:tcW w:w="2409" w:type="dxa"/>
            <w:tcBorders>
              <w:top w:val="single" w:sz="6" w:space="0" w:color="000000"/>
              <w:left w:val="single" w:sz="6" w:space="0" w:color="000000"/>
              <w:bottom w:val="single" w:sz="6" w:space="0" w:color="000000"/>
              <w:right w:val="single" w:sz="6" w:space="0" w:color="000000"/>
            </w:tcBorders>
          </w:tcPr>
          <w:p w:rsidR="001D246D" w:rsidRPr="0037339A" w:rsidRDefault="001D246D" w:rsidP="001D246D">
            <w:pPr>
              <w:pStyle w:val="naisc"/>
              <w:spacing w:before="0" w:after="0"/>
              <w:rPr>
                <w:b/>
                <w:sz w:val="22"/>
                <w:szCs w:val="22"/>
              </w:rPr>
            </w:pPr>
            <w:r w:rsidRPr="0037339A">
              <w:rPr>
                <w:b/>
                <w:sz w:val="22"/>
                <w:szCs w:val="22"/>
              </w:rPr>
              <w:lastRenderedPageBreak/>
              <w:t>Ņemts vērā</w:t>
            </w:r>
          </w:p>
          <w:p w:rsidR="00D53507" w:rsidRPr="0037339A" w:rsidRDefault="00D53507" w:rsidP="00AF46E1">
            <w:pPr>
              <w:pStyle w:val="naisc"/>
              <w:spacing w:before="0" w:after="0"/>
              <w:rPr>
                <w:b/>
                <w:sz w:val="22"/>
                <w:szCs w:val="22"/>
              </w:rPr>
            </w:pPr>
          </w:p>
        </w:tc>
        <w:tc>
          <w:tcPr>
            <w:tcW w:w="3467" w:type="dxa"/>
            <w:tcBorders>
              <w:top w:val="single" w:sz="4" w:space="0" w:color="auto"/>
              <w:left w:val="single" w:sz="4" w:space="0" w:color="auto"/>
              <w:bottom w:val="single" w:sz="4" w:space="0" w:color="auto"/>
            </w:tcBorders>
          </w:tcPr>
          <w:p w:rsidR="00D53507" w:rsidRPr="0037339A" w:rsidRDefault="0076192B" w:rsidP="005D7E75">
            <w:pPr>
              <w:jc w:val="both"/>
              <w:rPr>
                <w:sz w:val="22"/>
                <w:szCs w:val="22"/>
              </w:rPr>
            </w:pPr>
            <w:r w:rsidRPr="0037339A">
              <w:rPr>
                <w:sz w:val="22"/>
                <w:szCs w:val="22"/>
              </w:rPr>
              <w:t>Informatīvā ziņojuma projekt</w:t>
            </w:r>
            <w:r w:rsidR="005D7E75">
              <w:rPr>
                <w:sz w:val="22"/>
                <w:szCs w:val="22"/>
              </w:rPr>
              <w:t>s</w:t>
            </w:r>
            <w:r w:rsidRPr="0037339A">
              <w:rPr>
                <w:sz w:val="22"/>
                <w:szCs w:val="22"/>
              </w:rPr>
              <w:t xml:space="preserve"> papildināts un precizēts ņemot vērā VUGD veiktā Pētījuma rezultātus.</w:t>
            </w:r>
          </w:p>
        </w:tc>
      </w:tr>
      <w:tr w:rsidR="0037339A" w:rsidRPr="0037339A" w:rsidTr="00E82337">
        <w:tc>
          <w:tcPr>
            <w:tcW w:w="710" w:type="dxa"/>
            <w:tcBorders>
              <w:top w:val="single" w:sz="6" w:space="0" w:color="000000"/>
              <w:left w:val="single" w:sz="6" w:space="0" w:color="000000"/>
              <w:bottom w:val="single" w:sz="6" w:space="0" w:color="000000"/>
              <w:right w:val="single" w:sz="6" w:space="0" w:color="000000"/>
            </w:tcBorders>
          </w:tcPr>
          <w:p w:rsidR="00D53507" w:rsidRPr="0037339A" w:rsidRDefault="00D53507" w:rsidP="00272677">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D53507" w:rsidRPr="0037339A" w:rsidRDefault="0037339A" w:rsidP="00AF46E1">
            <w:pPr>
              <w:jc w:val="center"/>
              <w:rPr>
                <w:sz w:val="22"/>
                <w:szCs w:val="22"/>
              </w:rPr>
            </w:pPr>
            <w:proofErr w:type="spellStart"/>
            <w:r w:rsidRPr="0037339A">
              <w:rPr>
                <w:sz w:val="22"/>
                <w:szCs w:val="22"/>
              </w:rPr>
              <w:t>P</w:t>
            </w:r>
            <w:r w:rsidR="00450571" w:rsidRPr="0037339A">
              <w:rPr>
                <w:sz w:val="22"/>
                <w:szCs w:val="22"/>
              </w:rPr>
              <w:t>rotokollēmuma</w:t>
            </w:r>
            <w:proofErr w:type="spellEnd"/>
            <w:r w:rsidR="00450571" w:rsidRPr="0037339A">
              <w:rPr>
                <w:sz w:val="22"/>
                <w:szCs w:val="22"/>
              </w:rPr>
              <w:t xml:space="preserve"> projekts</w:t>
            </w:r>
          </w:p>
        </w:tc>
        <w:tc>
          <w:tcPr>
            <w:tcW w:w="5245" w:type="dxa"/>
            <w:tcBorders>
              <w:top w:val="single" w:sz="6" w:space="0" w:color="000000"/>
              <w:left w:val="single" w:sz="6" w:space="0" w:color="000000"/>
              <w:bottom w:val="single" w:sz="6" w:space="0" w:color="000000"/>
              <w:right w:val="single" w:sz="6" w:space="0" w:color="000000"/>
            </w:tcBorders>
          </w:tcPr>
          <w:p w:rsidR="00450571" w:rsidRPr="0037339A" w:rsidRDefault="00450571" w:rsidP="00450571">
            <w:pPr>
              <w:pStyle w:val="naisc"/>
              <w:spacing w:before="0" w:after="0"/>
              <w:rPr>
                <w:b/>
                <w:bCs/>
                <w:sz w:val="22"/>
                <w:szCs w:val="22"/>
              </w:rPr>
            </w:pPr>
            <w:r w:rsidRPr="0037339A">
              <w:rPr>
                <w:b/>
                <w:bCs/>
                <w:sz w:val="22"/>
                <w:szCs w:val="22"/>
              </w:rPr>
              <w:t xml:space="preserve">Aizsardzības ministrija </w:t>
            </w:r>
          </w:p>
          <w:p w:rsidR="00D53507" w:rsidRPr="0037339A" w:rsidRDefault="00450571" w:rsidP="0037339A">
            <w:pPr>
              <w:contextualSpacing/>
              <w:jc w:val="both"/>
              <w:rPr>
                <w:noProof/>
                <w:sz w:val="22"/>
                <w:szCs w:val="22"/>
              </w:rPr>
            </w:pPr>
            <w:r w:rsidRPr="0037339A">
              <w:rPr>
                <w:noProof/>
                <w:sz w:val="22"/>
                <w:szCs w:val="22"/>
              </w:rPr>
              <w:t>Vēlamies vērst uzmanību, ka apziņošana</w:t>
            </w:r>
            <w:r w:rsidRPr="0037339A">
              <w:rPr>
                <w:sz w:val="22"/>
                <w:szCs w:val="22"/>
              </w:rPr>
              <w:t xml:space="preserve"> valsts agrīnās brīdināšanas sistēmas ietvaros </w:t>
            </w:r>
            <w:r w:rsidRPr="0037339A">
              <w:rPr>
                <w:noProof/>
                <w:sz w:val="22"/>
                <w:szCs w:val="22"/>
              </w:rPr>
              <w:t>var tikt izmantota dažādu valsts apdraudējuma gadījumos un veidos, tajā skaitā tādos, par kuru pārvarēšanu kā atbildīgā institūcija ir noteikta AM. Līdz ar to lūdzam AM iekļaut kā līdzatbildīgo insitūciju Informatīvā ziņojuma Ministru kabineta protokollēmuma 3. punktā.</w:t>
            </w:r>
          </w:p>
        </w:tc>
        <w:tc>
          <w:tcPr>
            <w:tcW w:w="2409" w:type="dxa"/>
            <w:tcBorders>
              <w:top w:val="single" w:sz="6" w:space="0" w:color="000000"/>
              <w:left w:val="single" w:sz="6" w:space="0" w:color="000000"/>
              <w:bottom w:val="single" w:sz="6" w:space="0" w:color="000000"/>
              <w:right w:val="single" w:sz="6" w:space="0" w:color="000000"/>
            </w:tcBorders>
          </w:tcPr>
          <w:p w:rsidR="001D246D" w:rsidRPr="0037339A" w:rsidRDefault="001D246D" w:rsidP="001D246D">
            <w:pPr>
              <w:pStyle w:val="naisc"/>
              <w:spacing w:before="0" w:after="0"/>
              <w:rPr>
                <w:b/>
                <w:sz w:val="22"/>
                <w:szCs w:val="22"/>
              </w:rPr>
            </w:pPr>
            <w:r w:rsidRPr="0037339A">
              <w:rPr>
                <w:b/>
                <w:sz w:val="22"/>
                <w:szCs w:val="22"/>
              </w:rPr>
              <w:t>Ņemts vērā</w:t>
            </w:r>
          </w:p>
          <w:p w:rsidR="00D53507" w:rsidRPr="0037339A" w:rsidRDefault="00D53507" w:rsidP="00AF46E1">
            <w:pPr>
              <w:pStyle w:val="naisc"/>
              <w:spacing w:before="0" w:after="0"/>
              <w:rPr>
                <w:b/>
                <w:sz w:val="22"/>
                <w:szCs w:val="22"/>
              </w:rPr>
            </w:pPr>
          </w:p>
        </w:tc>
        <w:tc>
          <w:tcPr>
            <w:tcW w:w="3467" w:type="dxa"/>
            <w:tcBorders>
              <w:top w:val="single" w:sz="4" w:space="0" w:color="auto"/>
              <w:left w:val="single" w:sz="4" w:space="0" w:color="auto"/>
              <w:bottom w:val="single" w:sz="4" w:space="0" w:color="auto"/>
            </w:tcBorders>
          </w:tcPr>
          <w:p w:rsidR="005B5464" w:rsidRPr="0037339A" w:rsidRDefault="005D7E75" w:rsidP="005D7E75">
            <w:pPr>
              <w:jc w:val="both"/>
              <w:rPr>
                <w:noProof/>
                <w:sz w:val="22"/>
                <w:szCs w:val="22"/>
              </w:rPr>
            </w:pPr>
            <w:proofErr w:type="spellStart"/>
            <w:r>
              <w:rPr>
                <w:sz w:val="22"/>
                <w:szCs w:val="22"/>
              </w:rPr>
              <w:t>Protokollēmuma</w:t>
            </w:r>
            <w:proofErr w:type="spellEnd"/>
            <w:r>
              <w:rPr>
                <w:sz w:val="22"/>
                <w:szCs w:val="22"/>
              </w:rPr>
              <w:t xml:space="preserve"> </w:t>
            </w:r>
            <w:r w:rsidR="0037339A" w:rsidRPr="0076192B">
              <w:rPr>
                <w:sz w:val="22"/>
                <w:szCs w:val="22"/>
              </w:rPr>
              <w:t>projekt</w:t>
            </w:r>
            <w:r>
              <w:rPr>
                <w:sz w:val="22"/>
                <w:szCs w:val="22"/>
              </w:rPr>
              <w:t>s</w:t>
            </w:r>
            <w:r w:rsidR="0037339A" w:rsidRPr="0076192B">
              <w:rPr>
                <w:sz w:val="22"/>
                <w:szCs w:val="22"/>
              </w:rPr>
              <w:t xml:space="preserve"> papildināts un precizēts ņemot vērā VUGD veiktā Pētījuma rezultātus.</w:t>
            </w:r>
          </w:p>
        </w:tc>
      </w:tr>
      <w:tr w:rsidR="00FE005C" w:rsidRPr="0037339A" w:rsidTr="00E82337">
        <w:tc>
          <w:tcPr>
            <w:tcW w:w="710" w:type="dxa"/>
            <w:tcBorders>
              <w:top w:val="single" w:sz="6" w:space="0" w:color="000000"/>
              <w:left w:val="single" w:sz="6" w:space="0" w:color="000000"/>
              <w:bottom w:val="single" w:sz="6" w:space="0" w:color="000000"/>
              <w:right w:val="single" w:sz="6" w:space="0" w:color="000000"/>
            </w:tcBorders>
          </w:tcPr>
          <w:p w:rsidR="00FE005C" w:rsidRPr="0037339A" w:rsidRDefault="00FE005C" w:rsidP="00272677">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AA4E69" w:rsidRPr="00E82337" w:rsidRDefault="00AA4E69" w:rsidP="00322920">
            <w:pPr>
              <w:jc w:val="center"/>
              <w:rPr>
                <w:b/>
                <w:sz w:val="22"/>
                <w:szCs w:val="22"/>
              </w:rPr>
            </w:pPr>
            <w:proofErr w:type="spellStart"/>
            <w:r w:rsidRPr="00E82337">
              <w:rPr>
                <w:b/>
                <w:sz w:val="22"/>
                <w:szCs w:val="22"/>
              </w:rPr>
              <w:t>Protokollēmuma</w:t>
            </w:r>
            <w:proofErr w:type="spellEnd"/>
            <w:r w:rsidRPr="00E82337">
              <w:rPr>
                <w:b/>
                <w:sz w:val="22"/>
                <w:szCs w:val="22"/>
              </w:rPr>
              <w:t xml:space="preserve"> projekts</w:t>
            </w:r>
          </w:p>
          <w:p w:rsidR="00AA4E69" w:rsidRPr="00AA4E69" w:rsidRDefault="00AA4E69" w:rsidP="00322920">
            <w:pPr>
              <w:jc w:val="both"/>
              <w:rPr>
                <w:sz w:val="22"/>
                <w:szCs w:val="22"/>
              </w:rPr>
            </w:pPr>
            <w:r>
              <w:rPr>
                <w:sz w:val="22"/>
                <w:szCs w:val="22"/>
              </w:rPr>
              <w:t xml:space="preserve">1. </w:t>
            </w:r>
            <w:r w:rsidRPr="00AA4E69">
              <w:rPr>
                <w:sz w:val="22"/>
                <w:szCs w:val="22"/>
              </w:rPr>
              <w:t>Pieņemt zināšanai iesniegto informatīvo ziņojumu.</w:t>
            </w:r>
          </w:p>
          <w:p w:rsidR="00AA4E69" w:rsidRPr="00AA4E69" w:rsidRDefault="00AA4E69" w:rsidP="00322920">
            <w:pPr>
              <w:jc w:val="both"/>
              <w:rPr>
                <w:sz w:val="22"/>
                <w:szCs w:val="22"/>
              </w:rPr>
            </w:pPr>
            <w:r>
              <w:rPr>
                <w:sz w:val="22"/>
                <w:szCs w:val="22"/>
              </w:rPr>
              <w:t xml:space="preserve">2. </w:t>
            </w:r>
            <w:r w:rsidRPr="00AA4E69">
              <w:rPr>
                <w:sz w:val="22"/>
                <w:szCs w:val="22"/>
              </w:rPr>
              <w:t>Atbalstīt informatīvajā ziņojumā piedāvāto risinājumu, pilnveidojot valsts agrīnās brīdināšanas sistēmu, ieviešot sabiedrības apziņošanas risinājumu, kas balstīta uz šūnu apraides sistēmu.</w:t>
            </w:r>
          </w:p>
          <w:p w:rsidR="00AA4E69" w:rsidRPr="00AA4E69" w:rsidRDefault="00AA4E69" w:rsidP="00322920">
            <w:pPr>
              <w:jc w:val="both"/>
              <w:rPr>
                <w:sz w:val="22"/>
                <w:szCs w:val="22"/>
              </w:rPr>
            </w:pPr>
            <w:r>
              <w:rPr>
                <w:sz w:val="22"/>
                <w:szCs w:val="22"/>
              </w:rPr>
              <w:t xml:space="preserve">3. </w:t>
            </w:r>
            <w:r w:rsidRPr="00AA4E69">
              <w:rPr>
                <w:sz w:val="22"/>
                <w:szCs w:val="22"/>
              </w:rPr>
              <w:t>Noteikt Iekšlietu ministriju par atbildīgo institūciju valsts agrīnās brīdināšanas sistēmas pilnveidošanā, ieviešot šūnu apraides sistēmu.</w:t>
            </w:r>
          </w:p>
          <w:p w:rsidR="00AA4E69" w:rsidRPr="00AA4E69" w:rsidRDefault="00AA4E69" w:rsidP="00322920">
            <w:pPr>
              <w:jc w:val="both"/>
              <w:rPr>
                <w:sz w:val="22"/>
                <w:szCs w:val="22"/>
              </w:rPr>
            </w:pPr>
            <w:r>
              <w:rPr>
                <w:sz w:val="22"/>
                <w:szCs w:val="22"/>
              </w:rPr>
              <w:t xml:space="preserve">4. </w:t>
            </w:r>
            <w:r w:rsidRPr="00AA4E69">
              <w:rPr>
                <w:sz w:val="22"/>
                <w:szCs w:val="22"/>
              </w:rPr>
              <w:t>Nodrošināt šūnu apraides sistēmas ieviešanu līdz 2022.gada 21.jūnijam, lai nodrošinātu Eiropas Parlamenta un Padomes 2018.gada 11.decembra direktīvas (ES) 2018/1972 “Par Eiropas Elektronisko sakaru kodeksa izveidi” prasības.</w:t>
            </w:r>
          </w:p>
          <w:p w:rsidR="00AA4E69" w:rsidRPr="00AA4E69" w:rsidRDefault="00AA4E69" w:rsidP="00322920">
            <w:pPr>
              <w:jc w:val="both"/>
              <w:rPr>
                <w:sz w:val="22"/>
                <w:szCs w:val="22"/>
              </w:rPr>
            </w:pPr>
            <w:r>
              <w:rPr>
                <w:sz w:val="22"/>
                <w:szCs w:val="22"/>
              </w:rPr>
              <w:t xml:space="preserve">5. </w:t>
            </w:r>
            <w:r w:rsidRPr="00AA4E69">
              <w:rPr>
                <w:sz w:val="22"/>
                <w:szCs w:val="22"/>
              </w:rPr>
              <w:t xml:space="preserve">Iekšlietu ministrijai izvērtēt un nepieciešamības gadījumā līdz 2021.gada 1.novembrim iesniegt </w:t>
            </w:r>
            <w:r w:rsidRPr="00AA4E69">
              <w:rPr>
                <w:sz w:val="22"/>
                <w:szCs w:val="22"/>
              </w:rPr>
              <w:lastRenderedPageBreak/>
              <w:t>izskatīšanai Ministru kabinetā noteiktā kārtībā priekšlikumus grozījumiem normatīvajos aktos par valsts agrīnās brīdināšanas sistēmu, ieviešot sabiedrības apziņošanas risinājumu, kas balstīta uz šūnu apraides sistēmu.</w:t>
            </w:r>
          </w:p>
          <w:p w:rsidR="00AA4E69" w:rsidRPr="00AA4E69" w:rsidRDefault="00AA4E69" w:rsidP="00322920">
            <w:pPr>
              <w:jc w:val="both"/>
              <w:rPr>
                <w:sz w:val="22"/>
                <w:szCs w:val="22"/>
              </w:rPr>
            </w:pPr>
            <w:r>
              <w:rPr>
                <w:sz w:val="22"/>
                <w:szCs w:val="22"/>
              </w:rPr>
              <w:t xml:space="preserve">6. </w:t>
            </w:r>
            <w:r w:rsidRPr="00AA4E69">
              <w:rPr>
                <w:sz w:val="22"/>
                <w:szCs w:val="22"/>
              </w:rPr>
              <w:t>Pieņemt zināšanai, ka šūnu apraides sistēmas izveides indikatīvās izmaksas ir 4 224 000 euro un uzturēšanas izmaksas ir 442 000 euro gadā.</w:t>
            </w:r>
          </w:p>
          <w:p w:rsidR="00E82337" w:rsidRDefault="00AA4E69" w:rsidP="00322920">
            <w:pPr>
              <w:jc w:val="both"/>
              <w:rPr>
                <w:sz w:val="22"/>
                <w:szCs w:val="22"/>
              </w:rPr>
            </w:pPr>
            <w:r>
              <w:rPr>
                <w:sz w:val="22"/>
                <w:szCs w:val="22"/>
              </w:rPr>
              <w:t xml:space="preserve">7. </w:t>
            </w:r>
            <w:r w:rsidRPr="00AA4E69">
              <w:rPr>
                <w:sz w:val="22"/>
                <w:szCs w:val="22"/>
              </w:rPr>
              <w:t>Iekšlietu ministrijai šūnu apraides sistēmas izveidei piesaistīt finansējumu  no Darbības programmas Latvijai 2021.-2027.gadam specifiskā atbalsta mērķa “Veicināt pielāgošanos klimata pārmaiņām, risku novēršanu un noturību pret katastrofām”.</w:t>
            </w:r>
          </w:p>
          <w:p w:rsidR="00E82337" w:rsidRDefault="00E82337" w:rsidP="00322920">
            <w:pPr>
              <w:jc w:val="both"/>
              <w:rPr>
                <w:sz w:val="22"/>
                <w:szCs w:val="22"/>
              </w:rPr>
            </w:pPr>
          </w:p>
          <w:p w:rsidR="00E82337" w:rsidRPr="00E82337" w:rsidRDefault="00E82337" w:rsidP="00E82337">
            <w:pPr>
              <w:jc w:val="center"/>
              <w:rPr>
                <w:b/>
                <w:sz w:val="22"/>
                <w:szCs w:val="22"/>
              </w:rPr>
            </w:pPr>
            <w:r w:rsidRPr="00E82337">
              <w:rPr>
                <w:b/>
                <w:sz w:val="22"/>
                <w:szCs w:val="22"/>
              </w:rPr>
              <w:t>Informatīvā ziņojuma projekts (19.-21.lpp.)</w:t>
            </w:r>
            <w:r w:rsidR="007D6B0B">
              <w:rPr>
                <w:b/>
                <w:sz w:val="22"/>
                <w:szCs w:val="22"/>
              </w:rPr>
              <w:t xml:space="preserve"> – precizēts atbilstoši pētījuma rezultātiem </w:t>
            </w:r>
          </w:p>
          <w:p w:rsidR="00E82337" w:rsidRDefault="00E82337" w:rsidP="00E82337">
            <w:pPr>
              <w:jc w:val="both"/>
              <w:rPr>
                <w:sz w:val="22"/>
                <w:szCs w:val="22"/>
              </w:rPr>
            </w:pPr>
            <w:r w:rsidRPr="00E82337">
              <w:rPr>
                <w:sz w:val="22"/>
                <w:szCs w:val="22"/>
              </w:rPr>
              <w:t xml:space="preserve">Veicot tirgus </w:t>
            </w:r>
            <w:proofErr w:type="spellStart"/>
            <w:r w:rsidRPr="00E82337">
              <w:rPr>
                <w:sz w:val="22"/>
                <w:szCs w:val="22"/>
              </w:rPr>
              <w:t>priekšizpēti</w:t>
            </w:r>
            <w:proofErr w:type="spellEnd"/>
            <w:r w:rsidRPr="00E82337">
              <w:rPr>
                <w:sz w:val="22"/>
                <w:szCs w:val="22"/>
              </w:rPr>
              <w:t xml:space="preserve"> un nozarē pieejamo resursu analīzi, kā arī dažādu sistēmu ražotāju iesniegto informācija, tika  secināts, ka indikatīvi ABS+ ieviešanai nepieciešamais finansējums ir 4 224 000 euro apmērā un uzturēšanai indikatīvi nepieciešamais  finansējums ir 442 000 euro apmērā katru gadu. Izmaksu sadalījums apkopots 2.tabulā.</w:t>
            </w:r>
          </w:p>
          <w:p w:rsidR="00E82337" w:rsidRDefault="00E82337" w:rsidP="00E82337">
            <w:pPr>
              <w:rPr>
                <w:sz w:val="22"/>
                <w:szCs w:val="22"/>
              </w:rPr>
            </w:pPr>
            <w:r>
              <w:rPr>
                <w:noProof/>
              </w:rPr>
              <w:lastRenderedPageBreak/>
              <w:drawing>
                <wp:inline distT="0" distB="0" distL="0" distR="0" wp14:anchorId="518FD838" wp14:editId="61E0BA6D">
                  <wp:extent cx="1850066" cy="2109839"/>
                  <wp:effectExtent l="0" t="0" r="0" b="5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1350" cy="2122707"/>
                          </a:xfrm>
                          <a:prstGeom prst="rect">
                            <a:avLst/>
                          </a:prstGeom>
                        </pic:spPr>
                      </pic:pic>
                    </a:graphicData>
                  </a:graphic>
                </wp:inline>
              </w:drawing>
            </w:r>
          </w:p>
          <w:p w:rsidR="00E82337" w:rsidRPr="00E82337" w:rsidRDefault="00E82337" w:rsidP="00E82337">
            <w:pPr>
              <w:jc w:val="both"/>
              <w:rPr>
                <w:sz w:val="22"/>
                <w:szCs w:val="22"/>
              </w:rPr>
            </w:pPr>
            <w:r w:rsidRPr="00E82337">
              <w:rPr>
                <w:sz w:val="22"/>
                <w:szCs w:val="22"/>
              </w:rPr>
              <w:t xml:space="preserve">Šūnu apraides sistēmas risinājuma ieviešanai paredzēts piesaistīt finansējumu no Eiropas Savienības fondiem – Latvijas darbības programmā 2021.-2027.gadam, īstenojot ieguldījumu prioritāti specifiskā atbalsta mērķu programmā “Veicināt pielāgošanos klimata pārmaiņām, risku novēršanu un noturību pret katastrofām”, tādējādi nodrošinot efektīvu un pārdomātu preventīvo un gatavības pasākumu īstenošanu, mazinot iespējamos cilvēku upurus, pasargājot cilvēku dzīvības vai veselību, mazinot iespējamo kaitējumu videi vai īpašumam, kā arī mazinot iespējamos materiālos un finansiālos zaudējumus. </w:t>
            </w:r>
          </w:p>
          <w:p w:rsidR="00E82337" w:rsidRDefault="00E82337" w:rsidP="00E82337">
            <w:pPr>
              <w:jc w:val="both"/>
              <w:rPr>
                <w:sz w:val="22"/>
                <w:szCs w:val="22"/>
              </w:rPr>
            </w:pPr>
            <w:r w:rsidRPr="00E82337">
              <w:rPr>
                <w:sz w:val="22"/>
                <w:szCs w:val="22"/>
              </w:rPr>
              <w:t xml:space="preserve">Lai nodrošinātu ABS+ uzturēšanu, papildu nepieciešams finansējums 442 000 euro apmērā </w:t>
            </w:r>
            <w:r w:rsidRPr="00E82337">
              <w:rPr>
                <w:sz w:val="22"/>
                <w:szCs w:val="22"/>
              </w:rPr>
              <w:lastRenderedPageBreak/>
              <w:t>katru gadu. Saskaņā ar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10.4.apakšpunktu uzturēšanas izdevumi tiks pieprasīti papildus.</w:t>
            </w:r>
          </w:p>
          <w:p w:rsidR="00E82337" w:rsidRPr="0037339A" w:rsidRDefault="00E82337" w:rsidP="00E82337">
            <w:pPr>
              <w:jc w:val="both"/>
              <w:rPr>
                <w:sz w:val="22"/>
                <w:szCs w:val="22"/>
              </w:rPr>
            </w:pPr>
          </w:p>
        </w:tc>
        <w:tc>
          <w:tcPr>
            <w:tcW w:w="5245" w:type="dxa"/>
            <w:tcBorders>
              <w:top w:val="single" w:sz="6" w:space="0" w:color="000000"/>
              <w:left w:val="single" w:sz="6" w:space="0" w:color="000000"/>
              <w:bottom w:val="single" w:sz="6" w:space="0" w:color="000000"/>
              <w:right w:val="single" w:sz="6" w:space="0" w:color="000000"/>
            </w:tcBorders>
          </w:tcPr>
          <w:p w:rsidR="00FE005C" w:rsidRDefault="00FE005C" w:rsidP="00322920">
            <w:pPr>
              <w:pStyle w:val="naisc"/>
              <w:spacing w:before="0" w:after="0"/>
              <w:rPr>
                <w:b/>
                <w:bCs/>
                <w:sz w:val="22"/>
                <w:szCs w:val="22"/>
              </w:rPr>
            </w:pPr>
            <w:r>
              <w:rPr>
                <w:b/>
                <w:bCs/>
                <w:sz w:val="22"/>
                <w:szCs w:val="22"/>
              </w:rPr>
              <w:lastRenderedPageBreak/>
              <w:t>Finanšu</w:t>
            </w:r>
            <w:r w:rsidRPr="0037339A">
              <w:rPr>
                <w:b/>
                <w:bCs/>
                <w:sz w:val="22"/>
                <w:szCs w:val="22"/>
              </w:rPr>
              <w:t xml:space="preserve"> ministrija</w:t>
            </w:r>
          </w:p>
          <w:p w:rsidR="00AA4E69" w:rsidRPr="00AA4E69" w:rsidRDefault="00AA4E69" w:rsidP="00322920">
            <w:pPr>
              <w:pStyle w:val="naisc"/>
              <w:spacing w:before="0" w:after="0"/>
              <w:jc w:val="both"/>
              <w:rPr>
                <w:bCs/>
                <w:sz w:val="22"/>
                <w:szCs w:val="22"/>
              </w:rPr>
            </w:pPr>
            <w:r w:rsidRPr="00AA4E69">
              <w:rPr>
                <w:bCs/>
                <w:sz w:val="22"/>
                <w:szCs w:val="22"/>
              </w:rPr>
              <w:t>Lūdzam skaidrot ziņojuma projektā norādīto finansējuma apmēru šūnu apraides sistēmas risinājuma ieviešanai Latvijā un nepieciešamības gadījumā to precizēt, ņemot vērā, ka norādītais finansējums pārsniedz Latvijas Nacionālajā attīstības plānā 2021.-2027.</w:t>
            </w:r>
            <w:r w:rsidR="00322920">
              <w:rPr>
                <w:bCs/>
                <w:sz w:val="22"/>
                <w:szCs w:val="22"/>
              </w:rPr>
              <w:t>gadam ietvertā pasākuma Nr.108 “</w:t>
            </w:r>
            <w:r w:rsidRPr="00AA4E69">
              <w:rPr>
                <w:bCs/>
                <w:sz w:val="22"/>
                <w:szCs w:val="22"/>
              </w:rPr>
              <w:t>Agrīnās brīdināšana</w:t>
            </w:r>
            <w:r w:rsidR="00322920">
              <w:rPr>
                <w:bCs/>
                <w:sz w:val="22"/>
                <w:szCs w:val="22"/>
              </w:rPr>
              <w:t xml:space="preserve">s sistēmas izveide un ieviešana” </w:t>
            </w:r>
            <w:r w:rsidRPr="00AA4E69">
              <w:rPr>
                <w:bCs/>
                <w:sz w:val="22"/>
                <w:szCs w:val="22"/>
              </w:rPr>
              <w:t>sākotnēji plānoto finansējuma apmēru, kā arī darbības programmas 2021.</w:t>
            </w:r>
            <w:r w:rsidR="00322920">
              <w:rPr>
                <w:bCs/>
                <w:sz w:val="22"/>
                <w:szCs w:val="22"/>
              </w:rPr>
              <w:t>-</w:t>
            </w:r>
            <w:r w:rsidRPr="00AA4E69">
              <w:rPr>
                <w:bCs/>
                <w:sz w:val="22"/>
                <w:szCs w:val="22"/>
              </w:rPr>
              <w:t>2027.gadam projekta ietvaros plānoto finansējumu.</w:t>
            </w:r>
          </w:p>
          <w:p w:rsidR="00AA4E69" w:rsidRPr="00AA4E69" w:rsidRDefault="00AA4E69" w:rsidP="00322920">
            <w:pPr>
              <w:pStyle w:val="naisc"/>
              <w:spacing w:before="0" w:after="0"/>
              <w:jc w:val="both"/>
              <w:rPr>
                <w:bCs/>
                <w:sz w:val="22"/>
                <w:szCs w:val="22"/>
              </w:rPr>
            </w:pPr>
            <w:r w:rsidRPr="00AA4E69">
              <w:rPr>
                <w:bCs/>
                <w:sz w:val="22"/>
                <w:szCs w:val="22"/>
              </w:rPr>
              <w:t>Vienlaikus vēršam uzmanī</w:t>
            </w:r>
            <w:r w:rsidR="00322920">
              <w:rPr>
                <w:bCs/>
                <w:sz w:val="22"/>
                <w:szCs w:val="22"/>
              </w:rPr>
              <w:t>bu, ka darbības programma 2021.-2027.</w:t>
            </w:r>
            <w:r w:rsidRPr="00AA4E69">
              <w:rPr>
                <w:bCs/>
                <w:sz w:val="22"/>
                <w:szCs w:val="22"/>
              </w:rPr>
              <w:t xml:space="preserve">gada plānošanas periodam ir izstrādes procesā un joprojām norisinās diskusijas, tai skaitā ar Eiropas Komisiju, par pieejamo finansējuma sadalījumu un atbalstāmajām darbībām. </w:t>
            </w:r>
          </w:p>
          <w:p w:rsidR="00FE005C" w:rsidRPr="00FE005C" w:rsidRDefault="00AA4E69" w:rsidP="00322920">
            <w:pPr>
              <w:pStyle w:val="naisc"/>
              <w:spacing w:before="0" w:after="0"/>
              <w:jc w:val="both"/>
              <w:rPr>
                <w:bCs/>
                <w:sz w:val="22"/>
                <w:szCs w:val="22"/>
              </w:rPr>
            </w:pPr>
            <w:r w:rsidRPr="00AA4E69">
              <w:rPr>
                <w:bCs/>
                <w:sz w:val="22"/>
                <w:szCs w:val="22"/>
              </w:rPr>
              <w:t>Līdz ar to aicinām izvērtēt projekta virzību iz</w:t>
            </w:r>
            <w:r w:rsidR="00322920">
              <w:rPr>
                <w:bCs/>
                <w:sz w:val="22"/>
                <w:szCs w:val="22"/>
              </w:rPr>
              <w:t xml:space="preserve">skatīšanai Ministru kabinetā, </w:t>
            </w:r>
            <w:r w:rsidRPr="00AA4E69">
              <w:rPr>
                <w:bCs/>
                <w:sz w:val="22"/>
                <w:szCs w:val="22"/>
              </w:rPr>
              <w:t>ja vēl nav zināms, ka finansējums šūnu apraides sistēmas izveidei būs pieejams.</w:t>
            </w:r>
          </w:p>
        </w:tc>
        <w:tc>
          <w:tcPr>
            <w:tcW w:w="2409" w:type="dxa"/>
            <w:tcBorders>
              <w:top w:val="single" w:sz="6" w:space="0" w:color="000000"/>
              <w:left w:val="single" w:sz="6" w:space="0" w:color="000000"/>
              <w:bottom w:val="single" w:sz="6" w:space="0" w:color="000000"/>
              <w:right w:val="single" w:sz="6" w:space="0" w:color="000000"/>
            </w:tcBorders>
          </w:tcPr>
          <w:p w:rsidR="00AA4E69" w:rsidRPr="0037339A" w:rsidRDefault="00AA4E69" w:rsidP="00AA4E69">
            <w:pPr>
              <w:pStyle w:val="naisc"/>
              <w:spacing w:before="0" w:after="0"/>
              <w:rPr>
                <w:b/>
                <w:sz w:val="22"/>
                <w:szCs w:val="22"/>
              </w:rPr>
            </w:pPr>
            <w:r w:rsidRPr="0037339A">
              <w:rPr>
                <w:b/>
                <w:sz w:val="22"/>
                <w:szCs w:val="22"/>
              </w:rPr>
              <w:t>Ņemts vērā</w:t>
            </w:r>
          </w:p>
          <w:p w:rsidR="00FE005C" w:rsidRDefault="00FE005C" w:rsidP="001D246D">
            <w:pPr>
              <w:pStyle w:val="naisc"/>
              <w:spacing w:before="0" w:after="0"/>
              <w:rPr>
                <w:b/>
                <w:sz w:val="22"/>
                <w:szCs w:val="22"/>
              </w:rPr>
            </w:pPr>
          </w:p>
          <w:p w:rsidR="00322920" w:rsidRPr="00322920" w:rsidRDefault="00322920" w:rsidP="00154E02">
            <w:pPr>
              <w:pStyle w:val="naisc"/>
              <w:spacing w:before="0" w:after="0"/>
              <w:jc w:val="both"/>
              <w:rPr>
                <w:sz w:val="22"/>
                <w:szCs w:val="22"/>
              </w:rPr>
            </w:pPr>
          </w:p>
        </w:tc>
        <w:tc>
          <w:tcPr>
            <w:tcW w:w="3467" w:type="dxa"/>
            <w:tcBorders>
              <w:top w:val="single" w:sz="4" w:space="0" w:color="auto"/>
              <w:left w:val="single" w:sz="4" w:space="0" w:color="auto"/>
              <w:bottom w:val="single" w:sz="4" w:space="0" w:color="auto"/>
            </w:tcBorders>
          </w:tcPr>
          <w:p w:rsidR="00AA4E69" w:rsidRPr="008D023B" w:rsidRDefault="00AA4E69" w:rsidP="00AA4E69">
            <w:pPr>
              <w:jc w:val="center"/>
              <w:rPr>
                <w:b/>
                <w:sz w:val="22"/>
                <w:szCs w:val="22"/>
              </w:rPr>
            </w:pPr>
            <w:proofErr w:type="spellStart"/>
            <w:r w:rsidRPr="008D023B">
              <w:rPr>
                <w:b/>
                <w:sz w:val="22"/>
                <w:szCs w:val="22"/>
              </w:rPr>
              <w:t>Protokollēmuma</w:t>
            </w:r>
            <w:proofErr w:type="spellEnd"/>
            <w:r w:rsidRPr="008D023B">
              <w:rPr>
                <w:b/>
                <w:sz w:val="22"/>
                <w:szCs w:val="22"/>
              </w:rPr>
              <w:t xml:space="preserve"> projekts</w:t>
            </w:r>
          </w:p>
          <w:p w:rsidR="00F419C9" w:rsidRPr="00F419C9" w:rsidRDefault="00F419C9" w:rsidP="00F419C9">
            <w:pPr>
              <w:jc w:val="both"/>
              <w:rPr>
                <w:sz w:val="22"/>
                <w:szCs w:val="22"/>
              </w:rPr>
            </w:pPr>
            <w:r w:rsidRPr="00F419C9">
              <w:rPr>
                <w:sz w:val="22"/>
                <w:szCs w:val="22"/>
              </w:rPr>
              <w:t>1. Pieņemt zināšanai iesniegto</w:t>
            </w:r>
            <w:r>
              <w:rPr>
                <w:sz w:val="22"/>
                <w:szCs w:val="22"/>
              </w:rPr>
              <w:t xml:space="preserve"> </w:t>
            </w:r>
            <w:r w:rsidRPr="00F419C9">
              <w:rPr>
                <w:sz w:val="22"/>
                <w:szCs w:val="22"/>
              </w:rPr>
              <w:t>informatīvo ziņojumu.</w:t>
            </w:r>
          </w:p>
          <w:p w:rsidR="00F419C9" w:rsidRPr="00F419C9" w:rsidRDefault="00F419C9" w:rsidP="00F419C9">
            <w:pPr>
              <w:jc w:val="both"/>
              <w:rPr>
                <w:sz w:val="22"/>
                <w:szCs w:val="22"/>
              </w:rPr>
            </w:pPr>
            <w:r w:rsidRPr="00F419C9">
              <w:rPr>
                <w:sz w:val="22"/>
                <w:szCs w:val="22"/>
              </w:rPr>
              <w:t>2. Atbalstīt informatīvajā ziņojumā piedāvāto risinājumu, kas paredz pilnveidot valsts agrīnās brīdināšanas sistēmu, ieviešot sabiedrības apziņošanas risinājumu, kas balstīts uz šūnu apraides sistēmu.</w:t>
            </w:r>
          </w:p>
          <w:p w:rsidR="00F419C9" w:rsidRPr="00F419C9" w:rsidRDefault="00F419C9" w:rsidP="00F419C9">
            <w:pPr>
              <w:jc w:val="both"/>
              <w:rPr>
                <w:sz w:val="22"/>
                <w:szCs w:val="22"/>
              </w:rPr>
            </w:pPr>
            <w:r w:rsidRPr="00F419C9">
              <w:rPr>
                <w:sz w:val="22"/>
                <w:szCs w:val="22"/>
              </w:rPr>
              <w:t>3. Paredzēt, ka šajā informatīvajā ziņojumā piedāvāto risinājumu ieviešanu finansē, piesaistot ES fondu 2021.-2027.gada plānošanas perioda Darbības programmas “Izaugsme un nodarbinātība” specifiskā atbalsta mērķa “Veicināt pielāgošanos klimata pārmaiņām, risku novēršanu un noturību pret katastrofām” līdzekļus, ja ir apstiprināts piešķīrums šim mērķim iepriekš minētās darbības programmas ietvaros.</w:t>
            </w:r>
          </w:p>
          <w:p w:rsidR="000907F3" w:rsidRDefault="00F419C9" w:rsidP="00F419C9">
            <w:pPr>
              <w:jc w:val="both"/>
              <w:rPr>
                <w:sz w:val="22"/>
                <w:szCs w:val="22"/>
              </w:rPr>
            </w:pPr>
            <w:r w:rsidRPr="00F419C9">
              <w:rPr>
                <w:sz w:val="22"/>
                <w:szCs w:val="22"/>
              </w:rPr>
              <w:t xml:space="preserve">4. Lai nodrošinātu Eiropas Parlamenta un Padomes 2018.gada 11.decembra direktīvas (ES) 2018/1972 “Par Eiropas </w:t>
            </w:r>
            <w:r w:rsidRPr="00F419C9">
              <w:rPr>
                <w:sz w:val="22"/>
                <w:szCs w:val="22"/>
              </w:rPr>
              <w:lastRenderedPageBreak/>
              <w:t>Elektronisko sakaru kodeksa izveidi” prasību izpildi, atļaut Iekšlietu ministrijai rīkot iepirkuma procedūru šūnu apraides sistēmas dokumentācijas izstrādei, šim mērķim nepieciešamo finansējumu ne vairāk kā 30 000 euro apmērā nodrošinot Iekšlietu ministrijai (Valsts ugunsdzēsības un glābšanas dienestam) pamatfunkciju izpildei piešķirto līdzekļu ietvaros, vienlaikus vērtējot iespēju šim mērķim piesaistīt ārvalstu finanšu palīdzības finansēto projektu līdzekļus.</w:t>
            </w:r>
          </w:p>
          <w:p w:rsidR="00D83CD5" w:rsidRDefault="00D83CD5" w:rsidP="00F419C9">
            <w:pPr>
              <w:jc w:val="both"/>
              <w:rPr>
                <w:sz w:val="22"/>
                <w:szCs w:val="22"/>
              </w:rPr>
            </w:pPr>
          </w:p>
          <w:p w:rsidR="00D83CD5" w:rsidRDefault="00D83CD5" w:rsidP="00F419C9">
            <w:pPr>
              <w:jc w:val="both"/>
              <w:rPr>
                <w:sz w:val="22"/>
                <w:szCs w:val="22"/>
              </w:rPr>
            </w:pPr>
          </w:p>
          <w:p w:rsidR="00C93EB3" w:rsidRDefault="00C93EB3" w:rsidP="00F419C9">
            <w:pPr>
              <w:jc w:val="both"/>
              <w:rPr>
                <w:sz w:val="22"/>
                <w:szCs w:val="22"/>
              </w:rPr>
            </w:pPr>
          </w:p>
          <w:p w:rsidR="00C93EB3" w:rsidRDefault="00C93EB3" w:rsidP="00F419C9">
            <w:pPr>
              <w:jc w:val="both"/>
              <w:rPr>
                <w:sz w:val="22"/>
                <w:szCs w:val="22"/>
              </w:rPr>
            </w:pPr>
          </w:p>
          <w:p w:rsidR="00C93EB3" w:rsidRDefault="00C93EB3" w:rsidP="00F419C9">
            <w:pPr>
              <w:jc w:val="both"/>
              <w:rPr>
                <w:sz w:val="22"/>
                <w:szCs w:val="22"/>
              </w:rPr>
            </w:pPr>
          </w:p>
          <w:p w:rsidR="00316294" w:rsidRDefault="00316294" w:rsidP="00F419C9">
            <w:pPr>
              <w:jc w:val="both"/>
              <w:rPr>
                <w:sz w:val="22"/>
                <w:szCs w:val="22"/>
              </w:rPr>
            </w:pPr>
          </w:p>
          <w:p w:rsidR="00AA4E69" w:rsidRDefault="00AA4E69" w:rsidP="005D7E75">
            <w:pPr>
              <w:jc w:val="both"/>
              <w:rPr>
                <w:sz w:val="22"/>
                <w:szCs w:val="22"/>
              </w:rPr>
            </w:pPr>
          </w:p>
          <w:p w:rsidR="007D6B0B" w:rsidRDefault="007D6B0B" w:rsidP="007D6B0B">
            <w:pPr>
              <w:jc w:val="center"/>
              <w:rPr>
                <w:b/>
                <w:sz w:val="22"/>
                <w:szCs w:val="22"/>
              </w:rPr>
            </w:pPr>
            <w:r w:rsidRPr="00E82337">
              <w:rPr>
                <w:b/>
                <w:sz w:val="22"/>
                <w:szCs w:val="22"/>
              </w:rPr>
              <w:t>Informatīvā ziņojuma projekts (19.-21.lpp.)</w:t>
            </w:r>
          </w:p>
          <w:p w:rsidR="007D6B0B" w:rsidRDefault="007D6B0B" w:rsidP="005D7E75">
            <w:pPr>
              <w:jc w:val="both"/>
              <w:rPr>
                <w:sz w:val="22"/>
                <w:szCs w:val="22"/>
              </w:rPr>
            </w:pPr>
            <w:r w:rsidRPr="007D6B0B">
              <w:rPr>
                <w:sz w:val="22"/>
                <w:szCs w:val="22"/>
              </w:rPr>
              <w:t xml:space="preserve">Veicot tirgus </w:t>
            </w:r>
            <w:proofErr w:type="spellStart"/>
            <w:r w:rsidRPr="007D6B0B">
              <w:rPr>
                <w:sz w:val="22"/>
                <w:szCs w:val="22"/>
              </w:rPr>
              <w:t>priekšizpēti</w:t>
            </w:r>
            <w:proofErr w:type="spellEnd"/>
            <w:r w:rsidRPr="007D6B0B">
              <w:rPr>
                <w:sz w:val="22"/>
                <w:szCs w:val="22"/>
              </w:rPr>
              <w:t xml:space="preserve"> un nozarē pieejamo resursu analīzi, kā arī dažādu sistēmu ražotāju iesniegto informācija, tika  secināts, ka indikatīvi ABS+ ieviešanai nepieciešamais finansējums ir 4 270 500 euro apmērā un uzturēšanai indikatīvi nepieciešamais  finansējums ir 507 500 euro apmērā katru gadu. Izmaksu provizoriskais sadalījums apkopots 2.tabulā.</w:t>
            </w:r>
          </w:p>
          <w:p w:rsidR="007D6B0B" w:rsidRDefault="007D6B0B" w:rsidP="005D7E75">
            <w:pPr>
              <w:jc w:val="both"/>
              <w:rPr>
                <w:sz w:val="22"/>
                <w:szCs w:val="22"/>
              </w:rPr>
            </w:pPr>
          </w:p>
          <w:p w:rsidR="007D6B0B" w:rsidRDefault="007D6B0B" w:rsidP="005D7E75">
            <w:pPr>
              <w:jc w:val="both"/>
              <w:rPr>
                <w:sz w:val="22"/>
                <w:szCs w:val="22"/>
              </w:rPr>
            </w:pPr>
            <w:r>
              <w:rPr>
                <w:noProof/>
              </w:rPr>
              <w:lastRenderedPageBreak/>
              <w:drawing>
                <wp:inline distT="0" distB="0" distL="0" distR="0" wp14:anchorId="6643D393" wp14:editId="1A7DC238">
                  <wp:extent cx="2064385" cy="307213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64385" cy="3072130"/>
                          </a:xfrm>
                          <a:prstGeom prst="rect">
                            <a:avLst/>
                          </a:prstGeom>
                        </pic:spPr>
                      </pic:pic>
                    </a:graphicData>
                  </a:graphic>
                </wp:inline>
              </w:drawing>
            </w:r>
          </w:p>
          <w:p w:rsidR="007D6B0B" w:rsidRDefault="007D6B0B" w:rsidP="005D7E75">
            <w:pPr>
              <w:jc w:val="both"/>
              <w:rPr>
                <w:sz w:val="22"/>
                <w:szCs w:val="22"/>
              </w:rPr>
            </w:pPr>
            <w:r>
              <w:rPr>
                <w:noProof/>
              </w:rPr>
              <w:drawing>
                <wp:inline distT="0" distB="0" distL="0" distR="0" wp14:anchorId="1350996D" wp14:editId="3E482D4F">
                  <wp:extent cx="2064385" cy="137477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4385" cy="1374775"/>
                          </a:xfrm>
                          <a:prstGeom prst="rect">
                            <a:avLst/>
                          </a:prstGeom>
                        </pic:spPr>
                      </pic:pic>
                    </a:graphicData>
                  </a:graphic>
                </wp:inline>
              </w:drawing>
            </w:r>
          </w:p>
          <w:p w:rsidR="007D6B0B" w:rsidRPr="007D6B0B" w:rsidRDefault="007D6B0B" w:rsidP="007D6B0B">
            <w:pPr>
              <w:jc w:val="both"/>
              <w:rPr>
                <w:sz w:val="22"/>
                <w:szCs w:val="22"/>
              </w:rPr>
            </w:pPr>
            <w:r w:rsidRPr="007D6B0B">
              <w:rPr>
                <w:sz w:val="22"/>
                <w:szCs w:val="22"/>
              </w:rPr>
              <w:t xml:space="preserve">Šūnu apraides sistēmas risinājuma ieviešanai paredzēts piesaistīt Eiropas Savienības fonda 2021.-2027.gada plānošanas perioda Darbības programmas “Izaugsme un nodarbinātība” specifiskā atbalsta mērķa “Veicināt pielāgošanos klimata pārmaiņām, risku novēršanu un noturību pret katastrofām” </w:t>
            </w:r>
            <w:r w:rsidRPr="007D6B0B">
              <w:rPr>
                <w:sz w:val="22"/>
                <w:szCs w:val="22"/>
              </w:rPr>
              <w:lastRenderedPageBreak/>
              <w:t>līdzekļus, ja šāds piešķīrums šim mērķim tiks apstiprināts</w:t>
            </w:r>
          </w:p>
          <w:p w:rsidR="007D6B0B" w:rsidRDefault="007D6B0B" w:rsidP="007D6B0B">
            <w:pPr>
              <w:jc w:val="both"/>
              <w:rPr>
                <w:sz w:val="22"/>
                <w:szCs w:val="22"/>
              </w:rPr>
            </w:pPr>
            <w:r w:rsidRPr="007D6B0B">
              <w:rPr>
                <w:sz w:val="22"/>
                <w:szCs w:val="22"/>
              </w:rPr>
              <w:t>Lai nodrošinātu ABS+ uzturēšanu, papildus nepieciešams finansējums 507 500 euro apmērā katru gadu. Saskaņā ar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10.4.apakšpunktu, uzturēšanas izdevumi tiks pieprasīti papildus</w:t>
            </w:r>
            <w:r>
              <w:rPr>
                <w:sz w:val="22"/>
                <w:szCs w:val="22"/>
              </w:rPr>
              <w:t>.</w:t>
            </w:r>
          </w:p>
        </w:tc>
      </w:tr>
      <w:tr w:rsidR="00C93EB3" w:rsidRPr="00316294" w:rsidTr="00E327D6">
        <w:tc>
          <w:tcPr>
            <w:tcW w:w="15026" w:type="dxa"/>
            <w:gridSpan w:val="5"/>
            <w:tcBorders>
              <w:top w:val="single" w:sz="6" w:space="0" w:color="000000"/>
              <w:left w:val="single" w:sz="6" w:space="0" w:color="000000"/>
              <w:bottom w:val="single" w:sz="6" w:space="0" w:color="000000"/>
            </w:tcBorders>
          </w:tcPr>
          <w:p w:rsidR="00C93EB3" w:rsidRPr="00316294" w:rsidRDefault="00C93EB3" w:rsidP="00C93EB3">
            <w:pPr>
              <w:rPr>
                <w:b/>
                <w:sz w:val="22"/>
                <w:szCs w:val="22"/>
              </w:rPr>
            </w:pPr>
            <w:r w:rsidRPr="00316294">
              <w:rPr>
                <w:b/>
                <w:sz w:val="22"/>
                <w:szCs w:val="22"/>
              </w:rPr>
              <w:lastRenderedPageBreak/>
              <w:t>Priekšlikumi</w:t>
            </w:r>
          </w:p>
          <w:p w:rsidR="00C93EB3" w:rsidRPr="00316294" w:rsidRDefault="00C93EB3" w:rsidP="00C93EB3">
            <w:pPr>
              <w:rPr>
                <w:b/>
                <w:sz w:val="22"/>
                <w:szCs w:val="22"/>
              </w:rPr>
            </w:pPr>
          </w:p>
        </w:tc>
      </w:tr>
      <w:tr w:rsidR="002A16CA" w:rsidRPr="00316294" w:rsidTr="00E82337">
        <w:tc>
          <w:tcPr>
            <w:tcW w:w="710" w:type="dxa"/>
            <w:tcBorders>
              <w:top w:val="single" w:sz="6" w:space="0" w:color="000000"/>
              <w:left w:val="single" w:sz="6" w:space="0" w:color="000000"/>
              <w:bottom w:val="single" w:sz="6" w:space="0" w:color="000000"/>
              <w:right w:val="single" w:sz="6" w:space="0" w:color="000000"/>
            </w:tcBorders>
          </w:tcPr>
          <w:p w:rsidR="002A16CA" w:rsidRPr="00316294" w:rsidRDefault="002A16CA" w:rsidP="00272677">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2A16CA" w:rsidRPr="00316294" w:rsidRDefault="00C93EB3" w:rsidP="00322920">
            <w:pPr>
              <w:jc w:val="center"/>
              <w:rPr>
                <w:sz w:val="22"/>
                <w:szCs w:val="22"/>
              </w:rPr>
            </w:pPr>
            <w:r w:rsidRPr="00316294">
              <w:rPr>
                <w:sz w:val="22"/>
                <w:szCs w:val="22"/>
              </w:rPr>
              <w:t>Informatīvā ziņojuma projekts</w:t>
            </w:r>
          </w:p>
        </w:tc>
        <w:tc>
          <w:tcPr>
            <w:tcW w:w="5245" w:type="dxa"/>
            <w:tcBorders>
              <w:top w:val="single" w:sz="6" w:space="0" w:color="000000"/>
              <w:left w:val="single" w:sz="6" w:space="0" w:color="000000"/>
              <w:bottom w:val="single" w:sz="6" w:space="0" w:color="000000"/>
              <w:right w:val="single" w:sz="6" w:space="0" w:color="000000"/>
            </w:tcBorders>
          </w:tcPr>
          <w:p w:rsidR="00C93EB3" w:rsidRPr="00316294" w:rsidRDefault="00C93EB3" w:rsidP="00C93EB3">
            <w:pPr>
              <w:pStyle w:val="naisc"/>
              <w:spacing w:before="0" w:after="0"/>
              <w:rPr>
                <w:b/>
                <w:bCs/>
                <w:sz w:val="22"/>
                <w:szCs w:val="22"/>
              </w:rPr>
            </w:pPr>
            <w:r w:rsidRPr="00316294">
              <w:rPr>
                <w:b/>
                <w:bCs/>
                <w:sz w:val="22"/>
                <w:szCs w:val="22"/>
              </w:rPr>
              <w:t>Vides aizsardzības un reģionālās attīstības ministrija</w:t>
            </w:r>
          </w:p>
          <w:p w:rsidR="00C93EB3" w:rsidRPr="00316294" w:rsidRDefault="00C93EB3" w:rsidP="00C93EB3">
            <w:pPr>
              <w:ind w:firstLine="425"/>
              <w:contextualSpacing/>
              <w:jc w:val="both"/>
              <w:rPr>
                <w:sz w:val="22"/>
                <w:szCs w:val="22"/>
              </w:rPr>
            </w:pPr>
            <w:r w:rsidRPr="00316294">
              <w:rPr>
                <w:sz w:val="22"/>
                <w:szCs w:val="22"/>
              </w:rPr>
              <w:t>VARAM atkārtoti informē, ka 2020.gada 17.novembra Valsts sekretāru sanāksmē ir izsludināti grozījumi Ministru kabineta 2006.gada 24.janvāra noteikumos Nr.71 “Valsts informācijas sistēmu attīstības projektu uzraudzības kārtība” (turpmāk – noteikumu projekts). Noteikumu projekta mērķis ir noteikt valsts informācijas sistēmu (turpmāk – VIS) un to darbībai nepieciešamo informācijas un komunikācijas tehnoloģisko (turpmāk – IKT) resursu un pakalpojumu attīstības projektu uzraudzības nodrošināšanai iesniedzamos dokumentus, izvirzot vienādas prasības visiem VIS attīstības projektiem neatkarīgi no to finansējuma avota, kā arī noteikt uzraudzības kārtību.</w:t>
            </w:r>
          </w:p>
          <w:p w:rsidR="002A16CA" w:rsidRDefault="00C93EB3" w:rsidP="00C93EB3">
            <w:pPr>
              <w:ind w:firstLine="425"/>
              <w:contextualSpacing/>
              <w:jc w:val="both"/>
              <w:rPr>
                <w:sz w:val="22"/>
                <w:szCs w:val="22"/>
              </w:rPr>
            </w:pPr>
            <w:r w:rsidRPr="00316294">
              <w:rPr>
                <w:sz w:val="22"/>
                <w:szCs w:val="22"/>
              </w:rPr>
              <w:t xml:space="preserve">Ņemot vērā, ka informatīvajā ziņojumā ir sniegta informācija par IKT risinājumu izveidi un attīstību īstenojot projektu un piesaistot Eiropas Savienības fondus – Latvijas darbības programmā 2021.-2027.gadam, </w:t>
            </w:r>
            <w:r w:rsidRPr="00316294">
              <w:rPr>
                <w:sz w:val="22"/>
                <w:szCs w:val="22"/>
              </w:rPr>
              <w:lastRenderedPageBreak/>
              <w:t>īstenojot ieguldījumu prioritāti specifiskā atbalsta mērķu programmā “Veicināt pielāgošanos klimata pārmaiņām, risku novēršanu un noturību pret katastrofām”, lūdzam ņemt vērā, ka īstenojot minēto projektu, atbilstoši noteikumu projektā noteiktajai kārtībai, būs nepieciešams iesniegt VARAM pasākuma pieteikumu un pasākuma aprakstu. Papildus lūdzam projekta īstenošanas gaitai piesaistīt Iekšlietu ministrijas Informācijas centru.</w:t>
            </w:r>
          </w:p>
          <w:p w:rsidR="00316294" w:rsidRPr="00316294" w:rsidRDefault="00316294" w:rsidP="00C93EB3">
            <w:pPr>
              <w:ind w:firstLine="425"/>
              <w:contextualSpacing/>
              <w:jc w:val="both"/>
              <w:rPr>
                <w:sz w:val="22"/>
                <w:szCs w:val="22"/>
              </w:rPr>
            </w:pPr>
          </w:p>
        </w:tc>
        <w:tc>
          <w:tcPr>
            <w:tcW w:w="2409" w:type="dxa"/>
            <w:tcBorders>
              <w:top w:val="single" w:sz="6" w:space="0" w:color="000000"/>
              <w:left w:val="single" w:sz="6" w:space="0" w:color="000000"/>
              <w:bottom w:val="single" w:sz="6" w:space="0" w:color="000000"/>
              <w:right w:val="single" w:sz="6" w:space="0" w:color="000000"/>
            </w:tcBorders>
          </w:tcPr>
          <w:p w:rsidR="002A16CA" w:rsidRPr="00316294" w:rsidRDefault="00C93EB3" w:rsidP="00AA4E69">
            <w:pPr>
              <w:pStyle w:val="naisc"/>
              <w:spacing w:before="0" w:after="0"/>
              <w:rPr>
                <w:b/>
                <w:sz w:val="22"/>
                <w:szCs w:val="22"/>
              </w:rPr>
            </w:pPr>
            <w:r w:rsidRPr="00316294">
              <w:rPr>
                <w:b/>
                <w:sz w:val="22"/>
                <w:szCs w:val="22"/>
              </w:rPr>
              <w:lastRenderedPageBreak/>
              <w:t>Ņemts vērā</w:t>
            </w:r>
          </w:p>
        </w:tc>
        <w:tc>
          <w:tcPr>
            <w:tcW w:w="3467" w:type="dxa"/>
            <w:tcBorders>
              <w:top w:val="single" w:sz="4" w:space="0" w:color="auto"/>
              <w:left w:val="single" w:sz="4" w:space="0" w:color="auto"/>
              <w:bottom w:val="single" w:sz="4" w:space="0" w:color="auto"/>
            </w:tcBorders>
          </w:tcPr>
          <w:p w:rsidR="002A16CA" w:rsidRPr="00316294" w:rsidRDefault="00C93EB3" w:rsidP="00C93EB3">
            <w:pPr>
              <w:ind w:firstLine="425"/>
              <w:contextualSpacing/>
              <w:jc w:val="both"/>
              <w:rPr>
                <w:b/>
                <w:bCs/>
                <w:sz w:val="22"/>
                <w:szCs w:val="22"/>
              </w:rPr>
            </w:pPr>
            <w:r w:rsidRPr="00316294">
              <w:rPr>
                <w:sz w:val="22"/>
                <w:szCs w:val="22"/>
              </w:rPr>
              <w:t>Īstenojot minēto projektu (šūnas apraides sistēmas ieviešanu), tiks ņemti vērā Ministru kabineta 2006.gada 24.janvāra noteikumu Nr.71 “Valsts informācijas sistēmu attīstības projektu uzraudzības kārtība” prasības un noteiktā kārtība, kā arī VARAM tiks iesniegti pasākuma pieteikums un pasākuma apraksts. Minētā projekta īstenošanā tiks piesaistīts Iekšlietu ministrijas Informācijas centrs.</w:t>
            </w:r>
          </w:p>
        </w:tc>
      </w:tr>
      <w:tr w:rsidR="002A16CA" w:rsidRPr="00316294" w:rsidTr="00E82337">
        <w:tc>
          <w:tcPr>
            <w:tcW w:w="710" w:type="dxa"/>
            <w:tcBorders>
              <w:top w:val="single" w:sz="6" w:space="0" w:color="000000"/>
              <w:left w:val="single" w:sz="6" w:space="0" w:color="000000"/>
              <w:bottom w:val="single" w:sz="6" w:space="0" w:color="000000"/>
              <w:right w:val="single" w:sz="6" w:space="0" w:color="000000"/>
            </w:tcBorders>
          </w:tcPr>
          <w:p w:rsidR="002A16CA" w:rsidRPr="00316294" w:rsidRDefault="002A16CA" w:rsidP="00272677">
            <w:pPr>
              <w:pStyle w:val="naisc"/>
              <w:numPr>
                <w:ilvl w:val="0"/>
                <w:numId w:val="3"/>
              </w:numPr>
              <w:spacing w:before="0" w:after="0"/>
              <w:ind w:left="397"/>
              <w:rPr>
                <w:sz w:val="22"/>
                <w:szCs w:val="22"/>
              </w:rPr>
            </w:pPr>
          </w:p>
        </w:tc>
        <w:tc>
          <w:tcPr>
            <w:tcW w:w="3195" w:type="dxa"/>
            <w:tcBorders>
              <w:top w:val="single" w:sz="6" w:space="0" w:color="000000"/>
              <w:left w:val="single" w:sz="6" w:space="0" w:color="000000"/>
              <w:bottom w:val="single" w:sz="6" w:space="0" w:color="000000"/>
              <w:right w:val="single" w:sz="6" w:space="0" w:color="000000"/>
            </w:tcBorders>
          </w:tcPr>
          <w:p w:rsidR="002A16CA" w:rsidRPr="00316294" w:rsidRDefault="002A16CA" w:rsidP="002A16CA">
            <w:pPr>
              <w:jc w:val="center"/>
              <w:rPr>
                <w:b/>
                <w:sz w:val="22"/>
                <w:szCs w:val="22"/>
              </w:rPr>
            </w:pPr>
            <w:r w:rsidRPr="00316294">
              <w:rPr>
                <w:b/>
                <w:sz w:val="22"/>
                <w:szCs w:val="22"/>
              </w:rPr>
              <w:t>Informatīvā ziņojuma projekts (21.lpp.)</w:t>
            </w:r>
          </w:p>
          <w:p w:rsidR="002A16CA" w:rsidRPr="00316294" w:rsidRDefault="002A16CA" w:rsidP="00C93EB3">
            <w:pPr>
              <w:jc w:val="both"/>
              <w:rPr>
                <w:sz w:val="22"/>
                <w:szCs w:val="22"/>
              </w:rPr>
            </w:pPr>
            <w:r w:rsidRPr="00316294">
              <w:rPr>
                <w:sz w:val="22"/>
                <w:szCs w:val="22"/>
              </w:rPr>
              <w:t>Šūnu apraides sistēmas risinājuma ieviešanai paredzēts piesaistīt Eiropas Savienības fonda 2021.-2027.gada plānošanas perioda Darbības programmas “Izaugsme un nodarbinātība” specifiskā atbalsta mērķa “Veicināt pielāgošanos klimata pārmaiņām, risku novēršanu un noturību pret katastrofām” līdzekļus, ja šāds piešķīrums šim mērķim tiks apstiprināts.</w:t>
            </w:r>
          </w:p>
          <w:p w:rsidR="002A16CA" w:rsidRPr="00316294" w:rsidRDefault="002A16CA" w:rsidP="002A16CA">
            <w:pPr>
              <w:jc w:val="center"/>
              <w:rPr>
                <w:sz w:val="22"/>
                <w:szCs w:val="22"/>
              </w:rPr>
            </w:pPr>
          </w:p>
          <w:p w:rsidR="002A16CA" w:rsidRPr="00316294" w:rsidRDefault="002A16CA" w:rsidP="002A16CA">
            <w:pPr>
              <w:jc w:val="center"/>
              <w:rPr>
                <w:b/>
                <w:sz w:val="22"/>
                <w:szCs w:val="22"/>
              </w:rPr>
            </w:pPr>
            <w:proofErr w:type="spellStart"/>
            <w:r w:rsidRPr="00316294">
              <w:rPr>
                <w:b/>
                <w:sz w:val="22"/>
                <w:szCs w:val="22"/>
              </w:rPr>
              <w:t>Protokollēmuma</w:t>
            </w:r>
            <w:proofErr w:type="spellEnd"/>
            <w:r w:rsidRPr="00316294">
              <w:rPr>
                <w:b/>
                <w:sz w:val="22"/>
                <w:szCs w:val="22"/>
              </w:rPr>
              <w:t xml:space="preserve"> projekts</w:t>
            </w:r>
          </w:p>
          <w:p w:rsidR="002A16CA" w:rsidRPr="00316294" w:rsidRDefault="002A16CA" w:rsidP="00C93EB3">
            <w:pPr>
              <w:jc w:val="both"/>
              <w:rPr>
                <w:b/>
                <w:sz w:val="22"/>
                <w:szCs w:val="22"/>
              </w:rPr>
            </w:pPr>
            <w:r w:rsidRPr="00316294">
              <w:rPr>
                <w:sz w:val="22"/>
                <w:szCs w:val="22"/>
              </w:rPr>
              <w:t xml:space="preserve">3. Paredzēt, ka šajā informatīvajā ziņojumā piedāvāto risinājumu ieviešanu finansē, piesaistot ES fondu 2021.-2027.gada plānošanas perioda Darbības programmas “Izaugsme un nodarbinātība” specifiskā atbalsta mērķa “Veicināt pielāgošanos klimata pārmaiņām, risku novēršanu un noturību pret katastrofām” līdzekļus, ja ir </w:t>
            </w:r>
            <w:r w:rsidRPr="00316294">
              <w:rPr>
                <w:sz w:val="22"/>
                <w:szCs w:val="22"/>
              </w:rPr>
              <w:lastRenderedPageBreak/>
              <w:t>apstiprināts piešķīrums šim mērķim iepriekš minētās darbības programmas ietvaros.</w:t>
            </w:r>
          </w:p>
        </w:tc>
        <w:tc>
          <w:tcPr>
            <w:tcW w:w="5245" w:type="dxa"/>
            <w:tcBorders>
              <w:top w:val="single" w:sz="6" w:space="0" w:color="000000"/>
              <w:left w:val="single" w:sz="6" w:space="0" w:color="000000"/>
              <w:bottom w:val="single" w:sz="6" w:space="0" w:color="000000"/>
              <w:right w:val="single" w:sz="6" w:space="0" w:color="000000"/>
            </w:tcBorders>
          </w:tcPr>
          <w:p w:rsidR="002A16CA" w:rsidRPr="00316294" w:rsidRDefault="002A16CA" w:rsidP="002A16CA">
            <w:pPr>
              <w:pStyle w:val="naisc"/>
              <w:spacing w:before="0" w:after="0"/>
              <w:rPr>
                <w:b/>
                <w:bCs/>
                <w:sz w:val="22"/>
                <w:szCs w:val="22"/>
              </w:rPr>
            </w:pPr>
            <w:r w:rsidRPr="00316294">
              <w:rPr>
                <w:b/>
                <w:bCs/>
                <w:sz w:val="22"/>
                <w:szCs w:val="22"/>
              </w:rPr>
              <w:lastRenderedPageBreak/>
              <w:t>Finanšu ministrija</w:t>
            </w:r>
          </w:p>
          <w:p w:rsidR="002A16CA" w:rsidRPr="00316294" w:rsidRDefault="002A16CA" w:rsidP="00C93EB3">
            <w:pPr>
              <w:pStyle w:val="naisc"/>
              <w:spacing w:before="0" w:after="0"/>
              <w:jc w:val="both"/>
              <w:rPr>
                <w:b/>
                <w:bCs/>
                <w:sz w:val="22"/>
                <w:szCs w:val="22"/>
              </w:rPr>
            </w:pPr>
            <w:r w:rsidRPr="00316294">
              <w:rPr>
                <w:sz w:val="22"/>
                <w:szCs w:val="22"/>
              </w:rPr>
              <w:t xml:space="preserve">Lūdzam precizēt ziņojuma projekta III sadaļā “Atbalstāmais risinājums”, kā arī </w:t>
            </w:r>
            <w:proofErr w:type="spellStart"/>
            <w:r w:rsidRPr="00316294">
              <w:rPr>
                <w:sz w:val="22"/>
                <w:szCs w:val="22"/>
              </w:rPr>
              <w:t>protokollēmuma</w:t>
            </w:r>
            <w:proofErr w:type="spellEnd"/>
            <w:r w:rsidRPr="00316294">
              <w:rPr>
                <w:sz w:val="22"/>
                <w:szCs w:val="22"/>
              </w:rPr>
              <w:t xml:space="preserve"> projekta 3.puktā norādīto darbības programmas 2021.-2027.gada plānošanas perioda nosaukumu, svītrojot vārdus “Izaugsme un nodarbinātība”, ņemot vērā, ka tas ir 2014.-2020.gada plānošanas perioda darbības programmas nosaukums.</w:t>
            </w:r>
          </w:p>
        </w:tc>
        <w:tc>
          <w:tcPr>
            <w:tcW w:w="2409" w:type="dxa"/>
            <w:tcBorders>
              <w:top w:val="single" w:sz="6" w:space="0" w:color="000000"/>
              <w:left w:val="single" w:sz="6" w:space="0" w:color="000000"/>
              <w:bottom w:val="single" w:sz="6" w:space="0" w:color="000000"/>
              <w:right w:val="single" w:sz="6" w:space="0" w:color="000000"/>
            </w:tcBorders>
          </w:tcPr>
          <w:p w:rsidR="002A16CA" w:rsidRPr="00316294" w:rsidRDefault="002A16CA" w:rsidP="00AA4E69">
            <w:pPr>
              <w:pStyle w:val="naisc"/>
              <w:spacing w:before="0" w:after="0"/>
              <w:rPr>
                <w:b/>
                <w:sz w:val="22"/>
                <w:szCs w:val="22"/>
              </w:rPr>
            </w:pPr>
            <w:r w:rsidRPr="00316294">
              <w:rPr>
                <w:b/>
                <w:sz w:val="22"/>
                <w:szCs w:val="22"/>
              </w:rPr>
              <w:t>Ņemts vērā</w:t>
            </w:r>
          </w:p>
        </w:tc>
        <w:tc>
          <w:tcPr>
            <w:tcW w:w="3467" w:type="dxa"/>
            <w:tcBorders>
              <w:top w:val="single" w:sz="4" w:space="0" w:color="auto"/>
              <w:left w:val="single" w:sz="4" w:space="0" w:color="auto"/>
              <w:bottom w:val="single" w:sz="4" w:space="0" w:color="auto"/>
            </w:tcBorders>
          </w:tcPr>
          <w:p w:rsidR="002A16CA" w:rsidRPr="00316294" w:rsidRDefault="002A16CA" w:rsidP="002A16CA">
            <w:pPr>
              <w:jc w:val="center"/>
              <w:rPr>
                <w:b/>
                <w:sz w:val="22"/>
                <w:szCs w:val="22"/>
              </w:rPr>
            </w:pPr>
            <w:r w:rsidRPr="00316294">
              <w:rPr>
                <w:b/>
                <w:sz w:val="22"/>
                <w:szCs w:val="22"/>
              </w:rPr>
              <w:t>Informatīvā ziņojuma projekts (21.lpp.)</w:t>
            </w:r>
          </w:p>
          <w:p w:rsidR="002A16CA" w:rsidRPr="00316294" w:rsidRDefault="002A16CA" w:rsidP="00C93EB3">
            <w:pPr>
              <w:jc w:val="both"/>
              <w:rPr>
                <w:sz w:val="22"/>
                <w:szCs w:val="22"/>
              </w:rPr>
            </w:pPr>
            <w:r w:rsidRPr="00316294">
              <w:rPr>
                <w:sz w:val="22"/>
                <w:szCs w:val="22"/>
              </w:rPr>
              <w:t>Šūnu apraides sistēmas risinājuma ieviešanai paredzēts piesaistīt Eiropas Savienības fonda 2021.-2027.gada plānošanas perioda Darbības programmas specifiskā atbalsta mērķa “Veicināt pielāgošanos klimata pārmaiņām, risku novēršanu un noturību pret katastrofām” līdzekļus, ja šāds piešķīrums šim mērķim tiks apstiprināts.</w:t>
            </w:r>
          </w:p>
          <w:p w:rsidR="00C93EB3" w:rsidRPr="00316294" w:rsidRDefault="00C93EB3" w:rsidP="002A16CA">
            <w:pPr>
              <w:jc w:val="center"/>
              <w:rPr>
                <w:sz w:val="22"/>
                <w:szCs w:val="22"/>
              </w:rPr>
            </w:pPr>
          </w:p>
          <w:p w:rsidR="00C93EB3" w:rsidRPr="00316294" w:rsidRDefault="00C93EB3" w:rsidP="002A16CA">
            <w:pPr>
              <w:jc w:val="center"/>
              <w:rPr>
                <w:sz w:val="22"/>
                <w:szCs w:val="22"/>
              </w:rPr>
            </w:pPr>
          </w:p>
          <w:p w:rsidR="00C93EB3" w:rsidRPr="00316294" w:rsidRDefault="00C93EB3" w:rsidP="00C93EB3">
            <w:pPr>
              <w:jc w:val="center"/>
              <w:rPr>
                <w:b/>
                <w:sz w:val="22"/>
                <w:szCs w:val="22"/>
              </w:rPr>
            </w:pPr>
            <w:proofErr w:type="spellStart"/>
            <w:r w:rsidRPr="00316294">
              <w:rPr>
                <w:b/>
                <w:sz w:val="22"/>
                <w:szCs w:val="22"/>
              </w:rPr>
              <w:t>Protokollēmuma</w:t>
            </w:r>
            <w:proofErr w:type="spellEnd"/>
            <w:r w:rsidRPr="00316294">
              <w:rPr>
                <w:b/>
                <w:sz w:val="22"/>
                <w:szCs w:val="22"/>
              </w:rPr>
              <w:t xml:space="preserve"> projekts</w:t>
            </w:r>
          </w:p>
          <w:p w:rsidR="00C93EB3" w:rsidRPr="00316294" w:rsidRDefault="00C93EB3" w:rsidP="00C93EB3">
            <w:pPr>
              <w:jc w:val="both"/>
              <w:rPr>
                <w:sz w:val="22"/>
                <w:szCs w:val="22"/>
              </w:rPr>
            </w:pPr>
            <w:r w:rsidRPr="00316294">
              <w:rPr>
                <w:sz w:val="22"/>
                <w:szCs w:val="22"/>
              </w:rPr>
              <w:t>3. Paredzēt, ka šajā informatīvajā ziņojumā piedāvāto risinājumu ieviešanu finansē, piesaistot ES fondu 2021.-2027.gada plānošanas perioda Darbības programmas specifiskā atbalsta mērķa “Veicināt pielāgošanos klimata pārmaiņām, risku novēršanu un noturību pret katastrofām” līdzekļus, ja ir apstiprināts piešķīrums šim mērķim iepriekš minētās darbības programmas ietvaros.</w:t>
            </w:r>
          </w:p>
        </w:tc>
      </w:tr>
    </w:tbl>
    <w:p w:rsidR="00AF46E1" w:rsidRDefault="00AF46E1" w:rsidP="00FB68BD">
      <w:pPr>
        <w:pStyle w:val="naisf"/>
        <w:spacing w:before="0" w:after="0"/>
        <w:ind w:firstLine="720"/>
        <w:rPr>
          <w:b/>
        </w:rPr>
      </w:pPr>
    </w:p>
    <w:p w:rsidR="00C93EB3" w:rsidRDefault="00C93EB3" w:rsidP="00FB68BD">
      <w:pPr>
        <w:pStyle w:val="naisf"/>
        <w:spacing w:before="0" w:after="0"/>
        <w:ind w:firstLine="720"/>
        <w:rPr>
          <w:b/>
        </w:rPr>
      </w:pPr>
    </w:p>
    <w:p w:rsidR="00FF5AC0" w:rsidRPr="005D7E75" w:rsidRDefault="00FF5AC0" w:rsidP="005D7E75">
      <w:pPr>
        <w:ind w:right="26" w:firstLine="720"/>
        <w:jc w:val="both"/>
        <w:rPr>
          <w:sz w:val="22"/>
          <w:szCs w:val="22"/>
        </w:rPr>
      </w:pPr>
      <w:r w:rsidRPr="005D7E75">
        <w:rPr>
          <w:sz w:val="22"/>
          <w:szCs w:val="22"/>
        </w:rPr>
        <w:t>Atbildīgā</w:t>
      </w:r>
      <w:r w:rsidR="005D7E75" w:rsidRPr="005D7E75">
        <w:rPr>
          <w:sz w:val="22"/>
          <w:szCs w:val="22"/>
        </w:rPr>
        <w:t>s</w:t>
      </w:r>
      <w:r w:rsidRPr="005D7E75">
        <w:rPr>
          <w:sz w:val="22"/>
          <w:szCs w:val="22"/>
        </w:rPr>
        <w:t xml:space="preserve"> amatpersona</w:t>
      </w:r>
      <w:r w:rsidR="005D7E75" w:rsidRPr="005D7E75">
        <w:rPr>
          <w:sz w:val="22"/>
          <w:szCs w:val="22"/>
        </w:rPr>
        <w:t>s:</w:t>
      </w:r>
    </w:p>
    <w:p w:rsidR="005D7E75" w:rsidRDefault="005D7E75" w:rsidP="00AE7423">
      <w:pPr>
        <w:ind w:right="26"/>
        <w:jc w:val="both"/>
        <w:rPr>
          <w:sz w:val="22"/>
          <w:szCs w:val="22"/>
        </w:rPr>
      </w:pPr>
    </w:p>
    <w:p w:rsidR="00AE7423" w:rsidRDefault="00AE7423" w:rsidP="00AE7423">
      <w:pPr>
        <w:ind w:right="26"/>
        <w:jc w:val="both"/>
        <w:rPr>
          <w:sz w:val="22"/>
          <w:szCs w:val="22"/>
        </w:rPr>
      </w:pPr>
    </w:p>
    <w:p w:rsidR="00AE7423" w:rsidRPr="005D7E75" w:rsidRDefault="00AE7423" w:rsidP="00AE7423">
      <w:pPr>
        <w:pStyle w:val="naisf"/>
        <w:spacing w:before="0" w:after="0"/>
        <w:ind w:firstLine="720"/>
        <w:rPr>
          <w:sz w:val="22"/>
          <w:szCs w:val="22"/>
        </w:rPr>
      </w:pPr>
      <w:r w:rsidRPr="005D7E75">
        <w:rPr>
          <w:sz w:val="22"/>
          <w:szCs w:val="22"/>
        </w:rPr>
        <w:t xml:space="preserve">Uldis </w:t>
      </w:r>
      <w:proofErr w:type="spellStart"/>
      <w:r w:rsidRPr="005D7E75">
        <w:rPr>
          <w:sz w:val="22"/>
          <w:szCs w:val="22"/>
        </w:rPr>
        <w:t>Ķevers</w:t>
      </w:r>
      <w:proofErr w:type="spellEnd"/>
    </w:p>
    <w:p w:rsidR="00AE7423" w:rsidRPr="005D7E75" w:rsidRDefault="00AE7423" w:rsidP="00AE7423">
      <w:pPr>
        <w:pStyle w:val="naisf"/>
        <w:spacing w:before="0" w:after="0"/>
        <w:ind w:firstLine="720"/>
        <w:rPr>
          <w:sz w:val="22"/>
          <w:szCs w:val="22"/>
        </w:rPr>
      </w:pPr>
      <w:r w:rsidRPr="005D7E75">
        <w:rPr>
          <w:sz w:val="22"/>
          <w:szCs w:val="22"/>
        </w:rPr>
        <w:t>Valsts ugunsdzēsības un glābšanas dienests</w:t>
      </w:r>
    </w:p>
    <w:p w:rsidR="00AE7423" w:rsidRPr="005D7E75" w:rsidRDefault="00AE7423" w:rsidP="00AE7423">
      <w:pPr>
        <w:pStyle w:val="naisf"/>
        <w:spacing w:before="0" w:after="0"/>
        <w:ind w:firstLine="720"/>
        <w:rPr>
          <w:sz w:val="22"/>
          <w:szCs w:val="22"/>
        </w:rPr>
      </w:pPr>
      <w:r w:rsidRPr="005D7E75">
        <w:rPr>
          <w:sz w:val="22"/>
          <w:szCs w:val="22"/>
        </w:rPr>
        <w:t>Civilās aizsardzības pārvalde</w:t>
      </w:r>
    </w:p>
    <w:p w:rsidR="00AE7423" w:rsidRPr="005D7E75" w:rsidRDefault="00AE7423" w:rsidP="00AE7423">
      <w:pPr>
        <w:pStyle w:val="naisf"/>
        <w:spacing w:before="0" w:after="0"/>
        <w:ind w:firstLine="720"/>
        <w:rPr>
          <w:sz w:val="22"/>
          <w:szCs w:val="22"/>
        </w:rPr>
      </w:pPr>
      <w:r w:rsidRPr="005D7E75">
        <w:rPr>
          <w:sz w:val="22"/>
          <w:szCs w:val="22"/>
        </w:rPr>
        <w:t>Tālr.: 67075817, 25525522</w:t>
      </w:r>
    </w:p>
    <w:p w:rsidR="00AE7423" w:rsidRPr="00C93EB3" w:rsidRDefault="00AE7423" w:rsidP="00AE7423">
      <w:pPr>
        <w:pStyle w:val="naisf"/>
        <w:spacing w:before="0" w:after="0"/>
        <w:ind w:firstLine="720"/>
        <w:rPr>
          <w:sz w:val="22"/>
          <w:szCs w:val="22"/>
        </w:rPr>
      </w:pPr>
      <w:r w:rsidRPr="005D7E75">
        <w:rPr>
          <w:sz w:val="22"/>
          <w:szCs w:val="22"/>
        </w:rPr>
        <w:t xml:space="preserve">e-pasts: uldis.kevers@vugd.gov.lv </w:t>
      </w:r>
    </w:p>
    <w:p w:rsidR="00C93EB3" w:rsidRPr="005D7E75" w:rsidRDefault="00C93EB3" w:rsidP="005D7E75">
      <w:pPr>
        <w:ind w:right="26" w:firstLine="720"/>
        <w:jc w:val="both"/>
        <w:rPr>
          <w:sz w:val="22"/>
          <w:szCs w:val="22"/>
        </w:rPr>
      </w:pPr>
    </w:p>
    <w:p w:rsidR="00FF5AC0" w:rsidRPr="005D7E75" w:rsidRDefault="005D7E75" w:rsidP="005D7E75">
      <w:pPr>
        <w:pStyle w:val="naisf"/>
        <w:spacing w:before="0" w:after="0"/>
        <w:ind w:firstLine="720"/>
        <w:rPr>
          <w:sz w:val="22"/>
          <w:szCs w:val="22"/>
        </w:rPr>
      </w:pPr>
      <w:r w:rsidRPr="005D7E75">
        <w:rPr>
          <w:sz w:val="22"/>
          <w:szCs w:val="22"/>
        </w:rPr>
        <w:t>Ivars Nakurts</w:t>
      </w:r>
    </w:p>
    <w:p w:rsidR="005D7E75" w:rsidRPr="005D7E75" w:rsidRDefault="005D7E75" w:rsidP="005D7E75">
      <w:pPr>
        <w:pStyle w:val="naisf"/>
        <w:spacing w:before="0" w:after="0"/>
        <w:ind w:firstLine="720"/>
        <w:rPr>
          <w:sz w:val="22"/>
          <w:szCs w:val="22"/>
        </w:rPr>
      </w:pPr>
      <w:r w:rsidRPr="005D7E75">
        <w:rPr>
          <w:sz w:val="22"/>
          <w:szCs w:val="22"/>
        </w:rPr>
        <w:t>Valsts ugunsdzēsības un glābšanas dienests</w:t>
      </w:r>
    </w:p>
    <w:p w:rsidR="005D7E75" w:rsidRPr="005D7E75" w:rsidRDefault="005D7E75" w:rsidP="005D7E75">
      <w:pPr>
        <w:pStyle w:val="naisf"/>
        <w:spacing w:before="0" w:after="0"/>
        <w:ind w:firstLine="720"/>
        <w:rPr>
          <w:sz w:val="22"/>
          <w:szCs w:val="22"/>
        </w:rPr>
      </w:pPr>
      <w:r w:rsidRPr="005D7E75">
        <w:rPr>
          <w:sz w:val="22"/>
          <w:szCs w:val="22"/>
        </w:rPr>
        <w:t>Civilās aizsardzības pārvalde</w:t>
      </w:r>
    </w:p>
    <w:p w:rsidR="005D7E75" w:rsidRPr="005D7E75" w:rsidRDefault="005D7E75" w:rsidP="005D7E75">
      <w:pPr>
        <w:pStyle w:val="naisf"/>
        <w:spacing w:before="0" w:after="0"/>
        <w:ind w:firstLine="720"/>
        <w:rPr>
          <w:sz w:val="22"/>
          <w:szCs w:val="22"/>
        </w:rPr>
      </w:pPr>
      <w:r w:rsidRPr="005D7E75">
        <w:rPr>
          <w:sz w:val="22"/>
          <w:szCs w:val="22"/>
        </w:rPr>
        <w:t>Tālr.: 67075922, 26381159</w:t>
      </w:r>
    </w:p>
    <w:p w:rsidR="00FF5AC0" w:rsidRPr="005D7E75" w:rsidRDefault="005D7E75" w:rsidP="005D7E75">
      <w:pPr>
        <w:pStyle w:val="naisf"/>
        <w:spacing w:before="0" w:after="0"/>
        <w:ind w:firstLine="720"/>
        <w:rPr>
          <w:sz w:val="22"/>
          <w:szCs w:val="22"/>
        </w:rPr>
      </w:pPr>
      <w:r w:rsidRPr="005D7E75">
        <w:rPr>
          <w:sz w:val="22"/>
          <w:szCs w:val="22"/>
        </w:rPr>
        <w:t>e-pasts: ivars.nakurts@vugd.gov.lv</w:t>
      </w:r>
      <w:r w:rsidR="00FF5AC0" w:rsidRPr="005D7E75">
        <w:rPr>
          <w:sz w:val="22"/>
          <w:szCs w:val="22"/>
        </w:rPr>
        <w:t xml:space="preserve"> </w:t>
      </w:r>
    </w:p>
    <w:p w:rsidR="005D7E75" w:rsidRPr="005D7E75" w:rsidRDefault="005D7E75" w:rsidP="0072783F">
      <w:pPr>
        <w:pStyle w:val="naisf"/>
        <w:spacing w:before="0" w:after="0"/>
        <w:rPr>
          <w:sz w:val="22"/>
          <w:szCs w:val="22"/>
        </w:rPr>
      </w:pPr>
      <w:bookmarkStart w:id="0" w:name="_GoBack"/>
      <w:bookmarkEnd w:id="0"/>
    </w:p>
    <w:sectPr w:rsidR="005D7E75" w:rsidRPr="005D7E75" w:rsidSect="00292005">
      <w:headerReference w:type="even" r:id="rId11"/>
      <w:headerReference w:type="default" r:id="rId12"/>
      <w:footerReference w:type="default" r:id="rId13"/>
      <w:footerReference w:type="first" r:id="rId14"/>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27" w:rsidRDefault="00AC5A27">
      <w:r>
        <w:separator/>
      </w:r>
    </w:p>
  </w:endnote>
  <w:endnote w:type="continuationSeparator" w:id="0">
    <w:p w:rsidR="00AC5A27" w:rsidRDefault="00AC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33" w:rsidRPr="00DA6868" w:rsidRDefault="005D7E75" w:rsidP="00DA6868">
    <w:pPr>
      <w:jc w:val="both"/>
      <w:rPr>
        <w:sz w:val="20"/>
        <w:szCs w:val="20"/>
      </w:rPr>
    </w:pPr>
    <w:r w:rsidRPr="005D7E75">
      <w:rPr>
        <w:sz w:val="20"/>
        <w:szCs w:val="20"/>
      </w:rPr>
      <w:t>IEMIzz_</w:t>
    </w:r>
    <w:r w:rsidR="002A16CA">
      <w:rPr>
        <w:sz w:val="20"/>
        <w:szCs w:val="20"/>
      </w:rPr>
      <w:t>01</w:t>
    </w:r>
    <w:r w:rsidR="00FE005C">
      <w:rPr>
        <w:sz w:val="20"/>
        <w:szCs w:val="20"/>
      </w:rPr>
      <w:t>0</w:t>
    </w:r>
    <w:r w:rsidR="002A16CA">
      <w:rPr>
        <w:sz w:val="20"/>
        <w:szCs w:val="20"/>
      </w:rPr>
      <w:t>3</w:t>
    </w:r>
    <w:r w:rsidR="00FE005C">
      <w:rPr>
        <w:sz w:val="20"/>
        <w:szCs w:val="20"/>
      </w:rPr>
      <w:t>21</w:t>
    </w:r>
    <w:r w:rsidRPr="005D7E75">
      <w:rPr>
        <w:sz w:val="20"/>
        <w:szCs w:val="20"/>
      </w:rPr>
      <w:t>_CB</w:t>
    </w:r>
    <w:r w:rsidR="00F84A0F">
      <w:rPr>
        <w:sz w:val="20"/>
        <w:szCs w:val="20"/>
      </w:rPr>
      <w:t>_VSS_567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33" w:rsidRPr="00FE005C" w:rsidRDefault="002A16CA" w:rsidP="00FE005C">
    <w:pPr>
      <w:pStyle w:val="Kjene"/>
    </w:pPr>
    <w:r w:rsidRPr="005D7E75">
      <w:rPr>
        <w:sz w:val="20"/>
        <w:szCs w:val="20"/>
      </w:rPr>
      <w:t>IEMIzz_</w:t>
    </w:r>
    <w:r>
      <w:rPr>
        <w:sz w:val="20"/>
        <w:szCs w:val="20"/>
      </w:rPr>
      <w:t>010321</w:t>
    </w:r>
    <w:r w:rsidRPr="005D7E75">
      <w:rPr>
        <w:sz w:val="20"/>
        <w:szCs w:val="20"/>
      </w:rPr>
      <w:t>_CB</w:t>
    </w:r>
    <w:r w:rsidR="00F84A0F">
      <w:rPr>
        <w:sz w:val="20"/>
        <w:szCs w:val="20"/>
      </w:rPr>
      <w:t>_VSS_567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27" w:rsidRDefault="00AC5A27">
      <w:r>
        <w:separator/>
      </w:r>
    </w:p>
  </w:footnote>
  <w:footnote w:type="continuationSeparator" w:id="0">
    <w:p w:rsidR="00AC5A27" w:rsidRDefault="00AC5A27">
      <w:r>
        <w:continuationSeparator/>
      </w:r>
    </w:p>
  </w:footnote>
  <w:footnote w:id="1">
    <w:p w:rsidR="00D8747D" w:rsidRDefault="00D8747D">
      <w:pPr>
        <w:pStyle w:val="Vresteksts"/>
      </w:pPr>
      <w:r>
        <w:rPr>
          <w:rStyle w:val="Vresatsauce"/>
        </w:rPr>
        <w:footnoteRef/>
      </w:r>
      <w:r>
        <w:t xml:space="preserve"> </w:t>
      </w:r>
      <w:proofErr w:type="spellStart"/>
      <w:r>
        <w:t>Tiešsaite</w:t>
      </w:r>
      <w:proofErr w:type="spellEnd"/>
      <w:r>
        <w:t xml:space="preserve">: </w:t>
      </w:r>
      <w:hyperlink r:id="rId1" w:history="1">
        <w:r w:rsidRPr="00D91FC6">
          <w:rPr>
            <w:rStyle w:val="Hipersaite"/>
          </w:rPr>
          <w:t>http://tap.mk.gov.lv/mk/vsssanaksmes/saraksts/protokols/?protokols=2020-07-09</w:t>
        </w:r>
      </w:hyperlink>
      <w:r>
        <w:rPr>
          <w:rStyle w:val="Hipersaite"/>
        </w:rPr>
        <w:t xml:space="preserve"> </w:t>
      </w:r>
    </w:p>
  </w:footnote>
  <w:footnote w:id="2">
    <w:p w:rsidR="00D2227D" w:rsidRDefault="00D2227D" w:rsidP="00D2227D">
      <w:pPr>
        <w:pStyle w:val="Vresteksts"/>
      </w:pPr>
      <w:r>
        <w:rPr>
          <w:rStyle w:val="Vresatsauce"/>
        </w:rPr>
        <w:footnoteRef/>
      </w:r>
      <w:r>
        <w:t xml:space="preserve"> </w:t>
      </w:r>
      <w:proofErr w:type="spellStart"/>
      <w:r>
        <w:t>Tiešsaite</w:t>
      </w:r>
      <w:proofErr w:type="spellEnd"/>
      <w:r>
        <w:t xml:space="preserve">: </w:t>
      </w:r>
      <w:hyperlink r:id="rId2" w:history="1">
        <w:r w:rsidRPr="00D91FC6">
          <w:rPr>
            <w:rStyle w:val="Hipersaite"/>
          </w:rPr>
          <w:t>http://tap.mk.gov.lv/mk/vsssanaksmes/saraksts/protokols/?protokols=2020-07-09</w:t>
        </w:r>
      </w:hyperlink>
      <w:r>
        <w:rPr>
          <w:rStyle w:val="Hipersait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33" w:rsidRDefault="001104AF" w:rsidP="007A404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35D33" w:rsidRDefault="00AC5A2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33" w:rsidRDefault="001104AF" w:rsidP="007A404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2783F">
      <w:rPr>
        <w:rStyle w:val="Lappusesnumurs"/>
        <w:noProof/>
      </w:rPr>
      <w:t>10</w:t>
    </w:r>
    <w:r>
      <w:rPr>
        <w:rStyle w:val="Lappusesnumurs"/>
      </w:rPr>
      <w:fldChar w:fldCharType="end"/>
    </w:r>
  </w:p>
  <w:p w:rsidR="00F35D33" w:rsidRDefault="00AC5A2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3ABB"/>
    <w:multiLevelType w:val="hybridMultilevel"/>
    <w:tmpl w:val="09FEA9AA"/>
    <w:lvl w:ilvl="0" w:tplc="A05ECEF6">
      <w:start w:val="1"/>
      <w:numFmt w:val="decimal"/>
      <w:lvlText w:val="%1."/>
      <w:lvlJc w:val="left"/>
      <w:pPr>
        <w:ind w:left="720" w:hanging="360"/>
      </w:pPr>
      <w:rPr>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F60A45"/>
    <w:multiLevelType w:val="hybridMultilevel"/>
    <w:tmpl w:val="D51896AE"/>
    <w:lvl w:ilvl="0" w:tplc="04260017">
      <w:start w:val="4"/>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661B7B"/>
    <w:multiLevelType w:val="hybridMultilevel"/>
    <w:tmpl w:val="D3B8F74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 w15:restartNumberingAfterBreak="0">
    <w:nsid w:val="304E6827"/>
    <w:multiLevelType w:val="hybridMultilevel"/>
    <w:tmpl w:val="F0E07A0E"/>
    <w:lvl w:ilvl="0" w:tplc="0426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33BBA"/>
    <w:multiLevelType w:val="hybridMultilevel"/>
    <w:tmpl w:val="E1C6E9A8"/>
    <w:lvl w:ilvl="0" w:tplc="6B20254A">
      <w:start w:val="4"/>
      <w:numFmt w:val="upperLetter"/>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15:restartNumberingAfterBreak="0">
    <w:nsid w:val="6740529F"/>
    <w:multiLevelType w:val="hybridMultilevel"/>
    <w:tmpl w:val="B3F41D1E"/>
    <w:lvl w:ilvl="0" w:tplc="0426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7C6226"/>
    <w:multiLevelType w:val="hybridMultilevel"/>
    <w:tmpl w:val="7BB8D0EE"/>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DC37E1"/>
    <w:multiLevelType w:val="hybridMultilevel"/>
    <w:tmpl w:val="06BCC36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BD"/>
    <w:rsid w:val="00030C6E"/>
    <w:rsid w:val="00064FA1"/>
    <w:rsid w:val="00067A91"/>
    <w:rsid w:val="000907F3"/>
    <w:rsid w:val="000A67FD"/>
    <w:rsid w:val="000B3A61"/>
    <w:rsid w:val="000B4BA9"/>
    <w:rsid w:val="000C7225"/>
    <w:rsid w:val="000E02BC"/>
    <w:rsid w:val="000F17ED"/>
    <w:rsid w:val="001104AF"/>
    <w:rsid w:val="00154E02"/>
    <w:rsid w:val="001600AE"/>
    <w:rsid w:val="001A06D5"/>
    <w:rsid w:val="001A0C10"/>
    <w:rsid w:val="001A4ED2"/>
    <w:rsid w:val="001A779D"/>
    <w:rsid w:val="001B04DA"/>
    <w:rsid w:val="001C220D"/>
    <w:rsid w:val="001C7CCB"/>
    <w:rsid w:val="001D246D"/>
    <w:rsid w:val="001E7D29"/>
    <w:rsid w:val="002042BD"/>
    <w:rsid w:val="00204E32"/>
    <w:rsid w:val="00205A9B"/>
    <w:rsid w:val="002240CC"/>
    <w:rsid w:val="0022642A"/>
    <w:rsid w:val="002453E1"/>
    <w:rsid w:val="002468F0"/>
    <w:rsid w:val="00292005"/>
    <w:rsid w:val="002A16CA"/>
    <w:rsid w:val="002C25CE"/>
    <w:rsid w:val="002D1229"/>
    <w:rsid w:val="002D6E22"/>
    <w:rsid w:val="002E0869"/>
    <w:rsid w:val="002F1601"/>
    <w:rsid w:val="003118F9"/>
    <w:rsid w:val="00312C38"/>
    <w:rsid w:val="00316294"/>
    <w:rsid w:val="00322920"/>
    <w:rsid w:val="00322A1A"/>
    <w:rsid w:val="0032632F"/>
    <w:rsid w:val="00327FFE"/>
    <w:rsid w:val="00336F3E"/>
    <w:rsid w:val="003453AD"/>
    <w:rsid w:val="003514AB"/>
    <w:rsid w:val="00356419"/>
    <w:rsid w:val="00363332"/>
    <w:rsid w:val="003719A5"/>
    <w:rsid w:val="0037339A"/>
    <w:rsid w:val="00385246"/>
    <w:rsid w:val="0038642B"/>
    <w:rsid w:val="003B40C3"/>
    <w:rsid w:val="00421C14"/>
    <w:rsid w:val="00430935"/>
    <w:rsid w:val="00432F69"/>
    <w:rsid w:val="004410F5"/>
    <w:rsid w:val="00447C31"/>
    <w:rsid w:val="00450571"/>
    <w:rsid w:val="00472C82"/>
    <w:rsid w:val="0047430D"/>
    <w:rsid w:val="00485C2A"/>
    <w:rsid w:val="004872EC"/>
    <w:rsid w:val="00487323"/>
    <w:rsid w:val="004A2084"/>
    <w:rsid w:val="004C17DA"/>
    <w:rsid w:val="004C6FA3"/>
    <w:rsid w:val="004D6A6D"/>
    <w:rsid w:val="00512BED"/>
    <w:rsid w:val="00522C25"/>
    <w:rsid w:val="0056229C"/>
    <w:rsid w:val="005705A4"/>
    <w:rsid w:val="00591CF8"/>
    <w:rsid w:val="00596660"/>
    <w:rsid w:val="005A2246"/>
    <w:rsid w:val="005A2F2E"/>
    <w:rsid w:val="005B5464"/>
    <w:rsid w:val="005C64D2"/>
    <w:rsid w:val="005D7E75"/>
    <w:rsid w:val="005E1A52"/>
    <w:rsid w:val="005F3D84"/>
    <w:rsid w:val="005F6D3E"/>
    <w:rsid w:val="00601E09"/>
    <w:rsid w:val="00621EDF"/>
    <w:rsid w:val="00631F92"/>
    <w:rsid w:val="0063217F"/>
    <w:rsid w:val="0063545A"/>
    <w:rsid w:val="00644527"/>
    <w:rsid w:val="00651859"/>
    <w:rsid w:val="006670AF"/>
    <w:rsid w:val="006716C7"/>
    <w:rsid w:val="00685044"/>
    <w:rsid w:val="006877B9"/>
    <w:rsid w:val="006967D2"/>
    <w:rsid w:val="006A0AC8"/>
    <w:rsid w:val="006C1728"/>
    <w:rsid w:val="006C2A11"/>
    <w:rsid w:val="006C72DB"/>
    <w:rsid w:val="006E57EE"/>
    <w:rsid w:val="00713249"/>
    <w:rsid w:val="0072783F"/>
    <w:rsid w:val="00755EA1"/>
    <w:rsid w:val="0076192B"/>
    <w:rsid w:val="00771E5F"/>
    <w:rsid w:val="00785939"/>
    <w:rsid w:val="00795F3D"/>
    <w:rsid w:val="007A613B"/>
    <w:rsid w:val="007B3CEE"/>
    <w:rsid w:val="007B6FB4"/>
    <w:rsid w:val="007D6B0B"/>
    <w:rsid w:val="007D6D23"/>
    <w:rsid w:val="0080010C"/>
    <w:rsid w:val="008033CD"/>
    <w:rsid w:val="008606C4"/>
    <w:rsid w:val="00860821"/>
    <w:rsid w:val="008763D9"/>
    <w:rsid w:val="00887BEC"/>
    <w:rsid w:val="008D023B"/>
    <w:rsid w:val="008E2954"/>
    <w:rsid w:val="008F191D"/>
    <w:rsid w:val="00913499"/>
    <w:rsid w:val="00945512"/>
    <w:rsid w:val="00945F19"/>
    <w:rsid w:val="009633BE"/>
    <w:rsid w:val="00967E71"/>
    <w:rsid w:val="00972FC1"/>
    <w:rsid w:val="009874F2"/>
    <w:rsid w:val="00995FF2"/>
    <w:rsid w:val="00997994"/>
    <w:rsid w:val="009B4D4E"/>
    <w:rsid w:val="009D6A52"/>
    <w:rsid w:val="009F0E9A"/>
    <w:rsid w:val="009F388A"/>
    <w:rsid w:val="00A1301E"/>
    <w:rsid w:val="00A27BBC"/>
    <w:rsid w:val="00A3558D"/>
    <w:rsid w:val="00A663A9"/>
    <w:rsid w:val="00A90319"/>
    <w:rsid w:val="00A91B0D"/>
    <w:rsid w:val="00AA4E69"/>
    <w:rsid w:val="00AC5A27"/>
    <w:rsid w:val="00AE465C"/>
    <w:rsid w:val="00AE4676"/>
    <w:rsid w:val="00AE7423"/>
    <w:rsid w:val="00AF41CF"/>
    <w:rsid w:val="00AF46E1"/>
    <w:rsid w:val="00AF5B09"/>
    <w:rsid w:val="00B00AF5"/>
    <w:rsid w:val="00B05242"/>
    <w:rsid w:val="00B23F53"/>
    <w:rsid w:val="00B3447A"/>
    <w:rsid w:val="00B46348"/>
    <w:rsid w:val="00B53757"/>
    <w:rsid w:val="00BF2298"/>
    <w:rsid w:val="00C03F43"/>
    <w:rsid w:val="00C11BDE"/>
    <w:rsid w:val="00C16D28"/>
    <w:rsid w:val="00C22DF0"/>
    <w:rsid w:val="00C339AD"/>
    <w:rsid w:val="00C3738E"/>
    <w:rsid w:val="00C53347"/>
    <w:rsid w:val="00C60D15"/>
    <w:rsid w:val="00C93EB3"/>
    <w:rsid w:val="00CA4339"/>
    <w:rsid w:val="00D2227D"/>
    <w:rsid w:val="00D254C9"/>
    <w:rsid w:val="00D53507"/>
    <w:rsid w:val="00D82193"/>
    <w:rsid w:val="00D83CD5"/>
    <w:rsid w:val="00D8747D"/>
    <w:rsid w:val="00DA6EA0"/>
    <w:rsid w:val="00DC2E6F"/>
    <w:rsid w:val="00DC3B81"/>
    <w:rsid w:val="00DE040C"/>
    <w:rsid w:val="00DF3AFD"/>
    <w:rsid w:val="00E117B0"/>
    <w:rsid w:val="00E35260"/>
    <w:rsid w:val="00E80010"/>
    <w:rsid w:val="00E82337"/>
    <w:rsid w:val="00E9147F"/>
    <w:rsid w:val="00E97E7C"/>
    <w:rsid w:val="00EB04DA"/>
    <w:rsid w:val="00EC51D1"/>
    <w:rsid w:val="00ED1376"/>
    <w:rsid w:val="00ED1406"/>
    <w:rsid w:val="00EF742A"/>
    <w:rsid w:val="00F11FA1"/>
    <w:rsid w:val="00F27C06"/>
    <w:rsid w:val="00F3385C"/>
    <w:rsid w:val="00F347A9"/>
    <w:rsid w:val="00F419C9"/>
    <w:rsid w:val="00F567AD"/>
    <w:rsid w:val="00F574F6"/>
    <w:rsid w:val="00F620C3"/>
    <w:rsid w:val="00F84A0F"/>
    <w:rsid w:val="00FA4F7C"/>
    <w:rsid w:val="00FB68BD"/>
    <w:rsid w:val="00FC4E20"/>
    <w:rsid w:val="00FD4C6B"/>
    <w:rsid w:val="00FE005C"/>
    <w:rsid w:val="00FE5C71"/>
    <w:rsid w:val="00FF287B"/>
    <w:rsid w:val="00FF5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0FB0E4F8-A659-43FB-AC20-95B9D672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B68B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FB68BD"/>
    <w:pPr>
      <w:spacing w:before="100" w:beforeAutospacing="1" w:after="100" w:afterAutospacing="1"/>
    </w:pPr>
  </w:style>
  <w:style w:type="paragraph" w:customStyle="1" w:styleId="naisf">
    <w:name w:val="naisf"/>
    <w:basedOn w:val="Parasts"/>
    <w:rsid w:val="00FB68BD"/>
    <w:pPr>
      <w:spacing w:before="75" w:after="75"/>
      <w:ind w:firstLine="375"/>
      <w:jc w:val="both"/>
    </w:pPr>
  </w:style>
  <w:style w:type="paragraph" w:customStyle="1" w:styleId="naiskr">
    <w:name w:val="naiskr"/>
    <w:basedOn w:val="Parasts"/>
    <w:rsid w:val="00FB68BD"/>
    <w:pPr>
      <w:spacing w:before="75" w:after="75"/>
    </w:pPr>
  </w:style>
  <w:style w:type="paragraph" w:customStyle="1" w:styleId="naisc">
    <w:name w:val="naisc"/>
    <w:basedOn w:val="Parasts"/>
    <w:rsid w:val="00FB68BD"/>
    <w:pPr>
      <w:spacing w:before="75" w:after="75"/>
      <w:jc w:val="center"/>
    </w:pPr>
  </w:style>
  <w:style w:type="paragraph" w:styleId="Galvene">
    <w:name w:val="header"/>
    <w:basedOn w:val="Parasts"/>
    <w:link w:val="GalveneRakstz"/>
    <w:rsid w:val="00FB68BD"/>
    <w:pPr>
      <w:tabs>
        <w:tab w:val="center" w:pos="4153"/>
        <w:tab w:val="right" w:pos="8306"/>
      </w:tabs>
    </w:pPr>
  </w:style>
  <w:style w:type="character" w:customStyle="1" w:styleId="GalveneRakstz">
    <w:name w:val="Galvene Rakstz."/>
    <w:basedOn w:val="Noklusjumarindkopasfonts"/>
    <w:link w:val="Galvene"/>
    <w:rsid w:val="00FB68BD"/>
    <w:rPr>
      <w:rFonts w:ascii="Times New Roman" w:eastAsia="Times New Roman" w:hAnsi="Times New Roman" w:cs="Times New Roman"/>
      <w:sz w:val="24"/>
      <w:szCs w:val="24"/>
      <w:lang w:eastAsia="lv-LV"/>
    </w:rPr>
  </w:style>
  <w:style w:type="character" w:styleId="Lappusesnumurs">
    <w:name w:val="page number"/>
    <w:basedOn w:val="Noklusjumarindkopasfonts"/>
    <w:rsid w:val="00FB68BD"/>
    <w:rPr>
      <w:rFonts w:cs="Times New Roman"/>
    </w:rPr>
  </w:style>
  <w:style w:type="paragraph" w:styleId="Kjene">
    <w:name w:val="footer"/>
    <w:basedOn w:val="Parasts"/>
    <w:link w:val="KjeneRakstz"/>
    <w:uiPriority w:val="99"/>
    <w:rsid w:val="00FB68BD"/>
    <w:pPr>
      <w:tabs>
        <w:tab w:val="center" w:pos="4153"/>
        <w:tab w:val="right" w:pos="8306"/>
      </w:tabs>
    </w:pPr>
  </w:style>
  <w:style w:type="character" w:customStyle="1" w:styleId="KjeneRakstz">
    <w:name w:val="Kājene Rakstz."/>
    <w:basedOn w:val="Noklusjumarindkopasfonts"/>
    <w:link w:val="Kjene"/>
    <w:uiPriority w:val="99"/>
    <w:rsid w:val="00FB68BD"/>
    <w:rPr>
      <w:rFonts w:ascii="Times New Roman" w:eastAsia="Times New Roman" w:hAnsi="Times New Roman" w:cs="Times New Roman"/>
      <w:sz w:val="24"/>
      <w:szCs w:val="24"/>
      <w:lang w:eastAsia="lv-LV"/>
    </w:rPr>
  </w:style>
  <w:style w:type="paragraph" w:customStyle="1" w:styleId="RakstzCharCharRakstzChar">
    <w:name w:val="Rakstz. Char Char Rakstz. Char"/>
    <w:basedOn w:val="Parasts"/>
    <w:rsid w:val="00FB68BD"/>
    <w:pPr>
      <w:spacing w:after="160" w:line="240" w:lineRule="exact"/>
    </w:pPr>
    <w:rPr>
      <w:rFonts w:ascii="Tahoma" w:hAnsi="Tahoma"/>
      <w:sz w:val="20"/>
      <w:szCs w:val="20"/>
      <w:lang w:val="en-US" w:eastAsia="en-US"/>
    </w:rPr>
  </w:style>
  <w:style w:type="paragraph" w:styleId="Pamatteksts">
    <w:name w:val="Body Text"/>
    <w:basedOn w:val="Parasts"/>
    <w:link w:val="PamattekstsRakstz"/>
    <w:rsid w:val="00FB68BD"/>
    <w:pPr>
      <w:spacing w:after="120"/>
    </w:pPr>
  </w:style>
  <w:style w:type="character" w:customStyle="1" w:styleId="PamattekstsRakstz">
    <w:name w:val="Pamatteksts Rakstz."/>
    <w:basedOn w:val="Noklusjumarindkopasfonts"/>
    <w:link w:val="Pamatteksts"/>
    <w:rsid w:val="00FB68BD"/>
    <w:rPr>
      <w:rFonts w:ascii="Times New Roman" w:eastAsia="Times New Roman" w:hAnsi="Times New Roman" w:cs="Times New Roman"/>
      <w:sz w:val="24"/>
      <w:szCs w:val="24"/>
      <w:lang w:eastAsia="lv-LV"/>
    </w:rPr>
  </w:style>
  <w:style w:type="character" w:styleId="Hipersaite">
    <w:name w:val="Hyperlink"/>
    <w:basedOn w:val="Noklusjumarindkopasfonts"/>
    <w:rsid w:val="00FB68BD"/>
    <w:rPr>
      <w:color w:val="0000FF"/>
      <w:u w:val="single"/>
    </w:rPr>
  </w:style>
  <w:style w:type="paragraph" w:customStyle="1" w:styleId="Sarakstarindkopa1">
    <w:name w:val="Saraksta rindkopa1"/>
    <w:basedOn w:val="Parasts"/>
    <w:qFormat/>
    <w:rsid w:val="00FB68BD"/>
    <w:pPr>
      <w:ind w:left="720"/>
      <w:contextualSpacing/>
    </w:pPr>
    <w:rPr>
      <w:lang w:val="en-GB" w:eastAsia="en-US"/>
    </w:rPr>
  </w:style>
  <w:style w:type="paragraph" w:customStyle="1" w:styleId="Char">
    <w:name w:val="Char"/>
    <w:basedOn w:val="Parasts"/>
    <w:rsid w:val="008763D9"/>
    <w:pPr>
      <w:spacing w:after="160" w:line="240" w:lineRule="exact"/>
    </w:pPr>
    <w:rPr>
      <w:rFonts w:ascii="Tahoma" w:hAnsi="Tahoma"/>
      <w:sz w:val="20"/>
      <w:szCs w:val="20"/>
      <w:lang w:val="en-US" w:eastAsia="en-US"/>
    </w:rPr>
  </w:style>
  <w:style w:type="paragraph" w:customStyle="1" w:styleId="Char0">
    <w:name w:val="Char"/>
    <w:basedOn w:val="Parasts"/>
    <w:rsid w:val="00B05242"/>
    <w:pPr>
      <w:spacing w:after="160" w:line="240" w:lineRule="exact"/>
    </w:pPr>
    <w:rPr>
      <w:rFonts w:ascii="Tahoma" w:hAnsi="Tahoma"/>
      <w:sz w:val="20"/>
      <w:szCs w:val="20"/>
      <w:lang w:val="en-US" w:eastAsia="en-US"/>
    </w:rPr>
  </w:style>
  <w:style w:type="paragraph" w:customStyle="1" w:styleId="CharCharRakstz">
    <w:name w:val="Char Char Rakstz."/>
    <w:basedOn w:val="Parasts"/>
    <w:rsid w:val="00ED1406"/>
    <w:rPr>
      <w:lang w:val="pl-PL" w:eastAsia="pl-PL"/>
    </w:rPr>
  </w:style>
  <w:style w:type="paragraph" w:styleId="Balonteksts">
    <w:name w:val="Balloon Text"/>
    <w:basedOn w:val="Parasts"/>
    <w:link w:val="BalontekstsRakstz"/>
    <w:uiPriority w:val="99"/>
    <w:semiHidden/>
    <w:unhideWhenUsed/>
    <w:rsid w:val="00AE465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E465C"/>
    <w:rPr>
      <w:rFonts w:ascii="Tahoma" w:eastAsia="Times New Roman" w:hAnsi="Tahoma" w:cs="Tahoma"/>
      <w:sz w:val="16"/>
      <w:szCs w:val="16"/>
      <w:lang w:eastAsia="lv-LV"/>
    </w:rPr>
  </w:style>
  <w:style w:type="paragraph" w:styleId="Bezatstarpm">
    <w:name w:val="No Spacing"/>
    <w:uiPriority w:val="1"/>
    <w:qFormat/>
    <w:rsid w:val="00771E5F"/>
    <w:pPr>
      <w:spacing w:after="0" w:line="240" w:lineRule="auto"/>
    </w:pPr>
    <w:rPr>
      <w:rFonts w:ascii="Times New Roman" w:eastAsia="Calibri" w:hAnsi="Times New Roman" w:cs="Times New Roman"/>
      <w:sz w:val="24"/>
    </w:rPr>
  </w:style>
  <w:style w:type="paragraph" w:styleId="Sarakstarindkopa">
    <w:name w:val="List Paragraph"/>
    <w:basedOn w:val="Parasts"/>
    <w:uiPriority w:val="34"/>
    <w:qFormat/>
    <w:rsid w:val="00771E5F"/>
    <w:pPr>
      <w:ind w:left="720"/>
      <w:contextualSpacing/>
    </w:pPr>
    <w:rPr>
      <w:rFonts w:ascii="RimTimes" w:hAnsi="RimTimes"/>
      <w:szCs w:val="20"/>
    </w:rPr>
  </w:style>
  <w:style w:type="paragraph" w:styleId="Vresteksts">
    <w:name w:val="footnote text"/>
    <w:basedOn w:val="Parasts"/>
    <w:link w:val="VrestekstsRakstz"/>
    <w:uiPriority w:val="99"/>
    <w:semiHidden/>
    <w:unhideWhenUsed/>
    <w:rsid w:val="00D8747D"/>
    <w:rPr>
      <w:sz w:val="20"/>
      <w:szCs w:val="20"/>
    </w:rPr>
  </w:style>
  <w:style w:type="character" w:customStyle="1" w:styleId="VrestekstsRakstz">
    <w:name w:val="Vēres teksts Rakstz."/>
    <w:basedOn w:val="Noklusjumarindkopasfonts"/>
    <w:link w:val="Vresteksts"/>
    <w:uiPriority w:val="99"/>
    <w:semiHidden/>
    <w:rsid w:val="00D8747D"/>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D87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35358">
      <w:bodyDiv w:val="1"/>
      <w:marLeft w:val="0"/>
      <w:marRight w:val="0"/>
      <w:marTop w:val="0"/>
      <w:marBottom w:val="0"/>
      <w:divBdr>
        <w:top w:val="none" w:sz="0" w:space="0" w:color="auto"/>
        <w:left w:val="none" w:sz="0" w:space="0" w:color="auto"/>
        <w:bottom w:val="none" w:sz="0" w:space="0" w:color="auto"/>
        <w:right w:val="none" w:sz="0" w:space="0" w:color="auto"/>
      </w:divBdr>
      <w:divsChild>
        <w:div w:id="1461414910">
          <w:marLeft w:val="0"/>
          <w:marRight w:val="0"/>
          <w:marTop w:val="0"/>
          <w:marBottom w:val="0"/>
          <w:divBdr>
            <w:top w:val="none" w:sz="0" w:space="0" w:color="auto"/>
            <w:left w:val="none" w:sz="0" w:space="0" w:color="auto"/>
            <w:bottom w:val="none" w:sz="0" w:space="0" w:color="auto"/>
            <w:right w:val="none" w:sz="0" w:space="0" w:color="auto"/>
          </w:divBdr>
        </w:div>
        <w:div w:id="464471308">
          <w:marLeft w:val="0"/>
          <w:marRight w:val="0"/>
          <w:marTop w:val="0"/>
          <w:marBottom w:val="0"/>
          <w:divBdr>
            <w:top w:val="none" w:sz="0" w:space="0" w:color="auto"/>
            <w:left w:val="none" w:sz="0" w:space="0" w:color="auto"/>
            <w:bottom w:val="none" w:sz="0" w:space="0" w:color="auto"/>
            <w:right w:val="none" w:sz="0" w:space="0" w:color="auto"/>
          </w:divBdr>
        </w:div>
        <w:div w:id="217784465">
          <w:marLeft w:val="0"/>
          <w:marRight w:val="0"/>
          <w:marTop w:val="0"/>
          <w:marBottom w:val="0"/>
          <w:divBdr>
            <w:top w:val="none" w:sz="0" w:space="0" w:color="auto"/>
            <w:left w:val="none" w:sz="0" w:space="0" w:color="auto"/>
            <w:bottom w:val="none" w:sz="0" w:space="0" w:color="auto"/>
            <w:right w:val="none" w:sz="0" w:space="0" w:color="auto"/>
          </w:divBdr>
        </w:div>
        <w:div w:id="1873221624">
          <w:marLeft w:val="0"/>
          <w:marRight w:val="0"/>
          <w:marTop w:val="0"/>
          <w:marBottom w:val="0"/>
          <w:divBdr>
            <w:top w:val="none" w:sz="0" w:space="0" w:color="auto"/>
            <w:left w:val="none" w:sz="0" w:space="0" w:color="auto"/>
            <w:bottom w:val="none" w:sz="0" w:space="0" w:color="auto"/>
            <w:right w:val="none" w:sz="0" w:space="0" w:color="auto"/>
          </w:divBdr>
        </w:div>
        <w:div w:id="265580163">
          <w:marLeft w:val="0"/>
          <w:marRight w:val="0"/>
          <w:marTop w:val="0"/>
          <w:marBottom w:val="0"/>
          <w:divBdr>
            <w:top w:val="none" w:sz="0" w:space="0" w:color="auto"/>
            <w:left w:val="none" w:sz="0" w:space="0" w:color="auto"/>
            <w:bottom w:val="none" w:sz="0" w:space="0" w:color="auto"/>
            <w:right w:val="none" w:sz="0" w:space="0" w:color="auto"/>
          </w:divBdr>
        </w:div>
        <w:div w:id="920715830">
          <w:marLeft w:val="0"/>
          <w:marRight w:val="0"/>
          <w:marTop w:val="0"/>
          <w:marBottom w:val="0"/>
          <w:divBdr>
            <w:top w:val="none" w:sz="0" w:space="0" w:color="auto"/>
            <w:left w:val="none" w:sz="0" w:space="0" w:color="auto"/>
            <w:bottom w:val="none" w:sz="0" w:space="0" w:color="auto"/>
            <w:right w:val="none" w:sz="0" w:space="0" w:color="auto"/>
          </w:divBdr>
        </w:div>
        <w:div w:id="1259674099">
          <w:marLeft w:val="0"/>
          <w:marRight w:val="0"/>
          <w:marTop w:val="0"/>
          <w:marBottom w:val="0"/>
          <w:divBdr>
            <w:top w:val="none" w:sz="0" w:space="0" w:color="auto"/>
            <w:left w:val="none" w:sz="0" w:space="0" w:color="auto"/>
            <w:bottom w:val="none" w:sz="0" w:space="0" w:color="auto"/>
            <w:right w:val="none" w:sz="0" w:space="0" w:color="auto"/>
          </w:divBdr>
        </w:div>
      </w:divsChild>
    </w:div>
    <w:div w:id="243995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47558149">
          <w:marLeft w:val="0"/>
          <w:marRight w:val="0"/>
          <w:marTop w:val="240"/>
          <w:marBottom w:val="0"/>
          <w:divBdr>
            <w:top w:val="none" w:sz="0" w:space="0" w:color="auto"/>
            <w:left w:val="none" w:sz="0" w:space="0" w:color="auto"/>
            <w:bottom w:val="none" w:sz="0" w:space="0" w:color="auto"/>
            <w:right w:val="none" w:sz="0" w:space="0" w:color="auto"/>
          </w:divBdr>
          <w:divsChild>
            <w:div w:id="1043597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69302826">
      <w:bodyDiv w:val="1"/>
      <w:marLeft w:val="0"/>
      <w:marRight w:val="0"/>
      <w:marTop w:val="0"/>
      <w:marBottom w:val="0"/>
      <w:divBdr>
        <w:top w:val="none" w:sz="0" w:space="0" w:color="auto"/>
        <w:left w:val="none" w:sz="0" w:space="0" w:color="auto"/>
        <w:bottom w:val="none" w:sz="0" w:space="0" w:color="auto"/>
        <w:right w:val="none" w:sz="0" w:space="0" w:color="auto"/>
      </w:divBdr>
    </w:div>
    <w:div w:id="402918009">
      <w:bodyDiv w:val="1"/>
      <w:marLeft w:val="0"/>
      <w:marRight w:val="0"/>
      <w:marTop w:val="0"/>
      <w:marBottom w:val="0"/>
      <w:divBdr>
        <w:top w:val="none" w:sz="0" w:space="0" w:color="auto"/>
        <w:left w:val="none" w:sz="0" w:space="0" w:color="auto"/>
        <w:bottom w:val="none" w:sz="0" w:space="0" w:color="auto"/>
        <w:right w:val="none" w:sz="0" w:space="0" w:color="auto"/>
      </w:divBdr>
    </w:div>
    <w:div w:id="1319114016">
      <w:bodyDiv w:val="1"/>
      <w:marLeft w:val="0"/>
      <w:marRight w:val="0"/>
      <w:marTop w:val="0"/>
      <w:marBottom w:val="0"/>
      <w:divBdr>
        <w:top w:val="none" w:sz="0" w:space="0" w:color="auto"/>
        <w:left w:val="none" w:sz="0" w:space="0" w:color="auto"/>
        <w:bottom w:val="none" w:sz="0" w:space="0" w:color="auto"/>
        <w:right w:val="none" w:sz="0" w:space="0" w:color="auto"/>
      </w:divBdr>
    </w:div>
    <w:div w:id="20388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mk/vsssanaksmes/saraksts/protokols/?protokols=2020-07-09" TargetMode="External"/><Relationship Id="rId1" Type="http://schemas.openxmlformats.org/officeDocument/2006/relationships/hyperlink" Target="http://tap.mk.gov.lv/mk/vsssanaksmes/saraksts/protokols/?protokols=2020-0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7C68-657A-4A59-9396-D8446809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13187</Words>
  <Characters>7517</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IEMIzz_010321_CB</vt:lpstr>
      <vt:lpstr>IEMIzz_280211_Turk; Izziņa par atzinumos sniegtajiem iebildumiem par likumprojektu „Par Latvijas Republikas valdības un Turkmenistānas valdības līgumu par sadarbību cīņā pret terorismu, organizēto noziedzību un nelegālu narkotisko vielu, psihotropo vielu </vt:lpstr>
    </vt:vector>
  </TitlesOfParts>
  <Company>IEM</Company>
  <LinksUpToDate>false</LinksUpToDate>
  <CharactersWithSpaces>20663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IEMIzz_010321_CB_VSS_567</dc:title>
  <dc:subject>Izziņa</dc:subject>
  <dc:creator>Ivars Nakurts</dc:creator>
  <dc:description>ivars.nakurts@vugd.gov.lv, 67075922</dc:description>
  <cp:lastModifiedBy>Ivars Nakurts</cp:lastModifiedBy>
  <cp:revision>37</cp:revision>
  <cp:lastPrinted>2011-03-02T09:00:00Z</cp:lastPrinted>
  <dcterms:created xsi:type="dcterms:W3CDTF">2020-08-31T05:57:00Z</dcterms:created>
  <dcterms:modified xsi:type="dcterms:W3CDTF">2021-03-01T11:33:00Z</dcterms:modified>
</cp:coreProperties>
</file>