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C4" w:rsidRPr="00DB0F73" w:rsidRDefault="004865C4" w:rsidP="004865C4">
      <w:pPr>
        <w:pStyle w:val="naisnod"/>
        <w:spacing w:before="0" w:after="0"/>
        <w:rPr>
          <w:sz w:val="22"/>
          <w:szCs w:val="22"/>
        </w:rPr>
      </w:pPr>
      <w:bookmarkStart w:id="0" w:name="_GoBack"/>
      <w:bookmarkEnd w:id="0"/>
      <w:smartTag w:uri="schemas-tilde-lv/tildestengine" w:element="veidnes">
        <w:smartTagPr>
          <w:attr w:name="text" w:val="Izziņa"/>
          <w:attr w:name="baseform" w:val="Izziņa"/>
          <w:attr w:name="id" w:val="-1"/>
        </w:smartTagPr>
        <w:r w:rsidRPr="00DB0F73">
          <w:rPr>
            <w:sz w:val="22"/>
            <w:szCs w:val="22"/>
          </w:rPr>
          <w:t>Izziņa</w:t>
        </w:r>
      </w:smartTag>
      <w:r w:rsidRPr="00DB0F73">
        <w:rPr>
          <w:sz w:val="22"/>
          <w:szCs w:val="22"/>
        </w:rPr>
        <w:t xml:space="preserve"> par atzinumos sniegtajiem iebildumiem</w:t>
      </w:r>
    </w:p>
    <w:p w:rsidR="004865C4" w:rsidRPr="00DB0F73" w:rsidRDefault="004865C4" w:rsidP="004865C4">
      <w:pPr>
        <w:pStyle w:val="naisf"/>
        <w:spacing w:before="0" w:after="0"/>
        <w:ind w:firstLine="720"/>
        <w:rPr>
          <w:sz w:val="22"/>
          <w:szCs w:val="22"/>
        </w:rPr>
      </w:pPr>
    </w:p>
    <w:tbl>
      <w:tblPr>
        <w:tblW w:w="0" w:type="auto"/>
        <w:jc w:val="center"/>
        <w:tblLook w:val="00A0" w:firstRow="1" w:lastRow="0" w:firstColumn="1" w:lastColumn="0" w:noHBand="0" w:noVBand="0"/>
      </w:tblPr>
      <w:tblGrid>
        <w:gridCol w:w="10188"/>
      </w:tblGrid>
      <w:tr w:rsidR="004865C4" w:rsidRPr="00DB0F73" w:rsidTr="007E09C2">
        <w:trPr>
          <w:jc w:val="center"/>
        </w:trPr>
        <w:tc>
          <w:tcPr>
            <w:tcW w:w="10188" w:type="dxa"/>
            <w:tcBorders>
              <w:bottom w:val="single" w:sz="6" w:space="0" w:color="000000"/>
            </w:tcBorders>
          </w:tcPr>
          <w:p w:rsidR="004865C4" w:rsidRPr="00803A9E" w:rsidRDefault="004865C4" w:rsidP="004865C4">
            <w:pPr>
              <w:pStyle w:val="NormalWeb"/>
              <w:spacing w:before="0" w:beforeAutospacing="0" w:after="0" w:afterAutospacing="0"/>
              <w:jc w:val="center"/>
              <w:rPr>
                <w:b/>
                <w:bCs/>
                <w:sz w:val="22"/>
                <w:szCs w:val="22"/>
              </w:rPr>
            </w:pPr>
            <w:r w:rsidRPr="00A920D7">
              <w:rPr>
                <w:b/>
                <w:sz w:val="22"/>
                <w:szCs w:val="22"/>
              </w:rPr>
              <w:t xml:space="preserve">Likumprojekts </w:t>
            </w:r>
            <w:r>
              <w:rPr>
                <w:b/>
                <w:sz w:val="22"/>
                <w:szCs w:val="22"/>
              </w:rPr>
              <w:t>“</w:t>
            </w:r>
            <w:r w:rsidRPr="00A920D7">
              <w:rPr>
                <w:b/>
                <w:bCs/>
                <w:sz w:val="22"/>
                <w:szCs w:val="22"/>
              </w:rPr>
              <w:t>Grozījum</w:t>
            </w:r>
            <w:r>
              <w:rPr>
                <w:b/>
                <w:bCs/>
                <w:sz w:val="22"/>
                <w:szCs w:val="22"/>
              </w:rPr>
              <w:t xml:space="preserve">i Augstskolu </w:t>
            </w:r>
            <w:r w:rsidRPr="00A920D7">
              <w:rPr>
                <w:b/>
                <w:bCs/>
                <w:sz w:val="22"/>
                <w:szCs w:val="22"/>
              </w:rPr>
              <w:t>likumā</w:t>
            </w:r>
            <w:r>
              <w:rPr>
                <w:b/>
                <w:bCs/>
                <w:sz w:val="22"/>
                <w:szCs w:val="22"/>
              </w:rPr>
              <w:t>”</w:t>
            </w:r>
            <w:r w:rsidRPr="00A920D7">
              <w:rPr>
                <w:b/>
                <w:bCs/>
                <w:sz w:val="22"/>
                <w:szCs w:val="22"/>
              </w:rPr>
              <w:t xml:space="preserve"> </w:t>
            </w:r>
            <w:r w:rsidR="007E09C2">
              <w:rPr>
                <w:b/>
                <w:bCs/>
                <w:sz w:val="22"/>
                <w:szCs w:val="22"/>
              </w:rPr>
              <w:t>(VSS- 771)</w:t>
            </w:r>
          </w:p>
        </w:tc>
      </w:tr>
    </w:tbl>
    <w:p w:rsidR="004865C4" w:rsidRPr="00DB0F73" w:rsidRDefault="004865C4" w:rsidP="004865C4">
      <w:pPr>
        <w:pStyle w:val="naisc"/>
        <w:spacing w:before="0" w:after="0"/>
        <w:rPr>
          <w:sz w:val="22"/>
          <w:szCs w:val="22"/>
        </w:rPr>
      </w:pPr>
      <w:r w:rsidRPr="00DB0F73">
        <w:rPr>
          <w:sz w:val="22"/>
          <w:szCs w:val="22"/>
        </w:rPr>
        <w:t>(dokumenta veids un nosaukums)</w:t>
      </w:r>
    </w:p>
    <w:p w:rsidR="004865C4" w:rsidRPr="00DB0F73" w:rsidRDefault="004865C4" w:rsidP="004865C4">
      <w:pPr>
        <w:pStyle w:val="naisf"/>
        <w:spacing w:before="0" w:after="0"/>
        <w:ind w:firstLine="720"/>
        <w:rPr>
          <w:sz w:val="22"/>
          <w:szCs w:val="22"/>
        </w:rPr>
      </w:pPr>
    </w:p>
    <w:p w:rsidR="00217F0B" w:rsidRPr="005735EF" w:rsidRDefault="004865C4" w:rsidP="003D69F6">
      <w:pPr>
        <w:pStyle w:val="naisf"/>
        <w:numPr>
          <w:ilvl w:val="0"/>
          <w:numId w:val="4"/>
        </w:numPr>
        <w:spacing w:before="0" w:after="0"/>
        <w:jc w:val="center"/>
      </w:pPr>
      <w:r w:rsidRPr="00DB0F73">
        <w:rPr>
          <w:b/>
          <w:sz w:val="22"/>
          <w:szCs w:val="22"/>
        </w:rPr>
        <w:t>Jautājumi, par kuriem saskaņošanā vienošanās nav panākta</w:t>
      </w:r>
    </w:p>
    <w:p w:rsidR="00217F0B" w:rsidRPr="00DB0F73" w:rsidRDefault="00217F0B" w:rsidP="00217F0B">
      <w:pPr>
        <w:pStyle w:val="naisf"/>
        <w:spacing w:before="0" w:after="0"/>
        <w:rPr>
          <w:b/>
          <w:sz w:val="22"/>
          <w:szCs w:val="22"/>
        </w:rPr>
      </w:pPr>
    </w:p>
    <w:p w:rsidR="004865C4" w:rsidRPr="008B0369" w:rsidRDefault="004865C4" w:rsidP="004865C4">
      <w:pPr>
        <w:pStyle w:val="naisf"/>
        <w:spacing w:before="0" w:after="0"/>
        <w:ind w:firstLine="0"/>
        <w:jc w:val="center"/>
        <w:rPr>
          <w:b/>
          <w:sz w:val="22"/>
          <w:szCs w:val="22"/>
          <w:u w:val="single"/>
        </w:rPr>
      </w:pPr>
    </w:p>
    <w:tbl>
      <w:tblPr>
        <w:tblpPr w:leftFromText="180" w:rightFromText="180" w:vertAnchor="text" w:tblpXSpec="center" w:tblpY="1"/>
        <w:tblOverlap w:val="neve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43"/>
        <w:gridCol w:w="4590"/>
        <w:gridCol w:w="3780"/>
        <w:gridCol w:w="1722"/>
        <w:gridCol w:w="1920"/>
      </w:tblGrid>
      <w:tr w:rsidR="004865C4" w:rsidRPr="008B0369" w:rsidTr="00F5376D">
        <w:tc>
          <w:tcPr>
            <w:tcW w:w="562" w:type="dxa"/>
            <w:vAlign w:val="center"/>
          </w:tcPr>
          <w:p w:rsidR="004865C4" w:rsidRPr="008B0369" w:rsidRDefault="004865C4" w:rsidP="007E09C2">
            <w:pPr>
              <w:pStyle w:val="naisc"/>
              <w:spacing w:before="0" w:after="0"/>
              <w:rPr>
                <w:sz w:val="22"/>
                <w:szCs w:val="22"/>
                <w:u w:val="single"/>
              </w:rPr>
            </w:pPr>
            <w:r w:rsidRPr="008B0369">
              <w:rPr>
                <w:sz w:val="22"/>
                <w:szCs w:val="22"/>
                <w:u w:val="single"/>
              </w:rPr>
              <w:t>Nr. p.k.</w:t>
            </w:r>
          </w:p>
        </w:tc>
        <w:tc>
          <w:tcPr>
            <w:tcW w:w="2943" w:type="dxa"/>
            <w:vAlign w:val="center"/>
          </w:tcPr>
          <w:p w:rsidR="004865C4" w:rsidRPr="008B0369" w:rsidRDefault="004865C4" w:rsidP="007E09C2">
            <w:pPr>
              <w:pStyle w:val="naisc"/>
              <w:spacing w:before="0" w:after="0"/>
              <w:ind w:firstLine="12"/>
              <w:rPr>
                <w:sz w:val="22"/>
                <w:szCs w:val="22"/>
                <w:u w:val="single"/>
              </w:rPr>
            </w:pPr>
            <w:r w:rsidRPr="008B0369">
              <w:rPr>
                <w:sz w:val="22"/>
                <w:szCs w:val="22"/>
                <w:u w:val="single"/>
              </w:rPr>
              <w:t>Saskaņošanai nosūtītā projekta redakcija (konkrēta punkta (panta) redakcija)</w:t>
            </w:r>
          </w:p>
        </w:tc>
        <w:tc>
          <w:tcPr>
            <w:tcW w:w="4590" w:type="dxa"/>
            <w:vAlign w:val="center"/>
          </w:tcPr>
          <w:p w:rsidR="004865C4" w:rsidRPr="008B0369" w:rsidRDefault="004865C4" w:rsidP="007E09C2">
            <w:pPr>
              <w:pStyle w:val="naisc"/>
              <w:spacing w:before="0" w:after="0"/>
              <w:ind w:right="3"/>
              <w:rPr>
                <w:sz w:val="22"/>
                <w:szCs w:val="22"/>
                <w:u w:val="single"/>
              </w:rPr>
            </w:pPr>
            <w:r w:rsidRPr="008B0369">
              <w:rPr>
                <w:sz w:val="22"/>
                <w:szCs w:val="22"/>
                <w:u w:val="single"/>
              </w:rPr>
              <w:t>Atzinumā norādītais ministrijas (citas institūcijas) iebildums, kā arī saskaņošanā papildus izteiktais iebildums par projekta konkrēto punktu (pantu)</w:t>
            </w:r>
          </w:p>
        </w:tc>
        <w:tc>
          <w:tcPr>
            <w:tcW w:w="3780" w:type="dxa"/>
            <w:vAlign w:val="center"/>
          </w:tcPr>
          <w:p w:rsidR="004865C4" w:rsidRPr="008B0369" w:rsidRDefault="004865C4" w:rsidP="007E09C2">
            <w:pPr>
              <w:pStyle w:val="naisc"/>
              <w:spacing w:before="0" w:after="0"/>
              <w:ind w:firstLine="21"/>
              <w:rPr>
                <w:sz w:val="22"/>
                <w:szCs w:val="22"/>
                <w:u w:val="single"/>
              </w:rPr>
            </w:pPr>
            <w:r w:rsidRPr="008B0369">
              <w:rPr>
                <w:sz w:val="22"/>
                <w:szCs w:val="22"/>
                <w:u w:val="single"/>
              </w:rPr>
              <w:t>Atbildīgās ministrijas pamatojums iebilduma noraidījumam</w:t>
            </w:r>
          </w:p>
        </w:tc>
        <w:tc>
          <w:tcPr>
            <w:tcW w:w="1722" w:type="dxa"/>
            <w:vAlign w:val="center"/>
          </w:tcPr>
          <w:p w:rsidR="004865C4" w:rsidRPr="008B0369" w:rsidRDefault="004865C4" w:rsidP="007E09C2">
            <w:pPr>
              <w:jc w:val="center"/>
              <w:rPr>
                <w:sz w:val="22"/>
                <w:szCs w:val="22"/>
                <w:u w:val="single"/>
              </w:rPr>
            </w:pPr>
            <w:r w:rsidRPr="008B0369">
              <w:rPr>
                <w:sz w:val="22"/>
                <w:szCs w:val="22"/>
                <w:u w:val="single"/>
              </w:rPr>
              <w:t>Atzinuma sniedzēja uzturētais iebildums, ja tas atšķiras no atzinumā norādītā iebilduma pamatojuma</w:t>
            </w:r>
          </w:p>
        </w:tc>
        <w:tc>
          <w:tcPr>
            <w:tcW w:w="1920" w:type="dxa"/>
            <w:vAlign w:val="center"/>
          </w:tcPr>
          <w:p w:rsidR="004865C4" w:rsidRPr="008B0369" w:rsidRDefault="004865C4" w:rsidP="007E09C2">
            <w:pPr>
              <w:jc w:val="center"/>
              <w:rPr>
                <w:sz w:val="22"/>
                <w:szCs w:val="22"/>
                <w:u w:val="single"/>
              </w:rPr>
            </w:pPr>
            <w:r w:rsidRPr="008B0369">
              <w:rPr>
                <w:sz w:val="22"/>
                <w:szCs w:val="22"/>
                <w:u w:val="single"/>
              </w:rPr>
              <w:t>Projekta attiecīgā punkta (panta) galīgā redakcija</w:t>
            </w:r>
          </w:p>
        </w:tc>
      </w:tr>
      <w:tr w:rsidR="004865C4" w:rsidRPr="008B0369" w:rsidTr="00F5376D">
        <w:tc>
          <w:tcPr>
            <w:tcW w:w="562" w:type="dxa"/>
          </w:tcPr>
          <w:p w:rsidR="004865C4" w:rsidRPr="008B0369" w:rsidRDefault="004865C4" w:rsidP="007E09C2">
            <w:pPr>
              <w:pStyle w:val="naisc"/>
              <w:spacing w:before="0" w:after="0"/>
              <w:rPr>
                <w:sz w:val="22"/>
                <w:szCs w:val="22"/>
                <w:u w:val="single"/>
              </w:rPr>
            </w:pPr>
            <w:r w:rsidRPr="008B0369">
              <w:rPr>
                <w:sz w:val="22"/>
                <w:szCs w:val="22"/>
                <w:u w:val="single"/>
              </w:rPr>
              <w:t>1</w:t>
            </w:r>
          </w:p>
        </w:tc>
        <w:tc>
          <w:tcPr>
            <w:tcW w:w="2943" w:type="dxa"/>
          </w:tcPr>
          <w:p w:rsidR="004865C4" w:rsidRPr="008B0369" w:rsidRDefault="004865C4" w:rsidP="007E09C2">
            <w:pPr>
              <w:pStyle w:val="naisc"/>
              <w:spacing w:before="0" w:after="0"/>
              <w:ind w:firstLine="720"/>
              <w:rPr>
                <w:sz w:val="22"/>
                <w:szCs w:val="22"/>
                <w:u w:val="single"/>
              </w:rPr>
            </w:pPr>
            <w:r w:rsidRPr="008B0369">
              <w:rPr>
                <w:sz w:val="22"/>
                <w:szCs w:val="22"/>
                <w:u w:val="single"/>
              </w:rPr>
              <w:t>2</w:t>
            </w:r>
          </w:p>
        </w:tc>
        <w:tc>
          <w:tcPr>
            <w:tcW w:w="4590" w:type="dxa"/>
          </w:tcPr>
          <w:p w:rsidR="004865C4" w:rsidRPr="008B0369" w:rsidRDefault="004865C4" w:rsidP="007E09C2">
            <w:pPr>
              <w:pStyle w:val="naisc"/>
              <w:spacing w:before="0" w:after="0"/>
              <w:ind w:firstLine="720"/>
              <w:rPr>
                <w:sz w:val="22"/>
                <w:szCs w:val="22"/>
                <w:u w:val="single"/>
              </w:rPr>
            </w:pPr>
            <w:r w:rsidRPr="008B0369">
              <w:rPr>
                <w:sz w:val="22"/>
                <w:szCs w:val="22"/>
                <w:u w:val="single"/>
              </w:rPr>
              <w:t>3</w:t>
            </w:r>
          </w:p>
        </w:tc>
        <w:tc>
          <w:tcPr>
            <w:tcW w:w="3780" w:type="dxa"/>
          </w:tcPr>
          <w:p w:rsidR="004865C4" w:rsidRPr="008B0369" w:rsidRDefault="004865C4" w:rsidP="007E09C2">
            <w:pPr>
              <w:pStyle w:val="naisc"/>
              <w:spacing w:before="0" w:after="0"/>
              <w:ind w:firstLine="720"/>
              <w:rPr>
                <w:sz w:val="22"/>
                <w:szCs w:val="22"/>
                <w:u w:val="single"/>
              </w:rPr>
            </w:pPr>
            <w:r w:rsidRPr="008B0369">
              <w:rPr>
                <w:sz w:val="22"/>
                <w:szCs w:val="22"/>
                <w:u w:val="single"/>
              </w:rPr>
              <w:t>4</w:t>
            </w:r>
          </w:p>
        </w:tc>
        <w:tc>
          <w:tcPr>
            <w:tcW w:w="1722" w:type="dxa"/>
          </w:tcPr>
          <w:p w:rsidR="004865C4" w:rsidRPr="008B0369" w:rsidRDefault="004865C4" w:rsidP="007E09C2">
            <w:pPr>
              <w:jc w:val="center"/>
              <w:rPr>
                <w:sz w:val="22"/>
                <w:szCs w:val="22"/>
                <w:u w:val="single"/>
              </w:rPr>
            </w:pPr>
            <w:r w:rsidRPr="008B0369">
              <w:rPr>
                <w:sz w:val="22"/>
                <w:szCs w:val="22"/>
                <w:u w:val="single"/>
              </w:rPr>
              <w:t>5</w:t>
            </w:r>
          </w:p>
        </w:tc>
        <w:tc>
          <w:tcPr>
            <w:tcW w:w="1920" w:type="dxa"/>
          </w:tcPr>
          <w:p w:rsidR="004865C4" w:rsidRPr="008B0369" w:rsidRDefault="004865C4" w:rsidP="007E09C2">
            <w:pPr>
              <w:jc w:val="center"/>
              <w:rPr>
                <w:sz w:val="22"/>
                <w:szCs w:val="22"/>
                <w:u w:val="single"/>
              </w:rPr>
            </w:pPr>
            <w:r w:rsidRPr="008B0369">
              <w:rPr>
                <w:sz w:val="22"/>
                <w:szCs w:val="22"/>
                <w:u w:val="single"/>
              </w:rPr>
              <w:t>6</w:t>
            </w:r>
          </w:p>
        </w:tc>
      </w:tr>
    </w:tbl>
    <w:p w:rsidR="001D3C25" w:rsidRDefault="001D3C25" w:rsidP="001D3C25">
      <w:pPr>
        <w:pStyle w:val="naisf"/>
        <w:spacing w:before="0" w:after="0"/>
        <w:ind w:firstLine="0"/>
        <w:rPr>
          <w:b/>
          <w:sz w:val="22"/>
          <w:szCs w:val="22"/>
        </w:rPr>
      </w:pPr>
    </w:p>
    <w:p w:rsidR="001D3C25" w:rsidRPr="005735EF" w:rsidRDefault="001D3C25" w:rsidP="001D3C25">
      <w:pPr>
        <w:pStyle w:val="naisf"/>
        <w:spacing w:before="0" w:after="0"/>
        <w:ind w:firstLine="0"/>
        <w:rPr>
          <w:b/>
        </w:rPr>
      </w:pPr>
      <w:r w:rsidRPr="005735EF">
        <w:rPr>
          <w:b/>
        </w:rPr>
        <w:t>Informācija par starpministriju (starpinstitūciju) sanāksmi vai elektronisko saskaņošanu</w:t>
      </w:r>
    </w:p>
    <w:p w:rsidR="001D3C25" w:rsidRPr="005735EF" w:rsidRDefault="001D3C25" w:rsidP="001D3C25">
      <w:pPr>
        <w:pStyle w:val="naisf"/>
        <w:spacing w:before="0" w:after="0"/>
        <w:ind w:firstLine="0"/>
        <w:rPr>
          <w:b/>
        </w:rPr>
      </w:pPr>
    </w:p>
    <w:tbl>
      <w:tblPr>
        <w:tblW w:w="14709" w:type="dxa"/>
        <w:tblLook w:val="00A0" w:firstRow="1" w:lastRow="0" w:firstColumn="1" w:lastColumn="0" w:noHBand="0" w:noVBand="0"/>
      </w:tblPr>
      <w:tblGrid>
        <w:gridCol w:w="6345"/>
        <w:gridCol w:w="363"/>
        <w:gridCol w:w="840"/>
        <w:gridCol w:w="6735"/>
        <w:gridCol w:w="426"/>
      </w:tblGrid>
      <w:tr w:rsidR="001D3C25" w:rsidRPr="005735EF" w:rsidTr="001D3C25">
        <w:trPr>
          <w:gridAfter w:val="1"/>
          <w:wAfter w:w="426" w:type="dxa"/>
        </w:trPr>
        <w:tc>
          <w:tcPr>
            <w:tcW w:w="6345" w:type="dxa"/>
          </w:tcPr>
          <w:p w:rsidR="001D3C25" w:rsidRPr="005735EF" w:rsidRDefault="001D3C25" w:rsidP="00111F2A">
            <w:pPr>
              <w:pStyle w:val="naisf"/>
              <w:spacing w:before="0" w:after="0"/>
              <w:ind w:firstLine="0"/>
            </w:pPr>
            <w:r w:rsidRPr="005735EF">
              <w:t>Datums</w:t>
            </w:r>
          </w:p>
        </w:tc>
        <w:tc>
          <w:tcPr>
            <w:tcW w:w="7938" w:type="dxa"/>
            <w:gridSpan w:val="3"/>
            <w:tcBorders>
              <w:bottom w:val="single" w:sz="4" w:space="0" w:color="auto"/>
            </w:tcBorders>
          </w:tcPr>
          <w:p w:rsidR="001D3C25" w:rsidRPr="005735EF" w:rsidRDefault="001D3C25" w:rsidP="00111F2A">
            <w:pPr>
              <w:pStyle w:val="NormalWeb"/>
              <w:spacing w:before="0" w:beforeAutospacing="0" w:after="0" w:afterAutospacing="0"/>
              <w:ind w:firstLine="720"/>
            </w:pPr>
          </w:p>
        </w:tc>
      </w:tr>
      <w:tr w:rsidR="001D3C25" w:rsidRPr="005735EF" w:rsidTr="001D3C25">
        <w:trPr>
          <w:gridAfter w:val="1"/>
          <w:wAfter w:w="426" w:type="dxa"/>
        </w:trPr>
        <w:tc>
          <w:tcPr>
            <w:tcW w:w="6345" w:type="dxa"/>
          </w:tcPr>
          <w:p w:rsidR="001D3C25" w:rsidRPr="005735EF" w:rsidRDefault="001D3C25" w:rsidP="00111F2A">
            <w:pPr>
              <w:pStyle w:val="naisf"/>
              <w:spacing w:before="0" w:after="0"/>
              <w:ind w:firstLine="0"/>
            </w:pPr>
          </w:p>
        </w:tc>
        <w:tc>
          <w:tcPr>
            <w:tcW w:w="7938" w:type="dxa"/>
            <w:gridSpan w:val="3"/>
            <w:tcBorders>
              <w:top w:val="single" w:sz="4" w:space="0" w:color="auto"/>
            </w:tcBorders>
          </w:tcPr>
          <w:p w:rsidR="001D3C25" w:rsidRPr="005735EF" w:rsidRDefault="001D3C25" w:rsidP="00111F2A">
            <w:pPr>
              <w:pStyle w:val="NormalWeb"/>
              <w:spacing w:before="0" w:beforeAutospacing="0" w:after="0" w:afterAutospacing="0"/>
              <w:ind w:firstLine="720"/>
            </w:pPr>
          </w:p>
        </w:tc>
      </w:tr>
      <w:tr w:rsidR="001D3C25" w:rsidRPr="005735EF" w:rsidTr="001D3C25">
        <w:trPr>
          <w:gridAfter w:val="1"/>
          <w:wAfter w:w="426" w:type="dxa"/>
        </w:trPr>
        <w:tc>
          <w:tcPr>
            <w:tcW w:w="6345" w:type="dxa"/>
          </w:tcPr>
          <w:p w:rsidR="001D3C25" w:rsidRPr="005735EF" w:rsidRDefault="001D3C25" w:rsidP="00111F2A">
            <w:pPr>
              <w:pStyle w:val="naiskr"/>
              <w:spacing w:before="0" w:after="0"/>
            </w:pPr>
            <w:r w:rsidRPr="005735EF">
              <w:t>Saskaņošanas dalībnieki</w:t>
            </w:r>
          </w:p>
        </w:tc>
        <w:tc>
          <w:tcPr>
            <w:tcW w:w="7938" w:type="dxa"/>
            <w:gridSpan w:val="3"/>
          </w:tcPr>
          <w:p w:rsidR="001D3C25" w:rsidRPr="005735EF" w:rsidRDefault="001D3C25" w:rsidP="00111F2A">
            <w:pPr>
              <w:pStyle w:val="NormalWeb"/>
              <w:spacing w:before="0" w:beforeAutospacing="0" w:after="0" w:afterAutospacing="0"/>
              <w:ind w:firstLine="720"/>
            </w:pPr>
          </w:p>
        </w:tc>
      </w:tr>
      <w:tr w:rsidR="001D3C25" w:rsidRPr="005735EF" w:rsidTr="001D3C25">
        <w:trPr>
          <w:gridAfter w:val="1"/>
          <w:wAfter w:w="426" w:type="dxa"/>
        </w:trPr>
        <w:tc>
          <w:tcPr>
            <w:tcW w:w="6345" w:type="dxa"/>
          </w:tcPr>
          <w:p w:rsidR="001D3C25" w:rsidRPr="005735EF" w:rsidRDefault="001D3C25" w:rsidP="00111F2A">
            <w:pPr>
              <w:pStyle w:val="naiskr"/>
              <w:spacing w:before="0" w:after="0"/>
              <w:ind w:firstLine="720"/>
            </w:pPr>
            <w:r w:rsidRPr="005735EF">
              <w:t>  </w:t>
            </w:r>
          </w:p>
        </w:tc>
        <w:tc>
          <w:tcPr>
            <w:tcW w:w="7938" w:type="dxa"/>
            <w:gridSpan w:val="3"/>
            <w:tcBorders>
              <w:top w:val="single" w:sz="6" w:space="0" w:color="000000"/>
              <w:bottom w:val="single" w:sz="6" w:space="0" w:color="000000"/>
            </w:tcBorders>
          </w:tcPr>
          <w:p w:rsidR="001D3C25" w:rsidRPr="005735EF" w:rsidRDefault="001D3C25" w:rsidP="00111F2A">
            <w:pPr>
              <w:pStyle w:val="naiskr"/>
              <w:spacing w:before="0" w:after="0"/>
              <w:ind w:firstLine="720"/>
            </w:pPr>
          </w:p>
        </w:tc>
      </w:tr>
      <w:tr w:rsidR="001D3C25" w:rsidRPr="005735EF" w:rsidTr="001D3C25">
        <w:trPr>
          <w:trHeight w:val="285"/>
        </w:trPr>
        <w:tc>
          <w:tcPr>
            <w:tcW w:w="6708" w:type="dxa"/>
            <w:gridSpan w:val="2"/>
          </w:tcPr>
          <w:p w:rsidR="001D3C25" w:rsidRPr="005735EF" w:rsidRDefault="001D3C25" w:rsidP="00111F2A">
            <w:pPr>
              <w:pStyle w:val="naiskr"/>
              <w:spacing w:before="0" w:after="0"/>
            </w:pPr>
            <w:r w:rsidRPr="005735EF">
              <w:t>Saskaņošanas dalībnieki izskatīja šādu ministriju (citu institūciju) iebildumus</w:t>
            </w:r>
          </w:p>
        </w:tc>
        <w:tc>
          <w:tcPr>
            <w:tcW w:w="840" w:type="dxa"/>
          </w:tcPr>
          <w:p w:rsidR="001D3C25" w:rsidRPr="005735EF" w:rsidRDefault="001D3C25" w:rsidP="00111F2A">
            <w:pPr>
              <w:pStyle w:val="naiskr"/>
              <w:spacing w:before="0" w:after="0"/>
              <w:ind w:firstLine="720"/>
            </w:pPr>
          </w:p>
        </w:tc>
        <w:tc>
          <w:tcPr>
            <w:tcW w:w="7161" w:type="dxa"/>
            <w:gridSpan w:val="2"/>
          </w:tcPr>
          <w:p w:rsidR="001D3C25" w:rsidRPr="005735EF" w:rsidRDefault="001D3C25" w:rsidP="00111F2A">
            <w:pPr>
              <w:pStyle w:val="naiskr"/>
              <w:spacing w:before="0" w:after="0"/>
              <w:ind w:firstLine="12"/>
            </w:pPr>
          </w:p>
        </w:tc>
      </w:tr>
      <w:tr w:rsidR="001D3C25" w:rsidRPr="005735EF" w:rsidTr="001D3C25">
        <w:trPr>
          <w:trHeight w:val="465"/>
        </w:trPr>
        <w:tc>
          <w:tcPr>
            <w:tcW w:w="6708" w:type="dxa"/>
            <w:gridSpan w:val="2"/>
          </w:tcPr>
          <w:p w:rsidR="001D3C25" w:rsidRPr="005735EF" w:rsidRDefault="001D3C25" w:rsidP="001D3C25">
            <w:pPr>
              <w:pStyle w:val="naiskr"/>
              <w:spacing w:before="0" w:after="0"/>
            </w:pPr>
          </w:p>
        </w:tc>
        <w:tc>
          <w:tcPr>
            <w:tcW w:w="8001" w:type="dxa"/>
            <w:gridSpan w:val="3"/>
            <w:tcBorders>
              <w:top w:val="single" w:sz="6" w:space="0" w:color="000000"/>
              <w:bottom w:val="single" w:sz="6" w:space="0" w:color="000000"/>
            </w:tcBorders>
          </w:tcPr>
          <w:p w:rsidR="001D3C25" w:rsidRPr="005735EF" w:rsidRDefault="001D3C25" w:rsidP="00111F2A">
            <w:pPr>
              <w:pStyle w:val="NormalWeb"/>
              <w:spacing w:before="0" w:beforeAutospacing="0" w:after="0" w:afterAutospacing="0"/>
              <w:ind w:firstLine="720"/>
            </w:pPr>
          </w:p>
        </w:tc>
      </w:tr>
      <w:tr w:rsidR="001D3C25" w:rsidRPr="005735EF" w:rsidTr="001D3C25">
        <w:trPr>
          <w:trHeight w:val="465"/>
        </w:trPr>
        <w:tc>
          <w:tcPr>
            <w:tcW w:w="14709" w:type="dxa"/>
            <w:gridSpan w:val="5"/>
          </w:tcPr>
          <w:p w:rsidR="001D3C25" w:rsidRPr="005735EF" w:rsidRDefault="001D3C25" w:rsidP="00111F2A">
            <w:pPr>
              <w:pStyle w:val="naisc"/>
              <w:spacing w:before="0" w:after="0"/>
              <w:ind w:left="4820" w:firstLine="720"/>
            </w:pPr>
          </w:p>
        </w:tc>
      </w:tr>
      <w:tr w:rsidR="001D3C25" w:rsidRPr="005735EF" w:rsidTr="001D3C25">
        <w:tc>
          <w:tcPr>
            <w:tcW w:w="6708" w:type="dxa"/>
            <w:gridSpan w:val="2"/>
          </w:tcPr>
          <w:p w:rsidR="001D3C25" w:rsidRPr="005735EF" w:rsidRDefault="001D3C25" w:rsidP="00111F2A">
            <w:pPr>
              <w:pStyle w:val="naiskr"/>
              <w:spacing w:before="0" w:after="0"/>
            </w:pPr>
            <w:r w:rsidRPr="005735EF">
              <w:t>Ministrijas (citas institūcijas), kuras nav ieradušās uz sanāksmi vai kuras nav atbildējušas uz uzaicinājumu piedalīties elektroniskajā saskaņošanā</w:t>
            </w:r>
          </w:p>
        </w:tc>
        <w:tc>
          <w:tcPr>
            <w:tcW w:w="8001" w:type="dxa"/>
            <w:gridSpan w:val="3"/>
          </w:tcPr>
          <w:p w:rsidR="001D3C25" w:rsidRPr="005735EF" w:rsidRDefault="001D3C25" w:rsidP="00111F2A">
            <w:pPr>
              <w:pStyle w:val="naiskr"/>
              <w:spacing w:before="0" w:after="0"/>
              <w:ind w:firstLine="720"/>
            </w:pPr>
          </w:p>
        </w:tc>
      </w:tr>
      <w:tr w:rsidR="001D3C25" w:rsidRPr="005735EF" w:rsidTr="001D3C25">
        <w:tc>
          <w:tcPr>
            <w:tcW w:w="6708" w:type="dxa"/>
            <w:gridSpan w:val="2"/>
          </w:tcPr>
          <w:p w:rsidR="001D3C25" w:rsidRPr="005735EF" w:rsidRDefault="001D3C25" w:rsidP="00111F2A">
            <w:pPr>
              <w:pStyle w:val="naiskr"/>
              <w:spacing w:before="0" w:after="0"/>
              <w:ind w:firstLine="720"/>
            </w:pPr>
            <w:r w:rsidRPr="005735EF">
              <w:t>  </w:t>
            </w:r>
          </w:p>
        </w:tc>
        <w:tc>
          <w:tcPr>
            <w:tcW w:w="8001" w:type="dxa"/>
            <w:gridSpan w:val="3"/>
            <w:tcBorders>
              <w:top w:val="single" w:sz="6" w:space="0" w:color="000000"/>
              <w:bottom w:val="single" w:sz="6" w:space="0" w:color="000000"/>
            </w:tcBorders>
          </w:tcPr>
          <w:p w:rsidR="001D3C25" w:rsidRPr="005735EF" w:rsidRDefault="001D3C25" w:rsidP="00111F2A">
            <w:pPr>
              <w:pStyle w:val="naiskr"/>
              <w:spacing w:before="0" w:after="0"/>
              <w:ind w:firstLine="720"/>
            </w:pPr>
          </w:p>
        </w:tc>
      </w:tr>
    </w:tbl>
    <w:p w:rsidR="001D3C25" w:rsidRDefault="001D3C25" w:rsidP="001D3C25">
      <w:pPr>
        <w:pStyle w:val="naisf"/>
        <w:spacing w:before="0" w:after="0"/>
        <w:ind w:firstLine="0"/>
        <w:rPr>
          <w:b/>
          <w:sz w:val="22"/>
          <w:szCs w:val="22"/>
        </w:rPr>
      </w:pPr>
    </w:p>
    <w:p w:rsidR="004865C4" w:rsidRPr="00DB0F73" w:rsidRDefault="004865C4" w:rsidP="001D3C25">
      <w:pPr>
        <w:pStyle w:val="naisf"/>
        <w:spacing w:before="0" w:after="0"/>
        <w:ind w:firstLine="0"/>
        <w:jc w:val="center"/>
        <w:rPr>
          <w:b/>
          <w:sz w:val="22"/>
          <w:szCs w:val="22"/>
        </w:rPr>
      </w:pPr>
      <w:r w:rsidRPr="00DB0F73">
        <w:rPr>
          <w:b/>
          <w:sz w:val="22"/>
          <w:szCs w:val="22"/>
        </w:rPr>
        <w:lastRenderedPageBreak/>
        <w:t>II. Jautājumi, par kuriem saskaņošanā vienošanās ir panākta</w:t>
      </w:r>
    </w:p>
    <w:p w:rsidR="004865C4" w:rsidRPr="00DB0F73" w:rsidRDefault="004865C4" w:rsidP="004865C4">
      <w:pPr>
        <w:pStyle w:val="naisf"/>
        <w:spacing w:before="0" w:after="0"/>
        <w:ind w:firstLine="720"/>
        <w:rPr>
          <w:sz w:val="22"/>
          <w:szCs w:val="22"/>
        </w:rPr>
      </w:pPr>
    </w:p>
    <w:tbl>
      <w:tblPr>
        <w:tblW w:w="15468"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260"/>
        <w:gridCol w:w="1021"/>
        <w:gridCol w:w="3025"/>
        <w:gridCol w:w="3500"/>
        <w:gridCol w:w="3385"/>
        <w:gridCol w:w="284"/>
      </w:tblGrid>
      <w:tr w:rsidR="004865C4" w:rsidRPr="00DB0F73" w:rsidTr="00074A78">
        <w:tc>
          <w:tcPr>
            <w:tcW w:w="993" w:type="dxa"/>
            <w:vAlign w:val="center"/>
          </w:tcPr>
          <w:p w:rsidR="004865C4" w:rsidRPr="00DB0F73" w:rsidRDefault="004865C4" w:rsidP="007E09C2">
            <w:pPr>
              <w:pStyle w:val="naisc"/>
              <w:spacing w:before="0" w:after="0"/>
              <w:rPr>
                <w:sz w:val="22"/>
                <w:szCs w:val="22"/>
              </w:rPr>
            </w:pPr>
            <w:r w:rsidRPr="00DB0F73">
              <w:rPr>
                <w:sz w:val="22"/>
                <w:szCs w:val="22"/>
              </w:rPr>
              <w:t>Nr. p.k.</w:t>
            </w:r>
          </w:p>
        </w:tc>
        <w:tc>
          <w:tcPr>
            <w:tcW w:w="3260" w:type="dxa"/>
            <w:vAlign w:val="center"/>
          </w:tcPr>
          <w:p w:rsidR="004865C4" w:rsidRPr="00DB0F73" w:rsidRDefault="004865C4" w:rsidP="007E09C2">
            <w:pPr>
              <w:pStyle w:val="naisc"/>
              <w:spacing w:before="0" w:after="0"/>
              <w:ind w:firstLine="12"/>
              <w:rPr>
                <w:sz w:val="22"/>
                <w:szCs w:val="22"/>
              </w:rPr>
            </w:pPr>
            <w:r w:rsidRPr="00DB0F73">
              <w:rPr>
                <w:sz w:val="22"/>
                <w:szCs w:val="22"/>
              </w:rPr>
              <w:t>Saskaņošanai nosūtītā projekta redakcija (konkrēta punkta (panta) redakcija)</w:t>
            </w:r>
          </w:p>
        </w:tc>
        <w:tc>
          <w:tcPr>
            <w:tcW w:w="4046" w:type="dxa"/>
            <w:gridSpan w:val="2"/>
            <w:vAlign w:val="center"/>
          </w:tcPr>
          <w:p w:rsidR="004865C4" w:rsidRPr="00DB0F73" w:rsidRDefault="004865C4" w:rsidP="007E09C2">
            <w:pPr>
              <w:pStyle w:val="naisc"/>
              <w:spacing w:before="0" w:after="0"/>
              <w:ind w:right="3"/>
              <w:rPr>
                <w:sz w:val="22"/>
                <w:szCs w:val="22"/>
              </w:rPr>
            </w:pPr>
            <w:r w:rsidRPr="00DB0F73">
              <w:rPr>
                <w:sz w:val="22"/>
                <w:szCs w:val="22"/>
              </w:rPr>
              <w:t>Atzinumā norādītais ministrijas (citas institūcijas) iebildums, kā arī saskaņošanā papildus izteiktais iebildums par projekta konkrēto punktu (pantu)</w:t>
            </w:r>
          </w:p>
        </w:tc>
        <w:tc>
          <w:tcPr>
            <w:tcW w:w="3500" w:type="dxa"/>
            <w:vAlign w:val="center"/>
          </w:tcPr>
          <w:p w:rsidR="004865C4" w:rsidRPr="00DB0F73" w:rsidRDefault="004865C4" w:rsidP="007E09C2">
            <w:pPr>
              <w:pStyle w:val="naisc"/>
              <w:spacing w:before="0" w:after="0"/>
              <w:ind w:firstLine="21"/>
              <w:rPr>
                <w:sz w:val="22"/>
                <w:szCs w:val="22"/>
              </w:rPr>
            </w:pPr>
            <w:r w:rsidRPr="00DB0F73">
              <w:rPr>
                <w:sz w:val="22"/>
                <w:szCs w:val="22"/>
              </w:rPr>
              <w:t>Atbildīgās ministrijas norāde par to, ka iebildums ir ņemts vērā, vai informācija par saskaņošanā panākto alternatīvo risinājumu</w:t>
            </w:r>
          </w:p>
        </w:tc>
        <w:tc>
          <w:tcPr>
            <w:tcW w:w="3669" w:type="dxa"/>
            <w:gridSpan w:val="2"/>
            <w:vAlign w:val="center"/>
          </w:tcPr>
          <w:p w:rsidR="004865C4" w:rsidRPr="00DB0F73" w:rsidRDefault="004865C4" w:rsidP="007E09C2">
            <w:pPr>
              <w:jc w:val="center"/>
              <w:rPr>
                <w:sz w:val="22"/>
                <w:szCs w:val="22"/>
              </w:rPr>
            </w:pPr>
            <w:r w:rsidRPr="00DB0F73">
              <w:rPr>
                <w:sz w:val="22"/>
                <w:szCs w:val="22"/>
              </w:rPr>
              <w:t>Projekta attiecīgā punkta (panta) galīgā redakcija</w:t>
            </w:r>
          </w:p>
        </w:tc>
      </w:tr>
      <w:tr w:rsidR="004865C4" w:rsidRPr="00DB0F73" w:rsidTr="00074A78">
        <w:tc>
          <w:tcPr>
            <w:tcW w:w="993" w:type="dxa"/>
          </w:tcPr>
          <w:p w:rsidR="004865C4" w:rsidRPr="00DB0F73" w:rsidRDefault="004865C4" w:rsidP="007E09C2">
            <w:pPr>
              <w:pStyle w:val="naisc"/>
              <w:spacing w:before="0" w:after="0"/>
              <w:rPr>
                <w:sz w:val="22"/>
                <w:szCs w:val="22"/>
              </w:rPr>
            </w:pPr>
            <w:r w:rsidRPr="00DB0F73">
              <w:rPr>
                <w:sz w:val="22"/>
                <w:szCs w:val="22"/>
              </w:rPr>
              <w:t>1</w:t>
            </w:r>
          </w:p>
        </w:tc>
        <w:tc>
          <w:tcPr>
            <w:tcW w:w="3260" w:type="dxa"/>
          </w:tcPr>
          <w:p w:rsidR="004865C4" w:rsidRPr="00DB0F73" w:rsidRDefault="004865C4" w:rsidP="007E09C2">
            <w:pPr>
              <w:pStyle w:val="naisc"/>
              <w:spacing w:before="0" w:after="0"/>
              <w:ind w:firstLine="720"/>
              <w:rPr>
                <w:sz w:val="22"/>
                <w:szCs w:val="22"/>
              </w:rPr>
            </w:pPr>
            <w:r w:rsidRPr="00DB0F73">
              <w:rPr>
                <w:sz w:val="22"/>
                <w:szCs w:val="22"/>
              </w:rPr>
              <w:t>2</w:t>
            </w:r>
          </w:p>
        </w:tc>
        <w:tc>
          <w:tcPr>
            <w:tcW w:w="4046" w:type="dxa"/>
            <w:gridSpan w:val="2"/>
          </w:tcPr>
          <w:p w:rsidR="004865C4" w:rsidRPr="00DB0F73" w:rsidRDefault="004865C4" w:rsidP="007E09C2">
            <w:pPr>
              <w:pStyle w:val="naisc"/>
              <w:spacing w:before="0" w:after="0"/>
              <w:ind w:firstLine="720"/>
              <w:rPr>
                <w:sz w:val="22"/>
                <w:szCs w:val="22"/>
              </w:rPr>
            </w:pPr>
            <w:r w:rsidRPr="00DB0F73">
              <w:rPr>
                <w:sz w:val="22"/>
                <w:szCs w:val="22"/>
              </w:rPr>
              <w:t>3</w:t>
            </w:r>
          </w:p>
        </w:tc>
        <w:tc>
          <w:tcPr>
            <w:tcW w:w="3500" w:type="dxa"/>
          </w:tcPr>
          <w:p w:rsidR="004865C4" w:rsidRPr="00DB0F73" w:rsidRDefault="004865C4" w:rsidP="007E09C2">
            <w:pPr>
              <w:pStyle w:val="naisc"/>
              <w:spacing w:before="0" w:after="0"/>
              <w:ind w:firstLine="720"/>
              <w:rPr>
                <w:sz w:val="22"/>
                <w:szCs w:val="22"/>
              </w:rPr>
            </w:pPr>
            <w:r w:rsidRPr="00DB0F73">
              <w:rPr>
                <w:sz w:val="22"/>
                <w:szCs w:val="22"/>
              </w:rPr>
              <w:t>4</w:t>
            </w:r>
          </w:p>
        </w:tc>
        <w:tc>
          <w:tcPr>
            <w:tcW w:w="3669" w:type="dxa"/>
            <w:gridSpan w:val="2"/>
          </w:tcPr>
          <w:p w:rsidR="004865C4" w:rsidRPr="00DB0F73" w:rsidRDefault="004865C4" w:rsidP="007E09C2">
            <w:pPr>
              <w:jc w:val="center"/>
              <w:rPr>
                <w:sz w:val="22"/>
                <w:szCs w:val="22"/>
              </w:rPr>
            </w:pPr>
            <w:r w:rsidRPr="00DB0F73">
              <w:rPr>
                <w:sz w:val="22"/>
                <w:szCs w:val="22"/>
              </w:rPr>
              <w:t>5</w:t>
            </w:r>
          </w:p>
        </w:tc>
      </w:tr>
      <w:tr w:rsidR="004412AC" w:rsidRPr="001D3C25" w:rsidTr="00074A78">
        <w:tc>
          <w:tcPr>
            <w:tcW w:w="993" w:type="dxa"/>
          </w:tcPr>
          <w:p w:rsidR="004412AC" w:rsidRPr="001D3C25" w:rsidRDefault="004412AC" w:rsidP="007E09C2">
            <w:pPr>
              <w:pStyle w:val="naisc"/>
              <w:numPr>
                <w:ilvl w:val="0"/>
                <w:numId w:val="2"/>
              </w:numPr>
              <w:spacing w:before="0" w:after="0"/>
              <w:jc w:val="both"/>
            </w:pPr>
          </w:p>
        </w:tc>
        <w:tc>
          <w:tcPr>
            <w:tcW w:w="3260" w:type="dxa"/>
          </w:tcPr>
          <w:p w:rsidR="004412AC" w:rsidRPr="001D3C25" w:rsidRDefault="004412AC" w:rsidP="007E09C2">
            <w:pPr>
              <w:pStyle w:val="naisc"/>
              <w:spacing w:before="0" w:after="0"/>
              <w:ind w:firstLine="12"/>
              <w:jc w:val="both"/>
            </w:pPr>
            <w:r w:rsidRPr="001D3C25">
              <w:t>85.panta pirmo daļu izteikt jaunā redakcijā, nosakot, ka "ārvalstīs iegūto akadēmisko grādu un izglītības dokumentu, kā arī vidējo izglītību apliecinošu dokumentu (turpmāk šajā pantā — izglītības dokuments) ekspertīzi veic Akadēmiskais informācijas centrs, izņemot šā panta 1.</w:t>
            </w:r>
            <w:r w:rsidRPr="001D3C25">
              <w:rPr>
                <w:vertAlign w:val="superscript"/>
              </w:rPr>
              <w:t>1</w:t>
            </w:r>
            <w:r w:rsidRPr="001D3C25">
              <w:t xml:space="preserve"> daļā minēto dokumentu ekspertīzi".</w:t>
            </w:r>
          </w:p>
        </w:tc>
        <w:tc>
          <w:tcPr>
            <w:tcW w:w="4046" w:type="dxa"/>
            <w:gridSpan w:val="2"/>
          </w:tcPr>
          <w:p w:rsidR="002B158E" w:rsidRPr="001D3C25" w:rsidRDefault="004412AC" w:rsidP="00DA0831">
            <w:pPr>
              <w:pStyle w:val="naisc"/>
              <w:ind w:firstLine="46"/>
              <w:jc w:val="both"/>
              <w:rPr>
                <w:b/>
              </w:rPr>
            </w:pPr>
            <w:r w:rsidRPr="001D3C25">
              <w:rPr>
                <w:b/>
              </w:rPr>
              <w:t xml:space="preserve">Tieslietu ministrija </w:t>
            </w:r>
            <w:r w:rsidR="002B158E" w:rsidRPr="001D3C25">
              <w:rPr>
                <w:b/>
              </w:rPr>
              <w:t xml:space="preserve"> </w:t>
            </w:r>
          </w:p>
          <w:p w:rsidR="004412AC" w:rsidRPr="001D3C25" w:rsidRDefault="002B158E" w:rsidP="00DA0831">
            <w:pPr>
              <w:pStyle w:val="naisc"/>
              <w:ind w:firstLine="46"/>
              <w:jc w:val="both"/>
            </w:pPr>
            <w:r w:rsidRPr="001D3C25">
              <w:t>(05.10.2020. Nr.1-9.1/1036)</w:t>
            </w:r>
          </w:p>
          <w:p w:rsidR="004412AC" w:rsidRPr="001D3C25" w:rsidRDefault="004412AC" w:rsidP="00DA0831">
            <w:pPr>
              <w:pStyle w:val="naisc"/>
              <w:ind w:firstLine="46"/>
              <w:jc w:val="both"/>
            </w:pPr>
            <w:r w:rsidRPr="001D3C25">
              <w:t>Lūdzam precizēt šo normu, lai būtu skaidrs, uz ko ti</w:t>
            </w:r>
            <w:r w:rsidR="00A57282" w:rsidRPr="001D3C25">
              <w:t xml:space="preserve">eši attiecas iekavās norādītais </w:t>
            </w:r>
            <w:r w:rsidRPr="001D3C25">
              <w:t>saīsinājums "izglītības dokuments", jo no turpmākā projekta teksta tas nav uztverams.</w:t>
            </w:r>
          </w:p>
          <w:p w:rsidR="004412AC" w:rsidRPr="001D3C25" w:rsidRDefault="004412AC" w:rsidP="00DA0831">
            <w:pPr>
              <w:pStyle w:val="naisc"/>
              <w:ind w:firstLine="46"/>
              <w:jc w:val="both"/>
            </w:pPr>
          </w:p>
          <w:p w:rsidR="007C50A2" w:rsidRDefault="007C50A2" w:rsidP="007C50A2">
            <w:pPr>
              <w:pStyle w:val="naisc"/>
              <w:ind w:firstLine="46"/>
              <w:jc w:val="both"/>
            </w:pPr>
            <w:r>
              <w:t>TM atkārtoti 22.02.21. epasta atzinumā norāda:</w:t>
            </w:r>
          </w:p>
          <w:p w:rsidR="007C50A2" w:rsidRPr="00517C04" w:rsidRDefault="007C50A2" w:rsidP="007C50A2">
            <w:pPr>
              <w:jc w:val="both"/>
              <w:rPr>
                <w:color w:val="000000"/>
              </w:rPr>
            </w:pPr>
            <w:r>
              <w:rPr>
                <w:color w:val="000000"/>
              </w:rPr>
              <w:t>1.</w:t>
            </w:r>
            <w:r w:rsidRPr="00517C04">
              <w:rPr>
                <w:color w:val="000000"/>
              </w:rPr>
              <w:t>Izziņas 2.punktā tiek skaidrots, ka Akadēmiskās informācijas centrs veic ekspertīzi par visiem dokumentiem. Saskaņā ar projekta 1.pantu [..] ekspertīzi veic Akadēmiskais informācijas centrs, izņemot šā panta 1.</w:t>
            </w:r>
            <w:r w:rsidRPr="00517C04">
              <w:rPr>
                <w:color w:val="000000"/>
                <w:vertAlign w:val="superscript"/>
              </w:rPr>
              <w:t>1</w:t>
            </w:r>
            <w:r w:rsidRPr="00517C04">
              <w:rPr>
                <w:color w:val="000000"/>
              </w:rPr>
              <w:t xml:space="preserve"> daļā minēto dokumentu ekspertīzi. Līdz ar to lūdzam skaidrot, vai AIC nevarēs veikt ekspertīzi par 1.</w:t>
            </w:r>
            <w:r w:rsidRPr="00517C04">
              <w:rPr>
                <w:color w:val="000000"/>
                <w:vertAlign w:val="superscript"/>
              </w:rPr>
              <w:t>1</w:t>
            </w:r>
            <w:r w:rsidRPr="00517C04">
              <w:rPr>
                <w:color w:val="000000"/>
              </w:rPr>
              <w:t> daļā minētajiem dokumentiem. Ja nepieciešams, aicinām precizēt projektu.</w:t>
            </w:r>
          </w:p>
          <w:p w:rsidR="004412AC" w:rsidRPr="001D3C25" w:rsidRDefault="004412AC" w:rsidP="00DA0831">
            <w:pPr>
              <w:pStyle w:val="naisc"/>
              <w:ind w:firstLine="46"/>
              <w:jc w:val="both"/>
            </w:pPr>
          </w:p>
        </w:tc>
        <w:tc>
          <w:tcPr>
            <w:tcW w:w="3500" w:type="dxa"/>
          </w:tcPr>
          <w:p w:rsidR="004412AC" w:rsidRPr="001D3C25" w:rsidRDefault="004412AC" w:rsidP="007E09C2">
            <w:pPr>
              <w:pStyle w:val="naisc"/>
              <w:spacing w:before="0" w:after="0"/>
              <w:jc w:val="both"/>
              <w:rPr>
                <w:b/>
              </w:rPr>
            </w:pPr>
            <w:r w:rsidRPr="001D3C25">
              <w:rPr>
                <w:b/>
              </w:rPr>
              <w:t>Ņemts vērā</w:t>
            </w:r>
            <w:r w:rsidR="00F96B0D" w:rsidRPr="001D3C25">
              <w:rPr>
                <w:b/>
              </w:rPr>
              <w:t>,</w:t>
            </w:r>
          </w:p>
          <w:p w:rsidR="00F96B0D" w:rsidRPr="001D3C25" w:rsidRDefault="00F96B0D" w:rsidP="007E09C2">
            <w:pPr>
              <w:pStyle w:val="naisc"/>
              <w:spacing w:before="0" w:after="0"/>
              <w:jc w:val="both"/>
              <w:rPr>
                <w:b/>
              </w:rPr>
            </w:pPr>
            <w:r w:rsidRPr="001D3C25">
              <w:rPr>
                <w:b/>
              </w:rPr>
              <w:t>Sniedzam šādu skaidrojumu</w:t>
            </w:r>
          </w:p>
          <w:p w:rsidR="00161812" w:rsidRDefault="00A57282" w:rsidP="00161812">
            <w:pPr>
              <w:pStyle w:val="naisc"/>
              <w:spacing w:before="0" w:after="0"/>
              <w:jc w:val="both"/>
            </w:pPr>
            <w:r w:rsidRPr="001D3C25">
              <w:t xml:space="preserve">Lai izvairītos un turpmāk nebūtu jālieto frāze „izglītības dokumentu, kā arī vidējo izglītību apliecinošu dokumentu”, tiek ieviests apkopojošs apzīmējums „izglītības dokuments”;  </w:t>
            </w:r>
            <w:r w:rsidR="00F96B0D" w:rsidRPr="001D3C25">
              <w:t xml:space="preserve">tas </w:t>
            </w:r>
            <w:r w:rsidR="00161812" w:rsidRPr="001D3C25">
              <w:t xml:space="preserve">attiecas uz </w:t>
            </w:r>
            <w:r w:rsidR="00F96B0D" w:rsidRPr="001D3C25">
              <w:t xml:space="preserve">visiem </w:t>
            </w:r>
            <w:r w:rsidR="00161812" w:rsidRPr="001D3C25">
              <w:t>izglītības dokumentiem</w:t>
            </w:r>
            <w:r w:rsidR="00F96B0D" w:rsidRPr="001D3C25">
              <w:t xml:space="preserve">, </w:t>
            </w:r>
            <w:r w:rsidRPr="001D3C25">
              <w:t>par kuriem ekspe</w:t>
            </w:r>
            <w:r w:rsidR="001D3C25">
              <w:t>r</w:t>
            </w:r>
            <w:r w:rsidRPr="001D3C25">
              <w:t>tīzi veic Akadēmiskās informācijas centrs</w:t>
            </w:r>
            <w:r w:rsidR="005825C2" w:rsidRPr="001D3C25">
              <w:t xml:space="preserve"> (turpmāk – AIC)</w:t>
            </w:r>
            <w:r w:rsidRPr="001D3C25">
              <w:t xml:space="preserve">, savukārt </w:t>
            </w:r>
            <w:r w:rsidR="00F96B0D" w:rsidRPr="001D3C25">
              <w:t>1.</w:t>
            </w:r>
            <w:r w:rsidR="00F96B0D" w:rsidRPr="001D3C25">
              <w:rPr>
                <w:vertAlign w:val="superscript"/>
              </w:rPr>
              <w:t>1</w:t>
            </w:r>
            <w:r w:rsidR="00F96B0D" w:rsidRPr="001D3C25">
              <w:t xml:space="preserve"> daļā minēto dokumentu ekspertīz</w:t>
            </w:r>
            <w:r w:rsidR="003D2B75">
              <w:t>e</w:t>
            </w:r>
            <w:r w:rsidR="001D3C25">
              <w:t xml:space="preserve">, </w:t>
            </w:r>
            <w:r w:rsidR="00E023E5">
              <w:t xml:space="preserve">ir </w:t>
            </w:r>
            <w:r w:rsidR="003D2B75">
              <w:t xml:space="preserve">attiecināmi </w:t>
            </w:r>
            <w:r w:rsidR="001D3C25">
              <w:t xml:space="preserve">tikai </w:t>
            </w:r>
            <w:r w:rsidR="003D2B75">
              <w:t xml:space="preserve">uz </w:t>
            </w:r>
            <w:r w:rsidR="001D3C25">
              <w:t>tie</w:t>
            </w:r>
            <w:r w:rsidR="003D2B75">
              <w:t>m</w:t>
            </w:r>
            <w:r w:rsidRPr="001D3C25">
              <w:t>, kas izdoti sākot no 2016.gada 1.janvāra Eiropas Savienības valstīs, Eiropas Ekonomikas zonas valstīs, Šveices Konfederācijā un Ministru kabineta noteiktās ārvalstīs un par kuriem veikt ekspertīzi tiesības ir ieguvusi augstskola.</w:t>
            </w:r>
          </w:p>
          <w:p w:rsidR="00C9050A" w:rsidRDefault="00C9050A" w:rsidP="00161812">
            <w:pPr>
              <w:pStyle w:val="naisc"/>
              <w:spacing w:before="0" w:after="0"/>
              <w:jc w:val="both"/>
            </w:pPr>
            <w:r>
              <w:t xml:space="preserve">Ja augstskola ir izmantojusi šādu iespēju un ieguvusi tiesības veikt noteikto izglītības dokumentu ekpertīzi, tai vairs nav iespēja </w:t>
            </w:r>
            <w:r>
              <w:lastRenderedPageBreak/>
              <w:t>izvēlēties – veikt vai neveikt dokumentu ekspertīzi.</w:t>
            </w:r>
          </w:p>
          <w:p w:rsidR="00C9050A" w:rsidRPr="001D3C25" w:rsidRDefault="00C9050A" w:rsidP="00161812">
            <w:pPr>
              <w:pStyle w:val="naisc"/>
              <w:spacing w:before="0" w:after="0"/>
              <w:jc w:val="both"/>
            </w:pPr>
            <w:r>
              <w:t>Lūdzam skatīt arī izziņas 5.punktu.</w:t>
            </w:r>
          </w:p>
          <w:p w:rsidR="00161812" w:rsidRPr="001D3C25" w:rsidRDefault="00161812" w:rsidP="00161812">
            <w:pPr>
              <w:pStyle w:val="naisc"/>
              <w:spacing w:before="0" w:after="0"/>
              <w:jc w:val="both"/>
              <w:rPr>
                <w:i/>
                <w:highlight w:val="yellow"/>
              </w:rPr>
            </w:pPr>
          </w:p>
        </w:tc>
        <w:tc>
          <w:tcPr>
            <w:tcW w:w="3669" w:type="dxa"/>
            <w:gridSpan w:val="2"/>
          </w:tcPr>
          <w:p w:rsidR="004412AC" w:rsidRDefault="001B4EC9" w:rsidP="005E2A43">
            <w:pPr>
              <w:jc w:val="both"/>
              <w:rPr>
                <w:b/>
              </w:rPr>
            </w:pPr>
            <w:r w:rsidRPr="001B4EC9">
              <w:rPr>
                <w:b/>
              </w:rPr>
              <w:lastRenderedPageBreak/>
              <w:t>Precizēt</w:t>
            </w:r>
            <w:r w:rsidR="007C50A2">
              <w:rPr>
                <w:b/>
              </w:rPr>
              <w:t xml:space="preserve">s likumprojekts un </w:t>
            </w:r>
            <w:r w:rsidRPr="001B4EC9">
              <w:rPr>
                <w:b/>
              </w:rPr>
              <w:t xml:space="preserve"> anotācija</w:t>
            </w:r>
          </w:p>
          <w:p w:rsidR="007C50A2" w:rsidRDefault="007C50A2" w:rsidP="005E2A43">
            <w:pPr>
              <w:jc w:val="both"/>
              <w:rPr>
                <w:b/>
              </w:rPr>
            </w:pPr>
          </w:p>
          <w:p w:rsidR="007C50A2" w:rsidRPr="007C50A2" w:rsidRDefault="007C50A2" w:rsidP="003B1A98">
            <w:pPr>
              <w:jc w:val="both"/>
              <w:rPr>
                <w:b/>
              </w:rPr>
            </w:pPr>
            <w:r w:rsidRPr="007C50A2">
              <w:t xml:space="preserve">“(1) Ārvalstīs iegūto akadēmisko grādu un izglītības dokumentu, kā arī vidējo izglītību apliecinošu dokumentu </w:t>
            </w:r>
            <w:r w:rsidRPr="007C50A2">
              <w:rPr>
                <w:b/>
                <w:shd w:val="clear" w:color="auto" w:fill="FFFFFF"/>
              </w:rPr>
              <w:t xml:space="preserve">(turpmāk šajā pantā — </w:t>
            </w:r>
            <w:r w:rsidRPr="007C50A2">
              <w:rPr>
                <w:b/>
              </w:rPr>
              <w:t>izglītības dokumenti</w:t>
            </w:r>
            <w:r w:rsidRPr="007C50A2">
              <w:rPr>
                <w:b/>
                <w:shd w:val="clear" w:color="auto" w:fill="FFFFFF"/>
              </w:rPr>
              <w:t>)</w:t>
            </w:r>
            <w:r w:rsidRPr="007C50A2">
              <w:rPr>
                <w:b/>
              </w:rPr>
              <w:t xml:space="preserve"> </w:t>
            </w:r>
            <w:r w:rsidRPr="007C50A2">
              <w:t>ekspertīzi veic Akadēmiskais informācijas centrs, izņemot, ja šā panta 1.</w:t>
            </w:r>
            <w:r w:rsidRPr="007C50A2">
              <w:rPr>
                <w:vertAlign w:val="superscript"/>
              </w:rPr>
              <w:t>1</w:t>
            </w:r>
            <w:r w:rsidRPr="007C50A2">
              <w:t xml:space="preserve"> daļā minēto  dokumentu ekspertīzi veic </w:t>
            </w:r>
            <w:r w:rsidR="003B1A98">
              <w:t>attiecīgā augstskola</w:t>
            </w:r>
            <w:r>
              <w:t>.</w:t>
            </w:r>
            <w:r w:rsidRPr="007C50A2">
              <w:t>”</w:t>
            </w:r>
          </w:p>
        </w:tc>
      </w:tr>
      <w:tr w:rsidR="006C43D7" w:rsidRPr="00DB0F73" w:rsidTr="00074A78">
        <w:tc>
          <w:tcPr>
            <w:tcW w:w="993" w:type="dxa"/>
          </w:tcPr>
          <w:p w:rsidR="006C43D7" w:rsidRPr="00DB0F73" w:rsidRDefault="006C43D7" w:rsidP="007E09C2">
            <w:pPr>
              <w:pStyle w:val="naisc"/>
              <w:numPr>
                <w:ilvl w:val="0"/>
                <w:numId w:val="2"/>
              </w:numPr>
              <w:spacing w:before="0" w:after="0"/>
              <w:jc w:val="both"/>
              <w:rPr>
                <w:sz w:val="22"/>
                <w:szCs w:val="22"/>
              </w:rPr>
            </w:pPr>
          </w:p>
        </w:tc>
        <w:tc>
          <w:tcPr>
            <w:tcW w:w="3260" w:type="dxa"/>
          </w:tcPr>
          <w:p w:rsidR="006C43D7" w:rsidRPr="001B4EC9" w:rsidRDefault="001B4EC9" w:rsidP="007E09C2">
            <w:pPr>
              <w:pStyle w:val="naisc"/>
              <w:spacing w:before="0" w:after="0"/>
              <w:ind w:firstLine="12"/>
              <w:jc w:val="both"/>
            </w:pPr>
            <w:r w:rsidRPr="001B4EC9">
              <w:t>“(1</w:t>
            </w:r>
            <w:r w:rsidRPr="001B4EC9">
              <w:rPr>
                <w:vertAlign w:val="superscript"/>
              </w:rPr>
              <w:t>1</w:t>
            </w:r>
            <w:r w:rsidRPr="001B4EC9">
              <w:t>) Ministru kabineta noteiktām prasībām atbilstošajai augstskolai ir tiesības veikt par pēdējo trīs gadu laikā Eiropas Savienības valstīs, Eiropas Ekonomikas zonas valstīs, Šveices Konfederācijā un Ministru kabineta noteiktās ārvalstīs izsniegto izglītības dokumentu un ārvalstīs iegūto akadēmisko grādu apliecinošu dokumentu ekspertīzi atbilstoši šā panta otrajai daļai un Ministru kabineta noteiktajā kārtībā, ja šo dokumentu īpašnieks ir iesniedzis šādai augstskolai iesniegumu studiju uzsākšanai vai studiju turpināšanai Latvijā, un izsniegt šā panta trešajai daļā minēto izziņu. Ja augstskola neveic šo dokumentu ekspertīzi, tad to izpilda Akadēmiskās informācijas centrs.”;</w:t>
            </w:r>
          </w:p>
        </w:tc>
        <w:tc>
          <w:tcPr>
            <w:tcW w:w="4046" w:type="dxa"/>
            <w:gridSpan w:val="2"/>
          </w:tcPr>
          <w:p w:rsidR="002B158E" w:rsidRDefault="006C43D7" w:rsidP="00DA0831">
            <w:pPr>
              <w:pStyle w:val="naisc"/>
              <w:ind w:firstLine="46"/>
              <w:jc w:val="both"/>
              <w:rPr>
                <w:b/>
              </w:rPr>
            </w:pPr>
            <w:r w:rsidRPr="006C43D7">
              <w:rPr>
                <w:b/>
              </w:rPr>
              <w:t>Tieslietu ministrijas</w:t>
            </w:r>
            <w:r w:rsidR="002B158E">
              <w:rPr>
                <w:b/>
              </w:rPr>
              <w:t xml:space="preserve"> </w:t>
            </w:r>
          </w:p>
          <w:p w:rsidR="002B158E" w:rsidRPr="002B158E" w:rsidRDefault="002B158E" w:rsidP="002B158E">
            <w:pPr>
              <w:pStyle w:val="naisc"/>
              <w:ind w:firstLine="46"/>
              <w:jc w:val="both"/>
            </w:pPr>
            <w:r w:rsidRPr="002B158E">
              <w:t>(05.10.2020. Nr.1-9.1/1036)</w:t>
            </w:r>
          </w:p>
          <w:p w:rsidR="006C43D7" w:rsidRDefault="006C43D7" w:rsidP="00DA0831">
            <w:pPr>
              <w:pStyle w:val="naisc"/>
              <w:ind w:firstLine="46"/>
              <w:jc w:val="both"/>
            </w:pPr>
            <w:r w:rsidRPr="006C43D7">
              <w:t>nav saprotams, ar ko atšķiras Augstskolu likuma 85.panta pirmajā daļā minētie dokumenti no dokumentiem, kas minēti 1.</w:t>
            </w:r>
            <w:r w:rsidRPr="00D253F1">
              <w:rPr>
                <w:vertAlign w:val="superscript"/>
              </w:rPr>
              <w:t>1</w:t>
            </w:r>
            <w:r w:rsidRPr="006C43D7">
              <w:t xml:space="preserve"> daļā. Turklāt gadījumā, ja augstskolai nebūs piešķirtas tiesības veikt dokumentu ekspertīzi, to darīs Akadēmiskās informācijas centrs, līdz ar to ir nepieciešams precizēt projektā ietvertās normas, konkrēti un skaidri nosakot, kas, kuros gadījumos un par kādiem dokumentiem veic ekspertīzi.</w:t>
            </w:r>
          </w:p>
          <w:p w:rsidR="003D2B75" w:rsidRDefault="003D2B75" w:rsidP="00DA0831">
            <w:pPr>
              <w:pStyle w:val="naisc"/>
              <w:ind w:firstLine="46"/>
              <w:jc w:val="both"/>
            </w:pPr>
          </w:p>
          <w:p w:rsidR="003D2B75" w:rsidRDefault="003D2B75" w:rsidP="00DA0831">
            <w:pPr>
              <w:pStyle w:val="naisc"/>
              <w:ind w:firstLine="46"/>
              <w:jc w:val="both"/>
            </w:pPr>
            <w:r>
              <w:t>TM atkārtoti 22.02.21. epasta atzinumā norāda:</w:t>
            </w:r>
          </w:p>
          <w:p w:rsidR="003D2B75" w:rsidRDefault="003D2B75" w:rsidP="007C50A2">
            <w:pPr>
              <w:jc w:val="both"/>
              <w:rPr>
                <w:color w:val="000000"/>
              </w:rPr>
            </w:pPr>
            <w:r w:rsidRPr="007C50A2">
              <w:rPr>
                <w:color w:val="000000"/>
              </w:rPr>
              <w:t>2. Lūdzam redakcionāli precizēt 1.</w:t>
            </w:r>
            <w:r w:rsidRPr="007C50A2">
              <w:rPr>
                <w:color w:val="000000"/>
                <w:vertAlign w:val="superscript"/>
              </w:rPr>
              <w:t>1</w:t>
            </w:r>
            <w:r w:rsidRPr="007C50A2">
              <w:rPr>
                <w:color w:val="000000"/>
              </w:rPr>
              <w:t> daļu, lai būtu saprotams, ka attiecīgo ekspertīzi var veikt tā augstskola, kura atbilst Ministru kabineta noteiktajām prasībām un kurai Ministru kabineta noteiktā kārtībā ir piešķirtas šādas tiesības.</w:t>
            </w:r>
          </w:p>
          <w:p w:rsidR="007C650A" w:rsidRDefault="007C650A" w:rsidP="007C50A2">
            <w:pPr>
              <w:jc w:val="both"/>
              <w:rPr>
                <w:color w:val="000000"/>
              </w:rPr>
            </w:pPr>
          </w:p>
          <w:p w:rsidR="007C650A" w:rsidRPr="007C50A2" w:rsidRDefault="007C650A" w:rsidP="007C50A2">
            <w:pPr>
              <w:jc w:val="both"/>
              <w:rPr>
                <w:color w:val="000000"/>
              </w:rPr>
            </w:pPr>
            <w:r w:rsidRPr="007C650A">
              <w:rPr>
                <w:color w:val="000000"/>
              </w:rPr>
              <w:lastRenderedPageBreak/>
              <w:t>TM_</w:t>
            </w:r>
            <w:r>
              <w:rPr>
                <w:color w:val="000000"/>
              </w:rPr>
              <w:t>03.03.21. epasta atzinumā saskaņo redakciju, izsakot priekšlikumu to  precizēt (ir atkārtoti precizēts).</w:t>
            </w:r>
          </w:p>
          <w:p w:rsidR="003D2B75" w:rsidRPr="004412AC" w:rsidRDefault="003D2B75" w:rsidP="00DA0831">
            <w:pPr>
              <w:pStyle w:val="naisc"/>
              <w:ind w:firstLine="46"/>
              <w:jc w:val="both"/>
              <w:rPr>
                <w:b/>
              </w:rPr>
            </w:pPr>
          </w:p>
        </w:tc>
        <w:tc>
          <w:tcPr>
            <w:tcW w:w="3500" w:type="dxa"/>
          </w:tcPr>
          <w:p w:rsidR="006B2E92" w:rsidRDefault="006B2E92" w:rsidP="007E09C2">
            <w:pPr>
              <w:pStyle w:val="naisc"/>
              <w:spacing w:before="0" w:after="0"/>
              <w:jc w:val="both"/>
              <w:rPr>
                <w:b/>
                <w:sz w:val="22"/>
                <w:szCs w:val="22"/>
              </w:rPr>
            </w:pPr>
            <w:r w:rsidRPr="006B2E92">
              <w:rPr>
                <w:b/>
                <w:sz w:val="22"/>
                <w:szCs w:val="22"/>
              </w:rPr>
              <w:lastRenderedPageBreak/>
              <w:t>Ņemts vērā</w:t>
            </w:r>
            <w:r w:rsidR="00A57282">
              <w:rPr>
                <w:b/>
                <w:sz w:val="22"/>
                <w:szCs w:val="22"/>
              </w:rPr>
              <w:t>,</w:t>
            </w:r>
          </w:p>
          <w:p w:rsidR="00A57282" w:rsidRPr="00161812" w:rsidRDefault="00A57282" w:rsidP="00A57282">
            <w:pPr>
              <w:pStyle w:val="naisc"/>
              <w:spacing w:before="0" w:after="0"/>
              <w:jc w:val="both"/>
              <w:rPr>
                <w:b/>
                <w:sz w:val="22"/>
                <w:szCs w:val="22"/>
              </w:rPr>
            </w:pPr>
            <w:r>
              <w:rPr>
                <w:b/>
                <w:sz w:val="22"/>
                <w:szCs w:val="22"/>
              </w:rPr>
              <w:t>Sniedzam šādu skaidrojumu</w:t>
            </w:r>
          </w:p>
          <w:p w:rsidR="006B2E92" w:rsidRPr="006B2E92" w:rsidRDefault="006B2E92" w:rsidP="007E09C2">
            <w:pPr>
              <w:pStyle w:val="naisc"/>
              <w:spacing w:before="0" w:after="0"/>
              <w:jc w:val="both"/>
              <w:rPr>
                <w:b/>
                <w:sz w:val="22"/>
                <w:szCs w:val="22"/>
                <w:highlight w:val="yellow"/>
              </w:rPr>
            </w:pPr>
          </w:p>
          <w:p w:rsidR="006C43D7" w:rsidRPr="008B074C" w:rsidRDefault="008B074C" w:rsidP="00C9050A">
            <w:pPr>
              <w:pStyle w:val="naisc"/>
              <w:spacing w:before="0" w:after="0"/>
              <w:jc w:val="both"/>
              <w:rPr>
                <w:highlight w:val="yellow"/>
              </w:rPr>
            </w:pPr>
            <w:r w:rsidRPr="008B074C">
              <w:t xml:space="preserve">Lūdzam skatīt skaidrojumu izziņas 1.punktā. Papildus skaidrojam, ka </w:t>
            </w:r>
            <w:r w:rsidR="005825C2">
              <w:t xml:space="preserve">AIC </w:t>
            </w:r>
            <w:r w:rsidRPr="008B074C">
              <w:t>veic ekspertīzi par visiem</w:t>
            </w:r>
            <w:r w:rsidR="00E023E5">
              <w:t xml:space="preserve"> tiem</w:t>
            </w:r>
            <w:r w:rsidRPr="008B074C">
              <w:t xml:space="preserve"> dokumentiem, </w:t>
            </w:r>
            <w:r w:rsidR="00E023E5">
              <w:t xml:space="preserve">par kuriem to neveic </w:t>
            </w:r>
            <w:r w:rsidRPr="008B074C">
              <w:t>tiesības ieguvusī augstskola</w:t>
            </w:r>
            <w:r w:rsidR="00E023E5">
              <w:t xml:space="preserve">, </w:t>
            </w:r>
            <w:r w:rsidR="00C9050A">
              <w:t>jo arī tiesības ieguvusī</w:t>
            </w:r>
            <w:r w:rsidR="00E023E5">
              <w:t xml:space="preserve"> augstskola </w:t>
            </w:r>
            <w:r w:rsidRPr="008B074C">
              <w:t xml:space="preserve">nevarēs veikt ekspertīzi par visās valstīs un visos laikos izdotiem dokumentiem; citādi tie abos gadījumos ir tādi </w:t>
            </w:r>
            <w:r w:rsidR="006C43D7" w:rsidRPr="008B074C">
              <w:t>dokumenti</w:t>
            </w:r>
            <w:r w:rsidRPr="008B074C">
              <w:t xml:space="preserve">, kas tiek iesniegti, lai izvērtētu to atbilstību studiju uzsākšanai vai turpināšanai Latvijā;  </w:t>
            </w:r>
            <w:r w:rsidR="008C13BE" w:rsidRPr="008B074C">
              <w:t>ek</w:t>
            </w:r>
            <w:r w:rsidR="003B4FAD" w:rsidRPr="008B074C">
              <w:t>sp</w:t>
            </w:r>
            <w:r w:rsidR="008C13BE" w:rsidRPr="008B074C">
              <w:t>ertīzes rezult</w:t>
            </w:r>
            <w:r w:rsidR="008C70E1" w:rsidRPr="008B074C">
              <w:t xml:space="preserve">ātiem </w:t>
            </w:r>
            <w:r w:rsidRPr="008B074C">
              <w:t>neatkarīgi no ekspertīzes veicējiem ir jā</w:t>
            </w:r>
            <w:r w:rsidR="008C70E1" w:rsidRPr="008B074C">
              <w:t xml:space="preserve">būt </w:t>
            </w:r>
            <w:r w:rsidR="008C13BE" w:rsidRPr="008B074C">
              <w:t>vienādi</w:t>
            </w:r>
            <w:r w:rsidR="008C70E1" w:rsidRPr="008B074C">
              <w:t>em</w:t>
            </w:r>
            <w:r w:rsidR="008C13BE" w:rsidRPr="008B074C">
              <w:t>.</w:t>
            </w:r>
          </w:p>
        </w:tc>
        <w:tc>
          <w:tcPr>
            <w:tcW w:w="3669" w:type="dxa"/>
            <w:gridSpan w:val="2"/>
          </w:tcPr>
          <w:p w:rsidR="003B4FAD" w:rsidRPr="001B4EC9" w:rsidRDefault="001B4EC9" w:rsidP="003B4FAD">
            <w:pPr>
              <w:pStyle w:val="ListParagraph"/>
              <w:shd w:val="clear" w:color="auto" w:fill="FFFFFF"/>
              <w:tabs>
                <w:tab w:val="left" w:pos="922"/>
              </w:tabs>
              <w:spacing w:after="0" w:line="240" w:lineRule="auto"/>
              <w:ind w:left="0"/>
              <w:jc w:val="both"/>
              <w:rPr>
                <w:rFonts w:ascii="Times New Roman" w:hAnsi="Times New Roman"/>
                <w:b/>
                <w:sz w:val="24"/>
                <w:szCs w:val="24"/>
              </w:rPr>
            </w:pPr>
            <w:r w:rsidRPr="001B4EC9">
              <w:rPr>
                <w:rFonts w:ascii="Times New Roman" w:hAnsi="Times New Roman"/>
                <w:b/>
                <w:sz w:val="24"/>
                <w:szCs w:val="24"/>
              </w:rPr>
              <w:t>Precizēts likumprojekts</w:t>
            </w:r>
            <w:r w:rsidRPr="001B4EC9">
              <w:rPr>
                <w:rFonts w:ascii="Times New Roman" w:hAnsi="Times New Roman"/>
                <w:b/>
                <w:sz w:val="24"/>
                <w:szCs w:val="24"/>
                <w:lang w:val="lv-LV"/>
              </w:rPr>
              <w:t xml:space="preserve"> un anotācija</w:t>
            </w:r>
          </w:p>
          <w:p w:rsidR="001B4EC9" w:rsidRPr="004F57B3" w:rsidRDefault="001B4EC9" w:rsidP="003B4FAD">
            <w:pPr>
              <w:pStyle w:val="ListParagraph"/>
              <w:shd w:val="clear" w:color="auto" w:fill="FFFFFF"/>
              <w:tabs>
                <w:tab w:val="left" w:pos="922"/>
              </w:tabs>
              <w:spacing w:after="0" w:line="240" w:lineRule="auto"/>
              <w:ind w:left="0"/>
              <w:jc w:val="both"/>
              <w:rPr>
                <w:rFonts w:ascii="Times New Roman" w:hAnsi="Times New Roman"/>
                <w:sz w:val="24"/>
                <w:szCs w:val="24"/>
              </w:rPr>
            </w:pPr>
          </w:p>
          <w:p w:rsidR="006C43D7" w:rsidRPr="00F361DE" w:rsidRDefault="001B4EC9" w:rsidP="007C650A">
            <w:pPr>
              <w:jc w:val="both"/>
              <w:rPr>
                <w:sz w:val="22"/>
                <w:szCs w:val="22"/>
              </w:rPr>
            </w:pPr>
            <w:r w:rsidRPr="001B4EC9">
              <w:t>“(1</w:t>
            </w:r>
            <w:r w:rsidRPr="001B4EC9">
              <w:rPr>
                <w:vertAlign w:val="superscript"/>
              </w:rPr>
              <w:t>1</w:t>
            </w:r>
            <w:r w:rsidRPr="001B4EC9">
              <w:t xml:space="preserve">) </w:t>
            </w:r>
            <w:r w:rsidR="007C650A" w:rsidRPr="007C650A">
              <w:t>Augstskola, kura atbilst Ministru kabineta noteiktajām prasībām un kurai Ministru kabineta noteiktajā kārtībā ir piešķirtas tiesības veikt sākot no 2016.gada 1.janvāra izsniegtu Eiropas Savienības valstīs, Eiropas Ekonomikas zonas valstīs, Šveices Konfederācijā un Ministru kabineta noteiktās ārvalstīs izsniegtu izglītības dokumentu un iegūtu akadēmisko grādu apliecinošu dokumentu ekspertīzi atbilstoši šā panta otrajai daļai, ja šo dokumentu īpašnieks ir iesniedzis šādai augstskolai iesniegumu studiju uzsākšanai vai studiju turpināšanai Latvijā.”</w:t>
            </w:r>
          </w:p>
        </w:tc>
      </w:tr>
      <w:tr w:rsidR="006C43D7" w:rsidRPr="00DB0F73" w:rsidTr="00074A78">
        <w:tc>
          <w:tcPr>
            <w:tcW w:w="993" w:type="dxa"/>
          </w:tcPr>
          <w:p w:rsidR="006C43D7" w:rsidRPr="00DB0F73" w:rsidRDefault="006C43D7" w:rsidP="007E09C2">
            <w:pPr>
              <w:pStyle w:val="naisc"/>
              <w:numPr>
                <w:ilvl w:val="0"/>
                <w:numId w:val="2"/>
              </w:numPr>
              <w:spacing w:before="0" w:after="0"/>
              <w:jc w:val="both"/>
              <w:rPr>
                <w:sz w:val="22"/>
                <w:szCs w:val="22"/>
              </w:rPr>
            </w:pPr>
          </w:p>
        </w:tc>
        <w:tc>
          <w:tcPr>
            <w:tcW w:w="3260" w:type="dxa"/>
          </w:tcPr>
          <w:p w:rsidR="006C43D7" w:rsidRPr="004412AC" w:rsidRDefault="006C43D7" w:rsidP="007E09C2">
            <w:pPr>
              <w:pStyle w:val="naisc"/>
              <w:spacing w:before="0" w:after="0"/>
              <w:ind w:firstLine="12"/>
              <w:jc w:val="both"/>
              <w:rPr>
                <w:sz w:val="22"/>
                <w:szCs w:val="22"/>
              </w:rPr>
            </w:pPr>
            <w:r w:rsidRPr="006C43D7">
              <w:rPr>
                <w:sz w:val="22"/>
                <w:szCs w:val="22"/>
              </w:rPr>
              <w:t>Atbilstoši projektam Augstskolu likums tiek papildināts ar 1.</w:t>
            </w:r>
            <w:r w:rsidRPr="00D253F1">
              <w:rPr>
                <w:sz w:val="22"/>
                <w:szCs w:val="22"/>
                <w:vertAlign w:val="superscript"/>
              </w:rPr>
              <w:t>1</w:t>
            </w:r>
            <w:r w:rsidRPr="006C43D7">
              <w:rPr>
                <w:sz w:val="22"/>
                <w:szCs w:val="22"/>
              </w:rPr>
              <w:t xml:space="preserve"> daļu</w:t>
            </w:r>
          </w:p>
        </w:tc>
        <w:tc>
          <w:tcPr>
            <w:tcW w:w="4046" w:type="dxa"/>
            <w:gridSpan w:val="2"/>
          </w:tcPr>
          <w:p w:rsidR="002B158E" w:rsidRDefault="006C43D7" w:rsidP="002B158E">
            <w:pPr>
              <w:pStyle w:val="naisc"/>
              <w:ind w:firstLine="46"/>
              <w:jc w:val="both"/>
              <w:rPr>
                <w:b/>
              </w:rPr>
            </w:pPr>
            <w:r w:rsidRPr="006B2E92">
              <w:rPr>
                <w:b/>
              </w:rPr>
              <w:t xml:space="preserve">Tieslietu ministrija </w:t>
            </w:r>
            <w:r w:rsidR="002B158E">
              <w:rPr>
                <w:b/>
              </w:rPr>
              <w:t xml:space="preserve"> </w:t>
            </w:r>
          </w:p>
          <w:p w:rsidR="002B158E" w:rsidRPr="002B158E" w:rsidRDefault="002B158E" w:rsidP="002B158E">
            <w:pPr>
              <w:pStyle w:val="naisc"/>
              <w:ind w:firstLine="46"/>
              <w:jc w:val="both"/>
            </w:pPr>
            <w:r w:rsidRPr="002B158E">
              <w:t>(05.10.2020. Nr.1-9.1/1036)</w:t>
            </w:r>
          </w:p>
          <w:p w:rsidR="006C43D7" w:rsidRPr="006B2E92" w:rsidRDefault="006C43D7" w:rsidP="001B4EC9">
            <w:pPr>
              <w:pStyle w:val="naisc"/>
              <w:jc w:val="both"/>
            </w:pPr>
            <w:r w:rsidRPr="006B2E92">
              <w:t xml:space="preserve">Augstskola var atbilst Ministru kabineta noteiktajām prasībām, </w:t>
            </w:r>
            <w:r w:rsidRPr="00257F28">
              <w:t>bet tiesības veikt ekspertīzi var būt tikai tad, ja šādas tiesības augstskolai ir piešķirtas.</w:t>
            </w:r>
            <w:r w:rsidRPr="006B2E92">
              <w:t xml:space="preserve"> Līdz ar to lūdzam precizēt projektu.</w:t>
            </w:r>
          </w:p>
        </w:tc>
        <w:tc>
          <w:tcPr>
            <w:tcW w:w="3500" w:type="dxa"/>
          </w:tcPr>
          <w:p w:rsidR="006C43D7" w:rsidRDefault="00E54D2C" w:rsidP="00E54D2C">
            <w:pPr>
              <w:pStyle w:val="naisc"/>
              <w:spacing w:before="0" w:after="0"/>
              <w:jc w:val="both"/>
              <w:rPr>
                <w:b/>
                <w:sz w:val="22"/>
                <w:szCs w:val="22"/>
              </w:rPr>
            </w:pPr>
            <w:r w:rsidRPr="00E54D2C">
              <w:rPr>
                <w:b/>
                <w:sz w:val="22"/>
                <w:szCs w:val="22"/>
              </w:rPr>
              <w:t>Ņemts vērā</w:t>
            </w:r>
          </w:p>
          <w:p w:rsidR="00181757" w:rsidRDefault="00181757" w:rsidP="00E54D2C">
            <w:pPr>
              <w:pStyle w:val="naisc"/>
              <w:spacing w:before="0" w:after="0"/>
              <w:jc w:val="both"/>
              <w:rPr>
                <w:b/>
                <w:sz w:val="22"/>
                <w:szCs w:val="22"/>
              </w:rPr>
            </w:pPr>
          </w:p>
          <w:p w:rsidR="00181757" w:rsidRPr="00181757" w:rsidRDefault="00181757" w:rsidP="00E54D2C">
            <w:pPr>
              <w:pStyle w:val="naisc"/>
              <w:spacing w:before="0" w:after="0"/>
              <w:jc w:val="both"/>
              <w:rPr>
                <w:sz w:val="22"/>
                <w:szCs w:val="22"/>
              </w:rPr>
            </w:pPr>
            <w:r w:rsidRPr="00181757">
              <w:rPr>
                <w:sz w:val="22"/>
                <w:szCs w:val="22"/>
              </w:rPr>
              <w:t>Norāde ir vietā</w:t>
            </w:r>
          </w:p>
        </w:tc>
        <w:tc>
          <w:tcPr>
            <w:tcW w:w="3669" w:type="dxa"/>
            <w:gridSpan w:val="2"/>
          </w:tcPr>
          <w:p w:rsidR="00E54D2C" w:rsidRPr="00E54D2C" w:rsidRDefault="00E54D2C" w:rsidP="00257F28">
            <w:pPr>
              <w:jc w:val="both"/>
              <w:rPr>
                <w:b/>
              </w:rPr>
            </w:pPr>
            <w:r w:rsidRPr="00E54D2C">
              <w:rPr>
                <w:b/>
                <w:sz w:val="22"/>
                <w:szCs w:val="22"/>
              </w:rPr>
              <w:t>Precizēts likumprojekts</w:t>
            </w:r>
            <w:r w:rsidR="001B4EC9">
              <w:rPr>
                <w:b/>
                <w:sz w:val="22"/>
                <w:szCs w:val="22"/>
              </w:rPr>
              <w:t xml:space="preserve"> un anotācija</w:t>
            </w:r>
          </w:p>
          <w:p w:rsidR="00257F28" w:rsidRPr="00257F28" w:rsidRDefault="006B2E92" w:rsidP="00257F28">
            <w:pPr>
              <w:jc w:val="both"/>
            </w:pPr>
            <w:r w:rsidRPr="00257F28">
              <w:t>1</w:t>
            </w:r>
            <w:r w:rsidRPr="00257F28">
              <w:rPr>
                <w:vertAlign w:val="superscript"/>
              </w:rPr>
              <w:t>1</w:t>
            </w:r>
            <w:r w:rsidRPr="00257F28">
              <w:t xml:space="preserve">) </w:t>
            </w:r>
            <w:r w:rsidR="00257F28" w:rsidRPr="00257F28">
              <w:t>Ministru kabineta noteiktā kārtībā un prasībām atbilstošai  augstskolai ir piešķirtas tiesības veikt [...]</w:t>
            </w:r>
          </w:p>
          <w:p w:rsidR="00435F68" w:rsidRPr="00F361DE" w:rsidRDefault="00435F68" w:rsidP="007E09C2">
            <w:pPr>
              <w:jc w:val="both"/>
              <w:rPr>
                <w:sz w:val="22"/>
                <w:szCs w:val="22"/>
              </w:rPr>
            </w:pPr>
          </w:p>
        </w:tc>
      </w:tr>
      <w:tr w:rsidR="00D253F1" w:rsidRPr="00DB0F73" w:rsidTr="00074A78">
        <w:tc>
          <w:tcPr>
            <w:tcW w:w="993" w:type="dxa"/>
          </w:tcPr>
          <w:p w:rsidR="00D253F1" w:rsidRPr="00DB0F73" w:rsidRDefault="00D253F1" w:rsidP="007E09C2">
            <w:pPr>
              <w:pStyle w:val="naisc"/>
              <w:numPr>
                <w:ilvl w:val="0"/>
                <w:numId w:val="2"/>
              </w:numPr>
              <w:spacing w:before="0" w:after="0"/>
              <w:jc w:val="both"/>
              <w:rPr>
                <w:sz w:val="22"/>
                <w:szCs w:val="22"/>
              </w:rPr>
            </w:pPr>
          </w:p>
        </w:tc>
        <w:tc>
          <w:tcPr>
            <w:tcW w:w="3260" w:type="dxa"/>
          </w:tcPr>
          <w:p w:rsidR="00D253F1" w:rsidRPr="006C43D7" w:rsidRDefault="00D253F1" w:rsidP="007E09C2">
            <w:pPr>
              <w:pStyle w:val="naisc"/>
              <w:spacing w:before="0" w:after="0"/>
              <w:ind w:firstLine="12"/>
              <w:jc w:val="both"/>
              <w:rPr>
                <w:sz w:val="22"/>
                <w:szCs w:val="22"/>
              </w:rPr>
            </w:pPr>
            <w:r w:rsidRPr="00D253F1">
              <w:rPr>
                <w:sz w:val="22"/>
                <w:szCs w:val="22"/>
              </w:rPr>
              <w:t>Atbilstoši projektam Augstskolu likums tiek papildināts ar 1</w:t>
            </w:r>
            <w:r w:rsidRPr="00D253F1">
              <w:rPr>
                <w:sz w:val="22"/>
                <w:szCs w:val="22"/>
                <w:vertAlign w:val="superscript"/>
              </w:rPr>
              <w:t>.1</w:t>
            </w:r>
            <w:r w:rsidRPr="00D253F1">
              <w:rPr>
                <w:sz w:val="22"/>
                <w:szCs w:val="22"/>
              </w:rPr>
              <w:t xml:space="preserve"> daļu</w:t>
            </w:r>
          </w:p>
        </w:tc>
        <w:tc>
          <w:tcPr>
            <w:tcW w:w="4046" w:type="dxa"/>
            <w:gridSpan w:val="2"/>
          </w:tcPr>
          <w:p w:rsidR="00D253F1" w:rsidRPr="004412AC" w:rsidRDefault="00D253F1" w:rsidP="00D253F1">
            <w:pPr>
              <w:pStyle w:val="naisc"/>
              <w:ind w:firstLine="46"/>
              <w:jc w:val="both"/>
              <w:rPr>
                <w:b/>
              </w:rPr>
            </w:pPr>
            <w:r w:rsidRPr="004412AC">
              <w:rPr>
                <w:b/>
              </w:rPr>
              <w:t xml:space="preserve">Tieslietu ministrija </w:t>
            </w:r>
          </w:p>
          <w:p w:rsidR="002B158E" w:rsidRPr="002B158E" w:rsidRDefault="002B158E" w:rsidP="002B158E">
            <w:pPr>
              <w:pStyle w:val="naisc"/>
              <w:ind w:firstLine="46"/>
              <w:jc w:val="both"/>
            </w:pPr>
            <w:r w:rsidRPr="002B158E">
              <w:t>(05.10.2020. Nr.1-9.1/1036)</w:t>
            </w:r>
          </w:p>
          <w:p w:rsidR="00D253F1" w:rsidRPr="00D253F1" w:rsidRDefault="00D253F1" w:rsidP="00D253F1">
            <w:pPr>
              <w:pStyle w:val="naisc"/>
              <w:jc w:val="both"/>
            </w:pPr>
            <w:r w:rsidRPr="00D253F1">
              <w:t>Regulējums par izziņas izsniegšanu ir ietverts Augstskolu likuma 85.panta trešajā daļā, tāpēc ierosinām 1.</w:t>
            </w:r>
            <w:r w:rsidRPr="00181757">
              <w:rPr>
                <w:vertAlign w:val="superscript"/>
              </w:rPr>
              <w:t>1</w:t>
            </w:r>
            <w:r w:rsidRPr="00D253F1">
              <w:t xml:space="preserve"> daļā to neminēt. Tieslietu ministrijas ieskatā Augstskolu likuma 85.panta trešā daļa būs attiecināma gan uz Akadēmiskās informācijas centru, gan uz augstskolām.</w:t>
            </w:r>
          </w:p>
        </w:tc>
        <w:tc>
          <w:tcPr>
            <w:tcW w:w="3500" w:type="dxa"/>
          </w:tcPr>
          <w:p w:rsidR="00D253F1" w:rsidRPr="00181757" w:rsidRDefault="003B4FAD" w:rsidP="007E09C2">
            <w:pPr>
              <w:pStyle w:val="naisc"/>
              <w:spacing w:before="0" w:after="0"/>
              <w:jc w:val="both"/>
              <w:rPr>
                <w:b/>
                <w:sz w:val="22"/>
                <w:szCs w:val="22"/>
              </w:rPr>
            </w:pPr>
            <w:r w:rsidRPr="00181757">
              <w:rPr>
                <w:b/>
                <w:sz w:val="22"/>
                <w:szCs w:val="22"/>
              </w:rPr>
              <w:t>Ņemts vērā</w:t>
            </w:r>
          </w:p>
          <w:p w:rsidR="00597F21" w:rsidRDefault="00597F21" w:rsidP="007E09C2">
            <w:pPr>
              <w:pStyle w:val="naisc"/>
              <w:spacing w:before="0" w:after="0"/>
              <w:jc w:val="both"/>
              <w:rPr>
                <w:b/>
                <w:sz w:val="22"/>
                <w:szCs w:val="22"/>
                <w:highlight w:val="yellow"/>
              </w:rPr>
            </w:pPr>
          </w:p>
          <w:p w:rsidR="00597F21" w:rsidRPr="003B4FAD" w:rsidRDefault="00181757" w:rsidP="007E09C2">
            <w:pPr>
              <w:pStyle w:val="naisc"/>
              <w:spacing w:before="0" w:after="0"/>
              <w:jc w:val="both"/>
              <w:rPr>
                <w:b/>
                <w:sz w:val="22"/>
                <w:szCs w:val="22"/>
                <w:highlight w:val="green"/>
              </w:rPr>
            </w:pPr>
            <w:r w:rsidRPr="00181757">
              <w:rPr>
                <w:sz w:val="22"/>
                <w:szCs w:val="22"/>
              </w:rPr>
              <w:t>Norāde ir vietā</w:t>
            </w:r>
          </w:p>
        </w:tc>
        <w:tc>
          <w:tcPr>
            <w:tcW w:w="3669" w:type="dxa"/>
            <w:gridSpan w:val="2"/>
          </w:tcPr>
          <w:p w:rsidR="00D253F1" w:rsidRDefault="00181757" w:rsidP="007E09C2">
            <w:pPr>
              <w:jc w:val="both"/>
              <w:rPr>
                <w:b/>
                <w:sz w:val="22"/>
                <w:szCs w:val="22"/>
              </w:rPr>
            </w:pPr>
            <w:r w:rsidRPr="00181757">
              <w:rPr>
                <w:b/>
                <w:sz w:val="22"/>
                <w:szCs w:val="22"/>
              </w:rPr>
              <w:t>Precizēts likumprojekts</w:t>
            </w:r>
          </w:p>
          <w:p w:rsidR="00181757" w:rsidRPr="00181757" w:rsidRDefault="00181757" w:rsidP="007E09C2">
            <w:pPr>
              <w:jc w:val="both"/>
              <w:rPr>
                <w:sz w:val="22"/>
                <w:szCs w:val="22"/>
              </w:rPr>
            </w:pPr>
            <w:r w:rsidRPr="00181757">
              <w:rPr>
                <w:sz w:val="22"/>
                <w:szCs w:val="22"/>
              </w:rPr>
              <w:t xml:space="preserve">Panta </w:t>
            </w:r>
            <w:r w:rsidR="005825C2" w:rsidRPr="00D253F1">
              <w:t>1.</w:t>
            </w:r>
            <w:r w:rsidR="005825C2" w:rsidRPr="00181757">
              <w:rPr>
                <w:vertAlign w:val="superscript"/>
              </w:rPr>
              <w:t>1</w:t>
            </w:r>
            <w:r w:rsidR="005825C2" w:rsidRPr="00D253F1">
              <w:t xml:space="preserve"> </w:t>
            </w:r>
            <w:r w:rsidRPr="00181757">
              <w:rPr>
                <w:sz w:val="22"/>
                <w:szCs w:val="22"/>
              </w:rPr>
              <w:t xml:space="preserve">daļā izņemta atsauce uz </w:t>
            </w:r>
            <w:r w:rsidRPr="00181757">
              <w:t>85.panta trešo daļu</w:t>
            </w:r>
          </w:p>
        </w:tc>
      </w:tr>
      <w:tr w:rsidR="00D253F1" w:rsidRPr="00DB0F73" w:rsidTr="00074A78">
        <w:tc>
          <w:tcPr>
            <w:tcW w:w="993" w:type="dxa"/>
          </w:tcPr>
          <w:p w:rsidR="00D253F1" w:rsidRPr="00DB0F73" w:rsidRDefault="00D253F1" w:rsidP="007E09C2">
            <w:pPr>
              <w:pStyle w:val="naisc"/>
              <w:numPr>
                <w:ilvl w:val="0"/>
                <w:numId w:val="2"/>
              </w:numPr>
              <w:spacing w:before="0" w:after="0"/>
              <w:jc w:val="both"/>
              <w:rPr>
                <w:sz w:val="22"/>
                <w:szCs w:val="22"/>
              </w:rPr>
            </w:pPr>
          </w:p>
        </w:tc>
        <w:tc>
          <w:tcPr>
            <w:tcW w:w="3260" w:type="dxa"/>
          </w:tcPr>
          <w:p w:rsidR="00D253F1" w:rsidRDefault="005825C2" w:rsidP="007E09C2">
            <w:pPr>
              <w:pStyle w:val="naisc"/>
              <w:spacing w:before="0" w:after="0"/>
              <w:ind w:firstLine="12"/>
              <w:jc w:val="both"/>
            </w:pPr>
            <w:r>
              <w:t xml:space="preserve">Likumprojektā 85.panta </w:t>
            </w:r>
            <w:r w:rsidRPr="00D253F1">
              <w:t>1.</w:t>
            </w:r>
            <w:r w:rsidRPr="00181757">
              <w:rPr>
                <w:vertAlign w:val="superscript"/>
              </w:rPr>
              <w:t>1</w:t>
            </w:r>
            <w:r>
              <w:t xml:space="preserve"> daļa</w:t>
            </w:r>
          </w:p>
          <w:p w:rsidR="001B4EC9" w:rsidRPr="001B4EC9" w:rsidRDefault="001B4EC9" w:rsidP="001B4EC9">
            <w:pPr>
              <w:pStyle w:val="ListParagraph"/>
              <w:shd w:val="clear" w:color="auto" w:fill="FFFFFF"/>
              <w:tabs>
                <w:tab w:val="left" w:pos="922"/>
              </w:tabs>
              <w:spacing w:after="0" w:line="240" w:lineRule="auto"/>
              <w:ind w:left="0"/>
              <w:jc w:val="both"/>
              <w:rPr>
                <w:rFonts w:ascii="Times New Roman" w:hAnsi="Times New Roman"/>
                <w:sz w:val="24"/>
                <w:szCs w:val="24"/>
                <w:lang w:val="lv-LV"/>
              </w:rPr>
            </w:pPr>
            <w:r>
              <w:t>[..]</w:t>
            </w:r>
            <w:r>
              <w:rPr>
                <w:rFonts w:ascii="Times New Roman" w:hAnsi="Times New Roman"/>
                <w:sz w:val="24"/>
                <w:szCs w:val="24"/>
                <w:lang w:val="lv-LV"/>
              </w:rPr>
              <w:t xml:space="preserve"> </w:t>
            </w:r>
            <w:r w:rsidRPr="00597F21">
              <w:rPr>
                <w:rFonts w:ascii="Times New Roman" w:hAnsi="Times New Roman"/>
                <w:i/>
                <w:sz w:val="24"/>
                <w:szCs w:val="24"/>
                <w:lang w:eastAsia="lv-LV"/>
              </w:rPr>
              <w:t>Ja augstskola neveic šo dokumentu ekspertīzi, tad to izpilda Akadēmiskās informācijas centrs</w:t>
            </w:r>
            <w:r w:rsidRPr="001B4EC9">
              <w:rPr>
                <w:rFonts w:ascii="Times New Roman" w:hAnsi="Times New Roman"/>
                <w:i/>
                <w:sz w:val="24"/>
                <w:szCs w:val="24"/>
                <w:lang w:val="lv-LV" w:eastAsia="lv-LV"/>
              </w:rPr>
              <w:t>.”</w:t>
            </w:r>
            <w:r>
              <w:rPr>
                <w:rFonts w:ascii="Times New Roman" w:hAnsi="Times New Roman"/>
                <w:sz w:val="24"/>
                <w:szCs w:val="24"/>
              </w:rPr>
              <w:t xml:space="preserve">  </w:t>
            </w:r>
          </w:p>
          <w:p w:rsidR="001B4EC9" w:rsidRPr="00D253F1" w:rsidRDefault="001B4EC9" w:rsidP="007E09C2">
            <w:pPr>
              <w:pStyle w:val="naisc"/>
              <w:spacing w:before="0" w:after="0"/>
              <w:ind w:firstLine="12"/>
              <w:jc w:val="both"/>
              <w:rPr>
                <w:sz w:val="22"/>
                <w:szCs w:val="22"/>
              </w:rPr>
            </w:pPr>
          </w:p>
        </w:tc>
        <w:tc>
          <w:tcPr>
            <w:tcW w:w="4046" w:type="dxa"/>
            <w:gridSpan w:val="2"/>
          </w:tcPr>
          <w:p w:rsidR="00D253F1" w:rsidRDefault="00D253F1" w:rsidP="00D253F1">
            <w:pPr>
              <w:pStyle w:val="naisc"/>
              <w:ind w:firstLine="46"/>
              <w:jc w:val="both"/>
              <w:rPr>
                <w:b/>
              </w:rPr>
            </w:pPr>
            <w:r w:rsidRPr="004412AC">
              <w:rPr>
                <w:b/>
              </w:rPr>
              <w:t xml:space="preserve">Tieslietu ministrija </w:t>
            </w:r>
          </w:p>
          <w:p w:rsidR="002B158E" w:rsidRPr="002B158E" w:rsidRDefault="002B158E" w:rsidP="002B158E">
            <w:pPr>
              <w:pStyle w:val="naisc"/>
              <w:ind w:firstLine="46"/>
              <w:jc w:val="both"/>
            </w:pPr>
            <w:r w:rsidRPr="002B158E">
              <w:t>(05.10.2020. Nr.1-9.1/1036)</w:t>
            </w:r>
          </w:p>
          <w:p w:rsidR="00D253F1" w:rsidRPr="00D253F1" w:rsidRDefault="00D253F1" w:rsidP="00D253F1">
            <w:pPr>
              <w:pStyle w:val="naisc"/>
              <w:jc w:val="both"/>
            </w:pPr>
            <w:r w:rsidRPr="00597F21">
              <w:t xml:space="preserve">Ja augstskola atbilst noteiktajām prasībām un izvēlas pretendēt uz tiesību veikt ekspertīzi piešķiršanu, tad Tieslietu ministrijas ieskatā tā ir apzināta rīcība, un nav saprotams, kāpēc augstskola pēc tam varētu neveikt attiecīgu dokumentu ekspertīzi un tādā </w:t>
            </w:r>
            <w:r w:rsidRPr="00597F21">
              <w:lastRenderedPageBreak/>
              <w:t>gadījumā to darītu Akadēmiskās informācijas centrs. Turklāt rodas šaubas, vai tādējādi tiks sasniegts mērķis – stiprināt Akadēmiskā informācijas centra kapacitāti, resursus novirzot citu uzdevumu veikšanā. Ņemot vērā minēto, lūdzam precizēt normu.</w:t>
            </w:r>
          </w:p>
        </w:tc>
        <w:tc>
          <w:tcPr>
            <w:tcW w:w="3500" w:type="dxa"/>
          </w:tcPr>
          <w:p w:rsidR="003B4FAD" w:rsidRDefault="003B4FAD" w:rsidP="003B4FAD">
            <w:pPr>
              <w:pStyle w:val="naisc"/>
              <w:spacing w:before="0" w:after="0"/>
              <w:jc w:val="both"/>
            </w:pPr>
            <w:r w:rsidRPr="00597F21">
              <w:rPr>
                <w:b/>
                <w:sz w:val="22"/>
                <w:szCs w:val="22"/>
              </w:rPr>
              <w:lastRenderedPageBreak/>
              <w:t>Ņemts vērā</w:t>
            </w:r>
            <w:r w:rsidRPr="004F57B3">
              <w:t xml:space="preserve"> </w:t>
            </w:r>
          </w:p>
          <w:p w:rsidR="003B4FAD" w:rsidRPr="004216D8" w:rsidRDefault="003B4FAD" w:rsidP="004216D8">
            <w:pPr>
              <w:pStyle w:val="naisc"/>
              <w:spacing w:before="0" w:after="0"/>
              <w:jc w:val="both"/>
            </w:pPr>
            <w:r w:rsidRPr="004F57B3">
              <w:t>Norāde ir vietā.</w:t>
            </w:r>
            <w:r w:rsidR="004216D8">
              <w:t xml:space="preserve"> </w:t>
            </w:r>
            <w:r w:rsidRPr="004F57B3">
              <w:t>Ja augstskola vēlas izmantot savas tiesības un ir kvalificējusies atbilstoši M</w:t>
            </w:r>
            <w:r w:rsidR="005825C2">
              <w:t xml:space="preserve">inistru </w:t>
            </w:r>
            <w:r w:rsidRPr="004F57B3">
              <w:t>K</w:t>
            </w:r>
            <w:r w:rsidR="005825C2">
              <w:t>abineta</w:t>
            </w:r>
            <w:r w:rsidRPr="004F57B3">
              <w:t xml:space="preserve"> p</w:t>
            </w:r>
            <w:r w:rsidR="004216D8">
              <w:t>rasībām, nebūtu pieļaujama situācija</w:t>
            </w:r>
            <w:r w:rsidRPr="004F57B3">
              <w:t xml:space="preserve">, kas rada nekonkrētību dokumentu atzīšanas procesā </w:t>
            </w:r>
            <w:r>
              <w:t>un izziņas izsniegšanā dēļ</w:t>
            </w:r>
            <w:r w:rsidRPr="004F57B3">
              <w:t xml:space="preserve"> tā, ka augstskola vai nu grib vai negrib veikt </w:t>
            </w:r>
            <w:r w:rsidRPr="004F57B3">
              <w:lastRenderedPageBreak/>
              <w:t>attiecīgu ekspe</w:t>
            </w:r>
            <w:r w:rsidR="004216D8">
              <w:t xml:space="preserve">rtīzi, papildus noslogojot </w:t>
            </w:r>
            <w:r w:rsidR="004216D8" w:rsidRPr="004216D8">
              <w:t xml:space="preserve">AIC. </w:t>
            </w:r>
            <w:r w:rsidRPr="004216D8">
              <w:t>Līdz ar to uzskatām</w:t>
            </w:r>
            <w:r w:rsidR="001B4EC9">
              <w:t>s</w:t>
            </w:r>
            <w:r w:rsidRPr="004216D8">
              <w:t>, ka Augstskolu likuma 85.panta 1.</w:t>
            </w:r>
            <w:r w:rsidRPr="004216D8">
              <w:rPr>
                <w:vertAlign w:val="superscript"/>
              </w:rPr>
              <w:t xml:space="preserve">1   </w:t>
            </w:r>
            <w:r w:rsidRPr="004216D8">
              <w:t>daļa ir precizējama tiktāl, ka augstskolai, kura ir ieguvusi tiesības veikt ekspertīzi, vairs nav tiesību atteikties no šāda uzdevuma izpildes, bet tas ir jāveic bez izvēles. Savukārt Izglītības likuma projekta 1.pantā ir svītrojama Izglītības likuma 11.</w:t>
            </w:r>
            <w:r w:rsidRPr="004216D8">
              <w:rPr>
                <w:vertAlign w:val="superscript"/>
              </w:rPr>
              <w:t>1</w:t>
            </w:r>
            <w:r w:rsidRPr="004216D8">
              <w:t xml:space="preserve"> panta astotā daļa</w:t>
            </w:r>
            <w:r w:rsidR="005A64D7" w:rsidRPr="001D3C25">
              <w:t xml:space="preserve"> sākotnējā redakcijā, bet šī panta astotajā daļā norādīts, ja dokumenta īpašnieks iesniedz pieteikumus vairākās augstskolās, viņš savā pieteikumā norāda, kura </w:t>
            </w:r>
            <w:r w:rsidR="00C9050A">
              <w:t xml:space="preserve">augstskola </w:t>
            </w:r>
            <w:r w:rsidR="005A64D7" w:rsidRPr="001D3C25">
              <w:t xml:space="preserve">veiks izglītības dokumentu ekspertīzi. </w:t>
            </w:r>
            <w:r w:rsidR="00C9050A">
              <w:t>Ja neviena nav ieguvusi šādas tiesības, to veic AIC kā līdz šim.</w:t>
            </w:r>
          </w:p>
          <w:p w:rsidR="004A13E9" w:rsidRPr="006C43D7" w:rsidRDefault="004A13E9" w:rsidP="003B4FAD">
            <w:pPr>
              <w:pStyle w:val="ListParagraph"/>
              <w:shd w:val="clear" w:color="auto" w:fill="FFFFFF"/>
              <w:tabs>
                <w:tab w:val="left" w:pos="922"/>
              </w:tabs>
              <w:spacing w:after="0" w:line="240" w:lineRule="auto"/>
              <w:ind w:left="0"/>
              <w:jc w:val="both"/>
              <w:rPr>
                <w:highlight w:val="green"/>
              </w:rPr>
            </w:pPr>
          </w:p>
        </w:tc>
        <w:tc>
          <w:tcPr>
            <w:tcW w:w="3669" w:type="dxa"/>
            <w:gridSpan w:val="2"/>
          </w:tcPr>
          <w:p w:rsidR="004216D8" w:rsidRDefault="00597F21" w:rsidP="003B4FAD">
            <w:pPr>
              <w:pStyle w:val="ListParagraph"/>
              <w:shd w:val="clear" w:color="auto" w:fill="FFFFFF"/>
              <w:tabs>
                <w:tab w:val="left" w:pos="922"/>
              </w:tabs>
              <w:spacing w:after="0" w:line="240" w:lineRule="auto"/>
              <w:ind w:left="0"/>
              <w:jc w:val="both"/>
              <w:rPr>
                <w:rFonts w:ascii="Times New Roman" w:hAnsi="Times New Roman"/>
                <w:sz w:val="24"/>
                <w:szCs w:val="24"/>
                <w:lang w:val="en-US"/>
              </w:rPr>
            </w:pPr>
            <w:r w:rsidRPr="004216D8">
              <w:rPr>
                <w:rFonts w:ascii="Times New Roman" w:hAnsi="Times New Roman"/>
                <w:b/>
                <w:sz w:val="24"/>
                <w:szCs w:val="24"/>
              </w:rPr>
              <w:lastRenderedPageBreak/>
              <w:t>Precizēts likumprojekts</w:t>
            </w:r>
            <w:r>
              <w:rPr>
                <w:rFonts w:ascii="Times New Roman" w:hAnsi="Times New Roman"/>
                <w:sz w:val="24"/>
                <w:szCs w:val="24"/>
                <w:lang w:val="en-US"/>
              </w:rPr>
              <w:t xml:space="preserve">, </w:t>
            </w:r>
          </w:p>
          <w:p w:rsidR="004216D8" w:rsidRDefault="00597F21" w:rsidP="003B4FAD">
            <w:pPr>
              <w:pStyle w:val="ListParagraph"/>
              <w:shd w:val="clear" w:color="auto" w:fill="FFFFFF"/>
              <w:tabs>
                <w:tab w:val="left" w:pos="922"/>
              </w:tabs>
              <w:spacing w:after="0" w:line="240" w:lineRule="auto"/>
              <w:ind w:left="0"/>
              <w:jc w:val="both"/>
              <w:rPr>
                <w:rFonts w:ascii="Times New Roman" w:hAnsi="Times New Roman"/>
                <w:sz w:val="24"/>
                <w:szCs w:val="24"/>
                <w:lang w:val="en-US"/>
              </w:rPr>
            </w:pPr>
            <w:r w:rsidRPr="004216D8">
              <w:rPr>
                <w:rFonts w:ascii="Times New Roman" w:hAnsi="Times New Roman"/>
                <w:sz w:val="24"/>
                <w:szCs w:val="24"/>
                <w:lang w:val="en-US"/>
              </w:rPr>
              <w:t>izņemta daļa</w:t>
            </w:r>
            <w:r w:rsidR="001B4EC9">
              <w:rPr>
                <w:rFonts w:ascii="Times New Roman" w:hAnsi="Times New Roman"/>
                <w:sz w:val="24"/>
                <w:szCs w:val="24"/>
                <w:lang w:val="en-US"/>
              </w:rPr>
              <w:t xml:space="preserve"> minētā daļa</w:t>
            </w:r>
          </w:p>
          <w:p w:rsidR="001B4EC9" w:rsidRDefault="001B4EC9" w:rsidP="003B4FAD">
            <w:pPr>
              <w:pStyle w:val="ListParagraph"/>
              <w:shd w:val="clear" w:color="auto" w:fill="FFFFFF"/>
              <w:tabs>
                <w:tab w:val="left" w:pos="922"/>
              </w:tabs>
              <w:spacing w:after="0" w:line="240" w:lineRule="auto"/>
              <w:ind w:left="0"/>
              <w:jc w:val="both"/>
              <w:rPr>
                <w:rFonts w:ascii="Times New Roman" w:hAnsi="Times New Roman"/>
                <w:sz w:val="24"/>
                <w:szCs w:val="24"/>
              </w:rPr>
            </w:pPr>
          </w:p>
          <w:p w:rsidR="003B4FAD" w:rsidRDefault="004216D8" w:rsidP="003B4FAD">
            <w:pPr>
              <w:pStyle w:val="ListParagraph"/>
              <w:shd w:val="clear" w:color="auto" w:fill="FFFFFF"/>
              <w:tabs>
                <w:tab w:val="left" w:pos="922"/>
              </w:tabs>
              <w:spacing w:after="0" w:line="240" w:lineRule="auto"/>
              <w:ind w:left="0"/>
              <w:jc w:val="both"/>
              <w:rPr>
                <w:rFonts w:ascii="Times New Roman" w:hAnsi="Times New Roman"/>
                <w:sz w:val="24"/>
                <w:szCs w:val="24"/>
              </w:rPr>
            </w:pPr>
            <w:r>
              <w:rPr>
                <w:rFonts w:ascii="Times New Roman" w:hAnsi="Times New Roman"/>
                <w:sz w:val="24"/>
                <w:szCs w:val="24"/>
                <w:lang w:val="en-US"/>
              </w:rPr>
              <w:t>P</w:t>
            </w:r>
            <w:r>
              <w:rPr>
                <w:rFonts w:ascii="Times New Roman" w:hAnsi="Times New Roman"/>
                <w:sz w:val="24"/>
                <w:szCs w:val="24"/>
              </w:rPr>
              <w:t>apildināta anotācija</w:t>
            </w:r>
          </w:p>
          <w:p w:rsidR="00597F21" w:rsidRDefault="00597F21" w:rsidP="003B4FAD">
            <w:pPr>
              <w:pStyle w:val="ListParagraph"/>
              <w:shd w:val="clear" w:color="auto" w:fill="FFFFFF"/>
              <w:tabs>
                <w:tab w:val="left" w:pos="922"/>
              </w:tabs>
              <w:spacing w:after="0" w:line="240" w:lineRule="auto"/>
              <w:ind w:left="0"/>
              <w:jc w:val="both"/>
              <w:rPr>
                <w:rFonts w:ascii="Times New Roman" w:hAnsi="Times New Roman"/>
                <w:sz w:val="24"/>
                <w:szCs w:val="24"/>
              </w:rPr>
            </w:pPr>
          </w:p>
          <w:p w:rsidR="00597F21" w:rsidRPr="004F57B3" w:rsidRDefault="00597F21" w:rsidP="003B4FAD">
            <w:pPr>
              <w:pStyle w:val="ListParagraph"/>
              <w:shd w:val="clear" w:color="auto" w:fill="FFFFFF"/>
              <w:tabs>
                <w:tab w:val="left" w:pos="922"/>
              </w:tabs>
              <w:spacing w:after="0" w:line="240" w:lineRule="auto"/>
              <w:ind w:left="0"/>
              <w:jc w:val="both"/>
              <w:rPr>
                <w:rFonts w:ascii="Times New Roman" w:hAnsi="Times New Roman"/>
                <w:sz w:val="24"/>
                <w:szCs w:val="24"/>
              </w:rPr>
            </w:pPr>
          </w:p>
          <w:p w:rsidR="00D253F1" w:rsidRPr="00F361DE" w:rsidRDefault="00D253F1" w:rsidP="007E09C2">
            <w:pPr>
              <w:jc w:val="both"/>
              <w:rPr>
                <w:sz w:val="22"/>
                <w:szCs w:val="22"/>
              </w:rPr>
            </w:pPr>
          </w:p>
        </w:tc>
      </w:tr>
      <w:tr w:rsidR="006B72C9" w:rsidRPr="00DB0F73" w:rsidTr="00074A78">
        <w:tc>
          <w:tcPr>
            <w:tcW w:w="993" w:type="dxa"/>
          </w:tcPr>
          <w:p w:rsidR="006B72C9" w:rsidRPr="00DB0F73" w:rsidRDefault="006B72C9" w:rsidP="007E09C2">
            <w:pPr>
              <w:pStyle w:val="naisc"/>
              <w:numPr>
                <w:ilvl w:val="0"/>
                <w:numId w:val="2"/>
              </w:numPr>
              <w:spacing w:before="0" w:after="0"/>
              <w:jc w:val="both"/>
              <w:rPr>
                <w:sz w:val="22"/>
                <w:szCs w:val="22"/>
              </w:rPr>
            </w:pPr>
          </w:p>
        </w:tc>
        <w:tc>
          <w:tcPr>
            <w:tcW w:w="3260" w:type="dxa"/>
          </w:tcPr>
          <w:p w:rsidR="00271093" w:rsidRPr="00271093" w:rsidRDefault="00271093" w:rsidP="00271093">
            <w:pPr>
              <w:jc w:val="both"/>
            </w:pPr>
            <w:r w:rsidRPr="00271093">
              <w:t>Papildināt otrās daļas 2.punktu pēc vār</w:t>
            </w:r>
            <w:r>
              <w:t xml:space="preserve">diem “kādam Latvijā” ar vārdiem </w:t>
            </w:r>
            <w:r w:rsidRPr="00271093">
              <w:t>“izglītības dokumentam”;</w:t>
            </w:r>
          </w:p>
          <w:p w:rsidR="006B72C9" w:rsidRPr="00D253F1" w:rsidRDefault="006B72C9" w:rsidP="007E09C2">
            <w:pPr>
              <w:pStyle w:val="naisc"/>
              <w:spacing w:before="0" w:after="0"/>
              <w:ind w:firstLine="12"/>
              <w:jc w:val="both"/>
              <w:rPr>
                <w:sz w:val="22"/>
                <w:szCs w:val="22"/>
              </w:rPr>
            </w:pPr>
          </w:p>
        </w:tc>
        <w:tc>
          <w:tcPr>
            <w:tcW w:w="4046" w:type="dxa"/>
            <w:gridSpan w:val="2"/>
          </w:tcPr>
          <w:p w:rsidR="006B72C9" w:rsidRDefault="006B72C9" w:rsidP="006B72C9">
            <w:pPr>
              <w:pStyle w:val="naisc"/>
              <w:ind w:firstLine="46"/>
              <w:jc w:val="both"/>
              <w:rPr>
                <w:b/>
              </w:rPr>
            </w:pPr>
            <w:r w:rsidRPr="004412AC">
              <w:rPr>
                <w:b/>
              </w:rPr>
              <w:t xml:space="preserve">Tieslietu ministrija </w:t>
            </w:r>
          </w:p>
          <w:p w:rsidR="002B158E" w:rsidRPr="002B158E" w:rsidRDefault="002B158E" w:rsidP="002B158E">
            <w:pPr>
              <w:pStyle w:val="naisc"/>
              <w:ind w:firstLine="46"/>
              <w:jc w:val="both"/>
            </w:pPr>
            <w:r w:rsidRPr="002B158E">
              <w:t>(05.10.2020. Nr.1-9.1/1036)</w:t>
            </w:r>
          </w:p>
          <w:p w:rsidR="006B72C9" w:rsidRPr="006B72C9" w:rsidRDefault="006B72C9" w:rsidP="006B72C9">
            <w:pPr>
              <w:pStyle w:val="naisc"/>
              <w:jc w:val="both"/>
            </w:pPr>
            <w:r w:rsidRPr="006B72C9">
              <w:t>Projekts paredz papildināt Augstskolu likuma 85.panta otrās daļas 2.punktu un trešo daļu pēc vārdiem "kādam Latvijā" ar vārdiem "izglītības dokumentam". Norādām, ka, izdarot šādus grozījumus, attiecīgo normu redakcijas nav saprotamas. Lūdzam precizēt projekta 1.pantu.</w:t>
            </w:r>
          </w:p>
        </w:tc>
        <w:tc>
          <w:tcPr>
            <w:tcW w:w="3500" w:type="dxa"/>
          </w:tcPr>
          <w:p w:rsidR="002C3729" w:rsidRDefault="002C3729" w:rsidP="002C3729">
            <w:pPr>
              <w:pStyle w:val="naisc"/>
              <w:spacing w:before="0" w:after="0"/>
              <w:jc w:val="both"/>
            </w:pPr>
            <w:r w:rsidRPr="00597F21">
              <w:rPr>
                <w:b/>
                <w:sz w:val="22"/>
                <w:szCs w:val="22"/>
              </w:rPr>
              <w:t>Ņemts vērā</w:t>
            </w:r>
            <w:r w:rsidRPr="004F57B3">
              <w:t xml:space="preserve"> </w:t>
            </w:r>
          </w:p>
          <w:p w:rsidR="006B72C9" w:rsidRDefault="002C3729" w:rsidP="007E09C2">
            <w:pPr>
              <w:pStyle w:val="naisc"/>
              <w:spacing w:before="0" w:after="0"/>
              <w:jc w:val="both"/>
              <w:rPr>
                <w:sz w:val="22"/>
                <w:szCs w:val="22"/>
                <w:highlight w:val="magenta"/>
              </w:rPr>
            </w:pPr>
            <w:r>
              <w:rPr>
                <w:sz w:val="22"/>
                <w:szCs w:val="22"/>
                <w:highlight w:val="magenta"/>
              </w:rPr>
              <w:t xml:space="preserve"> </w:t>
            </w:r>
          </w:p>
          <w:p w:rsidR="002C3729" w:rsidRPr="00D253F1" w:rsidRDefault="002C3729" w:rsidP="007E09C2">
            <w:pPr>
              <w:pStyle w:val="naisc"/>
              <w:spacing w:before="0" w:after="0"/>
              <w:jc w:val="both"/>
              <w:rPr>
                <w:sz w:val="22"/>
                <w:szCs w:val="22"/>
                <w:highlight w:val="magenta"/>
              </w:rPr>
            </w:pPr>
          </w:p>
        </w:tc>
        <w:tc>
          <w:tcPr>
            <w:tcW w:w="3669" w:type="dxa"/>
            <w:gridSpan w:val="2"/>
          </w:tcPr>
          <w:p w:rsidR="00005547" w:rsidRPr="00005547" w:rsidRDefault="002C3729" w:rsidP="00005547">
            <w:pPr>
              <w:jc w:val="both"/>
              <w:rPr>
                <w:b/>
                <w:sz w:val="22"/>
                <w:szCs w:val="22"/>
              </w:rPr>
            </w:pPr>
            <w:r w:rsidRPr="00005547">
              <w:rPr>
                <w:b/>
                <w:sz w:val="22"/>
                <w:szCs w:val="22"/>
              </w:rPr>
              <w:t>Panta daļa atstāta bez izmaiņām</w:t>
            </w:r>
          </w:p>
          <w:p w:rsidR="00DD156B" w:rsidRPr="00F361DE" w:rsidRDefault="00DD156B" w:rsidP="007E09C2">
            <w:pPr>
              <w:jc w:val="both"/>
              <w:rPr>
                <w:sz w:val="22"/>
                <w:szCs w:val="22"/>
              </w:rPr>
            </w:pPr>
          </w:p>
        </w:tc>
      </w:tr>
      <w:tr w:rsidR="00656F38" w:rsidRPr="00DB0F73" w:rsidTr="00074A78">
        <w:tc>
          <w:tcPr>
            <w:tcW w:w="993" w:type="dxa"/>
          </w:tcPr>
          <w:p w:rsidR="00656F38" w:rsidRPr="00DB0F73" w:rsidRDefault="00656F38" w:rsidP="007E09C2">
            <w:pPr>
              <w:pStyle w:val="naisc"/>
              <w:numPr>
                <w:ilvl w:val="0"/>
                <w:numId w:val="2"/>
              </w:numPr>
              <w:spacing w:before="0" w:after="0"/>
              <w:jc w:val="both"/>
              <w:rPr>
                <w:sz w:val="22"/>
                <w:szCs w:val="22"/>
              </w:rPr>
            </w:pPr>
          </w:p>
        </w:tc>
        <w:tc>
          <w:tcPr>
            <w:tcW w:w="3260" w:type="dxa"/>
          </w:tcPr>
          <w:p w:rsidR="00656F38" w:rsidRPr="00005547" w:rsidRDefault="00656F38" w:rsidP="00005547">
            <w:pPr>
              <w:pStyle w:val="naisc"/>
              <w:spacing w:before="0" w:after="0"/>
              <w:ind w:firstLine="12"/>
              <w:jc w:val="both"/>
              <w:rPr>
                <w:sz w:val="22"/>
                <w:szCs w:val="22"/>
              </w:rPr>
            </w:pPr>
            <w:r w:rsidRPr="00005547">
              <w:t xml:space="preserve">85.panta piektā daļa </w:t>
            </w:r>
          </w:p>
        </w:tc>
        <w:tc>
          <w:tcPr>
            <w:tcW w:w="4046" w:type="dxa"/>
            <w:gridSpan w:val="2"/>
          </w:tcPr>
          <w:p w:rsidR="00656F38" w:rsidRDefault="00656F38" w:rsidP="00656F38">
            <w:pPr>
              <w:pStyle w:val="naisc"/>
              <w:ind w:firstLine="46"/>
              <w:jc w:val="both"/>
              <w:rPr>
                <w:b/>
              </w:rPr>
            </w:pPr>
            <w:r w:rsidRPr="004412AC">
              <w:rPr>
                <w:b/>
              </w:rPr>
              <w:t xml:space="preserve">Tieslietu ministrija </w:t>
            </w:r>
          </w:p>
          <w:p w:rsidR="002B158E" w:rsidRPr="002B158E" w:rsidRDefault="002B158E" w:rsidP="002B158E">
            <w:pPr>
              <w:pStyle w:val="naisc"/>
              <w:ind w:firstLine="46"/>
              <w:jc w:val="both"/>
            </w:pPr>
            <w:r w:rsidRPr="002B158E">
              <w:lastRenderedPageBreak/>
              <w:t>(05.10.2020. Nr.1-9.1/1036)</w:t>
            </w:r>
          </w:p>
          <w:p w:rsidR="00656F38" w:rsidRPr="00656F38" w:rsidRDefault="00656F38" w:rsidP="00656F38">
            <w:pPr>
              <w:pStyle w:val="naisc"/>
              <w:jc w:val="both"/>
            </w:pPr>
            <w:r w:rsidRPr="00656F38">
              <w:t>Projekts paredz šo normu papildināt ar jaunu teikumu, nosakot, ka "minēto lēmumu augstskola var pieņemt, pamatojoties uz savas izsniegtās izziņas pamata, ja tā ir veikusi šā panta 1.</w:t>
            </w:r>
            <w:r w:rsidRPr="00656F38">
              <w:rPr>
                <w:vertAlign w:val="superscript"/>
              </w:rPr>
              <w:t>1</w:t>
            </w:r>
            <w:r w:rsidRPr="00656F38">
              <w:t xml:space="preserve">  daļā minēto dokumentu ekspertīzi". Ņemot vērā, ka augstskolai iesniegumu var iesniegt ne tikai studiju turpināšanai, bet arī uzsākšanai, lūdzam izvērtēt, vai nebūtu precizējams 85.panta piektās daļas pirmais teikums.</w:t>
            </w:r>
          </w:p>
        </w:tc>
        <w:tc>
          <w:tcPr>
            <w:tcW w:w="3500" w:type="dxa"/>
          </w:tcPr>
          <w:p w:rsidR="000F6010" w:rsidRDefault="000F6010" w:rsidP="000F6010">
            <w:pPr>
              <w:pStyle w:val="naisc"/>
              <w:spacing w:before="0" w:after="0"/>
              <w:jc w:val="both"/>
            </w:pPr>
            <w:r w:rsidRPr="00597F21">
              <w:rPr>
                <w:b/>
                <w:sz w:val="22"/>
                <w:szCs w:val="22"/>
              </w:rPr>
              <w:lastRenderedPageBreak/>
              <w:t>Ņemts vērā</w:t>
            </w:r>
            <w:r w:rsidRPr="004F57B3">
              <w:t xml:space="preserve"> </w:t>
            </w:r>
          </w:p>
          <w:p w:rsidR="00656F38" w:rsidRDefault="00656F38" w:rsidP="007E09C2">
            <w:pPr>
              <w:pStyle w:val="naisc"/>
              <w:spacing w:before="0" w:after="0"/>
              <w:jc w:val="both"/>
              <w:rPr>
                <w:sz w:val="22"/>
                <w:szCs w:val="22"/>
                <w:highlight w:val="magenta"/>
              </w:rPr>
            </w:pPr>
          </w:p>
          <w:p w:rsidR="00005547" w:rsidRDefault="00005547" w:rsidP="00005547">
            <w:pPr>
              <w:pStyle w:val="naisc"/>
              <w:spacing w:before="0" w:after="0"/>
              <w:jc w:val="both"/>
              <w:rPr>
                <w:sz w:val="22"/>
                <w:szCs w:val="22"/>
              </w:rPr>
            </w:pPr>
            <w:r w:rsidRPr="00005547">
              <w:rPr>
                <w:sz w:val="22"/>
                <w:szCs w:val="22"/>
              </w:rPr>
              <w:lastRenderedPageBreak/>
              <w:t>Panta piekt</w:t>
            </w:r>
            <w:r>
              <w:rPr>
                <w:sz w:val="22"/>
                <w:szCs w:val="22"/>
              </w:rPr>
              <w:t>ā</w:t>
            </w:r>
            <w:r w:rsidRPr="00005547">
              <w:rPr>
                <w:sz w:val="22"/>
                <w:szCs w:val="22"/>
              </w:rPr>
              <w:t xml:space="preserve"> da</w:t>
            </w:r>
            <w:r>
              <w:rPr>
                <w:sz w:val="22"/>
                <w:szCs w:val="22"/>
              </w:rPr>
              <w:t>ļa izteikta</w:t>
            </w:r>
            <w:r w:rsidRPr="00005547">
              <w:rPr>
                <w:sz w:val="22"/>
                <w:szCs w:val="22"/>
              </w:rPr>
              <w:t xml:space="preserve"> jaunā </w:t>
            </w:r>
          </w:p>
          <w:p w:rsidR="00F11DA7" w:rsidRPr="00D253F1" w:rsidRDefault="00005547" w:rsidP="00005547">
            <w:pPr>
              <w:pStyle w:val="naisc"/>
              <w:spacing w:before="0" w:after="0"/>
              <w:jc w:val="both"/>
              <w:rPr>
                <w:sz w:val="22"/>
                <w:szCs w:val="22"/>
                <w:highlight w:val="magenta"/>
              </w:rPr>
            </w:pPr>
            <w:r w:rsidRPr="00005547">
              <w:rPr>
                <w:sz w:val="22"/>
                <w:szCs w:val="22"/>
              </w:rPr>
              <w:t>redakcijā</w:t>
            </w:r>
            <w:r>
              <w:rPr>
                <w:sz w:val="22"/>
                <w:szCs w:val="22"/>
              </w:rPr>
              <w:t>.</w:t>
            </w:r>
          </w:p>
        </w:tc>
        <w:tc>
          <w:tcPr>
            <w:tcW w:w="3669" w:type="dxa"/>
            <w:gridSpan w:val="2"/>
          </w:tcPr>
          <w:p w:rsidR="00656F38" w:rsidRDefault="00005547" w:rsidP="007E09C2">
            <w:pPr>
              <w:jc w:val="both"/>
              <w:rPr>
                <w:b/>
                <w:sz w:val="22"/>
                <w:szCs w:val="22"/>
              </w:rPr>
            </w:pPr>
            <w:r w:rsidRPr="00005547">
              <w:rPr>
                <w:b/>
                <w:sz w:val="22"/>
                <w:szCs w:val="22"/>
              </w:rPr>
              <w:lastRenderedPageBreak/>
              <w:t>Precizēts likumprojekts</w:t>
            </w:r>
          </w:p>
          <w:p w:rsidR="00005547" w:rsidRDefault="00005547" w:rsidP="007E09C2">
            <w:pPr>
              <w:jc w:val="both"/>
              <w:rPr>
                <w:b/>
                <w:sz w:val="22"/>
                <w:szCs w:val="22"/>
              </w:rPr>
            </w:pPr>
          </w:p>
          <w:p w:rsidR="00005547" w:rsidRPr="001D3C25" w:rsidRDefault="00005547" w:rsidP="00005547">
            <w:pPr>
              <w:pStyle w:val="tv213"/>
              <w:shd w:val="clear" w:color="auto" w:fill="FFFFFF"/>
              <w:spacing w:before="0" w:beforeAutospacing="0" w:after="0" w:afterAutospacing="0"/>
              <w:jc w:val="both"/>
              <w:rPr>
                <w:lang w:val="lv-LV"/>
              </w:rPr>
            </w:pPr>
            <w:r w:rsidRPr="001D3C25">
              <w:rPr>
                <w:lang w:val="lv-LV" w:eastAsia="lv-LV"/>
              </w:rPr>
              <w:lastRenderedPageBreak/>
              <w:t>“</w:t>
            </w:r>
            <w:r w:rsidRPr="001D3C25">
              <w:rPr>
                <w:lang w:val="lv-LV"/>
              </w:rPr>
              <w:t xml:space="preserve">(5) Ja studijas uzsāk vai turpina Latvijā, attiecīgā augstskola uz Akadēmiskās informācijas centra izziņas pamata pieņem lēmumu par ārvalstīs iegūtā akadēmiskā grāda un izglītības dokumenta atzīšanu. </w:t>
            </w:r>
            <w:r w:rsidRPr="001D3C25">
              <w:rPr>
                <w:shd w:val="clear" w:color="auto" w:fill="FFFFFF"/>
                <w:lang w:val="lv-LV"/>
              </w:rPr>
              <w:t xml:space="preserve">Ja augstskola ir veikusi šā panta </w:t>
            </w:r>
            <w:r w:rsidRPr="001D3C25">
              <w:rPr>
                <w:lang w:val="lv-LV" w:eastAsia="lv-LV"/>
              </w:rPr>
              <w:t>1.</w:t>
            </w:r>
            <w:r w:rsidRPr="001D3C25">
              <w:rPr>
                <w:vertAlign w:val="superscript"/>
                <w:lang w:val="lv-LV" w:eastAsia="lv-LV"/>
              </w:rPr>
              <w:t xml:space="preserve">1 </w:t>
            </w:r>
            <w:r w:rsidRPr="001D3C25">
              <w:rPr>
                <w:lang w:val="lv-LV" w:eastAsia="lv-LV"/>
              </w:rPr>
              <w:t xml:space="preserve">daļā minēto dokumentu ekspertīzi, minēto lēmumu augstskola pieņem </w:t>
            </w:r>
            <w:r w:rsidRPr="001D3C25">
              <w:rPr>
                <w:shd w:val="clear" w:color="auto" w:fill="FFFFFF"/>
                <w:lang w:val="lv-LV"/>
              </w:rPr>
              <w:t>uz savas izsniegtās izziņas pamata.”</w:t>
            </w:r>
            <w:r w:rsidRPr="001D3C25">
              <w:rPr>
                <w:lang w:val="lv-LV"/>
              </w:rPr>
              <w:t xml:space="preserve"> </w:t>
            </w:r>
          </w:p>
          <w:p w:rsidR="00005547" w:rsidRPr="00005547" w:rsidRDefault="00005547" w:rsidP="007E09C2">
            <w:pPr>
              <w:jc w:val="both"/>
              <w:rPr>
                <w:b/>
                <w:sz w:val="22"/>
                <w:szCs w:val="22"/>
              </w:rPr>
            </w:pPr>
          </w:p>
        </w:tc>
      </w:tr>
      <w:tr w:rsidR="00656F38" w:rsidRPr="00DB0F73" w:rsidTr="00074A78">
        <w:tc>
          <w:tcPr>
            <w:tcW w:w="993" w:type="dxa"/>
          </w:tcPr>
          <w:p w:rsidR="00656F38" w:rsidRPr="00DB0F73" w:rsidRDefault="00656F38" w:rsidP="007E09C2">
            <w:pPr>
              <w:pStyle w:val="naisc"/>
              <w:numPr>
                <w:ilvl w:val="0"/>
                <w:numId w:val="2"/>
              </w:numPr>
              <w:spacing w:before="0" w:after="0"/>
              <w:jc w:val="both"/>
              <w:rPr>
                <w:sz w:val="22"/>
                <w:szCs w:val="22"/>
              </w:rPr>
            </w:pPr>
          </w:p>
        </w:tc>
        <w:tc>
          <w:tcPr>
            <w:tcW w:w="3260" w:type="dxa"/>
          </w:tcPr>
          <w:p w:rsidR="00656F38" w:rsidRPr="00656F38" w:rsidRDefault="00656F38" w:rsidP="007E09C2">
            <w:pPr>
              <w:pStyle w:val="naisc"/>
              <w:spacing w:before="0" w:after="0"/>
              <w:ind w:firstLine="12"/>
              <w:jc w:val="both"/>
            </w:pPr>
          </w:p>
        </w:tc>
        <w:tc>
          <w:tcPr>
            <w:tcW w:w="4046" w:type="dxa"/>
            <w:gridSpan w:val="2"/>
          </w:tcPr>
          <w:p w:rsidR="00656F38" w:rsidRDefault="00656F38" w:rsidP="00656F38">
            <w:pPr>
              <w:pStyle w:val="naisc"/>
              <w:ind w:firstLine="46"/>
              <w:jc w:val="both"/>
              <w:rPr>
                <w:b/>
              </w:rPr>
            </w:pPr>
            <w:r w:rsidRPr="004412AC">
              <w:rPr>
                <w:b/>
              </w:rPr>
              <w:t xml:space="preserve">Tieslietu ministrija </w:t>
            </w:r>
          </w:p>
          <w:p w:rsidR="002B158E" w:rsidRPr="002B158E" w:rsidRDefault="002B158E" w:rsidP="002B158E">
            <w:pPr>
              <w:pStyle w:val="naisc"/>
              <w:ind w:firstLine="46"/>
              <w:jc w:val="both"/>
            </w:pPr>
            <w:r w:rsidRPr="002B158E">
              <w:t>(05.10.2020. Nr.1-9.1/1036)</w:t>
            </w:r>
          </w:p>
          <w:p w:rsidR="00656F38" w:rsidRPr="00656F38" w:rsidRDefault="00656F38" w:rsidP="00656F38">
            <w:pPr>
              <w:pStyle w:val="naisc"/>
              <w:jc w:val="both"/>
            </w:pPr>
            <w:r w:rsidRPr="00656F38">
              <w:t>Lūdzam skaidrot, vai nevar būt situācija, kad persona studiju uzsākšanai vēršas vienā augstskolā, attiecīgā augstskola veic ekspertīzi un izsniedz izziņu, bet persona tomēr studijas izvēlas uzsākt citā augstskolā, kura var pieņemt lēmumu par dokumenta atzīšanu. Ņemot to vērā, aicinām izvērtēt, vai 85.panta sestā daļa nebūtu precizējama.</w:t>
            </w:r>
          </w:p>
        </w:tc>
        <w:tc>
          <w:tcPr>
            <w:tcW w:w="3500" w:type="dxa"/>
          </w:tcPr>
          <w:p w:rsidR="00005547" w:rsidRPr="00962ED4" w:rsidRDefault="00005547" w:rsidP="00005547">
            <w:pPr>
              <w:pStyle w:val="naisc"/>
              <w:spacing w:before="0" w:after="0"/>
              <w:jc w:val="both"/>
            </w:pPr>
            <w:r w:rsidRPr="00962ED4">
              <w:rPr>
                <w:b/>
              </w:rPr>
              <w:t>Ņemts vērā</w:t>
            </w:r>
            <w:r w:rsidRPr="00962ED4">
              <w:t xml:space="preserve"> </w:t>
            </w:r>
          </w:p>
          <w:p w:rsidR="00005547" w:rsidRPr="00962ED4" w:rsidRDefault="00962ED4" w:rsidP="007E09C2">
            <w:pPr>
              <w:pStyle w:val="naisc"/>
              <w:spacing w:before="0" w:after="0"/>
              <w:jc w:val="both"/>
            </w:pPr>
            <w:r w:rsidRPr="00962ED4">
              <w:t xml:space="preserve">Projekts paredz </w:t>
            </w:r>
            <w:r w:rsidR="00005547" w:rsidRPr="00962ED4">
              <w:t>papildināt Augstskolu likuma 85.pantu ar sesto daļu, nosakot, ja izziņa jau ir izsniegta, to var iesniegt studijām citā aug</w:t>
            </w:r>
            <w:r w:rsidR="00271093">
              <w:t>s</w:t>
            </w:r>
            <w:r w:rsidR="00005547" w:rsidRPr="00962ED4">
              <w:t xml:space="preserve">tskolā Latvijā. </w:t>
            </w:r>
          </w:p>
          <w:p w:rsidR="00F11DA7" w:rsidRPr="00962ED4" w:rsidRDefault="00F11DA7" w:rsidP="00005547">
            <w:pPr>
              <w:pStyle w:val="naisc"/>
              <w:spacing w:before="0" w:after="0"/>
              <w:jc w:val="both"/>
              <w:rPr>
                <w:highlight w:val="magenta"/>
              </w:rPr>
            </w:pPr>
          </w:p>
        </w:tc>
        <w:tc>
          <w:tcPr>
            <w:tcW w:w="3669" w:type="dxa"/>
            <w:gridSpan w:val="2"/>
          </w:tcPr>
          <w:p w:rsidR="00005547" w:rsidRDefault="00005547" w:rsidP="00005547">
            <w:pPr>
              <w:jc w:val="both"/>
              <w:rPr>
                <w:b/>
                <w:sz w:val="22"/>
                <w:szCs w:val="22"/>
              </w:rPr>
            </w:pPr>
            <w:r w:rsidRPr="00005547">
              <w:rPr>
                <w:b/>
                <w:sz w:val="22"/>
                <w:szCs w:val="22"/>
              </w:rPr>
              <w:t>Precizēts likumprojekts</w:t>
            </w:r>
          </w:p>
          <w:p w:rsidR="00656F38" w:rsidRDefault="00005547" w:rsidP="007E09C2">
            <w:pPr>
              <w:jc w:val="both"/>
            </w:pPr>
            <w:r>
              <w:t>„6) I</w:t>
            </w:r>
            <w:r w:rsidRPr="00656F38">
              <w:t>zziņu, kuru ir izsniegusi šā panta 1.</w:t>
            </w:r>
            <w:r w:rsidRPr="00656F38">
              <w:rPr>
                <w:vertAlign w:val="superscript"/>
              </w:rPr>
              <w:t>1</w:t>
            </w:r>
            <w:r>
              <w:t xml:space="preserve"> daļā minētā augstskola, izglītības</w:t>
            </w:r>
            <w:r w:rsidRPr="00656F38">
              <w:t xml:space="preserve"> dokumenta īpašnieks </w:t>
            </w:r>
            <w:r>
              <w:t xml:space="preserve">var </w:t>
            </w:r>
            <w:r w:rsidRPr="00656F38">
              <w:t>pievieno</w:t>
            </w:r>
            <w:r>
              <w:t>t</w:t>
            </w:r>
            <w:r w:rsidRPr="00656F38">
              <w:t xml:space="preserve"> iesniegumam studiju </w:t>
            </w:r>
            <w:r>
              <w:t xml:space="preserve">uzsākšanai vai </w:t>
            </w:r>
            <w:r w:rsidRPr="00656F38">
              <w:t>turpināšanai Latvijā citā augsts</w:t>
            </w:r>
            <w:r>
              <w:t xml:space="preserve">kolā, kura, pamatojoties uz to, </w:t>
            </w:r>
            <w:r w:rsidRPr="00656F38">
              <w:t>pieņem lēmumu par attiecīgajā ārvalstī iegūtā akadēmiskā grāda un izsniegt</w:t>
            </w:r>
            <w:r>
              <w:t>ā izglītības dokumenta atzīšanu."</w:t>
            </w:r>
          </w:p>
          <w:p w:rsidR="00271093" w:rsidRDefault="00271093" w:rsidP="007E09C2">
            <w:pPr>
              <w:jc w:val="both"/>
            </w:pPr>
          </w:p>
          <w:p w:rsidR="00271093" w:rsidRPr="00271093" w:rsidRDefault="00271093" w:rsidP="007E09C2">
            <w:pPr>
              <w:jc w:val="both"/>
              <w:rPr>
                <w:b/>
                <w:sz w:val="22"/>
                <w:szCs w:val="22"/>
              </w:rPr>
            </w:pPr>
            <w:r w:rsidRPr="00271093">
              <w:rPr>
                <w:b/>
              </w:rPr>
              <w:t>Papildināta anotācija</w:t>
            </w:r>
          </w:p>
        </w:tc>
      </w:tr>
      <w:tr w:rsidR="00656F38" w:rsidRPr="00DB0F73" w:rsidTr="00074A78">
        <w:tc>
          <w:tcPr>
            <w:tcW w:w="993" w:type="dxa"/>
          </w:tcPr>
          <w:p w:rsidR="00656F38" w:rsidRPr="00DB0F73" w:rsidRDefault="00656F38" w:rsidP="007E09C2">
            <w:pPr>
              <w:pStyle w:val="naisc"/>
              <w:numPr>
                <w:ilvl w:val="0"/>
                <w:numId w:val="2"/>
              </w:numPr>
              <w:spacing w:before="0" w:after="0"/>
              <w:jc w:val="both"/>
              <w:rPr>
                <w:sz w:val="22"/>
                <w:szCs w:val="22"/>
              </w:rPr>
            </w:pPr>
          </w:p>
        </w:tc>
        <w:tc>
          <w:tcPr>
            <w:tcW w:w="3260" w:type="dxa"/>
          </w:tcPr>
          <w:p w:rsidR="00656F38" w:rsidRPr="00656F38" w:rsidRDefault="00656F38" w:rsidP="007E09C2">
            <w:pPr>
              <w:pStyle w:val="naisc"/>
              <w:spacing w:before="0" w:after="0"/>
              <w:ind w:firstLine="12"/>
              <w:jc w:val="both"/>
            </w:pPr>
          </w:p>
        </w:tc>
        <w:tc>
          <w:tcPr>
            <w:tcW w:w="4046" w:type="dxa"/>
            <w:gridSpan w:val="2"/>
          </w:tcPr>
          <w:p w:rsidR="00656F38" w:rsidRPr="004412AC" w:rsidRDefault="00656F38" w:rsidP="00656F38">
            <w:pPr>
              <w:pStyle w:val="naisc"/>
              <w:ind w:firstLine="46"/>
              <w:jc w:val="both"/>
              <w:rPr>
                <w:b/>
              </w:rPr>
            </w:pPr>
            <w:r w:rsidRPr="004412AC">
              <w:rPr>
                <w:b/>
              </w:rPr>
              <w:t xml:space="preserve">Tieslietu ministrija </w:t>
            </w:r>
          </w:p>
          <w:p w:rsidR="002B158E" w:rsidRPr="002B158E" w:rsidRDefault="002B158E" w:rsidP="002B158E">
            <w:pPr>
              <w:pStyle w:val="naisc"/>
              <w:ind w:firstLine="46"/>
              <w:jc w:val="both"/>
            </w:pPr>
            <w:r w:rsidRPr="002B158E">
              <w:t>(05.10.2020. Nr.1-9.1/1036)</w:t>
            </w:r>
          </w:p>
          <w:p w:rsidR="00656F38" w:rsidRPr="00656F38" w:rsidRDefault="00656F38" w:rsidP="00656F38">
            <w:pPr>
              <w:pStyle w:val="naisc"/>
              <w:jc w:val="both"/>
            </w:pPr>
            <w:r w:rsidRPr="00656F38">
              <w:t xml:space="preserve">Projekta anotācijā norādīts, ka "likumprojektā tiek deleģētas tiesības Ministru kabineta noteiktā kārtībā noteiktām augstskolām, kurām prasības noteiks Ministru kabinets, veikt </w:t>
            </w:r>
            <w:r w:rsidRPr="00656F38">
              <w:lastRenderedPageBreak/>
              <w:t>akadēmisko grādu un izglītības dokumentu ekspertīzi, izsniedzot izziņu, lai  pieņemtu lēmumu par ārvalstnieka studiju uzsākša</w:t>
            </w:r>
            <w:r w:rsidR="00271093">
              <w:t xml:space="preserve">nu vai turpināšanu augstskolā". </w:t>
            </w:r>
            <w:r w:rsidRPr="00271093">
              <w:t>Lūdzam skaidrot, vai tiešām runa ir tikai par ārvalstniekiem, kas vēlas uzsākt vai turpināt studijas Latvijas augstskolā, vai arī tomēr ekspertīzi var veikt arī tiem dokumentiem, ko iesnieguši Latvijas iedzīvotāji, kas izglītību ieguvuši ārzemēs (kas arī izriet no projekta).</w:t>
            </w:r>
            <w:r w:rsidRPr="00656F38">
              <w:t xml:space="preserve"> Nepieciešamības gadījumā aicinām precizēt anotāciju/projektu.</w:t>
            </w:r>
          </w:p>
        </w:tc>
        <w:tc>
          <w:tcPr>
            <w:tcW w:w="3500" w:type="dxa"/>
          </w:tcPr>
          <w:p w:rsidR="00962ED4" w:rsidRPr="00962ED4" w:rsidRDefault="00962ED4" w:rsidP="00962ED4">
            <w:pPr>
              <w:pStyle w:val="naisc"/>
              <w:spacing w:before="0" w:after="0"/>
              <w:jc w:val="both"/>
            </w:pPr>
            <w:r w:rsidRPr="00962ED4">
              <w:rPr>
                <w:b/>
              </w:rPr>
              <w:lastRenderedPageBreak/>
              <w:t>Ņemts vērā</w:t>
            </w:r>
            <w:r w:rsidRPr="00962ED4">
              <w:t xml:space="preserve"> </w:t>
            </w:r>
          </w:p>
          <w:p w:rsidR="00962ED4" w:rsidRDefault="00962ED4" w:rsidP="007E09C2">
            <w:pPr>
              <w:pStyle w:val="naisc"/>
              <w:spacing w:before="0" w:after="0"/>
              <w:jc w:val="both"/>
              <w:rPr>
                <w:sz w:val="22"/>
                <w:szCs w:val="22"/>
                <w:highlight w:val="magenta"/>
              </w:rPr>
            </w:pPr>
          </w:p>
          <w:p w:rsidR="00656F38" w:rsidRPr="00D253F1" w:rsidRDefault="00F11DA7" w:rsidP="00962ED4">
            <w:pPr>
              <w:pStyle w:val="naisc"/>
              <w:spacing w:before="0" w:after="0"/>
              <w:jc w:val="both"/>
              <w:rPr>
                <w:sz w:val="22"/>
                <w:szCs w:val="22"/>
                <w:highlight w:val="magenta"/>
              </w:rPr>
            </w:pPr>
            <w:r w:rsidRPr="00962ED4">
              <w:rPr>
                <w:sz w:val="22"/>
                <w:szCs w:val="22"/>
              </w:rPr>
              <w:t xml:space="preserve">Jā, </w:t>
            </w:r>
            <w:r w:rsidR="00962ED4" w:rsidRPr="00962ED4">
              <w:rPr>
                <w:sz w:val="22"/>
                <w:szCs w:val="22"/>
              </w:rPr>
              <w:t>likumprojektā noteiktā kārtība būs attiecināma uz visiem ārvalstīs izsniegtajiem</w:t>
            </w:r>
            <w:r w:rsidRPr="00962ED4">
              <w:rPr>
                <w:sz w:val="22"/>
                <w:szCs w:val="22"/>
              </w:rPr>
              <w:t xml:space="preserve"> diplomus</w:t>
            </w:r>
            <w:r w:rsidR="00271093">
              <w:rPr>
                <w:sz w:val="22"/>
                <w:szCs w:val="22"/>
              </w:rPr>
              <w:t>, t.sk.</w:t>
            </w:r>
            <w:r w:rsidRPr="00962ED4">
              <w:rPr>
                <w:sz w:val="22"/>
                <w:szCs w:val="22"/>
              </w:rPr>
              <w:t xml:space="preserve"> arī Latvijas pilsoņiem.</w:t>
            </w:r>
          </w:p>
        </w:tc>
        <w:tc>
          <w:tcPr>
            <w:tcW w:w="3669" w:type="dxa"/>
            <w:gridSpan w:val="2"/>
          </w:tcPr>
          <w:p w:rsidR="00656F38" w:rsidRPr="00962ED4" w:rsidRDefault="00962ED4" w:rsidP="007E09C2">
            <w:pPr>
              <w:jc w:val="both"/>
              <w:rPr>
                <w:b/>
                <w:sz w:val="22"/>
                <w:szCs w:val="22"/>
              </w:rPr>
            </w:pPr>
            <w:r w:rsidRPr="00271093">
              <w:rPr>
                <w:b/>
                <w:sz w:val="22"/>
                <w:szCs w:val="22"/>
              </w:rPr>
              <w:t>Precizēta anotācija</w:t>
            </w:r>
          </w:p>
        </w:tc>
      </w:tr>
      <w:tr w:rsidR="005A14DF" w:rsidRPr="00DB0F73" w:rsidTr="00074A78">
        <w:tc>
          <w:tcPr>
            <w:tcW w:w="993" w:type="dxa"/>
          </w:tcPr>
          <w:p w:rsidR="005A14DF" w:rsidRPr="00DB0F73" w:rsidRDefault="005A14DF" w:rsidP="007E09C2">
            <w:pPr>
              <w:pStyle w:val="naisc"/>
              <w:numPr>
                <w:ilvl w:val="0"/>
                <w:numId w:val="2"/>
              </w:numPr>
              <w:spacing w:before="0" w:after="0"/>
              <w:jc w:val="both"/>
              <w:rPr>
                <w:sz w:val="22"/>
                <w:szCs w:val="22"/>
              </w:rPr>
            </w:pPr>
          </w:p>
        </w:tc>
        <w:tc>
          <w:tcPr>
            <w:tcW w:w="3260" w:type="dxa"/>
          </w:tcPr>
          <w:p w:rsidR="005A14DF" w:rsidRPr="00656F38" w:rsidRDefault="005A14DF" w:rsidP="007E09C2">
            <w:pPr>
              <w:pStyle w:val="naisc"/>
              <w:spacing w:before="0" w:after="0"/>
              <w:ind w:firstLine="12"/>
              <w:jc w:val="both"/>
            </w:pPr>
          </w:p>
        </w:tc>
        <w:tc>
          <w:tcPr>
            <w:tcW w:w="4046" w:type="dxa"/>
            <w:gridSpan w:val="2"/>
          </w:tcPr>
          <w:p w:rsidR="005A14DF" w:rsidRPr="00D253F1" w:rsidRDefault="005A14DF" w:rsidP="005A14DF">
            <w:pPr>
              <w:pStyle w:val="NormalWeb"/>
              <w:shd w:val="clear" w:color="auto" w:fill="FFFFFF"/>
              <w:spacing w:before="0" w:beforeAutospacing="0" w:after="0" w:afterAutospacing="0"/>
              <w:rPr>
                <w:b/>
                <w:color w:val="222222"/>
              </w:rPr>
            </w:pPr>
            <w:r w:rsidRPr="00D253F1">
              <w:rPr>
                <w:b/>
                <w:color w:val="222222"/>
              </w:rPr>
              <w:t>Tieslietu ministrija:</w:t>
            </w:r>
          </w:p>
          <w:p w:rsidR="002B158E" w:rsidRPr="002B158E" w:rsidRDefault="002B158E" w:rsidP="002B158E">
            <w:pPr>
              <w:pStyle w:val="naisc"/>
              <w:ind w:firstLine="46"/>
              <w:jc w:val="both"/>
            </w:pPr>
            <w:r w:rsidRPr="002B158E">
              <w:t>(05.10.2020. Nr.1-9.1/1036)</w:t>
            </w:r>
          </w:p>
          <w:p w:rsidR="005A14DF" w:rsidRDefault="005A14DF" w:rsidP="005A14DF">
            <w:pPr>
              <w:pStyle w:val="NormalWeb"/>
              <w:shd w:val="clear" w:color="auto" w:fill="FFFFFF"/>
              <w:spacing w:before="0" w:beforeAutospacing="0" w:after="0" w:afterAutospacing="0"/>
              <w:rPr>
                <w:color w:val="222222"/>
              </w:rPr>
            </w:pPr>
            <w:r w:rsidRPr="00D253F1">
              <w:rPr>
                <w:color w:val="222222"/>
              </w:rPr>
              <w:t>Lūdzam anotācijā skaidrot, kāpēc ir noteikts trīs gadu periods un kāpēc augstskolai nav tiesību ekspertīzi veikt arī tiem dokumentiem, kas izsniegti, piemēram, pirms četriem gadiem.</w:t>
            </w:r>
          </w:p>
          <w:p w:rsidR="005A14DF" w:rsidRDefault="005A14DF" w:rsidP="005A14DF">
            <w:pPr>
              <w:pStyle w:val="NormalWeb"/>
              <w:shd w:val="clear" w:color="auto" w:fill="FFFFFF"/>
              <w:spacing w:before="0" w:beforeAutospacing="0" w:after="0" w:afterAutospacing="0"/>
              <w:rPr>
                <w:color w:val="222222"/>
              </w:rPr>
            </w:pPr>
          </w:p>
          <w:p w:rsidR="005A14DF" w:rsidRDefault="005A14DF" w:rsidP="005A14DF">
            <w:pPr>
              <w:pStyle w:val="NormalWeb"/>
              <w:shd w:val="clear" w:color="auto" w:fill="FFFFFF"/>
              <w:spacing w:before="0" w:beforeAutospacing="0" w:after="0" w:afterAutospacing="0"/>
              <w:rPr>
                <w:b/>
                <w:color w:val="222222"/>
              </w:rPr>
            </w:pPr>
            <w:r w:rsidRPr="00E12E52">
              <w:rPr>
                <w:b/>
                <w:color w:val="222222"/>
              </w:rPr>
              <w:t>Veselības ministrija:</w:t>
            </w:r>
          </w:p>
          <w:p w:rsidR="00200DBF" w:rsidRPr="00200DBF" w:rsidRDefault="00200DBF" w:rsidP="005A14DF">
            <w:pPr>
              <w:pStyle w:val="NormalWeb"/>
              <w:shd w:val="clear" w:color="auto" w:fill="FFFFFF"/>
              <w:spacing w:before="0" w:beforeAutospacing="0" w:after="0" w:afterAutospacing="0"/>
              <w:rPr>
                <w:color w:val="222222"/>
              </w:rPr>
            </w:pPr>
            <w:r>
              <w:rPr>
                <w:color w:val="222222"/>
              </w:rPr>
              <w:t>(</w:t>
            </w:r>
            <w:r w:rsidRPr="00200DBF">
              <w:rPr>
                <w:color w:val="222222"/>
              </w:rPr>
              <w:t>04.10.2020. Nr.01-09/4999</w:t>
            </w:r>
            <w:r>
              <w:rPr>
                <w:color w:val="222222"/>
              </w:rPr>
              <w:t>)</w:t>
            </w:r>
          </w:p>
          <w:p w:rsidR="005A14DF" w:rsidRDefault="005A14DF" w:rsidP="005A14DF">
            <w:pPr>
              <w:pStyle w:val="NormalWeb"/>
              <w:shd w:val="clear" w:color="auto" w:fill="FFFFFF"/>
              <w:spacing w:before="0" w:beforeAutospacing="0" w:after="0" w:afterAutospacing="0"/>
              <w:rPr>
                <w:color w:val="222222"/>
              </w:rPr>
            </w:pPr>
            <w:r w:rsidRPr="00E12E52">
              <w:rPr>
                <w:color w:val="222222"/>
              </w:rPr>
              <w:t xml:space="preserve">Lūdzam sniegt skaidrojumu, kāpēc augstskola var veikt ekspertīzi un izsniegt izziņu par izglītības dokumentiem un akadēmiskiem grādiem, kas izdoti tikai pēdējos trīs gados. Lūdzam apsvērt iespēju šādu nosacījumu (pēdējos trīs gados) izslēgt, jo neskaidrību gadījumos par kādu izglītības dokumentu augstskolas varēs </w:t>
            </w:r>
            <w:r w:rsidRPr="00E12E52">
              <w:rPr>
                <w:color w:val="222222"/>
              </w:rPr>
              <w:lastRenderedPageBreak/>
              <w:t xml:space="preserve">vērsties Akadēmiskā informācijas centrā. </w:t>
            </w:r>
          </w:p>
          <w:p w:rsidR="005A14DF" w:rsidRDefault="005A14DF" w:rsidP="005A14DF">
            <w:pPr>
              <w:pStyle w:val="NormalWeb"/>
              <w:shd w:val="clear" w:color="auto" w:fill="FFFFFF"/>
              <w:spacing w:before="0" w:beforeAutospacing="0" w:after="0" w:afterAutospacing="0"/>
              <w:rPr>
                <w:b/>
                <w:u w:val="single"/>
              </w:rPr>
            </w:pPr>
          </w:p>
          <w:p w:rsidR="005A14DF" w:rsidRDefault="005A14DF" w:rsidP="005A14DF">
            <w:pPr>
              <w:pStyle w:val="NormalWeb"/>
              <w:shd w:val="clear" w:color="auto" w:fill="FFFFFF"/>
              <w:spacing w:before="0" w:beforeAutospacing="0" w:after="0" w:afterAutospacing="0"/>
              <w:rPr>
                <w:b/>
                <w:color w:val="222222"/>
              </w:rPr>
            </w:pPr>
            <w:r w:rsidRPr="0095631A">
              <w:rPr>
                <w:b/>
                <w:color w:val="222222"/>
              </w:rPr>
              <w:t>Rektoru padome:</w:t>
            </w:r>
          </w:p>
          <w:p w:rsidR="009140FB" w:rsidRPr="009140FB" w:rsidRDefault="009140FB" w:rsidP="009140FB">
            <w:pPr>
              <w:pStyle w:val="naisc"/>
              <w:ind w:firstLine="46"/>
              <w:jc w:val="both"/>
            </w:pPr>
            <w:r>
              <w:t>(</w:t>
            </w:r>
            <w:r w:rsidRPr="009140FB">
              <w:t>05.10.2020. Nr.1-12</w:t>
            </w:r>
            <w:r>
              <w:t>)</w:t>
            </w:r>
          </w:p>
          <w:p w:rsidR="005A14DF" w:rsidRDefault="005A14DF" w:rsidP="005A14DF">
            <w:pPr>
              <w:pStyle w:val="NormalWeb"/>
              <w:shd w:val="clear" w:color="auto" w:fill="FFFFFF"/>
              <w:spacing w:before="0" w:beforeAutospacing="0" w:after="0" w:afterAutospacing="0"/>
              <w:rPr>
                <w:color w:val="222222"/>
              </w:rPr>
            </w:pPr>
            <w:r w:rsidRPr="001F7358">
              <w:rPr>
                <w:color w:val="222222"/>
              </w:rPr>
              <w:t xml:space="preserve">Likumprojektos noteikts, ka augstskolas drīkstēs atzīt </w:t>
            </w:r>
            <w:r w:rsidRPr="001F7358">
              <w:rPr>
                <w:b/>
                <w:color w:val="222222"/>
              </w:rPr>
              <w:t>trīs</w:t>
            </w:r>
            <w:r w:rsidRPr="001F7358">
              <w:rPr>
                <w:color w:val="222222"/>
              </w:rPr>
              <w:t xml:space="preserve"> gadu laikā izsniegtos diplomus. Aicinām noteikto termiņu pārskatīt, no tā atsakoties vai būtiski pagarinot. Norāde anotācijā uz citu valstu reģistriem</w:t>
            </w:r>
            <w:r w:rsidRPr="001F7358">
              <w:rPr>
                <w:rStyle w:val="FootnoteReference"/>
                <w:color w:val="222222"/>
              </w:rPr>
              <w:footnoteReference w:id="1"/>
            </w:r>
            <w:r w:rsidRPr="001F7358">
              <w:rPr>
                <w:color w:val="222222"/>
              </w:rPr>
              <w:t xml:space="preserve"> ir vispārīga – dažādās valstīs situācija atšķiras</w:t>
            </w:r>
            <w:r>
              <w:rPr>
                <w:color w:val="222222"/>
              </w:rPr>
              <w:t>.</w:t>
            </w:r>
          </w:p>
          <w:p w:rsidR="005A14DF" w:rsidRPr="004412AC" w:rsidRDefault="005A14DF" w:rsidP="00656F38">
            <w:pPr>
              <w:pStyle w:val="naisc"/>
              <w:ind w:firstLine="46"/>
              <w:jc w:val="both"/>
              <w:rPr>
                <w:b/>
              </w:rPr>
            </w:pPr>
          </w:p>
        </w:tc>
        <w:tc>
          <w:tcPr>
            <w:tcW w:w="3500" w:type="dxa"/>
          </w:tcPr>
          <w:p w:rsidR="00F378C1" w:rsidRDefault="00F378C1" w:rsidP="00F378C1">
            <w:pPr>
              <w:pStyle w:val="naisc"/>
              <w:spacing w:before="0" w:after="0"/>
              <w:jc w:val="both"/>
            </w:pPr>
            <w:r w:rsidRPr="00962ED4">
              <w:rPr>
                <w:b/>
              </w:rPr>
              <w:lastRenderedPageBreak/>
              <w:t>Ņemts vērā</w:t>
            </w:r>
            <w:r w:rsidRPr="00962ED4">
              <w:t xml:space="preserve"> </w:t>
            </w:r>
          </w:p>
          <w:p w:rsidR="005A14DF" w:rsidRPr="00F378C1" w:rsidRDefault="00F378C1" w:rsidP="00F378C1">
            <w:pPr>
              <w:pStyle w:val="naisc"/>
              <w:spacing w:before="0" w:after="0"/>
              <w:jc w:val="both"/>
            </w:pPr>
            <w:r>
              <w:t xml:space="preserve">un sniedzam šādu </w:t>
            </w:r>
            <w:r w:rsidRPr="00F378C1">
              <w:t>skaidrojumu.</w:t>
            </w:r>
          </w:p>
          <w:p w:rsidR="00F378C1" w:rsidRDefault="00F378C1" w:rsidP="005A14DF">
            <w:pPr>
              <w:pStyle w:val="ListParagraph"/>
              <w:spacing w:after="0" w:line="240" w:lineRule="auto"/>
              <w:ind w:left="0"/>
              <w:jc w:val="both"/>
              <w:rPr>
                <w:rFonts w:ascii="Times New Roman" w:hAnsi="Times New Roman"/>
                <w:lang w:val="lv-LV"/>
              </w:rPr>
            </w:pPr>
          </w:p>
          <w:p w:rsidR="005A14DF" w:rsidRPr="00F378C1" w:rsidRDefault="005A14DF" w:rsidP="005A14DF">
            <w:pPr>
              <w:pStyle w:val="ListParagraph"/>
              <w:spacing w:after="0" w:line="240" w:lineRule="auto"/>
              <w:ind w:left="0"/>
              <w:jc w:val="both"/>
              <w:rPr>
                <w:rFonts w:ascii="Times New Roman" w:hAnsi="Times New Roman"/>
                <w:sz w:val="24"/>
                <w:szCs w:val="24"/>
                <w:highlight w:val="green"/>
                <w:lang w:val="lv-LV"/>
              </w:rPr>
            </w:pPr>
            <w:r>
              <w:rPr>
                <w:rFonts w:ascii="Times New Roman" w:hAnsi="Times New Roman"/>
                <w:lang w:val="lv-LV"/>
              </w:rPr>
              <w:t>Var piekrist, ka šis laiks ir noteikts indikatīvi, tomēr jāuzsver, ka jaunāki diplomi ir vairāk pieejami dažādu valstu reģistros, vienlaikus piekrītot, ka dažādās valstīs tas var būt atšķirīgi</w:t>
            </w:r>
            <w:r w:rsidRPr="00271093">
              <w:rPr>
                <w:rFonts w:ascii="Times New Roman" w:hAnsi="Times New Roman"/>
                <w:lang w:val="lv-LV"/>
              </w:rPr>
              <w:t>.</w:t>
            </w:r>
            <w:r w:rsidR="00F378C1" w:rsidRPr="00271093">
              <w:rPr>
                <w:rFonts w:ascii="Times New Roman" w:hAnsi="Times New Roman"/>
                <w:lang w:val="lv-LV"/>
              </w:rPr>
              <w:t xml:space="preserve"> </w:t>
            </w:r>
            <w:r w:rsidR="00F378C1" w:rsidRPr="00271093">
              <w:rPr>
                <w:rFonts w:ascii="Times New Roman" w:hAnsi="Times New Roman"/>
                <w:sz w:val="24"/>
                <w:szCs w:val="24"/>
                <w:lang w:val="lv-LV"/>
              </w:rPr>
              <w:t>Tomēr vēlamies uzsvērt, ka augstskolām, kurām nav uzkrāta plaša pieredze izglītības dokumentu atzīšanā, iespējams, varētu rasties vairāk grūtību ar agrāk izdotiem izglītības dokumentiem, tādēļ ir piesaiste izdoto dokumentu laika periodam.</w:t>
            </w:r>
          </w:p>
          <w:p w:rsidR="005A14DF" w:rsidRPr="00F378C1" w:rsidRDefault="005A14DF" w:rsidP="005A14DF">
            <w:pPr>
              <w:pStyle w:val="ListParagraph"/>
              <w:spacing w:after="0" w:line="240" w:lineRule="auto"/>
              <w:ind w:left="0"/>
              <w:jc w:val="both"/>
              <w:rPr>
                <w:rFonts w:ascii="Times New Roman" w:hAnsi="Times New Roman"/>
                <w:sz w:val="24"/>
                <w:szCs w:val="24"/>
                <w:highlight w:val="green"/>
                <w:lang w:val="lv-LV"/>
              </w:rPr>
            </w:pPr>
          </w:p>
          <w:p w:rsidR="005A14DF" w:rsidRPr="00271093" w:rsidRDefault="00F378C1" w:rsidP="005A14DF">
            <w:pPr>
              <w:pStyle w:val="ListParagraph"/>
              <w:spacing w:after="0" w:line="240" w:lineRule="auto"/>
              <w:ind w:left="0"/>
              <w:jc w:val="both"/>
              <w:rPr>
                <w:rFonts w:ascii="Times New Roman" w:hAnsi="Times New Roman"/>
                <w:sz w:val="24"/>
                <w:szCs w:val="24"/>
                <w:lang w:val="lv-LV"/>
              </w:rPr>
            </w:pPr>
            <w:r w:rsidRPr="00271093">
              <w:rPr>
                <w:rFonts w:ascii="Times New Roman" w:hAnsi="Times New Roman"/>
                <w:sz w:val="24"/>
                <w:szCs w:val="24"/>
                <w:lang w:val="lv-LV"/>
              </w:rPr>
              <w:t xml:space="preserve">Tā kā diplomu atzīšanas jautājums un uzticamība kādas valsts izdotajiem izglītības </w:t>
            </w:r>
            <w:r w:rsidRPr="00271093">
              <w:rPr>
                <w:rFonts w:ascii="Times New Roman" w:hAnsi="Times New Roman"/>
                <w:sz w:val="24"/>
                <w:szCs w:val="24"/>
                <w:lang w:val="lv-LV"/>
              </w:rPr>
              <w:lastRenderedPageBreak/>
              <w:t>dokumentiem ir sasaistāms</w:t>
            </w:r>
            <w:r w:rsidR="005A14DF" w:rsidRPr="00271093">
              <w:rPr>
                <w:rFonts w:ascii="Times New Roman" w:hAnsi="Times New Roman"/>
                <w:sz w:val="24"/>
                <w:szCs w:val="24"/>
                <w:lang w:val="lv-LV"/>
              </w:rPr>
              <w:t xml:space="preserve"> ar studiju programmu kvalitātes novērtēšanu atbilstoši Eiropas Standartiem un vadlīnijām (zināms kā ESG, angļu val.), kas tika pieņemtas 2015.gadā </w:t>
            </w:r>
            <w:r w:rsidRPr="00271093">
              <w:rPr>
                <w:rFonts w:ascii="Times New Roman" w:hAnsi="Times New Roman"/>
                <w:sz w:val="24"/>
                <w:szCs w:val="24"/>
                <w:lang w:val="lv-LV"/>
              </w:rPr>
              <w:t xml:space="preserve">Boloņas procesa ministru sanāksmē Erevānā,  </w:t>
            </w:r>
            <w:r w:rsidR="005A14DF" w:rsidRPr="00271093">
              <w:rPr>
                <w:rFonts w:ascii="Times New Roman" w:hAnsi="Times New Roman"/>
                <w:sz w:val="24"/>
                <w:szCs w:val="24"/>
                <w:lang w:val="lv-LV"/>
              </w:rPr>
              <w:t xml:space="preserve">un indikatīvi </w:t>
            </w:r>
            <w:r w:rsidRPr="00271093">
              <w:rPr>
                <w:rFonts w:ascii="Times New Roman" w:hAnsi="Times New Roman"/>
                <w:sz w:val="24"/>
                <w:szCs w:val="24"/>
                <w:lang w:val="lv-LV"/>
              </w:rPr>
              <w:t>ieviešot</w:t>
            </w:r>
            <w:r w:rsidR="005A14DF" w:rsidRPr="00271093">
              <w:rPr>
                <w:rFonts w:ascii="Times New Roman" w:hAnsi="Times New Roman"/>
                <w:sz w:val="24"/>
                <w:szCs w:val="24"/>
                <w:lang w:val="lv-LV"/>
              </w:rPr>
              <w:t xml:space="preserve"> dažus gadus vēlāk, tiesa, atšķirīgi dažādās valstīs</w:t>
            </w:r>
            <w:r w:rsidRPr="00271093">
              <w:rPr>
                <w:rFonts w:ascii="Times New Roman" w:hAnsi="Times New Roman"/>
                <w:sz w:val="24"/>
                <w:szCs w:val="24"/>
                <w:lang w:val="lv-LV"/>
              </w:rPr>
              <w:t>,</w:t>
            </w:r>
            <w:r w:rsidR="005A14DF" w:rsidRPr="00271093">
              <w:rPr>
                <w:rFonts w:ascii="Times New Roman" w:hAnsi="Times New Roman"/>
                <w:sz w:val="24"/>
                <w:szCs w:val="24"/>
                <w:lang w:val="lv-LV"/>
              </w:rPr>
              <w:t xml:space="preserve"> </w:t>
            </w:r>
            <w:r w:rsidRPr="00271093">
              <w:rPr>
                <w:rFonts w:ascii="Times New Roman" w:hAnsi="Times New Roman"/>
                <w:sz w:val="24"/>
                <w:szCs w:val="24"/>
                <w:lang w:val="lv-LV"/>
              </w:rPr>
              <w:t xml:space="preserve">šajā likumprojektā ir noteikts periods </w:t>
            </w:r>
            <w:r w:rsidRPr="00271093">
              <w:rPr>
                <w:rFonts w:ascii="Times New Roman" w:hAnsi="Times New Roman"/>
                <w:sz w:val="24"/>
                <w:szCs w:val="24"/>
              </w:rPr>
              <w:t>no 2016.gada 1.janvāra</w:t>
            </w:r>
            <w:r w:rsidRPr="00271093">
              <w:rPr>
                <w:rFonts w:ascii="Times New Roman" w:hAnsi="Times New Roman"/>
                <w:sz w:val="24"/>
                <w:szCs w:val="24"/>
                <w:lang w:val="lv-LV"/>
              </w:rPr>
              <w:t>.</w:t>
            </w:r>
          </w:p>
          <w:p w:rsidR="00271093" w:rsidRPr="00271093" w:rsidRDefault="00271093" w:rsidP="005A14DF">
            <w:pPr>
              <w:pStyle w:val="ListParagraph"/>
              <w:spacing w:after="0" w:line="240" w:lineRule="auto"/>
              <w:ind w:left="0"/>
              <w:jc w:val="both"/>
              <w:rPr>
                <w:rFonts w:ascii="Times New Roman" w:hAnsi="Times New Roman"/>
                <w:sz w:val="24"/>
                <w:szCs w:val="24"/>
                <w:lang w:val="lv-LV"/>
              </w:rPr>
            </w:pPr>
          </w:p>
          <w:p w:rsidR="005A14DF" w:rsidRPr="00271093" w:rsidRDefault="005A14DF" w:rsidP="005A14DF">
            <w:pPr>
              <w:pStyle w:val="ListParagraph"/>
              <w:spacing w:after="0" w:line="240" w:lineRule="auto"/>
              <w:ind w:left="0"/>
              <w:jc w:val="both"/>
              <w:rPr>
                <w:rFonts w:ascii="Times New Roman" w:hAnsi="Times New Roman"/>
                <w:sz w:val="24"/>
                <w:szCs w:val="24"/>
                <w:lang w:val="lv-LV"/>
              </w:rPr>
            </w:pPr>
            <w:r w:rsidRPr="00271093">
              <w:rPr>
                <w:rFonts w:ascii="Times New Roman" w:hAnsi="Times New Roman"/>
                <w:sz w:val="24"/>
                <w:szCs w:val="24"/>
                <w:lang w:val="lv-LV"/>
              </w:rPr>
              <w:t>Augstskolām jāapzinās, ka</w:t>
            </w:r>
            <w:r w:rsidR="00271093">
              <w:rPr>
                <w:rFonts w:ascii="Times New Roman" w:hAnsi="Times New Roman"/>
                <w:sz w:val="24"/>
                <w:szCs w:val="24"/>
                <w:lang w:val="lv-LV"/>
              </w:rPr>
              <w:t>,</w:t>
            </w:r>
            <w:r w:rsidRPr="00271093">
              <w:rPr>
                <w:rFonts w:ascii="Times New Roman" w:hAnsi="Times New Roman"/>
                <w:sz w:val="24"/>
                <w:szCs w:val="24"/>
                <w:lang w:val="lv-LV"/>
              </w:rPr>
              <w:t xml:space="preserve"> uzņemoties veikt ekspertīzi noteiktajiem izglītības dokumentiem/ grādiem, tā ir pilna atbildība par visu procesu</w:t>
            </w:r>
            <w:r w:rsidR="00F378C1" w:rsidRPr="00271093">
              <w:rPr>
                <w:rFonts w:ascii="Times New Roman" w:hAnsi="Times New Roman"/>
                <w:sz w:val="24"/>
                <w:szCs w:val="24"/>
                <w:lang w:val="lv-LV"/>
              </w:rPr>
              <w:t>. AIC pieredze ir</w:t>
            </w:r>
            <w:r w:rsidRPr="00271093">
              <w:rPr>
                <w:rFonts w:ascii="Times New Roman" w:hAnsi="Times New Roman"/>
                <w:sz w:val="24"/>
                <w:szCs w:val="24"/>
                <w:lang w:val="lv-LV"/>
              </w:rPr>
              <w:t xml:space="preserve"> uzkrājusies vairāku desmitu gadu garumā, izskatot un atzīstot ļoti dažādus izglītības dok</w:t>
            </w:r>
            <w:r w:rsidR="00F378C1" w:rsidRPr="00271093">
              <w:rPr>
                <w:rFonts w:ascii="Times New Roman" w:hAnsi="Times New Roman"/>
                <w:sz w:val="24"/>
                <w:szCs w:val="24"/>
                <w:lang w:val="lv-LV"/>
              </w:rPr>
              <w:t>umentus</w:t>
            </w:r>
            <w:r w:rsidRPr="00271093">
              <w:rPr>
                <w:rFonts w:ascii="Times New Roman" w:hAnsi="Times New Roman"/>
                <w:sz w:val="24"/>
                <w:szCs w:val="24"/>
                <w:lang w:val="lv-LV"/>
              </w:rPr>
              <w:t>.</w:t>
            </w:r>
          </w:p>
          <w:p w:rsidR="005A14DF" w:rsidRPr="00115120" w:rsidRDefault="005A14DF" w:rsidP="007E09C2">
            <w:pPr>
              <w:pStyle w:val="naisc"/>
              <w:spacing w:before="0" w:after="0"/>
              <w:jc w:val="both"/>
              <w:rPr>
                <w:sz w:val="22"/>
                <w:szCs w:val="22"/>
                <w:highlight w:val="magenta"/>
              </w:rPr>
            </w:pPr>
          </w:p>
        </w:tc>
        <w:tc>
          <w:tcPr>
            <w:tcW w:w="3669" w:type="dxa"/>
            <w:gridSpan w:val="2"/>
          </w:tcPr>
          <w:p w:rsidR="00F378C1" w:rsidRPr="00271093" w:rsidRDefault="00F378C1" w:rsidP="00F378C1">
            <w:pPr>
              <w:jc w:val="both"/>
              <w:rPr>
                <w:b/>
              </w:rPr>
            </w:pPr>
            <w:r w:rsidRPr="00271093">
              <w:rPr>
                <w:b/>
              </w:rPr>
              <w:lastRenderedPageBreak/>
              <w:t>Precizēts likumprojekts</w:t>
            </w:r>
          </w:p>
          <w:p w:rsidR="005A14DF" w:rsidRDefault="00F378C1" w:rsidP="007E09C2">
            <w:pPr>
              <w:jc w:val="both"/>
            </w:pPr>
            <w:r w:rsidRPr="00271093">
              <w:t>“(1</w:t>
            </w:r>
            <w:r w:rsidRPr="00271093">
              <w:rPr>
                <w:vertAlign w:val="superscript"/>
              </w:rPr>
              <w:t>1</w:t>
            </w:r>
            <w:r w:rsidRPr="00271093">
              <w:t xml:space="preserve">) </w:t>
            </w:r>
            <w:r w:rsidR="00E1393C">
              <w:t xml:space="preserve">[…] </w:t>
            </w:r>
            <w:r w:rsidRPr="00271093">
              <w:rPr>
                <w:b/>
              </w:rPr>
              <w:t>sākot no 2016.gada 1.janvāra izsniegtu</w:t>
            </w:r>
            <w:r w:rsidRPr="00271093">
              <w:t xml:space="preserve"> Eiropas Savienības valstīs, Eiropas Ekonomikas zonas valstīs, Šveices Konfederācijā un Ministru kabineta noteiktās ārvalstīs izsniegto izglītības dokumentu un ārvalstīs iegūto akadēmisko grādu apliecinošu dokumentu ekspertīzi atbilstoši šā panta otrajai daļai. [...]”</w:t>
            </w:r>
          </w:p>
          <w:p w:rsidR="00F378C1" w:rsidRDefault="00F378C1" w:rsidP="007E09C2">
            <w:pPr>
              <w:jc w:val="both"/>
            </w:pPr>
          </w:p>
          <w:p w:rsidR="00F378C1" w:rsidRPr="00F378C1" w:rsidRDefault="00F378C1" w:rsidP="007E09C2">
            <w:pPr>
              <w:jc w:val="both"/>
              <w:rPr>
                <w:b/>
              </w:rPr>
            </w:pPr>
            <w:r w:rsidRPr="00F378C1">
              <w:rPr>
                <w:b/>
              </w:rPr>
              <w:t>Papildināta anotācija</w:t>
            </w:r>
          </w:p>
        </w:tc>
      </w:tr>
      <w:tr w:rsidR="004865C4" w:rsidRPr="00DB0F73" w:rsidTr="00074A78">
        <w:tc>
          <w:tcPr>
            <w:tcW w:w="993" w:type="dxa"/>
          </w:tcPr>
          <w:p w:rsidR="004865C4" w:rsidRPr="00DB0F73" w:rsidRDefault="004865C4" w:rsidP="007E09C2">
            <w:pPr>
              <w:pStyle w:val="naisc"/>
              <w:numPr>
                <w:ilvl w:val="0"/>
                <w:numId w:val="2"/>
              </w:numPr>
              <w:spacing w:before="0" w:after="0"/>
              <w:jc w:val="both"/>
              <w:rPr>
                <w:sz w:val="22"/>
                <w:szCs w:val="22"/>
              </w:rPr>
            </w:pPr>
          </w:p>
        </w:tc>
        <w:tc>
          <w:tcPr>
            <w:tcW w:w="3260" w:type="dxa"/>
          </w:tcPr>
          <w:p w:rsidR="004865C4" w:rsidRPr="00D41ECC" w:rsidRDefault="004865C4" w:rsidP="007E09C2">
            <w:pPr>
              <w:pStyle w:val="naisc"/>
              <w:spacing w:before="0" w:after="0"/>
              <w:ind w:firstLine="12"/>
              <w:jc w:val="both"/>
              <w:rPr>
                <w:b/>
                <w:sz w:val="22"/>
                <w:szCs w:val="22"/>
              </w:rPr>
            </w:pPr>
            <w:r>
              <w:rPr>
                <w:b/>
                <w:sz w:val="22"/>
                <w:szCs w:val="22"/>
              </w:rPr>
              <w:t xml:space="preserve">Likumprojekta </w:t>
            </w:r>
            <w:r w:rsidRPr="00F361DE">
              <w:rPr>
                <w:b/>
                <w:sz w:val="22"/>
                <w:szCs w:val="22"/>
              </w:rPr>
              <w:t>sākotnējās ietekmes</w:t>
            </w:r>
            <w:r w:rsidRPr="00F361DE">
              <w:rPr>
                <w:sz w:val="22"/>
                <w:szCs w:val="22"/>
              </w:rPr>
              <w:t xml:space="preserve"> </w:t>
            </w:r>
            <w:r w:rsidRPr="00F361DE">
              <w:rPr>
                <w:b/>
                <w:sz w:val="22"/>
                <w:szCs w:val="22"/>
              </w:rPr>
              <w:t xml:space="preserve">novērtējuma </w:t>
            </w:r>
            <w:smartTag w:uri="schemas-tilde-lv/tildestengine" w:element="veidnes">
              <w:smartTagPr>
                <w:attr w:name="id" w:val="-1"/>
                <w:attr w:name="baseform" w:val="ziņojums"/>
                <w:attr w:name="text" w:val="ziņojums"/>
              </w:smartTagPr>
              <w:r w:rsidRPr="00F361DE">
                <w:rPr>
                  <w:b/>
                  <w:sz w:val="22"/>
                  <w:szCs w:val="22"/>
                </w:rPr>
                <w:t>ziņojums</w:t>
              </w:r>
            </w:smartTag>
            <w:r w:rsidRPr="00F361DE">
              <w:rPr>
                <w:b/>
                <w:sz w:val="22"/>
                <w:szCs w:val="22"/>
              </w:rPr>
              <w:t xml:space="preserve"> (anotācija)</w:t>
            </w:r>
          </w:p>
        </w:tc>
        <w:tc>
          <w:tcPr>
            <w:tcW w:w="4046" w:type="dxa"/>
            <w:gridSpan w:val="2"/>
          </w:tcPr>
          <w:p w:rsidR="00F11DA7" w:rsidRPr="00AA469C" w:rsidRDefault="00F11DA7" w:rsidP="00F11DA7">
            <w:pPr>
              <w:pStyle w:val="naisc"/>
              <w:ind w:firstLine="46"/>
              <w:jc w:val="both"/>
              <w:rPr>
                <w:b/>
              </w:rPr>
            </w:pPr>
            <w:r w:rsidRPr="00AA469C">
              <w:rPr>
                <w:b/>
              </w:rPr>
              <w:t>Veselības ministrija:</w:t>
            </w:r>
          </w:p>
          <w:p w:rsidR="00200DBF" w:rsidRPr="00AA469C" w:rsidRDefault="00200DBF" w:rsidP="00200DBF">
            <w:pPr>
              <w:pStyle w:val="NormalWeb"/>
              <w:shd w:val="clear" w:color="auto" w:fill="FFFFFF"/>
              <w:spacing w:before="0" w:beforeAutospacing="0" w:after="0" w:afterAutospacing="0"/>
              <w:rPr>
                <w:color w:val="222222"/>
              </w:rPr>
            </w:pPr>
            <w:r w:rsidRPr="00AA469C">
              <w:rPr>
                <w:color w:val="222222"/>
              </w:rPr>
              <w:t>(04.10.2020. Nr.01-09/4999)</w:t>
            </w:r>
          </w:p>
          <w:p w:rsidR="00F11DA7" w:rsidRPr="00AA469C" w:rsidRDefault="00F11DA7" w:rsidP="00200DBF">
            <w:pPr>
              <w:pStyle w:val="naisc"/>
              <w:jc w:val="both"/>
            </w:pPr>
            <w:r w:rsidRPr="00AA469C">
              <w:t xml:space="preserve">Anotācijas II daļas 2. punktā tiek minēta “institūcija, kas izvērtēs augstskolas, kurām piešķirt šajā likumprojektā noteiktās tiesības, atbilstoši Ministru kabineta noteiktajām prasībām”. Tā ir </w:t>
            </w:r>
            <w:r w:rsidRPr="00AA469C">
              <w:lastRenderedPageBreak/>
              <w:t>vienīgā vieta šajā likumprojektā un anotācijā, kur tiek minēta šī institūcija. Lūdzam skaidrot, kas būs šī institūcija un vismaz iezīmēt, kādas būs šīs institūcijas pilnvaras attiecībā uz starptautisko izglītības dokumentu izskatīšanu;</w:t>
            </w:r>
          </w:p>
          <w:p w:rsidR="00CD6D20" w:rsidRDefault="00CD6D20" w:rsidP="00AA469C">
            <w:pPr>
              <w:pStyle w:val="naisc"/>
              <w:jc w:val="both"/>
            </w:pPr>
          </w:p>
          <w:p w:rsidR="00AA469C" w:rsidRDefault="00AA469C" w:rsidP="00AA469C">
            <w:pPr>
              <w:pStyle w:val="naisc"/>
              <w:jc w:val="both"/>
              <w:rPr>
                <w:b/>
              </w:rPr>
            </w:pPr>
            <w:r>
              <w:rPr>
                <w:b/>
              </w:rPr>
              <w:t xml:space="preserve">Rektoru padome </w:t>
            </w:r>
          </w:p>
          <w:p w:rsidR="009140FB" w:rsidRPr="00AA469C" w:rsidRDefault="009140FB" w:rsidP="00AA469C">
            <w:pPr>
              <w:pStyle w:val="naisc"/>
              <w:jc w:val="both"/>
              <w:rPr>
                <w:b/>
              </w:rPr>
            </w:pPr>
            <w:r w:rsidRPr="00AA469C">
              <w:t>(05.10.2020. Nr.1-12)</w:t>
            </w:r>
          </w:p>
          <w:p w:rsidR="004865C4" w:rsidRPr="00F44423" w:rsidRDefault="00DA0831" w:rsidP="007E09C2">
            <w:pPr>
              <w:jc w:val="both"/>
              <w:rPr>
                <w:sz w:val="22"/>
                <w:szCs w:val="22"/>
              </w:rPr>
            </w:pPr>
            <w:r w:rsidRPr="00AA469C">
              <w:t>Ne likumprojektos, ne anotācijā nav skaidrots – kā notiks augstskolu izvērtēšanas, kā arī diplomatzīšan</w:t>
            </w:r>
            <w:r w:rsidR="00AA469C">
              <w:t xml:space="preserve">as tiesību piešķiršanas </w:t>
            </w:r>
            <w:r w:rsidRPr="00AA469C">
              <w:t>nepiešķiršanas process. Virzot likumprojektus pieņemšanai parlamentā, aicinām sniegt informāciju arī aug</w:t>
            </w:r>
            <w:r w:rsidR="00AA469C">
              <w:t xml:space="preserve">stskolām par iecerēto kārtību, </w:t>
            </w:r>
            <w:r w:rsidRPr="00AA469C">
              <w:t>iespējām piedalīties izvērtēšanā, vai būs ie</w:t>
            </w:r>
            <w:r w:rsidR="0095631A" w:rsidRPr="00AA469C">
              <w:t>spēja apstrīdēt lēmumus u. tml</w:t>
            </w:r>
            <w:r w:rsidRPr="00AA469C">
              <w:t>.</w:t>
            </w:r>
          </w:p>
        </w:tc>
        <w:tc>
          <w:tcPr>
            <w:tcW w:w="3500" w:type="dxa"/>
          </w:tcPr>
          <w:p w:rsidR="004865C4" w:rsidRPr="009437A6" w:rsidRDefault="009437A6" w:rsidP="007E09C2">
            <w:pPr>
              <w:pStyle w:val="naisc"/>
              <w:spacing w:before="0" w:after="0"/>
              <w:jc w:val="both"/>
              <w:rPr>
                <w:b/>
              </w:rPr>
            </w:pPr>
            <w:r w:rsidRPr="009437A6">
              <w:rPr>
                <w:b/>
              </w:rPr>
              <w:lastRenderedPageBreak/>
              <w:t xml:space="preserve">Ņemts </w:t>
            </w:r>
            <w:r w:rsidR="00DA0831" w:rsidRPr="009437A6">
              <w:rPr>
                <w:b/>
              </w:rPr>
              <w:t xml:space="preserve"> </w:t>
            </w:r>
            <w:r w:rsidRPr="009437A6">
              <w:rPr>
                <w:b/>
              </w:rPr>
              <w:t xml:space="preserve">vērā </w:t>
            </w:r>
            <w:r w:rsidR="00DA0831" w:rsidRPr="009437A6">
              <w:rPr>
                <w:b/>
              </w:rPr>
              <w:t>daļēji</w:t>
            </w:r>
            <w:r w:rsidRPr="009437A6">
              <w:rPr>
                <w:b/>
              </w:rPr>
              <w:t>,</w:t>
            </w:r>
          </w:p>
          <w:p w:rsidR="009437A6" w:rsidRPr="009437A6" w:rsidRDefault="00EB3C27" w:rsidP="007E09C2">
            <w:pPr>
              <w:pStyle w:val="naisc"/>
              <w:spacing w:before="0" w:after="0"/>
              <w:jc w:val="both"/>
              <w:rPr>
                <w:b/>
              </w:rPr>
            </w:pPr>
            <w:r w:rsidRPr="009437A6">
              <w:rPr>
                <w:b/>
              </w:rPr>
              <w:t>Sniedzam s</w:t>
            </w:r>
            <w:r w:rsidR="009437A6" w:rsidRPr="009437A6">
              <w:rPr>
                <w:b/>
              </w:rPr>
              <w:t>kaidrojumu:</w:t>
            </w:r>
          </w:p>
          <w:p w:rsidR="00EB3C27" w:rsidRPr="009437A6" w:rsidRDefault="00EB3C27" w:rsidP="007E09C2">
            <w:pPr>
              <w:pStyle w:val="naisc"/>
              <w:spacing w:before="0" w:after="0"/>
              <w:jc w:val="both"/>
            </w:pPr>
            <w:r w:rsidRPr="009437A6">
              <w:t>likumprojekta 85.panta 1</w:t>
            </w:r>
            <w:r w:rsidRPr="009437A6">
              <w:rPr>
                <w:vertAlign w:val="superscript"/>
              </w:rPr>
              <w:t>1</w:t>
            </w:r>
            <w:r w:rsidRPr="009437A6">
              <w:t xml:space="preserve"> daļā ir noteikts, ka Ministru kabineta noteiktā kārtībā un prasībām atbilstošai  augstskolai ir piešķirtas tiesības veikt noteikto izglītības dokumentu ekspertīzi, </w:t>
            </w:r>
            <w:r w:rsidRPr="009437A6">
              <w:lastRenderedPageBreak/>
              <w:t xml:space="preserve">savukārt likumprojekta savukārt šī panta septītajā daļā ir minēts, ka Ministru kabinets nosaka kārtību un kvalificējošās prasības augstskolai, kādā piešķir un atceļ tiesības veikt ekspertīzi </w:t>
            </w:r>
            <w:r w:rsidRPr="009437A6">
              <w:rPr>
                <w:shd w:val="clear" w:color="auto" w:fill="FFFFFF"/>
              </w:rPr>
              <w:t xml:space="preserve">šā panta </w:t>
            </w:r>
            <w:r w:rsidRPr="009437A6">
              <w:t>1.</w:t>
            </w:r>
            <w:r w:rsidRPr="009437A6">
              <w:rPr>
                <w:vertAlign w:val="superscript"/>
              </w:rPr>
              <w:t xml:space="preserve">1  </w:t>
            </w:r>
            <w:r w:rsidRPr="009437A6">
              <w:t>daļā minētajiem dokument</w:t>
            </w:r>
            <w:r w:rsidR="009437A6" w:rsidRPr="009437A6">
              <w:t>iem.</w:t>
            </w:r>
          </w:p>
          <w:p w:rsidR="009437A6" w:rsidRPr="009437A6" w:rsidRDefault="009437A6" w:rsidP="007E09C2">
            <w:pPr>
              <w:pStyle w:val="naisc"/>
              <w:spacing w:before="0" w:after="0"/>
              <w:jc w:val="both"/>
            </w:pPr>
          </w:p>
          <w:p w:rsidR="009437A6" w:rsidRPr="009437A6" w:rsidRDefault="009437A6" w:rsidP="007E09C2">
            <w:pPr>
              <w:pStyle w:val="naisc"/>
              <w:spacing w:before="0" w:after="0"/>
              <w:jc w:val="both"/>
            </w:pPr>
            <w:r w:rsidRPr="009437A6">
              <w:t>Plānots, ka attiecīgo MK noteikumu izstrādē tiks iesaistīti augstskolu pārstāvji.</w:t>
            </w:r>
          </w:p>
          <w:p w:rsidR="00F11DA7" w:rsidRPr="00EB3C27" w:rsidRDefault="00F11DA7" w:rsidP="007E09C2">
            <w:pPr>
              <w:pStyle w:val="naisc"/>
              <w:spacing w:before="0" w:after="0"/>
              <w:jc w:val="both"/>
              <w:rPr>
                <w:b/>
                <w:i/>
                <w:sz w:val="22"/>
                <w:szCs w:val="22"/>
              </w:rPr>
            </w:pPr>
          </w:p>
        </w:tc>
        <w:tc>
          <w:tcPr>
            <w:tcW w:w="3669" w:type="dxa"/>
            <w:gridSpan w:val="2"/>
          </w:tcPr>
          <w:p w:rsidR="004865C4" w:rsidRPr="00EB3C27" w:rsidRDefault="004865C4" w:rsidP="007E09C2">
            <w:pPr>
              <w:jc w:val="both"/>
              <w:rPr>
                <w:i/>
                <w:sz w:val="22"/>
                <w:szCs w:val="22"/>
              </w:rPr>
            </w:pPr>
          </w:p>
        </w:tc>
      </w:tr>
      <w:tr w:rsidR="00E12E52" w:rsidRPr="00DB0F73" w:rsidTr="00074A78">
        <w:tc>
          <w:tcPr>
            <w:tcW w:w="993" w:type="dxa"/>
          </w:tcPr>
          <w:p w:rsidR="00E12E52" w:rsidRPr="00DB0F73" w:rsidRDefault="00E12E52" w:rsidP="007E09C2">
            <w:pPr>
              <w:pStyle w:val="naisc"/>
              <w:numPr>
                <w:ilvl w:val="0"/>
                <w:numId w:val="2"/>
              </w:numPr>
              <w:spacing w:before="0" w:after="0"/>
              <w:jc w:val="both"/>
              <w:rPr>
                <w:sz w:val="22"/>
                <w:szCs w:val="22"/>
              </w:rPr>
            </w:pPr>
          </w:p>
        </w:tc>
        <w:tc>
          <w:tcPr>
            <w:tcW w:w="3260" w:type="dxa"/>
          </w:tcPr>
          <w:p w:rsidR="00E12E52" w:rsidRDefault="00E12E52" w:rsidP="007E09C2">
            <w:pPr>
              <w:pStyle w:val="naisc"/>
              <w:spacing w:before="0" w:after="0"/>
              <w:ind w:firstLine="12"/>
              <w:jc w:val="both"/>
              <w:rPr>
                <w:b/>
                <w:sz w:val="22"/>
                <w:szCs w:val="22"/>
              </w:rPr>
            </w:pPr>
          </w:p>
        </w:tc>
        <w:tc>
          <w:tcPr>
            <w:tcW w:w="4046" w:type="dxa"/>
            <w:gridSpan w:val="2"/>
          </w:tcPr>
          <w:p w:rsidR="00E12E52" w:rsidRDefault="00E12E52" w:rsidP="00E12E52">
            <w:pPr>
              <w:widowControl w:val="0"/>
              <w:jc w:val="both"/>
            </w:pPr>
            <w:r w:rsidRPr="00E12E52">
              <w:rPr>
                <w:b/>
              </w:rPr>
              <w:t>Veselības ministrija:</w:t>
            </w:r>
            <w:r w:rsidRPr="00E12E52">
              <w:t xml:space="preserve"> </w:t>
            </w:r>
          </w:p>
          <w:p w:rsidR="00200DBF" w:rsidRPr="00200DBF" w:rsidRDefault="00200DBF" w:rsidP="00200DBF">
            <w:pPr>
              <w:pStyle w:val="NormalWeb"/>
              <w:shd w:val="clear" w:color="auto" w:fill="FFFFFF"/>
              <w:spacing w:before="0" w:beforeAutospacing="0" w:after="0" w:afterAutospacing="0"/>
              <w:rPr>
                <w:color w:val="222222"/>
              </w:rPr>
            </w:pPr>
            <w:r>
              <w:rPr>
                <w:color w:val="222222"/>
              </w:rPr>
              <w:t>(</w:t>
            </w:r>
            <w:r w:rsidRPr="00200DBF">
              <w:rPr>
                <w:color w:val="222222"/>
              </w:rPr>
              <w:t>04.10.2020. Nr.01-09/4999</w:t>
            </w:r>
            <w:r>
              <w:rPr>
                <w:color w:val="222222"/>
              </w:rPr>
              <w:t>)</w:t>
            </w:r>
          </w:p>
          <w:p w:rsidR="00E12E52" w:rsidRPr="00CA6988" w:rsidRDefault="003E6428" w:rsidP="00CA6988">
            <w:pPr>
              <w:widowControl w:val="0"/>
              <w:jc w:val="both"/>
            </w:pPr>
            <w:r>
              <w:t>A</w:t>
            </w:r>
            <w:r w:rsidR="00E12E52" w:rsidRPr="00E12E52">
              <w:t xml:space="preserve">notācijas I daļas 2. punktā un II daļas 1. punktā tikai vienā teikumā parādās informācija, ka šis pienākums, izvērtēt diplomus augstskolām, būs izvēles. Lūdzam jau anotācijas sākumā pie pašreizējās situācija un problēmas apraksta sniegt informāciju par šo izvēles iespēju. Pie tam lūdzam skaidrot, kā augstskolas, kurām diplomu izskatīšana būs papildus birokrātiskais slogs, tiks motivētas veikt šo darbu, lai </w:t>
            </w:r>
            <w:r w:rsidR="00E12E52" w:rsidRPr="00E12E52">
              <w:lastRenderedPageBreak/>
              <w:t>atslogotu Akadēmisko informācijas centru. Pagaidām anotācijā kā galvenais iemesls šo pilnvaru nodošanai augstskolām ir norādīta procesa steidzamība. Tomēr tas nepārliecina, ka tas būs par iemeslu, ka augstskolas iz</w:t>
            </w:r>
            <w:r w:rsidR="00CA6988">
              <w:t>vēlēsies šo papildus pienākumu;</w:t>
            </w:r>
          </w:p>
        </w:tc>
        <w:tc>
          <w:tcPr>
            <w:tcW w:w="3500" w:type="dxa"/>
          </w:tcPr>
          <w:p w:rsidR="00E12E52" w:rsidRPr="00F56DF4" w:rsidRDefault="00E12E52" w:rsidP="007E09C2">
            <w:pPr>
              <w:pStyle w:val="naisc"/>
              <w:spacing w:before="0" w:after="0"/>
              <w:jc w:val="both"/>
              <w:rPr>
                <w:b/>
                <w:sz w:val="22"/>
                <w:szCs w:val="22"/>
              </w:rPr>
            </w:pPr>
            <w:r w:rsidRPr="00F56DF4">
              <w:rPr>
                <w:b/>
                <w:sz w:val="22"/>
                <w:szCs w:val="22"/>
              </w:rPr>
              <w:lastRenderedPageBreak/>
              <w:t>Ņemts vērā</w:t>
            </w:r>
            <w:r w:rsidR="003E6428">
              <w:rPr>
                <w:b/>
                <w:sz w:val="22"/>
                <w:szCs w:val="22"/>
              </w:rPr>
              <w:t>, sniegts skaidrojums</w:t>
            </w:r>
          </w:p>
          <w:p w:rsidR="00F56DF4" w:rsidRPr="00F56DF4" w:rsidRDefault="00F56DF4" w:rsidP="007E09C2">
            <w:pPr>
              <w:pStyle w:val="naisc"/>
              <w:spacing w:before="0" w:after="0"/>
              <w:jc w:val="both"/>
              <w:rPr>
                <w:sz w:val="22"/>
                <w:szCs w:val="22"/>
              </w:rPr>
            </w:pPr>
          </w:p>
          <w:p w:rsidR="00F56DF4" w:rsidRPr="003E6428" w:rsidRDefault="009437A6" w:rsidP="00CA6988">
            <w:pPr>
              <w:pStyle w:val="naisc"/>
              <w:spacing w:before="0" w:after="0"/>
              <w:jc w:val="both"/>
              <w:rPr>
                <w:highlight w:val="yellow"/>
              </w:rPr>
            </w:pPr>
            <w:r>
              <w:t>Šī iespēja – veikt noteikto</w:t>
            </w:r>
            <w:r w:rsidR="003E6428" w:rsidRPr="003E6428">
              <w:t xml:space="preserve"> diplomu atzīšanu pašām augstskolām - būs</w:t>
            </w:r>
            <w:r w:rsidR="00F56DF4" w:rsidRPr="003E6428">
              <w:t xml:space="preserve"> papildus pienākums pēc pašu augstskolu </w:t>
            </w:r>
            <w:r w:rsidR="003E6428" w:rsidRPr="003E6428">
              <w:t xml:space="preserve">izvēles. </w:t>
            </w:r>
            <w:r w:rsidR="00CA6988" w:rsidRPr="009437A6">
              <w:rPr>
                <w:b/>
              </w:rPr>
              <w:t>Jāuzsver, ka š</w:t>
            </w:r>
            <w:r w:rsidR="003E6428" w:rsidRPr="009437A6">
              <w:rPr>
                <w:b/>
              </w:rPr>
              <w:t>ie grozījumi tika uzsākti pēc pašu augstskolu ierosinājuma</w:t>
            </w:r>
            <w:r w:rsidR="00F56DF4" w:rsidRPr="003E6428">
              <w:t xml:space="preserve">, </w:t>
            </w:r>
            <w:r w:rsidR="003E6428" w:rsidRPr="003E6428">
              <w:t xml:space="preserve">bet tas nebūs </w:t>
            </w:r>
            <w:r w:rsidR="00CA6988">
              <w:t xml:space="preserve">obligāts </w:t>
            </w:r>
            <w:r w:rsidR="003E6428" w:rsidRPr="003E6428">
              <w:t xml:space="preserve">pienākums </w:t>
            </w:r>
            <w:r>
              <w:t xml:space="preserve">arī tām </w:t>
            </w:r>
            <w:r w:rsidR="003E6428" w:rsidRPr="003E6428">
              <w:t xml:space="preserve">augstskolām, </w:t>
            </w:r>
            <w:r>
              <w:t xml:space="preserve">kas varēs kvalificēties izglītības dokumentu ekspertīzei, </w:t>
            </w:r>
            <w:r w:rsidR="003E6428" w:rsidRPr="003E6428">
              <w:t>un</w:t>
            </w:r>
            <w:r>
              <w:t xml:space="preserve"> to reflektantu</w:t>
            </w:r>
            <w:r w:rsidR="003E6428" w:rsidRPr="003E6428">
              <w:t xml:space="preserve"> </w:t>
            </w:r>
            <w:r w:rsidR="003E6428" w:rsidRPr="003E6428">
              <w:lastRenderedPageBreak/>
              <w:t>izglīt</w:t>
            </w:r>
            <w:r w:rsidR="003E6428">
              <w:t>ības dokumentu</w:t>
            </w:r>
            <w:r w:rsidR="003E6428" w:rsidRPr="003E6428">
              <w:t xml:space="preserve"> atzīšanu </w:t>
            </w:r>
            <w:r>
              <w:t>varēs turpināt</w:t>
            </w:r>
            <w:r w:rsidR="003E6428" w:rsidRPr="003E6428">
              <w:t xml:space="preserve"> veikt AIC.</w:t>
            </w:r>
          </w:p>
        </w:tc>
        <w:tc>
          <w:tcPr>
            <w:tcW w:w="3669" w:type="dxa"/>
            <w:gridSpan w:val="2"/>
          </w:tcPr>
          <w:p w:rsidR="00E12E52" w:rsidRPr="003E6428" w:rsidRDefault="00E12E52" w:rsidP="007E09C2">
            <w:pPr>
              <w:jc w:val="both"/>
              <w:rPr>
                <w:b/>
                <w:sz w:val="22"/>
                <w:szCs w:val="22"/>
              </w:rPr>
            </w:pPr>
            <w:r w:rsidRPr="009437A6">
              <w:rPr>
                <w:b/>
                <w:sz w:val="22"/>
                <w:szCs w:val="22"/>
              </w:rPr>
              <w:lastRenderedPageBreak/>
              <w:t>Precizēta anotācija</w:t>
            </w:r>
          </w:p>
        </w:tc>
      </w:tr>
      <w:tr w:rsidR="0095631A" w:rsidRPr="00DB0F73" w:rsidTr="00074A78">
        <w:tc>
          <w:tcPr>
            <w:tcW w:w="993" w:type="dxa"/>
          </w:tcPr>
          <w:p w:rsidR="0095631A" w:rsidRPr="00DB0F73" w:rsidRDefault="0095631A" w:rsidP="007E09C2">
            <w:pPr>
              <w:pStyle w:val="naisc"/>
              <w:numPr>
                <w:ilvl w:val="0"/>
                <w:numId w:val="2"/>
              </w:numPr>
              <w:spacing w:before="0" w:after="0"/>
              <w:jc w:val="both"/>
              <w:rPr>
                <w:sz w:val="22"/>
                <w:szCs w:val="22"/>
              </w:rPr>
            </w:pPr>
          </w:p>
        </w:tc>
        <w:tc>
          <w:tcPr>
            <w:tcW w:w="3260" w:type="dxa"/>
          </w:tcPr>
          <w:p w:rsidR="0095631A" w:rsidRDefault="0095631A" w:rsidP="007E09C2">
            <w:pPr>
              <w:pStyle w:val="naisc"/>
              <w:spacing w:before="0" w:after="0"/>
              <w:ind w:firstLine="12"/>
              <w:jc w:val="both"/>
              <w:rPr>
                <w:b/>
                <w:sz w:val="22"/>
                <w:szCs w:val="22"/>
              </w:rPr>
            </w:pPr>
          </w:p>
        </w:tc>
        <w:tc>
          <w:tcPr>
            <w:tcW w:w="4046" w:type="dxa"/>
            <w:gridSpan w:val="2"/>
          </w:tcPr>
          <w:p w:rsidR="008E5FA1" w:rsidRDefault="008E5FA1" w:rsidP="008E5FA1">
            <w:pPr>
              <w:pStyle w:val="NormalWeb"/>
              <w:shd w:val="clear" w:color="auto" w:fill="FFFFFF"/>
              <w:spacing w:before="0" w:beforeAutospacing="0" w:after="0" w:afterAutospacing="0"/>
              <w:rPr>
                <w:b/>
                <w:color w:val="222222"/>
              </w:rPr>
            </w:pPr>
            <w:r>
              <w:rPr>
                <w:b/>
                <w:color w:val="222222"/>
              </w:rPr>
              <w:t>Veselības ministrija:</w:t>
            </w:r>
          </w:p>
          <w:p w:rsidR="00200DBF" w:rsidRPr="00200DBF" w:rsidRDefault="00200DBF" w:rsidP="00200DBF">
            <w:pPr>
              <w:pStyle w:val="NormalWeb"/>
              <w:shd w:val="clear" w:color="auto" w:fill="FFFFFF"/>
              <w:spacing w:before="0" w:beforeAutospacing="0" w:after="0" w:afterAutospacing="0"/>
              <w:rPr>
                <w:color w:val="222222"/>
              </w:rPr>
            </w:pPr>
            <w:r>
              <w:rPr>
                <w:color w:val="222222"/>
              </w:rPr>
              <w:t>(</w:t>
            </w:r>
            <w:r w:rsidRPr="00200DBF">
              <w:rPr>
                <w:color w:val="222222"/>
              </w:rPr>
              <w:t>04.10.2020. Nr.01-09/4999</w:t>
            </w:r>
            <w:r>
              <w:rPr>
                <w:color w:val="222222"/>
              </w:rPr>
              <w:t>)</w:t>
            </w:r>
          </w:p>
          <w:p w:rsidR="0095631A" w:rsidRPr="00CA6988" w:rsidRDefault="008E5FA1" w:rsidP="00CA6988">
            <w:pPr>
              <w:pStyle w:val="NormalWeb"/>
              <w:shd w:val="clear" w:color="auto" w:fill="FFFFFF"/>
              <w:spacing w:before="0" w:beforeAutospacing="0" w:after="0" w:afterAutospacing="0"/>
              <w:rPr>
                <w:color w:val="222222"/>
              </w:rPr>
            </w:pPr>
            <w:r>
              <w:rPr>
                <w:color w:val="222222"/>
              </w:rPr>
              <w:t>L</w:t>
            </w:r>
            <w:r w:rsidRPr="008E5FA1">
              <w:rPr>
                <w:color w:val="222222"/>
              </w:rPr>
              <w:t xml:space="preserve">ūdzam norādīt, kādām sabiedrības grupām un institūcijām administratīvais slogs tiek palielināts, konkretizējot izmaiņas. Likumprojekta anotācijas II sadaļas 2.punktā norādīts, ka pieaugs noteiktu augstskolu administratīvais slogs un ieguldījumi likumprojektā deleģēto tiesību īstenošanai, lūdzam to konkretizēt atbilstoši </w:t>
            </w:r>
            <w:r w:rsidRPr="009437A6">
              <w:rPr>
                <w:color w:val="222222"/>
              </w:rPr>
              <w:t>Ministru kabineta 2009. gada 15. decembra instrukcijas Nr. 19 "Tiesību akta projekta sākotnējās ietekmes izvērtēšanas kārtība" 24.punktam;</w:t>
            </w:r>
          </w:p>
        </w:tc>
        <w:tc>
          <w:tcPr>
            <w:tcW w:w="3500" w:type="dxa"/>
          </w:tcPr>
          <w:p w:rsidR="00CA6988" w:rsidRPr="00F56DF4" w:rsidRDefault="0095631A" w:rsidP="00CA6988">
            <w:pPr>
              <w:pStyle w:val="naisc"/>
              <w:spacing w:before="0" w:after="0"/>
              <w:jc w:val="both"/>
              <w:rPr>
                <w:b/>
                <w:sz w:val="22"/>
                <w:szCs w:val="22"/>
              </w:rPr>
            </w:pPr>
            <w:r w:rsidRPr="00F56DF4">
              <w:rPr>
                <w:b/>
                <w:sz w:val="22"/>
                <w:szCs w:val="22"/>
              </w:rPr>
              <w:t xml:space="preserve">Ņemts vērā </w:t>
            </w:r>
            <w:r w:rsidR="00CA6988">
              <w:rPr>
                <w:b/>
                <w:sz w:val="22"/>
                <w:szCs w:val="22"/>
              </w:rPr>
              <w:t>daļēji, sniegts skaidrojums</w:t>
            </w:r>
          </w:p>
          <w:p w:rsidR="009437A6" w:rsidRDefault="00CA6988" w:rsidP="00CA6988">
            <w:pPr>
              <w:pStyle w:val="naisc"/>
              <w:spacing w:before="0" w:after="0"/>
              <w:jc w:val="both"/>
              <w:rPr>
                <w:sz w:val="22"/>
                <w:szCs w:val="22"/>
              </w:rPr>
            </w:pPr>
            <w:r>
              <w:rPr>
                <w:sz w:val="22"/>
                <w:szCs w:val="22"/>
              </w:rPr>
              <w:t xml:space="preserve">Lūdzam skatīt skaidrojumu izziņas 12.punktā. </w:t>
            </w:r>
          </w:p>
          <w:p w:rsidR="00CA6988" w:rsidRPr="009437A6" w:rsidRDefault="00CA6988" w:rsidP="009437A6">
            <w:pPr>
              <w:pStyle w:val="naisc"/>
              <w:spacing w:before="0" w:after="0"/>
              <w:jc w:val="both"/>
              <w:rPr>
                <w:sz w:val="22"/>
                <w:szCs w:val="22"/>
              </w:rPr>
            </w:pPr>
            <w:r>
              <w:rPr>
                <w:sz w:val="22"/>
                <w:szCs w:val="22"/>
              </w:rPr>
              <w:t xml:space="preserve">Papildus skaidrojam, ka </w:t>
            </w:r>
            <w:r w:rsidRPr="008E5FA1">
              <w:rPr>
                <w:color w:val="222222"/>
              </w:rPr>
              <w:t>administratīvais slogs</w:t>
            </w:r>
            <w:r>
              <w:rPr>
                <w:color w:val="222222"/>
              </w:rPr>
              <w:t xml:space="preserve"> ir definējams nosacīti; </w:t>
            </w:r>
            <w:r w:rsidR="009437A6">
              <w:rPr>
                <w:color w:val="222222"/>
              </w:rPr>
              <w:t xml:space="preserve">jo tā būs augstskolu brīvprātīga izvēle </w:t>
            </w:r>
            <w:r>
              <w:rPr>
                <w:color w:val="222222"/>
              </w:rPr>
              <w:t>jaunas funkcijas īstenošana</w:t>
            </w:r>
            <w:r w:rsidR="009437A6">
              <w:rPr>
                <w:color w:val="222222"/>
              </w:rPr>
              <w:t>i</w:t>
            </w:r>
            <w:r>
              <w:rPr>
                <w:color w:val="222222"/>
              </w:rPr>
              <w:t xml:space="preserve">, </w:t>
            </w:r>
            <w:r w:rsidR="009437A6">
              <w:rPr>
                <w:color w:val="222222"/>
              </w:rPr>
              <w:t>un k</w:t>
            </w:r>
            <w:r>
              <w:rPr>
                <w:color w:val="222222"/>
              </w:rPr>
              <w:t xml:space="preserve">atras jaunas funkcijas īstenošana ietver nepieciešamus papildus resursu nepieciešamību un zināmus ieguldījumus, </w:t>
            </w:r>
            <w:r w:rsidR="009437A6">
              <w:rPr>
                <w:color w:val="222222"/>
              </w:rPr>
              <w:t>tomēr tie var būt pietiekami atšķirīgi, ņemot vērā augstskolu līdzšinējās iestrādes un ieguldījumus.</w:t>
            </w:r>
          </w:p>
        </w:tc>
        <w:tc>
          <w:tcPr>
            <w:tcW w:w="3669" w:type="dxa"/>
            <w:gridSpan w:val="2"/>
          </w:tcPr>
          <w:p w:rsidR="0095631A" w:rsidRPr="00CA6988" w:rsidRDefault="0095631A" w:rsidP="00CA6988">
            <w:pPr>
              <w:jc w:val="both"/>
              <w:rPr>
                <w:b/>
                <w:sz w:val="22"/>
                <w:szCs w:val="22"/>
              </w:rPr>
            </w:pPr>
          </w:p>
        </w:tc>
      </w:tr>
      <w:tr w:rsidR="00E12E52" w:rsidRPr="00DB0F73" w:rsidTr="00074A78">
        <w:tc>
          <w:tcPr>
            <w:tcW w:w="993" w:type="dxa"/>
          </w:tcPr>
          <w:p w:rsidR="00E12E52" w:rsidRPr="00DB0F73" w:rsidRDefault="00E12E52" w:rsidP="007E09C2">
            <w:pPr>
              <w:pStyle w:val="naisc"/>
              <w:numPr>
                <w:ilvl w:val="0"/>
                <w:numId w:val="2"/>
              </w:numPr>
              <w:spacing w:before="0" w:after="0"/>
              <w:jc w:val="both"/>
              <w:rPr>
                <w:sz w:val="22"/>
                <w:szCs w:val="22"/>
              </w:rPr>
            </w:pPr>
          </w:p>
        </w:tc>
        <w:tc>
          <w:tcPr>
            <w:tcW w:w="3260" w:type="dxa"/>
          </w:tcPr>
          <w:p w:rsidR="00E12E52" w:rsidRDefault="00E12E52" w:rsidP="007E09C2">
            <w:pPr>
              <w:pStyle w:val="naisc"/>
              <w:spacing w:before="0" w:after="0"/>
              <w:ind w:firstLine="12"/>
              <w:jc w:val="both"/>
              <w:rPr>
                <w:b/>
                <w:sz w:val="22"/>
                <w:szCs w:val="22"/>
              </w:rPr>
            </w:pPr>
          </w:p>
        </w:tc>
        <w:tc>
          <w:tcPr>
            <w:tcW w:w="4046" w:type="dxa"/>
            <w:gridSpan w:val="2"/>
          </w:tcPr>
          <w:p w:rsidR="00E12E52" w:rsidRDefault="00E12E52" w:rsidP="0095631A">
            <w:pPr>
              <w:pStyle w:val="NormalWeb"/>
              <w:shd w:val="clear" w:color="auto" w:fill="FFFFFF"/>
              <w:spacing w:before="0" w:beforeAutospacing="0" w:after="0" w:afterAutospacing="0"/>
              <w:rPr>
                <w:b/>
                <w:color w:val="222222"/>
              </w:rPr>
            </w:pPr>
            <w:r>
              <w:rPr>
                <w:b/>
                <w:color w:val="222222"/>
              </w:rPr>
              <w:t>Veselības ministrija:</w:t>
            </w:r>
          </w:p>
          <w:p w:rsidR="00200DBF" w:rsidRPr="00200DBF" w:rsidRDefault="00200DBF" w:rsidP="00200DBF">
            <w:pPr>
              <w:pStyle w:val="NormalWeb"/>
              <w:shd w:val="clear" w:color="auto" w:fill="FFFFFF"/>
              <w:spacing w:before="0" w:beforeAutospacing="0" w:after="0" w:afterAutospacing="0"/>
              <w:rPr>
                <w:color w:val="222222"/>
              </w:rPr>
            </w:pPr>
            <w:r>
              <w:rPr>
                <w:color w:val="222222"/>
              </w:rPr>
              <w:t>(</w:t>
            </w:r>
            <w:r w:rsidRPr="00200DBF">
              <w:rPr>
                <w:color w:val="222222"/>
              </w:rPr>
              <w:t>04.10.2020. Nr.01-09/4999</w:t>
            </w:r>
            <w:r>
              <w:rPr>
                <w:color w:val="222222"/>
              </w:rPr>
              <w:t>)</w:t>
            </w:r>
          </w:p>
          <w:p w:rsidR="00E12E52" w:rsidRPr="00E12E52" w:rsidRDefault="00E12E52" w:rsidP="0095631A">
            <w:pPr>
              <w:pStyle w:val="NormalWeb"/>
              <w:shd w:val="clear" w:color="auto" w:fill="FFFFFF"/>
              <w:spacing w:before="0" w:beforeAutospacing="0" w:after="0" w:afterAutospacing="0"/>
              <w:rPr>
                <w:color w:val="222222"/>
              </w:rPr>
            </w:pPr>
            <w:r w:rsidRPr="00E12E52">
              <w:rPr>
                <w:color w:val="222222"/>
              </w:rPr>
              <w:t xml:space="preserve">Lūdzam likumprojekta anotācijas II sadaļas 2.punktu aizpildīt atbilstoši Ministru kabineta 2009. gada 15. decembra instrukcijas Nr. 19 "Tiesību akta projekta sākotnējās ietekmes izvērtēšanas kārtība" </w:t>
            </w:r>
            <w:r w:rsidRPr="009437A6">
              <w:rPr>
                <w:color w:val="222222"/>
              </w:rPr>
              <w:t xml:space="preserve">22.punktam, norādot, kāda būs likumprojekta tiesiskā regulējuma ietekme uz </w:t>
            </w:r>
            <w:r w:rsidRPr="009437A6">
              <w:rPr>
                <w:color w:val="222222"/>
              </w:rPr>
              <w:lastRenderedPageBreak/>
              <w:t>tautsaimniecību un sabiedrības mērķgrupām;</w:t>
            </w:r>
          </w:p>
        </w:tc>
        <w:tc>
          <w:tcPr>
            <w:tcW w:w="3500" w:type="dxa"/>
          </w:tcPr>
          <w:p w:rsidR="00BD7EED" w:rsidRPr="00F56DF4" w:rsidRDefault="00E12E52" w:rsidP="00BD7EED">
            <w:pPr>
              <w:pStyle w:val="naisc"/>
              <w:spacing w:before="0" w:after="0"/>
              <w:jc w:val="both"/>
              <w:rPr>
                <w:b/>
                <w:sz w:val="22"/>
                <w:szCs w:val="22"/>
              </w:rPr>
            </w:pPr>
            <w:r w:rsidRPr="00BD7EED">
              <w:rPr>
                <w:b/>
                <w:sz w:val="22"/>
                <w:szCs w:val="22"/>
              </w:rPr>
              <w:lastRenderedPageBreak/>
              <w:t>Ņemts vērā</w:t>
            </w:r>
            <w:r w:rsidR="00BD7EED" w:rsidRPr="00BD7EED">
              <w:rPr>
                <w:b/>
                <w:sz w:val="22"/>
                <w:szCs w:val="22"/>
              </w:rPr>
              <w:t xml:space="preserve"> daļēji</w:t>
            </w:r>
            <w:r w:rsidR="00BD7EED">
              <w:rPr>
                <w:sz w:val="22"/>
                <w:szCs w:val="22"/>
              </w:rPr>
              <w:t xml:space="preserve">, </w:t>
            </w:r>
            <w:r w:rsidR="00BD7EED">
              <w:rPr>
                <w:b/>
                <w:sz w:val="22"/>
                <w:szCs w:val="22"/>
              </w:rPr>
              <w:t>sniegts skaidrojums</w:t>
            </w:r>
          </w:p>
          <w:p w:rsidR="00E12E52" w:rsidRDefault="00E12E52" w:rsidP="0095631A">
            <w:pPr>
              <w:pStyle w:val="naisc"/>
              <w:spacing w:before="0" w:after="0"/>
              <w:jc w:val="both"/>
              <w:rPr>
                <w:sz w:val="22"/>
                <w:szCs w:val="22"/>
                <w:highlight w:val="yellow"/>
              </w:rPr>
            </w:pPr>
          </w:p>
          <w:p w:rsidR="00BC0F91" w:rsidRPr="00BD7EED" w:rsidRDefault="00BD7EED" w:rsidP="0095631A">
            <w:pPr>
              <w:pStyle w:val="naisc"/>
              <w:spacing w:before="0" w:after="0"/>
              <w:jc w:val="both"/>
              <w:rPr>
                <w:sz w:val="22"/>
                <w:szCs w:val="22"/>
              </w:rPr>
            </w:pPr>
            <w:r w:rsidRPr="00BD7EED">
              <w:rPr>
                <w:sz w:val="22"/>
                <w:szCs w:val="22"/>
              </w:rPr>
              <w:t>Lūdzam skatīt skaidrojumu izziņas 13.punktā.</w:t>
            </w:r>
          </w:p>
          <w:p w:rsidR="00BC0F91" w:rsidRPr="00DA0831" w:rsidRDefault="009437A6" w:rsidP="0095631A">
            <w:pPr>
              <w:pStyle w:val="naisc"/>
              <w:spacing w:before="0" w:after="0"/>
              <w:jc w:val="both"/>
              <w:rPr>
                <w:sz w:val="22"/>
                <w:szCs w:val="22"/>
                <w:highlight w:val="yellow"/>
              </w:rPr>
            </w:pPr>
            <w:r w:rsidRPr="009437A6">
              <w:rPr>
                <w:sz w:val="22"/>
                <w:szCs w:val="22"/>
              </w:rPr>
              <w:t>Uzskatām, ka a</w:t>
            </w:r>
            <w:r w:rsidR="005005B4" w:rsidRPr="009437A6">
              <w:rPr>
                <w:sz w:val="22"/>
                <w:szCs w:val="22"/>
              </w:rPr>
              <w:t>ttiecībā uz visu tautsaimniecību likumprojektam nebūs būtiska ietekme.</w:t>
            </w:r>
          </w:p>
        </w:tc>
        <w:tc>
          <w:tcPr>
            <w:tcW w:w="3669" w:type="dxa"/>
            <w:gridSpan w:val="2"/>
          </w:tcPr>
          <w:p w:rsidR="00E12E52" w:rsidRPr="005005B4" w:rsidRDefault="00E12E52" w:rsidP="005005B4">
            <w:pPr>
              <w:jc w:val="both"/>
              <w:rPr>
                <w:b/>
                <w:sz w:val="22"/>
                <w:szCs w:val="22"/>
              </w:rPr>
            </w:pPr>
            <w:r w:rsidRPr="009437A6">
              <w:rPr>
                <w:b/>
                <w:sz w:val="22"/>
                <w:szCs w:val="22"/>
              </w:rPr>
              <w:t>Precizēta anotācija</w:t>
            </w:r>
          </w:p>
        </w:tc>
      </w:tr>
      <w:tr w:rsidR="008E5FA1" w:rsidRPr="00DB0F73" w:rsidTr="00074A78">
        <w:tc>
          <w:tcPr>
            <w:tcW w:w="993" w:type="dxa"/>
          </w:tcPr>
          <w:p w:rsidR="008E5FA1" w:rsidRPr="00DB0F73" w:rsidRDefault="008E5FA1" w:rsidP="007E09C2">
            <w:pPr>
              <w:pStyle w:val="naisc"/>
              <w:numPr>
                <w:ilvl w:val="0"/>
                <w:numId w:val="2"/>
              </w:numPr>
              <w:spacing w:before="0" w:after="0"/>
              <w:jc w:val="both"/>
              <w:rPr>
                <w:sz w:val="22"/>
                <w:szCs w:val="22"/>
              </w:rPr>
            </w:pPr>
          </w:p>
        </w:tc>
        <w:tc>
          <w:tcPr>
            <w:tcW w:w="3260" w:type="dxa"/>
          </w:tcPr>
          <w:p w:rsidR="008E5FA1" w:rsidRDefault="008E5FA1" w:rsidP="007E09C2">
            <w:pPr>
              <w:pStyle w:val="naisc"/>
              <w:spacing w:before="0" w:after="0"/>
              <w:ind w:firstLine="12"/>
              <w:jc w:val="both"/>
              <w:rPr>
                <w:b/>
                <w:sz w:val="22"/>
                <w:szCs w:val="22"/>
              </w:rPr>
            </w:pPr>
          </w:p>
        </w:tc>
        <w:tc>
          <w:tcPr>
            <w:tcW w:w="4046" w:type="dxa"/>
            <w:gridSpan w:val="2"/>
          </w:tcPr>
          <w:p w:rsidR="008E5FA1" w:rsidRDefault="008E5FA1" w:rsidP="008E5FA1">
            <w:pPr>
              <w:pStyle w:val="NormalWeb"/>
              <w:shd w:val="clear" w:color="auto" w:fill="FFFFFF"/>
              <w:spacing w:before="0" w:beforeAutospacing="0" w:after="0" w:afterAutospacing="0"/>
              <w:rPr>
                <w:b/>
                <w:color w:val="222222"/>
              </w:rPr>
            </w:pPr>
            <w:r>
              <w:rPr>
                <w:b/>
                <w:color w:val="222222"/>
              </w:rPr>
              <w:t>Veselības ministrija:</w:t>
            </w:r>
          </w:p>
          <w:p w:rsidR="00200DBF" w:rsidRPr="00200DBF" w:rsidRDefault="00200DBF" w:rsidP="00200DBF">
            <w:pPr>
              <w:pStyle w:val="NormalWeb"/>
              <w:shd w:val="clear" w:color="auto" w:fill="FFFFFF"/>
              <w:spacing w:before="0" w:beforeAutospacing="0" w:after="0" w:afterAutospacing="0"/>
              <w:rPr>
                <w:color w:val="222222"/>
              </w:rPr>
            </w:pPr>
            <w:r>
              <w:rPr>
                <w:color w:val="222222"/>
              </w:rPr>
              <w:t>(</w:t>
            </w:r>
            <w:r w:rsidRPr="00200DBF">
              <w:rPr>
                <w:color w:val="222222"/>
              </w:rPr>
              <w:t>04.10.2020. Nr.01-09/4999</w:t>
            </w:r>
            <w:r>
              <w:rPr>
                <w:color w:val="222222"/>
              </w:rPr>
              <w:t>)</w:t>
            </w:r>
          </w:p>
          <w:p w:rsidR="00074A78" w:rsidRDefault="008E5FA1" w:rsidP="00074A78">
            <w:pPr>
              <w:pStyle w:val="NormalWeb"/>
              <w:shd w:val="clear" w:color="auto" w:fill="FFFFFF"/>
              <w:spacing w:before="0" w:beforeAutospacing="0" w:after="0" w:afterAutospacing="0"/>
              <w:rPr>
                <w:color w:val="222222"/>
              </w:rPr>
            </w:pPr>
            <w:r w:rsidRPr="008E5FA1">
              <w:rPr>
                <w:color w:val="222222"/>
              </w:rPr>
              <w:t>Anotācijā tiek norādīts, ka tiks izstrādāti Ministru kabineta noteikumi, kas noteiks prasības likumprojektā deleģētās tiesības atbildīgām augstskolām. Tomēr jau tagad anotācijā tiek norādīts, kādi būs tie kritēriji, kas augstskolām būs jāņem vērā, izvērtējot ārzemnieku iegūtos diplomus. Norādām, ka prasības pagaidām izvērtē birokrātiskos aspektus (diplomā norādītās augstskolas juridiskais status un vai vispār šāda augstskola pastāv), bet ne kvalitātes – tādus kā potenciālā ārzemju studenta sekmes. Uzskatām, ka šim aspektam jābūt iekļautam diploma izvērtēšanas procesā.</w:t>
            </w:r>
            <w:r w:rsidR="00074A78" w:rsidRPr="008E5FA1">
              <w:rPr>
                <w:color w:val="222222"/>
              </w:rPr>
              <w:t xml:space="preserve"> </w:t>
            </w:r>
          </w:p>
          <w:p w:rsidR="00074A78" w:rsidRPr="008E5FA1" w:rsidRDefault="00074A78" w:rsidP="00074A78">
            <w:pPr>
              <w:pStyle w:val="NormalWeb"/>
              <w:shd w:val="clear" w:color="auto" w:fill="FFFFFF"/>
              <w:spacing w:before="0" w:beforeAutospacing="0" w:after="0" w:afterAutospacing="0"/>
              <w:rPr>
                <w:b/>
                <w:color w:val="222222"/>
              </w:rPr>
            </w:pPr>
            <w:r w:rsidRPr="008E5FA1">
              <w:rPr>
                <w:color w:val="222222"/>
              </w:rPr>
              <w:t xml:space="preserve">Skaidrojam, ka bažas rada iespējamība, ka kāda no augstskolām, papildus peļņas nolūkos var mazāk kritiski vērtēt potenciālā studenta sekmību. Pie tam nav plānots neviens mehānisms, kā kontrolēt vai pārbaudīt augstskolu izsniegtos atzinumus. Tas, savukārt, daļēji nepiekrītot Izglītības un zinātnes ministrijai, var veicināt cilvēku migrāciju ar mērķi nevis iegūt izglītību, bet darbu un dzīvesvietu vai izmantot Latviju kā “tranzīta valsti”, lai dotos uz citu Eiropas Savienības valsti.  </w:t>
            </w:r>
          </w:p>
          <w:p w:rsidR="008E5FA1" w:rsidRPr="008E5FA1" w:rsidRDefault="00074A78" w:rsidP="00074A78">
            <w:pPr>
              <w:pStyle w:val="NormalWeb"/>
              <w:shd w:val="clear" w:color="auto" w:fill="FFFFFF"/>
              <w:spacing w:before="0" w:beforeAutospacing="0" w:after="0" w:afterAutospacing="0"/>
              <w:rPr>
                <w:color w:val="222222"/>
              </w:rPr>
            </w:pPr>
            <w:r w:rsidRPr="008866D8">
              <w:rPr>
                <w:color w:val="222222"/>
              </w:rPr>
              <w:lastRenderedPageBreak/>
              <w:t>Līdz ar to lūdzam Izglītības un zinātnes ministriju anotācijā vairāk izskaidrot, kā tiks kontrolēti izsniegtie atzinumi vai, ka tas būs pilnīgi augstskolu atbildības jautājums.</w:t>
            </w:r>
          </w:p>
        </w:tc>
        <w:tc>
          <w:tcPr>
            <w:tcW w:w="3500" w:type="dxa"/>
          </w:tcPr>
          <w:p w:rsidR="00074A78" w:rsidRPr="00F56DF4" w:rsidRDefault="00074A78" w:rsidP="00074A78">
            <w:pPr>
              <w:pStyle w:val="naisc"/>
              <w:spacing w:before="0" w:after="0"/>
              <w:jc w:val="both"/>
              <w:rPr>
                <w:b/>
                <w:sz w:val="22"/>
                <w:szCs w:val="22"/>
              </w:rPr>
            </w:pPr>
            <w:r w:rsidRPr="008866D8">
              <w:rPr>
                <w:b/>
                <w:sz w:val="22"/>
                <w:szCs w:val="22"/>
              </w:rPr>
              <w:lastRenderedPageBreak/>
              <w:t xml:space="preserve">Ņemts vērā, </w:t>
            </w:r>
            <w:r>
              <w:rPr>
                <w:b/>
                <w:sz w:val="22"/>
                <w:szCs w:val="22"/>
              </w:rPr>
              <w:t>sniegts skaidrojums</w:t>
            </w:r>
          </w:p>
          <w:p w:rsidR="008866D8" w:rsidRDefault="008866D8" w:rsidP="00074A78">
            <w:pPr>
              <w:pStyle w:val="naisc"/>
              <w:spacing w:before="0" w:after="0"/>
              <w:jc w:val="both"/>
              <w:rPr>
                <w:b/>
                <w:sz w:val="22"/>
                <w:szCs w:val="22"/>
              </w:rPr>
            </w:pPr>
          </w:p>
          <w:p w:rsidR="00074A78" w:rsidRPr="008866D8" w:rsidRDefault="00074A78" w:rsidP="00074A78">
            <w:pPr>
              <w:pStyle w:val="naisc"/>
              <w:spacing w:before="0" w:after="0"/>
              <w:jc w:val="both"/>
            </w:pPr>
            <w:r w:rsidRPr="008866D8">
              <w:t>Bažas ir pamatotas, bet tieši tāpēc visām augstskolām šādas tiesības netiks piešķirtas</w:t>
            </w:r>
            <w:r w:rsidR="0084037E" w:rsidRPr="008866D8">
              <w:t>.</w:t>
            </w:r>
          </w:p>
          <w:p w:rsidR="008866D8" w:rsidRDefault="008866D8" w:rsidP="008866D8">
            <w:pPr>
              <w:pStyle w:val="naisc"/>
              <w:tabs>
                <w:tab w:val="left" w:pos="317"/>
              </w:tabs>
              <w:spacing w:before="0" w:after="0"/>
              <w:jc w:val="both"/>
            </w:pPr>
          </w:p>
          <w:p w:rsidR="008866D8" w:rsidRPr="008866D8" w:rsidRDefault="008866D8" w:rsidP="008866D8">
            <w:pPr>
              <w:pStyle w:val="naisc"/>
              <w:tabs>
                <w:tab w:val="left" w:pos="317"/>
              </w:tabs>
              <w:spacing w:before="0" w:after="0"/>
              <w:jc w:val="both"/>
              <w:rPr>
                <w:shd w:val="clear" w:color="auto" w:fill="FFFFFF"/>
              </w:rPr>
            </w:pPr>
            <w:r w:rsidRPr="008866D8">
              <w:rPr>
                <w:color w:val="222222"/>
              </w:rPr>
              <w:t xml:space="preserve">Dodot tiesības šajā laukā darboties vēl citiem dalībniekiem – augstskolām, likumdevējam ir jānodrošina, ka tās augstskolas, kuras to gribēs, būs kvalificētas veikt ekspertīzi, noteiktā kartībā to veiks un izsniegt attiecīgu izziņu, kas apliecinās ļoti svarīgu faktu, ka ārvalstnieka izglītības dokumenti </w:t>
            </w:r>
            <w:r w:rsidRPr="008866D8">
              <w:rPr>
                <w:color w:val="222222"/>
                <w:u w:val="single"/>
              </w:rPr>
              <w:t xml:space="preserve">atbilst </w:t>
            </w:r>
            <w:r w:rsidRPr="008866D8">
              <w:rPr>
                <w:u w:val="single"/>
                <w:shd w:val="clear" w:color="auto" w:fill="FFFFFF"/>
              </w:rPr>
              <w:t>Latvijā izsniedzamam</w:t>
            </w:r>
            <w:r w:rsidRPr="008866D8">
              <w:rPr>
                <w:shd w:val="clear" w:color="auto" w:fill="FFFFFF"/>
              </w:rPr>
              <w:t xml:space="preserve"> izglītības dokumentam vai Latvijā piešķiramam akadēmiskajam grādam atbilst vai ir pielīdzināms ārvalstī izsniegtais izglītības dokuments vai piešķirtais akadēmiskais grāds. Šādas augstskolas izsniegta izziņa ir  derīga iesniegšanai jebkura augstskolā.</w:t>
            </w:r>
          </w:p>
          <w:p w:rsidR="008866D8" w:rsidRPr="008866D8" w:rsidRDefault="008866D8" w:rsidP="00C964BF">
            <w:pPr>
              <w:pStyle w:val="naisc"/>
              <w:tabs>
                <w:tab w:val="left" w:pos="317"/>
              </w:tabs>
              <w:spacing w:before="0" w:after="0"/>
              <w:ind w:left="-108"/>
              <w:jc w:val="both"/>
              <w:rPr>
                <w:shd w:val="clear" w:color="auto" w:fill="FFFFFF"/>
              </w:rPr>
            </w:pPr>
            <w:r w:rsidRPr="008866D8">
              <w:rPr>
                <w:shd w:val="clear" w:color="auto" w:fill="FFFFFF"/>
              </w:rPr>
              <w:t>Līdz ar to</w:t>
            </w:r>
            <w:r>
              <w:rPr>
                <w:shd w:val="clear" w:color="auto" w:fill="FFFFFF"/>
              </w:rPr>
              <w:t>,</w:t>
            </w:r>
            <w:r w:rsidRPr="008866D8">
              <w:rPr>
                <w:shd w:val="clear" w:color="auto" w:fill="FFFFFF"/>
              </w:rPr>
              <w:t xml:space="preserve"> ir nepieciešams </w:t>
            </w:r>
            <w:r>
              <w:rPr>
                <w:shd w:val="clear" w:color="auto" w:fill="FFFFFF"/>
              </w:rPr>
              <w:t>noteikta kārtība un procedūra</w:t>
            </w:r>
            <w:r w:rsidRPr="008866D8">
              <w:rPr>
                <w:shd w:val="clear" w:color="auto" w:fill="FFFFFF"/>
              </w:rPr>
              <w:t xml:space="preserve">, lai augstskolas nodrošinātu </w:t>
            </w:r>
            <w:r w:rsidRPr="008866D8">
              <w:rPr>
                <w:u w:val="single"/>
                <w:shd w:val="clear" w:color="auto" w:fill="FFFFFF"/>
              </w:rPr>
              <w:t xml:space="preserve">vienotu </w:t>
            </w:r>
            <w:r w:rsidRPr="008866D8">
              <w:rPr>
                <w:shd w:val="clear" w:color="auto" w:fill="FFFFFF"/>
              </w:rPr>
              <w:t xml:space="preserve">kārtību </w:t>
            </w:r>
            <w:r>
              <w:rPr>
                <w:shd w:val="clear" w:color="auto" w:fill="FFFFFF"/>
              </w:rPr>
              <w:t>visā Latvij</w:t>
            </w:r>
            <w:r w:rsidRPr="008866D8">
              <w:rPr>
                <w:shd w:val="clear" w:color="auto" w:fill="FFFFFF"/>
              </w:rPr>
              <w:t>ā.</w:t>
            </w:r>
            <w:r>
              <w:rPr>
                <w:shd w:val="clear" w:color="auto" w:fill="FFFFFF"/>
              </w:rPr>
              <w:t xml:space="preserve"> Tas skatāms kopā ar grozījumiem Izglītības likuma grozījumos noteikto, ka </w:t>
            </w:r>
            <w:r w:rsidRPr="008866D8">
              <w:rPr>
                <w:shd w:val="clear" w:color="auto" w:fill="FFFFFF"/>
              </w:rPr>
              <w:lastRenderedPageBreak/>
              <w:t>augstākās izglītības kvalifikācijas atzīšanas vadlīnijas a</w:t>
            </w:r>
            <w:r w:rsidR="00C964BF">
              <w:rPr>
                <w:shd w:val="clear" w:color="auto" w:fill="FFFFFF"/>
              </w:rPr>
              <w:t xml:space="preserve">tbilstoši Lisabonas konvencijai izstrādās AIC un </w:t>
            </w:r>
            <w:r w:rsidRPr="008866D8">
              <w:rPr>
                <w:shd w:val="clear" w:color="auto" w:fill="FFFFFF"/>
              </w:rPr>
              <w:t>augstskola, kura ir kvalificējusies veikt dokumentu ekspertīzi, slēdz ar AIC kā Latvijas nacionālo informācijas centru vienošanos par sadarbību izglītības dokumentu un akadēmisko grādu apliecinošu dokumentu atzīšanā, lai nodrošinātu Lisabonas konvencijas pasākumu ievērošanu un piemērošanu</w:t>
            </w:r>
            <w:r w:rsidR="00C964BF">
              <w:rPr>
                <w:shd w:val="clear" w:color="auto" w:fill="FFFFFF"/>
              </w:rPr>
              <w:t>.</w:t>
            </w:r>
          </w:p>
          <w:p w:rsidR="005005B4" w:rsidRPr="00DA0831" w:rsidRDefault="005005B4" w:rsidP="00074A78">
            <w:pPr>
              <w:pStyle w:val="naisc"/>
              <w:spacing w:before="0" w:after="0"/>
              <w:jc w:val="both"/>
              <w:rPr>
                <w:sz w:val="22"/>
                <w:szCs w:val="22"/>
                <w:highlight w:val="yellow"/>
              </w:rPr>
            </w:pPr>
          </w:p>
        </w:tc>
        <w:tc>
          <w:tcPr>
            <w:tcW w:w="3669" w:type="dxa"/>
            <w:gridSpan w:val="2"/>
          </w:tcPr>
          <w:p w:rsidR="008E5FA1" w:rsidRPr="005005B4" w:rsidRDefault="00C964BF" w:rsidP="005005B4">
            <w:pPr>
              <w:jc w:val="both"/>
              <w:rPr>
                <w:b/>
                <w:sz w:val="22"/>
                <w:szCs w:val="22"/>
              </w:rPr>
            </w:pPr>
            <w:r>
              <w:rPr>
                <w:b/>
                <w:sz w:val="22"/>
                <w:szCs w:val="22"/>
              </w:rPr>
              <w:lastRenderedPageBreak/>
              <w:t>Papildināta</w:t>
            </w:r>
            <w:r w:rsidR="008E5FA1" w:rsidRPr="00C964BF">
              <w:rPr>
                <w:b/>
                <w:sz w:val="22"/>
                <w:szCs w:val="22"/>
              </w:rPr>
              <w:t xml:space="preserve"> anotācija</w:t>
            </w:r>
          </w:p>
        </w:tc>
      </w:tr>
      <w:tr w:rsidR="0068544F" w:rsidRPr="00DB0F73" w:rsidTr="00074A78">
        <w:tc>
          <w:tcPr>
            <w:tcW w:w="993" w:type="dxa"/>
          </w:tcPr>
          <w:p w:rsidR="0068544F" w:rsidRPr="00DB0F73" w:rsidRDefault="0068544F" w:rsidP="007E09C2">
            <w:pPr>
              <w:pStyle w:val="naisc"/>
              <w:numPr>
                <w:ilvl w:val="0"/>
                <w:numId w:val="2"/>
              </w:numPr>
              <w:spacing w:before="0" w:after="0"/>
              <w:jc w:val="both"/>
              <w:rPr>
                <w:sz w:val="22"/>
                <w:szCs w:val="22"/>
              </w:rPr>
            </w:pPr>
          </w:p>
        </w:tc>
        <w:tc>
          <w:tcPr>
            <w:tcW w:w="3260" w:type="dxa"/>
          </w:tcPr>
          <w:p w:rsidR="0068544F" w:rsidRDefault="0068544F" w:rsidP="007E09C2">
            <w:pPr>
              <w:pStyle w:val="naisc"/>
              <w:spacing w:before="0" w:after="0"/>
              <w:ind w:firstLine="12"/>
              <w:jc w:val="both"/>
              <w:rPr>
                <w:b/>
                <w:sz w:val="22"/>
                <w:szCs w:val="22"/>
              </w:rPr>
            </w:pPr>
          </w:p>
        </w:tc>
        <w:tc>
          <w:tcPr>
            <w:tcW w:w="4046" w:type="dxa"/>
            <w:gridSpan w:val="2"/>
          </w:tcPr>
          <w:p w:rsidR="0068544F" w:rsidRDefault="0068544F" w:rsidP="0068544F">
            <w:pPr>
              <w:pStyle w:val="NormalWeb"/>
              <w:shd w:val="clear" w:color="auto" w:fill="FFFFFF"/>
              <w:spacing w:before="0" w:beforeAutospacing="0" w:after="0" w:afterAutospacing="0"/>
              <w:rPr>
                <w:b/>
                <w:color w:val="222222"/>
              </w:rPr>
            </w:pPr>
            <w:r>
              <w:rPr>
                <w:b/>
                <w:color w:val="222222"/>
              </w:rPr>
              <w:t>Veselības ministrija:</w:t>
            </w:r>
          </w:p>
          <w:p w:rsidR="00200DBF" w:rsidRPr="00200DBF" w:rsidRDefault="00200DBF" w:rsidP="00200DBF">
            <w:pPr>
              <w:pStyle w:val="NormalWeb"/>
              <w:shd w:val="clear" w:color="auto" w:fill="FFFFFF"/>
              <w:spacing w:before="0" w:beforeAutospacing="0" w:after="0" w:afterAutospacing="0"/>
              <w:rPr>
                <w:color w:val="222222"/>
              </w:rPr>
            </w:pPr>
            <w:r>
              <w:rPr>
                <w:color w:val="222222"/>
              </w:rPr>
              <w:t>(</w:t>
            </w:r>
            <w:r w:rsidRPr="00200DBF">
              <w:rPr>
                <w:color w:val="222222"/>
              </w:rPr>
              <w:t>04.10.2020. Nr.01-09/4999</w:t>
            </w:r>
            <w:r>
              <w:rPr>
                <w:color w:val="222222"/>
              </w:rPr>
              <w:t>)</w:t>
            </w:r>
          </w:p>
          <w:p w:rsidR="0068544F" w:rsidRPr="0068544F" w:rsidRDefault="0068544F" w:rsidP="008E5FA1">
            <w:pPr>
              <w:pStyle w:val="NormalWeb"/>
              <w:shd w:val="clear" w:color="auto" w:fill="FFFFFF"/>
              <w:spacing w:before="0" w:beforeAutospacing="0" w:after="0" w:afterAutospacing="0"/>
              <w:rPr>
                <w:color w:val="222222"/>
              </w:rPr>
            </w:pPr>
            <w:r w:rsidRPr="0068544F">
              <w:rPr>
                <w:color w:val="222222"/>
              </w:rPr>
              <w:t>Ņemot vērā, ka Akadēmiskā informācijas centra sniegtā ekspertīze bija par maksu atbilstoši Ministru kabinetā noteiktam cenrādim, lūdzam precizēt, vai augstskolu sniegtās ekspertīzes arī būs par maksu, kā tas ir minēts plānotajos Grozījumos Izglītības likumā (VSS-772).</w:t>
            </w:r>
          </w:p>
        </w:tc>
        <w:tc>
          <w:tcPr>
            <w:tcW w:w="3500" w:type="dxa"/>
          </w:tcPr>
          <w:p w:rsidR="0068544F" w:rsidRPr="000E4E13" w:rsidRDefault="0068544F" w:rsidP="0068544F">
            <w:pPr>
              <w:pStyle w:val="naisc"/>
              <w:spacing w:before="0" w:after="0"/>
              <w:jc w:val="both"/>
              <w:rPr>
                <w:b/>
              </w:rPr>
            </w:pPr>
            <w:r w:rsidRPr="000E4E13">
              <w:rPr>
                <w:b/>
              </w:rPr>
              <w:t>Ņemts vērā</w:t>
            </w:r>
            <w:r w:rsidR="000E4E13" w:rsidRPr="000E4E13">
              <w:rPr>
                <w:b/>
              </w:rPr>
              <w:t>, sniegts skaidrojums</w:t>
            </w:r>
            <w:r w:rsidRPr="000E4E13">
              <w:rPr>
                <w:b/>
              </w:rPr>
              <w:t xml:space="preserve"> </w:t>
            </w:r>
          </w:p>
          <w:p w:rsidR="000E4E13" w:rsidRDefault="000E4E13" w:rsidP="000E4E13">
            <w:pPr>
              <w:pStyle w:val="naisc"/>
              <w:spacing w:before="0" w:after="0"/>
              <w:jc w:val="both"/>
            </w:pPr>
          </w:p>
          <w:p w:rsidR="0068544F" w:rsidRPr="000E4E13" w:rsidRDefault="00CD3717" w:rsidP="000E4E13">
            <w:pPr>
              <w:pStyle w:val="naisc"/>
              <w:spacing w:before="0" w:after="0"/>
              <w:jc w:val="both"/>
              <w:rPr>
                <w:highlight w:val="yellow"/>
              </w:rPr>
            </w:pPr>
            <w:r w:rsidRPr="000E4E13">
              <w:t xml:space="preserve">Jā, </w:t>
            </w:r>
            <w:r w:rsidR="000E4E13" w:rsidRPr="000E4E13">
              <w:t xml:space="preserve">arī augstskolu veiktās ekspertīzes būs par maksu, ko noteiks Ministru kabinets, šī norma ir noteikta </w:t>
            </w:r>
            <w:r w:rsidR="000E4E13" w:rsidRPr="000E4E13">
              <w:rPr>
                <w:color w:val="222222"/>
              </w:rPr>
              <w:t>plānotajos Grozījumos Izglītības likumā (VSS-772).</w:t>
            </w:r>
          </w:p>
        </w:tc>
        <w:tc>
          <w:tcPr>
            <w:tcW w:w="3669" w:type="dxa"/>
            <w:gridSpan w:val="2"/>
          </w:tcPr>
          <w:p w:rsidR="0068544F" w:rsidRPr="000E4E13" w:rsidRDefault="0068544F" w:rsidP="007E09C2">
            <w:pPr>
              <w:jc w:val="both"/>
              <w:rPr>
                <w:b/>
                <w:sz w:val="22"/>
                <w:szCs w:val="22"/>
              </w:rPr>
            </w:pPr>
          </w:p>
        </w:tc>
      </w:tr>
      <w:tr w:rsidR="008E5FA1" w:rsidRPr="00DB0F73" w:rsidTr="00074A78">
        <w:tc>
          <w:tcPr>
            <w:tcW w:w="993" w:type="dxa"/>
          </w:tcPr>
          <w:p w:rsidR="008E5FA1" w:rsidRPr="00DB0F73" w:rsidRDefault="008E5FA1" w:rsidP="007E09C2">
            <w:pPr>
              <w:pStyle w:val="naisc"/>
              <w:numPr>
                <w:ilvl w:val="0"/>
                <w:numId w:val="2"/>
              </w:numPr>
              <w:spacing w:before="0" w:after="0"/>
              <w:jc w:val="both"/>
              <w:rPr>
                <w:sz w:val="22"/>
                <w:szCs w:val="22"/>
              </w:rPr>
            </w:pPr>
          </w:p>
        </w:tc>
        <w:tc>
          <w:tcPr>
            <w:tcW w:w="3260" w:type="dxa"/>
          </w:tcPr>
          <w:p w:rsidR="008E5FA1" w:rsidRDefault="008E5FA1" w:rsidP="007E09C2">
            <w:pPr>
              <w:pStyle w:val="naisc"/>
              <w:spacing w:before="0" w:after="0"/>
              <w:ind w:firstLine="12"/>
              <w:jc w:val="both"/>
              <w:rPr>
                <w:b/>
                <w:sz w:val="22"/>
                <w:szCs w:val="22"/>
              </w:rPr>
            </w:pPr>
          </w:p>
        </w:tc>
        <w:tc>
          <w:tcPr>
            <w:tcW w:w="4046" w:type="dxa"/>
            <w:gridSpan w:val="2"/>
          </w:tcPr>
          <w:p w:rsidR="000E4E13" w:rsidRDefault="000E4E13" w:rsidP="000E4E13">
            <w:pPr>
              <w:pStyle w:val="NormalWeb"/>
              <w:shd w:val="clear" w:color="auto" w:fill="FFFFFF"/>
              <w:spacing w:before="0" w:beforeAutospacing="0" w:after="0" w:afterAutospacing="0"/>
              <w:rPr>
                <w:b/>
                <w:color w:val="222222"/>
              </w:rPr>
            </w:pPr>
            <w:r>
              <w:rPr>
                <w:b/>
                <w:color w:val="222222"/>
              </w:rPr>
              <w:t>Rektoru padome:</w:t>
            </w:r>
          </w:p>
          <w:p w:rsidR="009140FB" w:rsidRPr="000E4E13" w:rsidRDefault="009140FB" w:rsidP="000E4E13">
            <w:pPr>
              <w:pStyle w:val="NormalWeb"/>
              <w:shd w:val="clear" w:color="auto" w:fill="FFFFFF"/>
              <w:spacing w:before="0" w:beforeAutospacing="0" w:after="0" w:afterAutospacing="0"/>
              <w:rPr>
                <w:b/>
                <w:color w:val="222222"/>
              </w:rPr>
            </w:pPr>
            <w:r>
              <w:t>(</w:t>
            </w:r>
            <w:r w:rsidRPr="009140FB">
              <w:t>05.10.2020. Nr.1-12</w:t>
            </w:r>
            <w:r>
              <w:t>)</w:t>
            </w:r>
          </w:p>
          <w:p w:rsidR="008E5FA1" w:rsidRDefault="008E5FA1" w:rsidP="008E5FA1">
            <w:pPr>
              <w:pStyle w:val="NormalWeb"/>
              <w:shd w:val="clear" w:color="auto" w:fill="FFFFFF"/>
              <w:spacing w:before="0" w:beforeAutospacing="0" w:after="0" w:afterAutospacing="0"/>
              <w:rPr>
                <w:b/>
                <w:color w:val="222222"/>
              </w:rPr>
            </w:pPr>
            <w:r w:rsidRPr="0095631A">
              <w:rPr>
                <w:color w:val="222222"/>
              </w:rPr>
              <w:t>Aicinām likumprojektā paredzēt vai skaidrojuma formā norādīt anotācijā, ka augstskolās var tikt atzīti arī dažādu starptautisko izglītības sistēmu ietvaros (piemēram, International Baccalaureate, European Baccalaureate) izsniegtie izglītības dokumenti.</w:t>
            </w:r>
          </w:p>
        </w:tc>
        <w:tc>
          <w:tcPr>
            <w:tcW w:w="3500" w:type="dxa"/>
          </w:tcPr>
          <w:p w:rsidR="00C964BF" w:rsidRPr="00C964BF" w:rsidRDefault="00CD3717" w:rsidP="00CD3717">
            <w:pPr>
              <w:pStyle w:val="naisc"/>
              <w:spacing w:before="0" w:after="0"/>
              <w:jc w:val="both"/>
              <w:rPr>
                <w:b/>
                <w:sz w:val="22"/>
                <w:szCs w:val="22"/>
              </w:rPr>
            </w:pPr>
            <w:r w:rsidRPr="00C964BF">
              <w:rPr>
                <w:b/>
                <w:sz w:val="22"/>
                <w:szCs w:val="22"/>
              </w:rPr>
              <w:t>S</w:t>
            </w:r>
            <w:r w:rsidR="00D23E7D">
              <w:rPr>
                <w:b/>
                <w:sz w:val="22"/>
                <w:szCs w:val="22"/>
              </w:rPr>
              <w:t>niedzam skaidrojumu</w:t>
            </w:r>
            <w:r w:rsidRPr="00C964BF">
              <w:rPr>
                <w:b/>
                <w:sz w:val="22"/>
                <w:szCs w:val="22"/>
              </w:rPr>
              <w:t xml:space="preserve">: </w:t>
            </w:r>
          </w:p>
          <w:p w:rsidR="00CD3717" w:rsidRDefault="003F3ABB" w:rsidP="00CD3717">
            <w:pPr>
              <w:pStyle w:val="naisc"/>
              <w:spacing w:before="0" w:after="0"/>
              <w:jc w:val="both"/>
              <w:rPr>
                <w:sz w:val="22"/>
                <w:szCs w:val="22"/>
              </w:rPr>
            </w:pPr>
            <w:r w:rsidRPr="00D1349F">
              <w:rPr>
                <w:color w:val="000000"/>
              </w:rPr>
              <w:t>Akadēmiskās informācijas centrs izskata izglītības dokumentus par apgūtām starptautiskā bakalaurāta (IB) programmām un veic to ekspertīzi tāpat kā ārvalstīs iegūtiem izglītības dokumentiem neatkarīgi no tā, kurā valstī (Latvijā vai ārvalstīs) izglītības dokumenta īpašnieks ir mācījies.</w:t>
            </w:r>
            <w:r>
              <w:rPr>
                <w:color w:val="000000"/>
              </w:rPr>
              <w:t xml:space="preserve"> </w:t>
            </w:r>
            <w:r w:rsidR="00B50BCC">
              <w:rPr>
                <w:color w:val="000000"/>
              </w:rPr>
              <w:lastRenderedPageBreak/>
              <w:t>IB uzskatāms par ārvalstīs izdotu izglītības dokumentu, t</w:t>
            </w:r>
            <w:r>
              <w:rPr>
                <w:color w:val="000000"/>
              </w:rPr>
              <w:t xml:space="preserve">ādēļ </w:t>
            </w:r>
            <w:r w:rsidR="00C964BF">
              <w:rPr>
                <w:sz w:val="22"/>
                <w:szCs w:val="22"/>
              </w:rPr>
              <w:t>neuzskatām, ka šajā likumprojektā tie izdalāmi kā atsevišķa izglītības dokumentu grupa.</w:t>
            </w:r>
          </w:p>
          <w:p w:rsidR="008E5FA1" w:rsidRDefault="008E5FA1" w:rsidP="00C964BF">
            <w:pPr>
              <w:pStyle w:val="naisc"/>
              <w:spacing w:before="0" w:after="0"/>
              <w:jc w:val="both"/>
              <w:rPr>
                <w:sz w:val="22"/>
                <w:szCs w:val="22"/>
                <w:highlight w:val="yellow"/>
              </w:rPr>
            </w:pPr>
          </w:p>
        </w:tc>
        <w:tc>
          <w:tcPr>
            <w:tcW w:w="3669" w:type="dxa"/>
            <w:gridSpan w:val="2"/>
          </w:tcPr>
          <w:p w:rsidR="008E5FA1" w:rsidRDefault="008E5FA1" w:rsidP="007E09C2">
            <w:pPr>
              <w:jc w:val="both"/>
              <w:rPr>
                <w:sz w:val="22"/>
                <w:szCs w:val="22"/>
              </w:rPr>
            </w:pPr>
          </w:p>
        </w:tc>
      </w:tr>
      <w:tr w:rsidR="008D7E55" w:rsidRPr="00DB0F73" w:rsidTr="00074A78">
        <w:tc>
          <w:tcPr>
            <w:tcW w:w="993" w:type="dxa"/>
          </w:tcPr>
          <w:p w:rsidR="008D7E55" w:rsidRPr="00DB0F73" w:rsidRDefault="008D7E55" w:rsidP="007E09C2">
            <w:pPr>
              <w:pStyle w:val="naisc"/>
              <w:numPr>
                <w:ilvl w:val="0"/>
                <w:numId w:val="2"/>
              </w:numPr>
              <w:spacing w:before="0" w:after="0"/>
              <w:jc w:val="both"/>
              <w:rPr>
                <w:sz w:val="22"/>
                <w:szCs w:val="22"/>
              </w:rPr>
            </w:pPr>
          </w:p>
        </w:tc>
        <w:tc>
          <w:tcPr>
            <w:tcW w:w="3260" w:type="dxa"/>
          </w:tcPr>
          <w:p w:rsidR="008D7E55" w:rsidRDefault="008D7E55" w:rsidP="007E09C2">
            <w:pPr>
              <w:pStyle w:val="naisc"/>
              <w:spacing w:before="0" w:after="0"/>
              <w:ind w:firstLine="12"/>
              <w:jc w:val="both"/>
              <w:rPr>
                <w:b/>
                <w:sz w:val="22"/>
                <w:szCs w:val="22"/>
              </w:rPr>
            </w:pPr>
          </w:p>
        </w:tc>
        <w:tc>
          <w:tcPr>
            <w:tcW w:w="4046" w:type="dxa"/>
            <w:gridSpan w:val="2"/>
          </w:tcPr>
          <w:p w:rsidR="000E4E13" w:rsidRDefault="000E4E13" w:rsidP="000E4E13">
            <w:pPr>
              <w:pStyle w:val="NormalWeb"/>
              <w:shd w:val="clear" w:color="auto" w:fill="FFFFFF"/>
              <w:spacing w:before="0" w:beforeAutospacing="0" w:after="0" w:afterAutospacing="0"/>
              <w:rPr>
                <w:b/>
                <w:color w:val="222222"/>
              </w:rPr>
            </w:pPr>
            <w:r>
              <w:rPr>
                <w:b/>
                <w:color w:val="222222"/>
              </w:rPr>
              <w:t>Rektoru padome:</w:t>
            </w:r>
          </w:p>
          <w:p w:rsidR="009140FB" w:rsidRPr="000E4E13" w:rsidRDefault="009140FB" w:rsidP="000E4E13">
            <w:pPr>
              <w:pStyle w:val="NormalWeb"/>
              <w:shd w:val="clear" w:color="auto" w:fill="FFFFFF"/>
              <w:spacing w:before="0" w:beforeAutospacing="0" w:after="0" w:afterAutospacing="0"/>
              <w:rPr>
                <w:b/>
                <w:color w:val="222222"/>
              </w:rPr>
            </w:pPr>
            <w:r>
              <w:t>(</w:t>
            </w:r>
            <w:r w:rsidRPr="009140FB">
              <w:t>05.10.2020. Nr.1-12</w:t>
            </w:r>
            <w:r>
              <w:t>)</w:t>
            </w:r>
          </w:p>
          <w:p w:rsidR="008D7E55" w:rsidRPr="008D7E55" w:rsidRDefault="008D7E55" w:rsidP="0095631A">
            <w:pPr>
              <w:pStyle w:val="NormalWeb"/>
              <w:shd w:val="clear" w:color="auto" w:fill="FFFFFF"/>
              <w:spacing w:before="0" w:beforeAutospacing="0" w:after="0" w:afterAutospacing="0"/>
              <w:rPr>
                <w:color w:val="222222"/>
              </w:rPr>
            </w:pPr>
            <w:r w:rsidRPr="008D7E55">
              <w:rPr>
                <w:color w:val="222222"/>
              </w:rPr>
              <w:t>Vispārīgs komentārs – likumprojekta anotācijā uzsvērta reģistru loma (VIIS ietvaros izveidotais Ārvalstīs izsniegto izglītības dokumentu reģistrs; anotācijā minēta arī iespēja izmantot citu valstu diplomu reģistrus vai datu bāzes (daļēji pieejami vai autorizēti un/vai par maksu)). Šajā kontekstā, ņemot vērā augstskolu nelabvēlīgo pieredzi, izmantojot VIIS</w:t>
            </w:r>
            <w:r w:rsidRPr="00C964BF">
              <w:rPr>
                <w:color w:val="222222"/>
              </w:rPr>
              <w:t>, aicinām IZM pielikt visas pūles lai VIIS smagnējā darbība neietekmētu diplomatzīšanas procesu.</w:t>
            </w:r>
          </w:p>
        </w:tc>
        <w:tc>
          <w:tcPr>
            <w:tcW w:w="3500" w:type="dxa"/>
          </w:tcPr>
          <w:p w:rsidR="00D23E7D" w:rsidRPr="00C964BF" w:rsidRDefault="00D23E7D" w:rsidP="00D23E7D">
            <w:pPr>
              <w:pStyle w:val="naisc"/>
              <w:spacing w:before="0" w:after="0"/>
              <w:jc w:val="both"/>
              <w:rPr>
                <w:b/>
                <w:sz w:val="22"/>
                <w:szCs w:val="22"/>
              </w:rPr>
            </w:pPr>
            <w:r w:rsidRPr="00C964BF">
              <w:rPr>
                <w:b/>
                <w:sz w:val="22"/>
                <w:szCs w:val="22"/>
              </w:rPr>
              <w:t>S</w:t>
            </w:r>
            <w:r>
              <w:rPr>
                <w:b/>
                <w:sz w:val="22"/>
                <w:szCs w:val="22"/>
              </w:rPr>
              <w:t>niedzam skaidrojumu</w:t>
            </w:r>
            <w:r w:rsidRPr="00C964BF">
              <w:rPr>
                <w:b/>
                <w:sz w:val="22"/>
                <w:szCs w:val="22"/>
              </w:rPr>
              <w:t xml:space="preserve">: </w:t>
            </w:r>
          </w:p>
          <w:p w:rsidR="00D23E7D" w:rsidRDefault="00D23E7D" w:rsidP="00CD3717">
            <w:pPr>
              <w:pStyle w:val="naisc"/>
              <w:spacing w:before="0" w:after="0"/>
              <w:jc w:val="both"/>
              <w:rPr>
                <w:sz w:val="22"/>
                <w:szCs w:val="22"/>
              </w:rPr>
            </w:pPr>
          </w:p>
          <w:p w:rsidR="00C964BF" w:rsidRDefault="00D23E7D" w:rsidP="00D23E7D">
            <w:pPr>
              <w:pStyle w:val="naisc"/>
              <w:spacing w:before="0" w:after="0"/>
              <w:jc w:val="both"/>
              <w:rPr>
                <w:sz w:val="22"/>
                <w:szCs w:val="22"/>
              </w:rPr>
            </w:pPr>
            <w:r>
              <w:rPr>
                <w:sz w:val="22"/>
                <w:szCs w:val="22"/>
              </w:rPr>
              <w:t>Tā kā</w:t>
            </w:r>
            <w:r w:rsidR="00CD3717" w:rsidRPr="00CD3717">
              <w:rPr>
                <w:sz w:val="22"/>
                <w:szCs w:val="22"/>
              </w:rPr>
              <w:t xml:space="preserve"> komentārs ir </w:t>
            </w:r>
            <w:r>
              <w:rPr>
                <w:sz w:val="22"/>
                <w:szCs w:val="22"/>
              </w:rPr>
              <w:t xml:space="preserve">ļoti  </w:t>
            </w:r>
            <w:r w:rsidR="00CD3717" w:rsidRPr="00CD3717">
              <w:rPr>
                <w:sz w:val="22"/>
                <w:szCs w:val="22"/>
              </w:rPr>
              <w:t>vispārējs</w:t>
            </w:r>
            <w:r>
              <w:rPr>
                <w:sz w:val="22"/>
                <w:szCs w:val="22"/>
              </w:rPr>
              <w:t>, m</w:t>
            </w:r>
            <w:r w:rsidR="00C964BF">
              <w:rPr>
                <w:sz w:val="22"/>
                <w:szCs w:val="22"/>
              </w:rPr>
              <w:t>inistrija</w:t>
            </w:r>
            <w:r w:rsidR="00C03041">
              <w:rPr>
                <w:sz w:val="22"/>
                <w:szCs w:val="22"/>
              </w:rPr>
              <w:t xml:space="preserve"> piekrīt, ka VIIS ir smagnēja sistēma un</w:t>
            </w:r>
            <w:r w:rsidR="00C964BF">
              <w:rPr>
                <w:sz w:val="22"/>
                <w:szCs w:val="22"/>
              </w:rPr>
              <w:t xml:space="preserve"> </w:t>
            </w:r>
            <w:r>
              <w:rPr>
                <w:sz w:val="22"/>
                <w:szCs w:val="22"/>
              </w:rPr>
              <w:t>informē, ka tiek turpināts darbs</w:t>
            </w:r>
            <w:r w:rsidR="00C964BF">
              <w:rPr>
                <w:sz w:val="22"/>
                <w:szCs w:val="22"/>
              </w:rPr>
              <w:t xml:space="preserve"> pie VIIS uzlabo</w:t>
            </w:r>
            <w:r>
              <w:rPr>
                <w:sz w:val="22"/>
                <w:szCs w:val="22"/>
              </w:rPr>
              <w:t>šanas.</w:t>
            </w:r>
          </w:p>
          <w:p w:rsidR="008D7E55" w:rsidRPr="00DA0831" w:rsidRDefault="008D7E55" w:rsidP="00CD3717">
            <w:pPr>
              <w:pStyle w:val="naisc"/>
              <w:spacing w:before="0" w:after="0"/>
              <w:jc w:val="both"/>
              <w:rPr>
                <w:sz w:val="22"/>
                <w:szCs w:val="22"/>
                <w:highlight w:val="yellow"/>
              </w:rPr>
            </w:pPr>
          </w:p>
        </w:tc>
        <w:tc>
          <w:tcPr>
            <w:tcW w:w="3669" w:type="dxa"/>
            <w:gridSpan w:val="2"/>
          </w:tcPr>
          <w:p w:rsidR="008D7E55" w:rsidRPr="00F361DE" w:rsidRDefault="008D7E55" w:rsidP="007E09C2">
            <w:pPr>
              <w:jc w:val="both"/>
              <w:rPr>
                <w:sz w:val="22"/>
                <w:szCs w:val="22"/>
              </w:rPr>
            </w:pPr>
          </w:p>
        </w:tc>
      </w:tr>
      <w:tr w:rsidR="005A14DF" w:rsidRPr="00DB0F73" w:rsidTr="00074A78">
        <w:tc>
          <w:tcPr>
            <w:tcW w:w="993" w:type="dxa"/>
          </w:tcPr>
          <w:p w:rsidR="005A14DF" w:rsidRPr="00DB0F73" w:rsidRDefault="005A14DF" w:rsidP="007E09C2">
            <w:pPr>
              <w:pStyle w:val="naisc"/>
              <w:numPr>
                <w:ilvl w:val="0"/>
                <w:numId w:val="2"/>
              </w:numPr>
              <w:spacing w:before="0" w:after="0"/>
              <w:jc w:val="both"/>
              <w:rPr>
                <w:sz w:val="22"/>
                <w:szCs w:val="22"/>
              </w:rPr>
            </w:pPr>
          </w:p>
        </w:tc>
        <w:tc>
          <w:tcPr>
            <w:tcW w:w="3260" w:type="dxa"/>
          </w:tcPr>
          <w:p w:rsidR="005A14DF" w:rsidRDefault="005A14DF" w:rsidP="007E09C2">
            <w:pPr>
              <w:pStyle w:val="naisc"/>
              <w:spacing w:before="0" w:after="0"/>
              <w:ind w:firstLine="12"/>
              <w:jc w:val="both"/>
              <w:rPr>
                <w:b/>
                <w:sz w:val="22"/>
                <w:szCs w:val="22"/>
              </w:rPr>
            </w:pPr>
          </w:p>
        </w:tc>
        <w:tc>
          <w:tcPr>
            <w:tcW w:w="4046" w:type="dxa"/>
            <w:gridSpan w:val="2"/>
          </w:tcPr>
          <w:p w:rsidR="005A14DF" w:rsidRPr="000E4E13" w:rsidRDefault="005A14DF" w:rsidP="005A14DF">
            <w:pPr>
              <w:pStyle w:val="naisc"/>
              <w:ind w:firstLine="46"/>
              <w:jc w:val="both"/>
              <w:rPr>
                <w:b/>
              </w:rPr>
            </w:pPr>
            <w:r w:rsidRPr="000E4E13">
              <w:rPr>
                <w:b/>
              </w:rPr>
              <w:t>Rektoru padome:</w:t>
            </w:r>
          </w:p>
          <w:p w:rsidR="009140FB" w:rsidRPr="009140FB" w:rsidRDefault="009140FB" w:rsidP="005A14DF">
            <w:pPr>
              <w:pStyle w:val="naisc"/>
              <w:ind w:firstLine="46"/>
              <w:jc w:val="both"/>
            </w:pPr>
            <w:r>
              <w:t>(</w:t>
            </w:r>
            <w:r w:rsidRPr="009140FB">
              <w:t>05.10.2020. Nr.1-12</w:t>
            </w:r>
            <w:r>
              <w:t>)</w:t>
            </w:r>
          </w:p>
          <w:p w:rsidR="005A14DF" w:rsidRPr="006F3FB9" w:rsidRDefault="005A14DF" w:rsidP="005A14DF">
            <w:pPr>
              <w:pStyle w:val="naisc"/>
              <w:spacing w:after="0"/>
              <w:ind w:firstLine="46"/>
              <w:jc w:val="both"/>
            </w:pPr>
            <w:r w:rsidRPr="006F3FB9">
              <w:t>Vispārīgi izvērtējot likumprojektos piedāvātos risinājumus, tie vērtējami kā smagnēji, daudzus risināmos jautājumus “pārceļot” uz MK noteikumiem, kuros tiks regulēta:</w:t>
            </w:r>
          </w:p>
          <w:p w:rsidR="005A14DF" w:rsidRPr="006F3FB9" w:rsidRDefault="005A14DF" w:rsidP="005A14DF">
            <w:pPr>
              <w:pStyle w:val="naisc"/>
              <w:spacing w:after="0"/>
              <w:ind w:firstLine="46"/>
              <w:jc w:val="both"/>
            </w:pPr>
            <w:r w:rsidRPr="006F3FB9">
              <w:t>- kārtība, kādā augstskolās veic ekspertīzi un izsniedz izziņu par diplomiem un grādiem,</w:t>
            </w:r>
          </w:p>
          <w:p w:rsidR="005A14DF" w:rsidRPr="006F3FB9" w:rsidRDefault="005A14DF" w:rsidP="005A14DF">
            <w:pPr>
              <w:pStyle w:val="naisc"/>
              <w:spacing w:after="0"/>
              <w:ind w:firstLine="46"/>
              <w:jc w:val="both"/>
            </w:pPr>
            <w:r w:rsidRPr="006F3FB9">
              <w:t>- prasības augstskolām, kurām tiks deleģētas tiesības veikt ekspertīzi un izsniegt izziņu,</w:t>
            </w:r>
          </w:p>
          <w:p w:rsidR="005A14DF" w:rsidRDefault="005A14DF" w:rsidP="005A14DF">
            <w:pPr>
              <w:pStyle w:val="naisc"/>
              <w:spacing w:before="0" w:after="0"/>
              <w:ind w:firstLine="46"/>
              <w:jc w:val="both"/>
            </w:pPr>
            <w:r w:rsidRPr="006F3FB9">
              <w:lastRenderedPageBreak/>
              <w:t>- citu valstu (ne-ES, ne-EEZ) saraksts, kurās izdotos diplomus drīkstēs atzīt augstskolās.</w:t>
            </w:r>
          </w:p>
          <w:p w:rsidR="005A14DF" w:rsidRDefault="005A14DF" w:rsidP="005A14DF">
            <w:pPr>
              <w:pStyle w:val="naisc"/>
              <w:spacing w:before="0" w:after="0"/>
              <w:ind w:firstLine="46"/>
              <w:jc w:val="both"/>
            </w:pPr>
          </w:p>
          <w:p w:rsidR="005A14DF" w:rsidRPr="009A55D5" w:rsidRDefault="005A14DF" w:rsidP="005A14DF">
            <w:pPr>
              <w:pStyle w:val="NormalWeb"/>
              <w:shd w:val="clear" w:color="auto" w:fill="FFFFFF"/>
              <w:spacing w:before="0" w:beforeAutospacing="0" w:after="0" w:afterAutospacing="0"/>
              <w:rPr>
                <w:b/>
                <w:color w:val="222222"/>
              </w:rPr>
            </w:pPr>
            <w:r w:rsidRPr="009A55D5">
              <w:t>Plānots veikt grozījumus vairākos spēkā esošajos MK noteikumos – par VIIS, par uzņemšanu uc. Projektā vai anotācijā nav sīkākas informācijas par gaidāmajām prasībām augstskolām, kurām tiks ļauts atzīt diplomus. Anotācijā norādītā informācija ir pārāk vispārīga un plaša – diplomus būšot tiesīgas atzīt augstskolas, kurām ir “ilggadīga pieredze darbā ar ārvalstu studentiem, atbildīga studentu atlase, kā arī ir atbilstoša kapacitāte”. Aicinām izvērtēt iespējas vienkāršot iecerēto smagnējo mehānismu, piemēram, kārtību un prasības nosakot likumā.</w:t>
            </w:r>
          </w:p>
        </w:tc>
        <w:tc>
          <w:tcPr>
            <w:tcW w:w="3500" w:type="dxa"/>
          </w:tcPr>
          <w:p w:rsidR="00D23E7D" w:rsidRPr="00C964BF" w:rsidRDefault="00D23E7D" w:rsidP="00D23E7D">
            <w:pPr>
              <w:pStyle w:val="naisc"/>
              <w:spacing w:before="0" w:after="0"/>
              <w:jc w:val="both"/>
              <w:rPr>
                <w:b/>
                <w:sz w:val="22"/>
                <w:szCs w:val="22"/>
              </w:rPr>
            </w:pPr>
            <w:r w:rsidRPr="00C964BF">
              <w:rPr>
                <w:b/>
                <w:sz w:val="22"/>
                <w:szCs w:val="22"/>
              </w:rPr>
              <w:lastRenderedPageBreak/>
              <w:t>S</w:t>
            </w:r>
            <w:r>
              <w:rPr>
                <w:b/>
                <w:sz w:val="22"/>
                <w:szCs w:val="22"/>
              </w:rPr>
              <w:t>niedzam skaidrojumu</w:t>
            </w:r>
            <w:r w:rsidRPr="00C964BF">
              <w:rPr>
                <w:b/>
                <w:sz w:val="22"/>
                <w:szCs w:val="22"/>
              </w:rPr>
              <w:t xml:space="preserve">: </w:t>
            </w:r>
          </w:p>
          <w:p w:rsidR="005A14DF" w:rsidRPr="00D23E7D" w:rsidRDefault="005A14DF" w:rsidP="005A14DF">
            <w:pPr>
              <w:pStyle w:val="naisc"/>
              <w:spacing w:before="0" w:after="0"/>
              <w:jc w:val="both"/>
              <w:rPr>
                <w:shd w:val="clear" w:color="auto" w:fill="FFFFFF"/>
              </w:rPr>
            </w:pPr>
            <w:r w:rsidRPr="00D23E7D">
              <w:t xml:space="preserve">Vēlamies Rektoru padomei </w:t>
            </w:r>
            <w:r w:rsidR="00D23E7D" w:rsidRPr="00D23E7D">
              <w:t xml:space="preserve">turpmāk </w:t>
            </w:r>
            <w:r w:rsidRPr="00D23E7D">
              <w:t>lūgt, rakstot iebildumu, ņemt vērā, ka Ministru kabineta Kārtības ruļļa 94.1.apa</w:t>
            </w:r>
            <w:r w:rsidR="00D23E7D" w:rsidRPr="00D23E7D">
              <w:t>k</w:t>
            </w:r>
            <w:r w:rsidRPr="00D23E7D">
              <w:t>špunkts paredz, ka atzinumā ministrija vai cita institūcija atbilstoši normatīvajos aktos noteiktajai kompetencei izsaka iebildumus, tos attiecīgi pamatojot vai paskaidrojot, par kuriem saskaņošanas gaitā jāpanāk vienošanās.</w:t>
            </w:r>
            <w:r w:rsidR="00D23E7D">
              <w:rPr>
                <w:i/>
              </w:rPr>
              <w:t xml:space="preserve"> </w:t>
            </w:r>
            <w:r w:rsidRPr="00D23E7D">
              <w:t xml:space="preserve">Turpat </w:t>
            </w:r>
            <w:r w:rsidRPr="00D23E7D">
              <w:rPr>
                <w:shd w:val="clear" w:color="auto" w:fill="FFFFFF"/>
              </w:rPr>
              <w:t xml:space="preserve">95.punkts paredz, ka, ja ministrija vai cita </w:t>
            </w:r>
            <w:r w:rsidRPr="00D23E7D">
              <w:rPr>
                <w:shd w:val="clear" w:color="auto" w:fill="FFFFFF"/>
              </w:rPr>
              <w:lastRenderedPageBreak/>
              <w:t xml:space="preserve">institūcija atzinumu nav atbilstoši strukturējusi, </w:t>
            </w:r>
            <w:r w:rsidRPr="00D23E7D">
              <w:rPr>
                <w:b/>
                <w:shd w:val="clear" w:color="auto" w:fill="FFFFFF"/>
              </w:rPr>
              <w:t>tam kopumā ir ieteikuma raksturs</w:t>
            </w:r>
            <w:r w:rsidRPr="00D23E7D">
              <w:rPr>
                <w:shd w:val="clear" w:color="auto" w:fill="FFFFFF"/>
              </w:rPr>
              <w:t>.</w:t>
            </w:r>
          </w:p>
          <w:p w:rsidR="005A14DF" w:rsidRPr="00CD3717" w:rsidRDefault="00D23E7D" w:rsidP="00C03041">
            <w:pPr>
              <w:pStyle w:val="naisc"/>
              <w:spacing w:before="0" w:after="0"/>
              <w:jc w:val="both"/>
              <w:rPr>
                <w:sz w:val="22"/>
                <w:szCs w:val="22"/>
              </w:rPr>
            </w:pPr>
            <w:r w:rsidRPr="00D23E7D">
              <w:rPr>
                <w:shd w:val="clear" w:color="auto" w:fill="FFFFFF"/>
              </w:rPr>
              <w:t>Tādējādi ir būtiski</w:t>
            </w:r>
            <w:r w:rsidR="005A14DF" w:rsidRPr="00D23E7D">
              <w:rPr>
                <w:shd w:val="clear" w:color="auto" w:fill="FFFFFF"/>
              </w:rPr>
              <w:t xml:space="preserve">, lai IZM varētu skaidri strādāt ar konstruktīviem iebildumiem un rast abpusēji </w:t>
            </w:r>
            <w:r w:rsidR="00C03041">
              <w:rPr>
                <w:shd w:val="clear" w:color="auto" w:fill="FFFFFF"/>
              </w:rPr>
              <w:t>no</w:t>
            </w:r>
            <w:r w:rsidR="005A14DF" w:rsidRPr="00D23E7D">
              <w:rPr>
                <w:shd w:val="clear" w:color="auto" w:fill="FFFFFF"/>
              </w:rPr>
              <w:t>derīgu risinājumu vai panākt kompromisu</w:t>
            </w:r>
            <w:r>
              <w:rPr>
                <w:shd w:val="clear" w:color="auto" w:fill="FFFFFF"/>
              </w:rPr>
              <w:t>.</w:t>
            </w:r>
          </w:p>
        </w:tc>
        <w:tc>
          <w:tcPr>
            <w:tcW w:w="3669" w:type="dxa"/>
            <w:gridSpan w:val="2"/>
          </w:tcPr>
          <w:p w:rsidR="005A14DF" w:rsidRPr="00F361DE" w:rsidRDefault="005A14DF" w:rsidP="007E09C2">
            <w:pPr>
              <w:jc w:val="both"/>
              <w:rPr>
                <w:sz w:val="22"/>
                <w:szCs w:val="22"/>
              </w:rPr>
            </w:pPr>
          </w:p>
        </w:tc>
      </w:tr>
      <w:tr w:rsidR="00474236" w:rsidRPr="00DB0F73" w:rsidTr="00074A78">
        <w:tc>
          <w:tcPr>
            <w:tcW w:w="993" w:type="dxa"/>
          </w:tcPr>
          <w:p w:rsidR="00474236" w:rsidRPr="00DB0F73" w:rsidRDefault="00474236" w:rsidP="007E09C2">
            <w:pPr>
              <w:pStyle w:val="naisc"/>
              <w:numPr>
                <w:ilvl w:val="0"/>
                <w:numId w:val="2"/>
              </w:numPr>
              <w:spacing w:before="0" w:after="0"/>
              <w:jc w:val="both"/>
              <w:rPr>
                <w:sz w:val="22"/>
                <w:szCs w:val="22"/>
              </w:rPr>
            </w:pPr>
          </w:p>
        </w:tc>
        <w:tc>
          <w:tcPr>
            <w:tcW w:w="3260" w:type="dxa"/>
          </w:tcPr>
          <w:p w:rsidR="00474236" w:rsidRDefault="00474236" w:rsidP="007E09C2">
            <w:pPr>
              <w:pStyle w:val="naisc"/>
              <w:spacing w:before="0" w:after="0"/>
              <w:ind w:firstLine="12"/>
              <w:jc w:val="both"/>
              <w:rPr>
                <w:b/>
                <w:sz w:val="22"/>
                <w:szCs w:val="22"/>
              </w:rPr>
            </w:pPr>
          </w:p>
        </w:tc>
        <w:tc>
          <w:tcPr>
            <w:tcW w:w="4046" w:type="dxa"/>
            <w:gridSpan w:val="2"/>
          </w:tcPr>
          <w:p w:rsidR="00474236" w:rsidRPr="00474236" w:rsidRDefault="00474236" w:rsidP="00474236">
            <w:pPr>
              <w:pStyle w:val="NormalWeb"/>
              <w:shd w:val="clear" w:color="auto" w:fill="FFFFFF"/>
              <w:spacing w:before="0" w:beforeAutospacing="0" w:after="0" w:afterAutospacing="0"/>
              <w:rPr>
                <w:b/>
                <w:color w:val="222222"/>
              </w:rPr>
            </w:pPr>
            <w:r w:rsidRPr="00474236">
              <w:rPr>
                <w:b/>
                <w:color w:val="222222"/>
              </w:rPr>
              <w:t>Veselības ministrijas:</w:t>
            </w:r>
          </w:p>
          <w:p w:rsidR="00200DBF" w:rsidRPr="00200DBF" w:rsidRDefault="00200DBF" w:rsidP="00200DBF">
            <w:pPr>
              <w:pStyle w:val="NormalWeb"/>
              <w:shd w:val="clear" w:color="auto" w:fill="FFFFFF"/>
              <w:spacing w:before="0" w:beforeAutospacing="0" w:after="0" w:afterAutospacing="0"/>
              <w:rPr>
                <w:color w:val="222222"/>
              </w:rPr>
            </w:pPr>
            <w:r>
              <w:rPr>
                <w:color w:val="222222"/>
              </w:rPr>
              <w:t>(</w:t>
            </w:r>
            <w:r w:rsidRPr="00200DBF">
              <w:rPr>
                <w:color w:val="222222"/>
              </w:rPr>
              <w:t>04.10.2020. Nr.01-09/4999</w:t>
            </w:r>
            <w:r>
              <w:rPr>
                <w:color w:val="222222"/>
              </w:rPr>
              <w:t>)</w:t>
            </w:r>
          </w:p>
          <w:p w:rsidR="00474236" w:rsidRPr="001F7358" w:rsidRDefault="00474236" w:rsidP="00474236">
            <w:pPr>
              <w:pStyle w:val="NormalWeb"/>
              <w:shd w:val="clear" w:color="auto" w:fill="FFFFFF"/>
              <w:spacing w:before="0" w:beforeAutospacing="0" w:after="0" w:afterAutospacing="0"/>
              <w:rPr>
                <w:color w:val="222222"/>
              </w:rPr>
            </w:pPr>
            <w:r w:rsidRPr="00E12E52">
              <w:rPr>
                <w:color w:val="222222"/>
              </w:rPr>
              <w:t>Rīgas Stradiņa universitāte ( turpmāk – RSU) aicina izvērtēt iespēju paredzēt, ka  valstu sarakstā tiek iekļautas valstis, ar kurām noteikts bezvīzu režīms – RSU būtu īpaši aktuālas tādas valstis kā Izraēla, Taivāna, Šrilanka, Kanāda, Jaunzēlande, Gruzija, Ukraina un ASV</w:t>
            </w:r>
          </w:p>
          <w:p w:rsidR="00474236" w:rsidRPr="0095631A" w:rsidRDefault="00474236" w:rsidP="008D7E55">
            <w:pPr>
              <w:pStyle w:val="NormalWeb"/>
              <w:shd w:val="clear" w:color="auto" w:fill="FFFFFF"/>
              <w:spacing w:before="0" w:beforeAutospacing="0" w:after="0" w:afterAutospacing="0"/>
              <w:rPr>
                <w:b/>
                <w:color w:val="222222"/>
              </w:rPr>
            </w:pPr>
          </w:p>
        </w:tc>
        <w:tc>
          <w:tcPr>
            <w:tcW w:w="3500" w:type="dxa"/>
          </w:tcPr>
          <w:p w:rsidR="00C93310" w:rsidRPr="00C93310" w:rsidRDefault="00C93310" w:rsidP="008D7E55">
            <w:pPr>
              <w:pStyle w:val="naisc"/>
              <w:spacing w:before="0" w:after="0"/>
              <w:jc w:val="both"/>
              <w:rPr>
                <w:b/>
                <w:sz w:val="22"/>
                <w:szCs w:val="22"/>
              </w:rPr>
            </w:pPr>
            <w:r w:rsidRPr="00C93310">
              <w:rPr>
                <w:b/>
                <w:sz w:val="22"/>
                <w:szCs w:val="22"/>
              </w:rPr>
              <w:t>Skaidrojums.</w:t>
            </w:r>
          </w:p>
          <w:p w:rsidR="00474236" w:rsidRPr="00C93310" w:rsidRDefault="00685593" w:rsidP="008D7E55">
            <w:pPr>
              <w:pStyle w:val="naisc"/>
              <w:spacing w:before="0" w:after="0"/>
              <w:jc w:val="both"/>
              <w:rPr>
                <w:sz w:val="22"/>
                <w:szCs w:val="22"/>
              </w:rPr>
            </w:pPr>
            <w:r w:rsidRPr="00C93310">
              <w:rPr>
                <w:sz w:val="22"/>
                <w:szCs w:val="22"/>
              </w:rPr>
              <w:t>Lai a</w:t>
            </w:r>
            <w:r w:rsidR="000E4E13">
              <w:rPr>
                <w:sz w:val="22"/>
                <w:szCs w:val="22"/>
              </w:rPr>
              <w:t>rī šeit caur Veselības ministriju</w:t>
            </w:r>
            <w:r w:rsidRPr="00C93310">
              <w:rPr>
                <w:sz w:val="22"/>
                <w:szCs w:val="22"/>
              </w:rPr>
              <w:t xml:space="preserve"> pausts vienas augstskolas viedokli</w:t>
            </w:r>
            <w:r w:rsidR="00C93310">
              <w:rPr>
                <w:sz w:val="22"/>
                <w:szCs w:val="22"/>
              </w:rPr>
              <w:t>s</w:t>
            </w:r>
            <w:r w:rsidRPr="00C93310">
              <w:rPr>
                <w:sz w:val="22"/>
                <w:szCs w:val="22"/>
              </w:rPr>
              <w:t xml:space="preserve">, skaidrojam, ka </w:t>
            </w:r>
            <w:r w:rsidR="00C93310" w:rsidRPr="00C93310">
              <w:rPr>
                <w:sz w:val="22"/>
                <w:szCs w:val="22"/>
              </w:rPr>
              <w:t xml:space="preserve">šis priekšlikums ir atsevišķi izvērtējams. Nevarētu skatīt šo jautājumu </w:t>
            </w:r>
            <w:r w:rsidR="00BC0F91">
              <w:rPr>
                <w:sz w:val="22"/>
                <w:szCs w:val="22"/>
              </w:rPr>
              <w:t xml:space="preserve">tikai </w:t>
            </w:r>
            <w:r w:rsidR="00C93310" w:rsidRPr="00C93310">
              <w:rPr>
                <w:sz w:val="22"/>
                <w:szCs w:val="22"/>
              </w:rPr>
              <w:t xml:space="preserve">no bezvīzu režīma viedokļa, kāds ir piešķirts tūrismam un īslaicīgai uzturēšanās līdz 3 mēnešiem, bez tam, visas no minētajām valstīm neietilps šajā grupā (Šrilanka). </w:t>
            </w:r>
          </w:p>
          <w:p w:rsidR="00C93310" w:rsidRPr="00DA0831" w:rsidRDefault="000E4E13" w:rsidP="000E4E13">
            <w:pPr>
              <w:pStyle w:val="naisc"/>
              <w:spacing w:before="0" w:after="0"/>
              <w:jc w:val="both"/>
              <w:rPr>
                <w:sz w:val="22"/>
                <w:szCs w:val="22"/>
                <w:highlight w:val="yellow"/>
              </w:rPr>
            </w:pPr>
            <w:r>
              <w:rPr>
                <w:sz w:val="22"/>
                <w:szCs w:val="22"/>
              </w:rPr>
              <w:t>Ministrija</w:t>
            </w:r>
            <w:r w:rsidR="00C93310" w:rsidRPr="00C93310">
              <w:rPr>
                <w:sz w:val="22"/>
                <w:szCs w:val="22"/>
              </w:rPr>
              <w:t xml:space="preserve"> </w:t>
            </w:r>
            <w:r w:rsidR="00C93310">
              <w:rPr>
                <w:sz w:val="22"/>
                <w:szCs w:val="22"/>
              </w:rPr>
              <w:t>šajā</w:t>
            </w:r>
            <w:r w:rsidR="00BC0F91">
              <w:rPr>
                <w:sz w:val="22"/>
                <w:szCs w:val="22"/>
              </w:rPr>
              <w:t xml:space="preserve"> stadijā</w:t>
            </w:r>
            <w:r w:rsidR="00C93310">
              <w:rPr>
                <w:sz w:val="22"/>
                <w:szCs w:val="22"/>
              </w:rPr>
              <w:t xml:space="preserve"> </w:t>
            </w:r>
            <w:r w:rsidR="00C93310" w:rsidRPr="00C93310">
              <w:rPr>
                <w:sz w:val="22"/>
                <w:szCs w:val="22"/>
              </w:rPr>
              <w:t>neplāno iekļaut noteiktas valstis likumprojektos</w:t>
            </w:r>
            <w:r>
              <w:rPr>
                <w:sz w:val="22"/>
                <w:szCs w:val="22"/>
              </w:rPr>
              <w:t>, bet vēlāk,</w:t>
            </w:r>
            <w:r w:rsidR="00BC0F91">
              <w:rPr>
                <w:sz w:val="22"/>
                <w:szCs w:val="22"/>
              </w:rPr>
              <w:t xml:space="preserve"> MK</w:t>
            </w:r>
            <w:r>
              <w:rPr>
                <w:sz w:val="22"/>
                <w:szCs w:val="22"/>
              </w:rPr>
              <w:t xml:space="preserve"> noteikumu</w:t>
            </w:r>
            <w:r w:rsidR="00BC0F91">
              <w:rPr>
                <w:sz w:val="22"/>
                <w:szCs w:val="22"/>
              </w:rPr>
              <w:t xml:space="preserve"> izstrādes posmā valstu saraksts tiks sastādīts no dažādiem aspektiem kopā ar </w:t>
            </w:r>
            <w:r w:rsidR="00BC0F91">
              <w:rPr>
                <w:sz w:val="22"/>
                <w:szCs w:val="22"/>
              </w:rPr>
              <w:lastRenderedPageBreak/>
              <w:t>Ā</w:t>
            </w:r>
            <w:r>
              <w:rPr>
                <w:sz w:val="22"/>
                <w:szCs w:val="22"/>
              </w:rPr>
              <w:t xml:space="preserve">rlietu un Iekšlietu ministriju un </w:t>
            </w:r>
            <w:r w:rsidR="00BC0F91">
              <w:rPr>
                <w:sz w:val="22"/>
                <w:szCs w:val="22"/>
              </w:rPr>
              <w:t>augstskolām</w:t>
            </w:r>
            <w:r w:rsidR="00C93310" w:rsidRPr="00C93310">
              <w:rPr>
                <w:sz w:val="22"/>
                <w:szCs w:val="22"/>
              </w:rPr>
              <w:t>.</w:t>
            </w:r>
          </w:p>
        </w:tc>
        <w:tc>
          <w:tcPr>
            <w:tcW w:w="3669" w:type="dxa"/>
            <w:gridSpan w:val="2"/>
          </w:tcPr>
          <w:p w:rsidR="00474236" w:rsidRPr="00F361DE" w:rsidRDefault="00474236" w:rsidP="007E09C2">
            <w:pPr>
              <w:jc w:val="both"/>
              <w:rPr>
                <w:sz w:val="22"/>
                <w:szCs w:val="22"/>
              </w:rPr>
            </w:pPr>
          </w:p>
        </w:tc>
      </w:tr>
      <w:tr w:rsidR="004865C4" w:rsidRPr="00DB0F73" w:rsidTr="00074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Pr>
        <w:tc>
          <w:tcPr>
            <w:tcW w:w="5274" w:type="dxa"/>
            <w:gridSpan w:val="3"/>
          </w:tcPr>
          <w:p w:rsidR="004865C4" w:rsidRPr="00CD3717" w:rsidRDefault="004865C4" w:rsidP="007E09C2">
            <w:pPr>
              <w:pStyle w:val="naiskr"/>
              <w:spacing w:before="0" w:after="0"/>
              <w:ind w:firstLine="720"/>
              <w:rPr>
                <w:b/>
                <w:sz w:val="22"/>
                <w:szCs w:val="22"/>
              </w:rPr>
            </w:pPr>
          </w:p>
          <w:p w:rsidR="004865C4" w:rsidRPr="00CD3717" w:rsidRDefault="004865C4" w:rsidP="007E09C2">
            <w:pPr>
              <w:pStyle w:val="naiskr"/>
              <w:spacing w:before="0" w:after="0"/>
              <w:ind w:firstLine="720"/>
              <w:rPr>
                <w:b/>
                <w:sz w:val="22"/>
                <w:szCs w:val="22"/>
              </w:rPr>
            </w:pPr>
          </w:p>
          <w:p w:rsidR="003D0700" w:rsidRPr="005735EF" w:rsidRDefault="003D0700" w:rsidP="003D0700">
            <w:pPr>
              <w:pStyle w:val="naisf"/>
              <w:spacing w:before="0" w:after="0"/>
              <w:ind w:firstLine="0"/>
            </w:pPr>
            <w:r>
              <w:t>Daiga Ivsiņa</w:t>
            </w:r>
          </w:p>
          <w:tbl>
            <w:tblPr>
              <w:tblW w:w="0" w:type="auto"/>
              <w:tblLayout w:type="fixed"/>
              <w:tblLook w:val="00A0" w:firstRow="1" w:lastRow="0" w:firstColumn="1" w:lastColumn="0" w:noHBand="0" w:noVBand="0"/>
            </w:tblPr>
            <w:tblGrid>
              <w:gridCol w:w="8268"/>
            </w:tblGrid>
            <w:tr w:rsidR="003D0700" w:rsidRPr="005735EF" w:rsidTr="00111F2A">
              <w:tc>
                <w:tcPr>
                  <w:tcW w:w="8268" w:type="dxa"/>
                  <w:tcBorders>
                    <w:top w:val="single" w:sz="4" w:space="0" w:color="000000"/>
                  </w:tcBorders>
                </w:tcPr>
                <w:p w:rsidR="003D0700" w:rsidRPr="005735EF" w:rsidRDefault="003D0700" w:rsidP="003D0700">
                  <w:pPr>
                    <w:jc w:val="center"/>
                  </w:pPr>
                  <w:r w:rsidRPr="005735EF">
                    <w:t>(par projektu atbildīgās amatpersonas vārds un uzvārds)</w:t>
                  </w:r>
                </w:p>
              </w:tc>
            </w:tr>
            <w:tr w:rsidR="003D0700" w:rsidRPr="005735EF" w:rsidTr="00111F2A">
              <w:tc>
                <w:tcPr>
                  <w:tcW w:w="8268" w:type="dxa"/>
                  <w:tcBorders>
                    <w:bottom w:val="single" w:sz="4" w:space="0" w:color="000000"/>
                  </w:tcBorders>
                </w:tcPr>
                <w:p w:rsidR="003D0700" w:rsidRPr="005735EF" w:rsidRDefault="003D0700" w:rsidP="003D0700">
                  <w:r>
                    <w:t>vec.eksperte</w:t>
                  </w:r>
                </w:p>
              </w:tc>
            </w:tr>
            <w:tr w:rsidR="003D0700" w:rsidRPr="005735EF" w:rsidTr="00111F2A">
              <w:tc>
                <w:tcPr>
                  <w:tcW w:w="8268" w:type="dxa"/>
                  <w:tcBorders>
                    <w:top w:val="single" w:sz="4" w:space="0" w:color="000000"/>
                  </w:tcBorders>
                </w:tcPr>
                <w:p w:rsidR="003D0700" w:rsidRPr="005735EF" w:rsidRDefault="003D0700" w:rsidP="003D0700">
                  <w:pPr>
                    <w:jc w:val="center"/>
                  </w:pPr>
                  <w:r w:rsidRPr="005735EF">
                    <w:t>(amats)</w:t>
                  </w:r>
                </w:p>
              </w:tc>
            </w:tr>
            <w:tr w:rsidR="003D0700" w:rsidRPr="005735EF" w:rsidTr="00111F2A">
              <w:tc>
                <w:tcPr>
                  <w:tcW w:w="8268" w:type="dxa"/>
                  <w:tcBorders>
                    <w:bottom w:val="single" w:sz="4" w:space="0" w:color="000000"/>
                  </w:tcBorders>
                </w:tcPr>
                <w:p w:rsidR="003D0700" w:rsidRPr="005735EF" w:rsidRDefault="003D0700" w:rsidP="003D0700">
                  <w:r>
                    <w:t>67047874</w:t>
                  </w:r>
                </w:p>
              </w:tc>
            </w:tr>
            <w:tr w:rsidR="003D0700" w:rsidRPr="005735EF" w:rsidTr="00111F2A">
              <w:tc>
                <w:tcPr>
                  <w:tcW w:w="8268" w:type="dxa"/>
                  <w:tcBorders>
                    <w:top w:val="single" w:sz="4" w:space="0" w:color="000000"/>
                  </w:tcBorders>
                </w:tcPr>
                <w:p w:rsidR="003D0700" w:rsidRPr="005735EF" w:rsidRDefault="003D0700" w:rsidP="003D0700">
                  <w:pPr>
                    <w:jc w:val="center"/>
                  </w:pPr>
                  <w:r w:rsidRPr="005735EF">
                    <w:t>(tālruņa un faksa numurs)</w:t>
                  </w:r>
                </w:p>
              </w:tc>
            </w:tr>
            <w:tr w:rsidR="003D0700" w:rsidRPr="005735EF" w:rsidTr="00111F2A">
              <w:tc>
                <w:tcPr>
                  <w:tcW w:w="8268" w:type="dxa"/>
                  <w:tcBorders>
                    <w:bottom w:val="single" w:sz="4" w:space="0" w:color="000000"/>
                  </w:tcBorders>
                </w:tcPr>
                <w:p w:rsidR="003D0700" w:rsidRPr="005735EF" w:rsidRDefault="003D0700" w:rsidP="003D0700">
                  <w:r>
                    <w:t>Daiga.Ivsina@izm.gov.lv</w:t>
                  </w:r>
                </w:p>
              </w:tc>
            </w:tr>
            <w:tr w:rsidR="003D0700" w:rsidRPr="005735EF" w:rsidTr="00111F2A">
              <w:tc>
                <w:tcPr>
                  <w:tcW w:w="8268" w:type="dxa"/>
                  <w:tcBorders>
                    <w:top w:val="single" w:sz="4" w:space="0" w:color="000000"/>
                  </w:tcBorders>
                </w:tcPr>
                <w:p w:rsidR="003D0700" w:rsidRPr="005735EF" w:rsidRDefault="003D0700" w:rsidP="003D0700">
                  <w:pPr>
                    <w:jc w:val="center"/>
                  </w:pPr>
                  <w:r w:rsidRPr="005735EF">
                    <w:t>(e-pasta adrese)</w:t>
                  </w:r>
                </w:p>
              </w:tc>
            </w:tr>
          </w:tbl>
          <w:p w:rsidR="00852413" w:rsidRPr="00CD3717" w:rsidRDefault="00852413" w:rsidP="00CD3717">
            <w:pPr>
              <w:pStyle w:val="naiskr"/>
              <w:spacing w:before="0" w:after="0"/>
              <w:rPr>
                <w:b/>
                <w:i/>
                <w:color w:val="4472C4" w:themeColor="accent5"/>
                <w:sz w:val="22"/>
                <w:szCs w:val="22"/>
              </w:rPr>
            </w:pPr>
          </w:p>
          <w:p w:rsidR="004865C4" w:rsidRPr="00CD3717" w:rsidRDefault="004865C4" w:rsidP="00F5376D">
            <w:pPr>
              <w:pStyle w:val="naiskr"/>
              <w:spacing w:before="0" w:after="0"/>
              <w:ind w:right="601" w:firstLine="720"/>
              <w:rPr>
                <w:b/>
                <w:sz w:val="22"/>
                <w:szCs w:val="22"/>
              </w:rPr>
            </w:pPr>
          </w:p>
        </w:tc>
        <w:tc>
          <w:tcPr>
            <w:tcW w:w="9910" w:type="dxa"/>
            <w:gridSpan w:val="3"/>
            <w:tcBorders>
              <w:top w:val="single" w:sz="6" w:space="0" w:color="000000"/>
            </w:tcBorders>
          </w:tcPr>
          <w:p w:rsidR="004865C4" w:rsidRPr="00CD3717" w:rsidRDefault="004865C4" w:rsidP="003D0700">
            <w:pPr>
              <w:pStyle w:val="naisc"/>
              <w:spacing w:before="0" w:after="0"/>
              <w:ind w:left="1735" w:firstLine="720"/>
              <w:rPr>
                <w:b/>
                <w:sz w:val="22"/>
                <w:szCs w:val="22"/>
              </w:rPr>
            </w:pPr>
          </w:p>
        </w:tc>
      </w:tr>
    </w:tbl>
    <w:p w:rsidR="001411B7" w:rsidRDefault="001411B7" w:rsidP="009A55D5"/>
    <w:sectPr w:rsidR="001411B7" w:rsidSect="007E09C2">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DB" w:rsidRDefault="00E826DB">
      <w:r>
        <w:separator/>
      </w:r>
    </w:p>
  </w:endnote>
  <w:endnote w:type="continuationSeparator" w:id="0">
    <w:p w:rsidR="00E826DB" w:rsidRDefault="00E8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73" w:rsidRDefault="00F55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78" w:rsidRPr="00BF4305" w:rsidRDefault="00074A78" w:rsidP="007E09C2">
    <w:pPr>
      <w:pStyle w:val="Footer"/>
      <w:rPr>
        <w:szCs w:val="16"/>
      </w:rPr>
    </w:pPr>
    <w:r w:rsidRPr="00032C26">
      <w:rPr>
        <w:sz w:val="20"/>
        <w:szCs w:val="20"/>
      </w:rPr>
      <w:t>IZMizz_</w:t>
    </w:r>
    <w:r w:rsidR="00F55073">
      <w:rPr>
        <w:sz w:val="20"/>
        <w:szCs w:val="20"/>
      </w:rPr>
      <w:t>0403</w:t>
    </w:r>
    <w:r w:rsidR="001D3C25">
      <w:rPr>
        <w:sz w:val="20"/>
        <w:szCs w:val="20"/>
      </w:rPr>
      <w:t>21_VSS-771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78" w:rsidRPr="00CE0B7A" w:rsidRDefault="00074A78" w:rsidP="007E09C2">
    <w:pPr>
      <w:pStyle w:val="Footer"/>
      <w:rPr>
        <w:szCs w:val="16"/>
      </w:rPr>
    </w:pPr>
    <w:r>
      <w:rPr>
        <w:sz w:val="16"/>
        <w:szCs w:val="16"/>
      </w:rPr>
      <w:t xml:space="preserve">IZMizz_121212_LVAnolik ; </w:t>
    </w:r>
    <w:smartTag w:uri="schemas-tilde-lv/tildestengine" w:element="veidnes">
      <w:smartTagPr>
        <w:attr w:name="text" w:val="Izziņa"/>
        <w:attr w:name="baseform" w:val="Izziņa"/>
        <w:attr w:name="id" w:val="-1"/>
      </w:smartTagPr>
      <w:r w:rsidRPr="003E7956">
        <w:rPr>
          <w:sz w:val="16"/>
          <w:szCs w:val="16"/>
        </w:rPr>
        <w:t>Izziņa</w:t>
      </w:r>
    </w:smartTag>
    <w:r w:rsidRPr="003E7956">
      <w:rPr>
        <w:sz w:val="16"/>
        <w:szCs w:val="16"/>
      </w:rPr>
      <w:t xml:space="preserve"> par atzinumos sniegtajiem iebildumiem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DB" w:rsidRDefault="00E826DB">
      <w:r>
        <w:separator/>
      </w:r>
    </w:p>
  </w:footnote>
  <w:footnote w:type="continuationSeparator" w:id="0">
    <w:p w:rsidR="00E826DB" w:rsidRDefault="00E826DB">
      <w:r>
        <w:continuationSeparator/>
      </w:r>
    </w:p>
  </w:footnote>
  <w:footnote w:id="1">
    <w:p w:rsidR="00074A78" w:rsidRPr="001F7358" w:rsidRDefault="00074A78" w:rsidP="005A14DF">
      <w:pPr>
        <w:pStyle w:val="FootnoteText"/>
        <w:rPr>
          <w:rFonts w:ascii="Times New Roman" w:hAnsi="Times New Roman" w:cs="Times New Roman"/>
        </w:rPr>
      </w:pPr>
      <w:r w:rsidRPr="001F7358">
        <w:rPr>
          <w:rStyle w:val="FootnoteReference"/>
          <w:rFonts w:ascii="Times New Roman" w:hAnsi="Times New Roman" w:cs="Times New Roman"/>
        </w:rPr>
        <w:footnoteRef/>
      </w:r>
      <w:r w:rsidRPr="001F7358">
        <w:rPr>
          <w:rFonts w:ascii="Times New Roman" w:hAnsi="Times New Roman" w:cs="Times New Roman"/>
        </w:rPr>
        <w:t xml:space="preserve"> “</w:t>
      </w:r>
      <w:r w:rsidRPr="001F7358">
        <w:rPr>
          <w:rFonts w:ascii="Times New Roman" w:hAnsi="Times New Roman" w:cs="Times New Roman"/>
          <w:shd w:val="clear" w:color="auto" w:fill="FFFFFF"/>
        </w:rPr>
        <w:t>Būtisks aspekts ir diploma autentiskuma pārbaude, un pēdējo gadu diplomi daudzās valstīs ir pārbaudāmi elektroniski pieejamos reģistros vai datu bāzēs (daļēji pieejami vai autorizēti un/vai par maksu), kas būtiski paātrina diplomatzīšanas laiku.</w:t>
      </w:r>
      <w:r w:rsidRPr="001F7358">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78" w:rsidRDefault="00074A78" w:rsidP="007E09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4A78" w:rsidRDefault="00074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78" w:rsidRDefault="00074A78" w:rsidP="007E09C2">
    <w:pPr>
      <w:pStyle w:val="Header"/>
      <w:framePr w:wrap="around" w:vAnchor="text" w:hAnchor="margin" w:xAlign="center" w:y="1"/>
      <w:jc w:val="center"/>
    </w:pPr>
    <w:r>
      <w:fldChar w:fldCharType="begin"/>
    </w:r>
    <w:r>
      <w:instrText xml:space="preserve"> PAGE   \* MERGEFORMAT </w:instrText>
    </w:r>
    <w:r>
      <w:fldChar w:fldCharType="separate"/>
    </w:r>
    <w:r w:rsidR="007E3597">
      <w:rPr>
        <w:noProof/>
      </w:rPr>
      <w:t>2</w:t>
    </w:r>
    <w:r>
      <w:rPr>
        <w:noProof/>
      </w:rPr>
      <w:fldChar w:fldCharType="end"/>
    </w:r>
  </w:p>
  <w:p w:rsidR="00074A78" w:rsidRDefault="00074A78" w:rsidP="007E09C2">
    <w:pPr>
      <w:pStyle w:val="Header"/>
      <w:framePr w:wrap="around" w:vAnchor="text" w:hAnchor="margin" w:xAlign="center"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73" w:rsidRDefault="00F55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D4FF1"/>
    <w:multiLevelType w:val="hybridMultilevel"/>
    <w:tmpl w:val="13A4F126"/>
    <w:lvl w:ilvl="0" w:tplc="5C7C7902">
      <w:start w:val="1"/>
      <w:numFmt w:val="decimal"/>
      <w:lvlText w:val="%1)"/>
      <w:lvlJc w:val="left"/>
      <w:pPr>
        <w:ind w:left="360" w:hanging="360"/>
      </w:pPr>
    </w:lvl>
    <w:lvl w:ilvl="1" w:tplc="CB4E1FC2" w:tentative="1">
      <w:start w:val="1"/>
      <w:numFmt w:val="lowerLetter"/>
      <w:lvlText w:val="%2."/>
      <w:lvlJc w:val="left"/>
      <w:pPr>
        <w:ind w:left="1080" w:hanging="360"/>
      </w:pPr>
    </w:lvl>
    <w:lvl w:ilvl="2" w:tplc="9CEEDE2A" w:tentative="1">
      <w:start w:val="1"/>
      <w:numFmt w:val="lowerRoman"/>
      <w:lvlText w:val="%3."/>
      <w:lvlJc w:val="right"/>
      <w:pPr>
        <w:ind w:left="1800" w:hanging="180"/>
      </w:pPr>
    </w:lvl>
    <w:lvl w:ilvl="3" w:tplc="AB0A2B62" w:tentative="1">
      <w:start w:val="1"/>
      <w:numFmt w:val="decimal"/>
      <w:lvlText w:val="%4."/>
      <w:lvlJc w:val="left"/>
      <w:pPr>
        <w:ind w:left="2520" w:hanging="360"/>
      </w:pPr>
    </w:lvl>
    <w:lvl w:ilvl="4" w:tplc="DC02EC3C" w:tentative="1">
      <w:start w:val="1"/>
      <w:numFmt w:val="lowerLetter"/>
      <w:lvlText w:val="%5."/>
      <w:lvlJc w:val="left"/>
      <w:pPr>
        <w:ind w:left="3240" w:hanging="360"/>
      </w:pPr>
    </w:lvl>
    <w:lvl w:ilvl="5" w:tplc="5CC21382" w:tentative="1">
      <w:start w:val="1"/>
      <w:numFmt w:val="lowerRoman"/>
      <w:lvlText w:val="%6."/>
      <w:lvlJc w:val="right"/>
      <w:pPr>
        <w:ind w:left="3960" w:hanging="180"/>
      </w:pPr>
    </w:lvl>
    <w:lvl w:ilvl="6" w:tplc="CEB47DF8" w:tentative="1">
      <w:start w:val="1"/>
      <w:numFmt w:val="decimal"/>
      <w:lvlText w:val="%7."/>
      <w:lvlJc w:val="left"/>
      <w:pPr>
        <w:ind w:left="4680" w:hanging="360"/>
      </w:pPr>
    </w:lvl>
    <w:lvl w:ilvl="7" w:tplc="30C8AEC6" w:tentative="1">
      <w:start w:val="1"/>
      <w:numFmt w:val="lowerLetter"/>
      <w:lvlText w:val="%8."/>
      <w:lvlJc w:val="left"/>
      <w:pPr>
        <w:ind w:left="5400" w:hanging="360"/>
      </w:pPr>
    </w:lvl>
    <w:lvl w:ilvl="8" w:tplc="83DC1D00" w:tentative="1">
      <w:start w:val="1"/>
      <w:numFmt w:val="lowerRoman"/>
      <w:lvlText w:val="%9."/>
      <w:lvlJc w:val="right"/>
      <w:pPr>
        <w:ind w:left="6120" w:hanging="180"/>
      </w:pPr>
    </w:lvl>
  </w:abstractNum>
  <w:abstractNum w:abstractNumId="1" w15:restartNumberingAfterBreak="0">
    <w:nsid w:val="385E2C07"/>
    <w:multiLevelType w:val="multilevel"/>
    <w:tmpl w:val="A2BEDE12"/>
    <w:lvl w:ilvl="0">
      <w:start w:val="1"/>
      <w:numFmt w:val="decimal"/>
      <w:lvlText w:val="%1."/>
      <w:lvlJc w:val="left"/>
      <w:pPr>
        <w:ind w:left="840" w:hanging="360"/>
      </w:pPr>
    </w:lvl>
    <w:lvl w:ilvl="1">
      <w:start w:val="1"/>
      <w:numFmt w:val="decimal"/>
      <w:isLgl/>
      <w:lvlText w:val="%1.%2."/>
      <w:lvlJc w:val="left"/>
      <w:pPr>
        <w:ind w:left="1260" w:hanging="780"/>
      </w:pPr>
      <w:rPr>
        <w:rFonts w:hint="default"/>
      </w:rPr>
    </w:lvl>
    <w:lvl w:ilvl="2">
      <w:start w:val="4"/>
      <w:numFmt w:val="decimal"/>
      <w:isLgl/>
      <w:lvlText w:val="%1.%2.%3."/>
      <w:lvlJc w:val="left"/>
      <w:pPr>
        <w:ind w:left="1260" w:hanging="780"/>
      </w:pPr>
      <w:rPr>
        <w:rFonts w:hint="default"/>
      </w:rPr>
    </w:lvl>
    <w:lvl w:ilvl="3">
      <w:start w:val="1"/>
      <w:numFmt w:val="decimal"/>
      <w:isLgl/>
      <w:lvlText w:val="%1.%2.%3.%4."/>
      <w:lvlJc w:val="left"/>
      <w:pPr>
        <w:ind w:left="1260" w:hanging="7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 w15:restartNumberingAfterBreak="0">
    <w:nsid w:val="4E61187D"/>
    <w:multiLevelType w:val="hybridMultilevel"/>
    <w:tmpl w:val="D20A670A"/>
    <w:lvl w:ilvl="0" w:tplc="730ACB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F11B64"/>
    <w:multiLevelType w:val="hybridMultilevel"/>
    <w:tmpl w:val="344461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2D16BA"/>
    <w:multiLevelType w:val="hybridMultilevel"/>
    <w:tmpl w:val="F272A2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C6B5958"/>
    <w:multiLevelType w:val="hybridMultilevel"/>
    <w:tmpl w:val="90989692"/>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C4"/>
    <w:rsid w:val="00005547"/>
    <w:rsid w:val="00041393"/>
    <w:rsid w:val="00053BD0"/>
    <w:rsid w:val="00074A78"/>
    <w:rsid w:val="000E02A5"/>
    <w:rsid w:val="000E4E13"/>
    <w:rsid w:val="000F6010"/>
    <w:rsid w:val="00115120"/>
    <w:rsid w:val="00140FB1"/>
    <w:rsid w:val="001411B7"/>
    <w:rsid w:val="00161812"/>
    <w:rsid w:val="00173AE6"/>
    <w:rsid w:val="00181757"/>
    <w:rsid w:val="001B4EC9"/>
    <w:rsid w:val="001D3C25"/>
    <w:rsid w:val="00200DBF"/>
    <w:rsid w:val="00217F0B"/>
    <w:rsid w:val="002359B5"/>
    <w:rsid w:val="00247E26"/>
    <w:rsid w:val="00257F28"/>
    <w:rsid w:val="00271093"/>
    <w:rsid w:val="002B158E"/>
    <w:rsid w:val="002C3729"/>
    <w:rsid w:val="00311870"/>
    <w:rsid w:val="003121D8"/>
    <w:rsid w:val="00324138"/>
    <w:rsid w:val="003A7163"/>
    <w:rsid w:val="003B1A98"/>
    <w:rsid w:val="003B4FAD"/>
    <w:rsid w:val="003D0700"/>
    <w:rsid w:val="003D2B75"/>
    <w:rsid w:val="003D69F6"/>
    <w:rsid w:val="003E4D51"/>
    <w:rsid w:val="003E6428"/>
    <w:rsid w:val="003F3ABB"/>
    <w:rsid w:val="004216D8"/>
    <w:rsid w:val="00435F68"/>
    <w:rsid w:val="004412AC"/>
    <w:rsid w:val="00474236"/>
    <w:rsid w:val="00482E54"/>
    <w:rsid w:val="004865C4"/>
    <w:rsid w:val="0049079F"/>
    <w:rsid w:val="0049586E"/>
    <w:rsid w:val="004A13E9"/>
    <w:rsid w:val="004B1248"/>
    <w:rsid w:val="004B600F"/>
    <w:rsid w:val="004D6419"/>
    <w:rsid w:val="005005B4"/>
    <w:rsid w:val="005118D7"/>
    <w:rsid w:val="00524292"/>
    <w:rsid w:val="00551CFD"/>
    <w:rsid w:val="00557974"/>
    <w:rsid w:val="005825C2"/>
    <w:rsid w:val="005837E2"/>
    <w:rsid w:val="00597F21"/>
    <w:rsid w:val="005A14DF"/>
    <w:rsid w:val="005A64D7"/>
    <w:rsid w:val="005E2A43"/>
    <w:rsid w:val="00627A91"/>
    <w:rsid w:val="00656F38"/>
    <w:rsid w:val="0068544F"/>
    <w:rsid w:val="00685593"/>
    <w:rsid w:val="006B2E92"/>
    <w:rsid w:val="006B72C9"/>
    <w:rsid w:val="006C43D7"/>
    <w:rsid w:val="006F3FB9"/>
    <w:rsid w:val="00722C45"/>
    <w:rsid w:val="00733DA5"/>
    <w:rsid w:val="00765447"/>
    <w:rsid w:val="007C50A2"/>
    <w:rsid w:val="007C650A"/>
    <w:rsid w:val="007E09C2"/>
    <w:rsid w:val="007E3597"/>
    <w:rsid w:val="007F721B"/>
    <w:rsid w:val="0084037E"/>
    <w:rsid w:val="00852413"/>
    <w:rsid w:val="00873DD5"/>
    <w:rsid w:val="00883DAA"/>
    <w:rsid w:val="008866D8"/>
    <w:rsid w:val="00897FFC"/>
    <w:rsid w:val="008B074C"/>
    <w:rsid w:val="008C13BE"/>
    <w:rsid w:val="008C70E1"/>
    <w:rsid w:val="008D7E55"/>
    <w:rsid w:val="008E5FA1"/>
    <w:rsid w:val="009140FB"/>
    <w:rsid w:val="009437A6"/>
    <w:rsid w:val="0095631A"/>
    <w:rsid w:val="00962ED4"/>
    <w:rsid w:val="009A55D5"/>
    <w:rsid w:val="009E508A"/>
    <w:rsid w:val="00A00840"/>
    <w:rsid w:val="00A12899"/>
    <w:rsid w:val="00A57282"/>
    <w:rsid w:val="00AA469C"/>
    <w:rsid w:val="00AB3161"/>
    <w:rsid w:val="00AB6214"/>
    <w:rsid w:val="00B43C3F"/>
    <w:rsid w:val="00B50BCC"/>
    <w:rsid w:val="00BC0F91"/>
    <w:rsid w:val="00BC44EB"/>
    <w:rsid w:val="00BD7EED"/>
    <w:rsid w:val="00C03041"/>
    <w:rsid w:val="00C36018"/>
    <w:rsid w:val="00C67D2A"/>
    <w:rsid w:val="00C9050A"/>
    <w:rsid w:val="00C93310"/>
    <w:rsid w:val="00C964BF"/>
    <w:rsid w:val="00CA6988"/>
    <w:rsid w:val="00CC1D3F"/>
    <w:rsid w:val="00CD3717"/>
    <w:rsid w:val="00CD6D20"/>
    <w:rsid w:val="00CF514E"/>
    <w:rsid w:val="00D0014E"/>
    <w:rsid w:val="00D23E7D"/>
    <w:rsid w:val="00D253F1"/>
    <w:rsid w:val="00D3649C"/>
    <w:rsid w:val="00D6067A"/>
    <w:rsid w:val="00D61C93"/>
    <w:rsid w:val="00DA0831"/>
    <w:rsid w:val="00DD156B"/>
    <w:rsid w:val="00DD4E9A"/>
    <w:rsid w:val="00E023E5"/>
    <w:rsid w:val="00E02733"/>
    <w:rsid w:val="00E11101"/>
    <w:rsid w:val="00E12E52"/>
    <w:rsid w:val="00E1393C"/>
    <w:rsid w:val="00E54D2C"/>
    <w:rsid w:val="00E826DB"/>
    <w:rsid w:val="00EB3C27"/>
    <w:rsid w:val="00EB5089"/>
    <w:rsid w:val="00EC076D"/>
    <w:rsid w:val="00ED48A7"/>
    <w:rsid w:val="00EE5746"/>
    <w:rsid w:val="00F11DA7"/>
    <w:rsid w:val="00F310F8"/>
    <w:rsid w:val="00F378C1"/>
    <w:rsid w:val="00F5376D"/>
    <w:rsid w:val="00F55073"/>
    <w:rsid w:val="00F56DF4"/>
    <w:rsid w:val="00F96B0D"/>
    <w:rsid w:val="00FC37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1C66C3D-BE74-4C08-8F77-BFB2A9D8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C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65C4"/>
    <w:pPr>
      <w:spacing w:before="100" w:beforeAutospacing="1" w:after="100" w:afterAutospacing="1"/>
    </w:pPr>
  </w:style>
  <w:style w:type="paragraph" w:customStyle="1" w:styleId="naisf">
    <w:name w:val="naisf"/>
    <w:basedOn w:val="Normal"/>
    <w:rsid w:val="004865C4"/>
    <w:pPr>
      <w:spacing w:before="75" w:after="75"/>
      <w:ind w:firstLine="375"/>
      <w:jc w:val="both"/>
    </w:pPr>
  </w:style>
  <w:style w:type="paragraph" w:customStyle="1" w:styleId="naisnod">
    <w:name w:val="naisnod"/>
    <w:basedOn w:val="Normal"/>
    <w:uiPriority w:val="99"/>
    <w:rsid w:val="004865C4"/>
    <w:pPr>
      <w:spacing w:before="150" w:after="150"/>
      <w:jc w:val="center"/>
    </w:pPr>
    <w:rPr>
      <w:b/>
      <w:bCs/>
    </w:rPr>
  </w:style>
  <w:style w:type="paragraph" w:customStyle="1" w:styleId="naiskr">
    <w:name w:val="naiskr"/>
    <w:basedOn w:val="Normal"/>
    <w:rsid w:val="004865C4"/>
    <w:pPr>
      <w:spacing w:before="75" w:after="75"/>
    </w:pPr>
  </w:style>
  <w:style w:type="paragraph" w:customStyle="1" w:styleId="naisc">
    <w:name w:val="naisc"/>
    <w:basedOn w:val="Normal"/>
    <w:rsid w:val="004865C4"/>
    <w:pPr>
      <w:spacing w:before="75" w:after="75"/>
      <w:jc w:val="center"/>
    </w:pPr>
  </w:style>
  <w:style w:type="paragraph" w:styleId="Header">
    <w:name w:val="header"/>
    <w:basedOn w:val="Normal"/>
    <w:link w:val="HeaderChar"/>
    <w:uiPriority w:val="99"/>
    <w:rsid w:val="004865C4"/>
    <w:pPr>
      <w:tabs>
        <w:tab w:val="center" w:pos="4153"/>
        <w:tab w:val="right" w:pos="8306"/>
      </w:tabs>
    </w:pPr>
  </w:style>
  <w:style w:type="character" w:customStyle="1" w:styleId="HeaderChar">
    <w:name w:val="Header Char"/>
    <w:basedOn w:val="DefaultParagraphFont"/>
    <w:link w:val="Header"/>
    <w:uiPriority w:val="99"/>
    <w:rsid w:val="004865C4"/>
    <w:rPr>
      <w:rFonts w:ascii="Times New Roman" w:eastAsia="Times New Roman" w:hAnsi="Times New Roman" w:cs="Times New Roman"/>
      <w:sz w:val="24"/>
      <w:szCs w:val="24"/>
      <w:lang w:eastAsia="lv-LV"/>
    </w:rPr>
  </w:style>
  <w:style w:type="character" w:styleId="PageNumber">
    <w:name w:val="page number"/>
    <w:uiPriority w:val="99"/>
    <w:rsid w:val="004865C4"/>
    <w:rPr>
      <w:rFonts w:cs="Times New Roman"/>
    </w:rPr>
  </w:style>
  <w:style w:type="paragraph" w:styleId="Footer">
    <w:name w:val="footer"/>
    <w:basedOn w:val="Normal"/>
    <w:link w:val="FooterChar"/>
    <w:uiPriority w:val="99"/>
    <w:rsid w:val="004865C4"/>
    <w:pPr>
      <w:tabs>
        <w:tab w:val="center" w:pos="4153"/>
        <w:tab w:val="right" w:pos="8306"/>
      </w:tabs>
    </w:pPr>
  </w:style>
  <w:style w:type="character" w:customStyle="1" w:styleId="FooterChar">
    <w:name w:val="Footer Char"/>
    <w:basedOn w:val="DefaultParagraphFont"/>
    <w:link w:val="Footer"/>
    <w:uiPriority w:val="99"/>
    <w:rsid w:val="004865C4"/>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4865C4"/>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aliases w:val="2 Char"/>
    <w:link w:val="ListParagraph"/>
    <w:uiPriority w:val="34"/>
    <w:locked/>
    <w:rsid w:val="004865C4"/>
    <w:rPr>
      <w:rFonts w:ascii="Calibri" w:eastAsia="Times New Roman" w:hAnsi="Calibri" w:cs="Times New Roman"/>
      <w:lang w:val="x-none"/>
    </w:rPr>
  </w:style>
  <w:style w:type="paragraph" w:styleId="FootnoteText">
    <w:name w:val="footnote text"/>
    <w:basedOn w:val="Normal"/>
    <w:link w:val="FootnoteTextChar"/>
    <w:uiPriority w:val="99"/>
    <w:semiHidden/>
    <w:unhideWhenUsed/>
    <w:rsid w:val="0095631A"/>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semiHidden/>
    <w:rsid w:val="0095631A"/>
    <w:rPr>
      <w:rFonts w:ascii="Calibri" w:eastAsia="Calibri" w:hAnsi="Calibri" w:cs="Arial"/>
      <w:sz w:val="20"/>
      <w:szCs w:val="20"/>
    </w:rPr>
  </w:style>
  <w:style w:type="character" w:styleId="FootnoteReference">
    <w:name w:val="footnote reference"/>
    <w:basedOn w:val="DefaultParagraphFont"/>
    <w:uiPriority w:val="99"/>
    <w:semiHidden/>
    <w:unhideWhenUsed/>
    <w:rsid w:val="0095631A"/>
    <w:rPr>
      <w:vertAlign w:val="superscript"/>
    </w:rPr>
  </w:style>
  <w:style w:type="character" w:customStyle="1" w:styleId="multiline">
    <w:name w:val="multiline"/>
    <w:rsid w:val="00F5376D"/>
  </w:style>
  <w:style w:type="paragraph" w:styleId="BalloonText">
    <w:name w:val="Balloon Text"/>
    <w:basedOn w:val="Normal"/>
    <w:link w:val="BalloonTextChar"/>
    <w:uiPriority w:val="99"/>
    <w:semiHidden/>
    <w:unhideWhenUsed/>
    <w:rsid w:val="00482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E54"/>
    <w:rPr>
      <w:rFonts w:ascii="Segoe UI" w:eastAsia="Times New Roman" w:hAnsi="Segoe UI" w:cs="Segoe UI"/>
      <w:sz w:val="18"/>
      <w:szCs w:val="18"/>
      <w:lang w:eastAsia="lv-LV"/>
    </w:rPr>
  </w:style>
  <w:style w:type="paragraph" w:customStyle="1" w:styleId="tv213">
    <w:name w:val="tv213"/>
    <w:basedOn w:val="Normal"/>
    <w:rsid w:val="0000554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16666</Words>
  <Characters>9500</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Ivsiņa</dc:creator>
  <cp:keywords/>
  <dc:description/>
  <cp:lastModifiedBy>Sandra Obodova</cp:lastModifiedBy>
  <cp:revision>2</cp:revision>
  <cp:lastPrinted>2020-10-22T06:36:00Z</cp:lastPrinted>
  <dcterms:created xsi:type="dcterms:W3CDTF">2021-03-08T14:54:00Z</dcterms:created>
  <dcterms:modified xsi:type="dcterms:W3CDTF">2021-03-08T14:54:00Z</dcterms:modified>
</cp:coreProperties>
</file>