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6116" w:rsidR="00237E69" w:rsidP="00E36116" w:rsidRDefault="00196278" w14:paraId="74DD2843" w14:textId="7C3D2F57">
      <w:pPr>
        <w:pStyle w:val="naisnod"/>
        <w:spacing w:before="0" w:after="0"/>
        <w:rPr>
          <w:sz w:val="22"/>
          <w:szCs w:val="22"/>
        </w:rPr>
      </w:pPr>
      <w:r w:rsidRPr="00E36116">
        <w:rPr>
          <w:sz w:val="22"/>
          <w:szCs w:val="22"/>
        </w:rPr>
        <w:t>Izziņa par atzinumos sniegtajiem iebildumiem</w:t>
      </w:r>
      <w:r w:rsidRPr="00E36116" w:rsidR="008C673C">
        <w:rPr>
          <w:sz w:val="22"/>
          <w:szCs w:val="22"/>
        </w:rPr>
        <w:t xml:space="preserve"> par </w:t>
      </w:r>
      <w:r w:rsidRPr="00E36116" w:rsidR="00237E69">
        <w:rPr>
          <w:sz w:val="22"/>
          <w:szCs w:val="22"/>
        </w:rPr>
        <w:t>Ministru kabineta noteikumu</w:t>
      </w:r>
      <w:r w:rsidRPr="00E36116" w:rsidR="00CD49C3">
        <w:rPr>
          <w:sz w:val="22"/>
          <w:szCs w:val="22"/>
        </w:rPr>
        <w:t xml:space="preserve"> </w:t>
      </w:r>
      <w:r w:rsidRPr="00E36116" w:rsidR="00237E69">
        <w:rPr>
          <w:sz w:val="22"/>
          <w:szCs w:val="22"/>
        </w:rPr>
        <w:t>projektu</w:t>
      </w:r>
    </w:p>
    <w:p w:rsidRPr="00E36116" w:rsidR="00991C1B" w:rsidP="00E36116" w:rsidRDefault="00237E69" w14:paraId="6E8C15B1" w14:textId="6E7E1A9C">
      <w:pPr>
        <w:pStyle w:val="naisnod"/>
        <w:spacing w:before="0" w:after="0"/>
        <w:rPr>
          <w:sz w:val="22"/>
          <w:szCs w:val="22"/>
        </w:rPr>
      </w:pPr>
      <w:r w:rsidRPr="00E36116">
        <w:rPr>
          <w:sz w:val="22"/>
          <w:szCs w:val="22"/>
        </w:rPr>
        <w:t>„Grozījumi Ministru kabineta 2005.gada 10.maija noteikumos Nr.321 „Noteikumi par tukšo materiālo nesēju un reproducēšanai izmantojamo iekārtu atlīdzības lielumu un tās iekasēšanas, atmaksāšanas, sadales un izmaksas kārtību””</w:t>
      </w:r>
    </w:p>
    <w:p w:rsidRPr="00E36116" w:rsidR="00032061" w:rsidP="00E36116" w:rsidRDefault="00032061" w14:paraId="0F291766" w14:textId="77777777">
      <w:pPr>
        <w:rPr>
          <w:bCs/>
          <w:sz w:val="22"/>
          <w:szCs w:val="22"/>
        </w:rPr>
      </w:pPr>
    </w:p>
    <w:p w:rsidRPr="00E36116" w:rsidR="001229CC" w:rsidP="00E36116" w:rsidRDefault="00F64DE4" w14:paraId="36734D57" w14:textId="77777777">
      <w:pPr>
        <w:numPr>
          <w:ilvl w:val="0"/>
          <w:numId w:val="1"/>
        </w:numPr>
        <w:ind w:left="567" w:hanging="207"/>
        <w:jc w:val="center"/>
        <w:rPr>
          <w:b/>
          <w:bCs/>
          <w:sz w:val="22"/>
          <w:szCs w:val="22"/>
        </w:rPr>
      </w:pPr>
      <w:r w:rsidRPr="00E36116">
        <w:rPr>
          <w:b/>
          <w:bCs/>
          <w:sz w:val="22"/>
          <w:szCs w:val="22"/>
        </w:rPr>
        <w:t>Jautājumi, par kuriem saskaņošanā vienošanās nav panākta</w:t>
      </w:r>
    </w:p>
    <w:p w:rsidRPr="00E36116" w:rsidR="0011453C" w:rsidP="00E36116" w:rsidRDefault="0011453C" w14:paraId="006ADFAC" w14:textId="77777777">
      <w:pPr>
        <w:rPr>
          <w:bCs/>
          <w:sz w:val="22"/>
          <w:szCs w:val="22"/>
        </w:rPr>
      </w:pPr>
    </w:p>
    <w:tbl>
      <w:tblPr>
        <w:tblW w:w="5023" w:type="pct"/>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38"/>
        <w:gridCol w:w="2424"/>
        <w:gridCol w:w="3432"/>
        <w:gridCol w:w="3137"/>
        <w:gridCol w:w="2162"/>
        <w:gridCol w:w="2361"/>
      </w:tblGrid>
      <w:tr w:rsidRPr="00E36116" w:rsidR="002E65AC" w:rsidTr="00E36116" w14:paraId="0B019B7A" w14:textId="77777777">
        <w:tc>
          <w:tcPr>
            <w:tcW w:w="191" w:type="pct"/>
            <w:tcBorders>
              <w:top w:val="single" w:color="000000" w:sz="6" w:space="0"/>
              <w:left w:val="single" w:color="000000" w:sz="6" w:space="0"/>
              <w:bottom w:val="single" w:color="000000" w:sz="6" w:space="0"/>
              <w:right w:val="single" w:color="000000" w:sz="6" w:space="0"/>
            </w:tcBorders>
            <w:vAlign w:val="center"/>
            <w:hideMark/>
          </w:tcPr>
          <w:p w:rsidRPr="00E36116" w:rsidR="00C01E51" w:rsidP="00E36116" w:rsidRDefault="00F64DE4" w14:paraId="1F136D87" w14:textId="77777777">
            <w:pPr>
              <w:pStyle w:val="naisc"/>
              <w:spacing w:before="0" w:after="0"/>
              <w:rPr>
                <w:sz w:val="22"/>
                <w:szCs w:val="22"/>
                <w:lang w:eastAsia="en-US"/>
              </w:rPr>
            </w:pPr>
            <w:r w:rsidRPr="00E36116">
              <w:rPr>
                <w:sz w:val="22"/>
                <w:szCs w:val="22"/>
                <w:lang w:eastAsia="en-US"/>
              </w:rPr>
              <w:t>Nr. p.k.</w:t>
            </w:r>
          </w:p>
        </w:tc>
        <w:tc>
          <w:tcPr>
            <w:tcW w:w="862" w:type="pct"/>
            <w:tcBorders>
              <w:top w:val="single" w:color="000000" w:sz="6" w:space="0"/>
              <w:left w:val="single" w:color="000000" w:sz="6" w:space="0"/>
              <w:bottom w:val="single" w:color="000000" w:sz="6" w:space="0"/>
              <w:right w:val="single" w:color="000000" w:sz="6" w:space="0"/>
            </w:tcBorders>
            <w:vAlign w:val="center"/>
            <w:hideMark/>
          </w:tcPr>
          <w:p w:rsidRPr="00E36116" w:rsidR="00C01E51" w:rsidP="00E36116" w:rsidRDefault="00F64DE4" w14:paraId="475D95AE" w14:textId="77777777">
            <w:pPr>
              <w:pStyle w:val="naisc"/>
              <w:spacing w:before="0" w:after="0"/>
              <w:ind w:firstLine="12"/>
              <w:rPr>
                <w:sz w:val="22"/>
                <w:szCs w:val="22"/>
                <w:lang w:eastAsia="en-US"/>
              </w:rPr>
            </w:pPr>
            <w:r w:rsidRPr="00E36116">
              <w:rPr>
                <w:sz w:val="22"/>
                <w:szCs w:val="22"/>
                <w:lang w:eastAsia="en-US"/>
              </w:rPr>
              <w:t>Saskaņošanai nosūtītā projekta redakcija (konkrēta punkta (panta) redakcija)</w:t>
            </w:r>
          </w:p>
        </w:tc>
        <w:tc>
          <w:tcPr>
            <w:tcW w:w="1221" w:type="pct"/>
            <w:tcBorders>
              <w:top w:val="single" w:color="000000" w:sz="6" w:space="0"/>
              <w:left w:val="single" w:color="000000" w:sz="6" w:space="0"/>
              <w:bottom w:val="single" w:color="000000" w:sz="6" w:space="0"/>
              <w:right w:val="single" w:color="000000" w:sz="6" w:space="0"/>
            </w:tcBorders>
            <w:vAlign w:val="center"/>
            <w:hideMark/>
          </w:tcPr>
          <w:p w:rsidRPr="00E36116" w:rsidR="00C01E51" w:rsidP="00E36116" w:rsidRDefault="00F64DE4" w14:paraId="6C441E0B" w14:textId="77777777">
            <w:pPr>
              <w:pStyle w:val="naisc"/>
              <w:spacing w:before="0" w:after="0"/>
              <w:ind w:right="3"/>
              <w:rPr>
                <w:sz w:val="22"/>
                <w:szCs w:val="22"/>
                <w:lang w:eastAsia="en-US"/>
              </w:rPr>
            </w:pPr>
            <w:r w:rsidRPr="00E36116">
              <w:rPr>
                <w:sz w:val="22"/>
                <w:szCs w:val="22"/>
                <w:lang w:eastAsia="en-US"/>
              </w:rPr>
              <w:t>Atzinumā norādītais ministrijas (citas institūcijas) iebildums, kā arī saskaņošanā papildus izte</w:t>
            </w:r>
            <w:r w:rsidRPr="00E36116" w:rsidR="00734AC4">
              <w:rPr>
                <w:sz w:val="22"/>
                <w:szCs w:val="22"/>
                <w:lang w:eastAsia="en-US"/>
              </w:rPr>
              <w:t>iktais iebildums par projekta konkrēto punktu (pantu)</w:t>
            </w:r>
          </w:p>
        </w:tc>
        <w:tc>
          <w:tcPr>
            <w:tcW w:w="1116" w:type="pct"/>
            <w:tcBorders>
              <w:top w:val="single" w:color="000000" w:sz="6" w:space="0"/>
              <w:left w:val="single" w:color="000000" w:sz="6" w:space="0"/>
              <w:bottom w:val="single" w:color="000000" w:sz="6" w:space="0"/>
              <w:right w:val="single" w:color="000000" w:sz="6" w:space="0"/>
            </w:tcBorders>
            <w:vAlign w:val="center"/>
            <w:hideMark/>
          </w:tcPr>
          <w:p w:rsidRPr="00E36116" w:rsidR="00C01E51" w:rsidP="00E36116" w:rsidRDefault="00F64DE4" w14:paraId="0C418ED3" w14:textId="77777777">
            <w:pPr>
              <w:pStyle w:val="naisc"/>
              <w:spacing w:before="0" w:after="0"/>
              <w:ind w:firstLine="21"/>
              <w:rPr>
                <w:sz w:val="22"/>
                <w:szCs w:val="22"/>
                <w:lang w:eastAsia="en-US"/>
              </w:rPr>
            </w:pPr>
            <w:r w:rsidRPr="00E36116">
              <w:rPr>
                <w:sz w:val="22"/>
                <w:szCs w:val="22"/>
                <w:lang w:eastAsia="en-US"/>
              </w:rPr>
              <w:t>Atbildīgās ministrijas pamatojums iebilduma noraidījumam</w:t>
            </w:r>
          </w:p>
        </w:tc>
        <w:tc>
          <w:tcPr>
            <w:tcW w:w="769" w:type="pct"/>
            <w:tcBorders>
              <w:top w:val="single" w:color="auto" w:sz="4" w:space="0"/>
              <w:left w:val="single" w:color="auto" w:sz="4" w:space="0"/>
              <w:bottom w:val="single" w:color="auto" w:sz="4" w:space="0"/>
              <w:right w:val="single" w:color="auto" w:sz="4" w:space="0"/>
            </w:tcBorders>
            <w:vAlign w:val="center"/>
            <w:hideMark/>
          </w:tcPr>
          <w:p w:rsidRPr="00E36116" w:rsidR="00C01E51" w:rsidP="00E36116" w:rsidRDefault="00F64DE4" w14:paraId="4A10EDD3" w14:textId="77777777">
            <w:pPr>
              <w:jc w:val="center"/>
              <w:rPr>
                <w:sz w:val="22"/>
                <w:szCs w:val="22"/>
                <w:lang w:eastAsia="en-US"/>
              </w:rPr>
            </w:pPr>
            <w:r w:rsidRPr="00E36116">
              <w:rPr>
                <w:sz w:val="22"/>
                <w:szCs w:val="22"/>
                <w:lang w:eastAsia="en-US"/>
              </w:rPr>
              <w:t>Atzinuma sniedzēja uzturētais iebildums, ja tas atšķiras no atzinumā norādītā iebilduma pamatojuma</w:t>
            </w:r>
          </w:p>
        </w:tc>
        <w:tc>
          <w:tcPr>
            <w:tcW w:w="840" w:type="pct"/>
            <w:tcBorders>
              <w:top w:val="single" w:color="auto" w:sz="4" w:space="0"/>
              <w:left w:val="single" w:color="auto" w:sz="4" w:space="0"/>
              <w:bottom w:val="single" w:color="auto" w:sz="4" w:space="0"/>
              <w:right w:val="single" w:color="auto" w:sz="4" w:space="0"/>
            </w:tcBorders>
            <w:vAlign w:val="center"/>
            <w:hideMark/>
          </w:tcPr>
          <w:p w:rsidRPr="00E36116" w:rsidR="00C01E51" w:rsidP="00E36116" w:rsidRDefault="00F64DE4" w14:paraId="068081D6" w14:textId="77777777">
            <w:pPr>
              <w:jc w:val="center"/>
              <w:rPr>
                <w:sz w:val="22"/>
                <w:szCs w:val="22"/>
                <w:lang w:eastAsia="en-US"/>
              </w:rPr>
            </w:pPr>
            <w:r w:rsidRPr="00E36116">
              <w:rPr>
                <w:sz w:val="22"/>
                <w:szCs w:val="22"/>
                <w:lang w:eastAsia="en-US"/>
              </w:rPr>
              <w:t>Projekta attiecīgā punkta (panta) galīgā redakcija</w:t>
            </w:r>
          </w:p>
        </w:tc>
      </w:tr>
      <w:tr w:rsidRPr="00E36116" w:rsidR="002E65AC" w:rsidTr="00E36116" w14:paraId="60E562CF" w14:textId="77777777">
        <w:tc>
          <w:tcPr>
            <w:tcW w:w="191" w:type="pct"/>
            <w:tcBorders>
              <w:top w:val="single" w:color="000000" w:sz="6" w:space="0"/>
              <w:left w:val="single" w:color="000000" w:sz="6" w:space="0"/>
              <w:bottom w:val="single" w:color="000000" w:sz="6" w:space="0"/>
              <w:right w:val="single" w:color="000000" w:sz="6" w:space="0"/>
            </w:tcBorders>
            <w:hideMark/>
          </w:tcPr>
          <w:p w:rsidRPr="00E36116" w:rsidR="00C01E51" w:rsidP="00E36116" w:rsidRDefault="00F64DE4" w14:paraId="57B65BA7" w14:textId="77777777">
            <w:pPr>
              <w:pStyle w:val="naisc"/>
              <w:spacing w:before="0" w:after="0"/>
              <w:rPr>
                <w:sz w:val="22"/>
                <w:szCs w:val="22"/>
                <w:lang w:eastAsia="en-US"/>
              </w:rPr>
            </w:pPr>
            <w:r w:rsidRPr="00E36116">
              <w:rPr>
                <w:sz w:val="22"/>
                <w:szCs w:val="22"/>
                <w:lang w:eastAsia="en-US"/>
              </w:rPr>
              <w:t>1</w:t>
            </w:r>
          </w:p>
        </w:tc>
        <w:tc>
          <w:tcPr>
            <w:tcW w:w="862" w:type="pct"/>
            <w:tcBorders>
              <w:top w:val="single" w:color="000000" w:sz="6" w:space="0"/>
              <w:left w:val="single" w:color="000000" w:sz="6" w:space="0"/>
              <w:bottom w:val="single" w:color="000000" w:sz="6" w:space="0"/>
              <w:right w:val="single" w:color="000000" w:sz="6" w:space="0"/>
            </w:tcBorders>
            <w:hideMark/>
          </w:tcPr>
          <w:p w:rsidRPr="00E36116" w:rsidR="00C01E51" w:rsidP="00E36116" w:rsidRDefault="00F64DE4" w14:paraId="09E708B0" w14:textId="77777777">
            <w:pPr>
              <w:pStyle w:val="naisc"/>
              <w:spacing w:before="0" w:after="0"/>
              <w:ind w:hanging="11"/>
              <w:rPr>
                <w:sz w:val="22"/>
                <w:szCs w:val="22"/>
                <w:lang w:eastAsia="en-US"/>
              </w:rPr>
            </w:pPr>
            <w:r w:rsidRPr="00E36116">
              <w:rPr>
                <w:sz w:val="22"/>
                <w:szCs w:val="22"/>
                <w:lang w:eastAsia="en-US"/>
              </w:rPr>
              <w:t>2</w:t>
            </w:r>
          </w:p>
        </w:tc>
        <w:tc>
          <w:tcPr>
            <w:tcW w:w="1221" w:type="pct"/>
            <w:tcBorders>
              <w:top w:val="single" w:color="000000" w:sz="6" w:space="0"/>
              <w:left w:val="single" w:color="000000" w:sz="6" w:space="0"/>
              <w:bottom w:val="single" w:color="000000" w:sz="6" w:space="0"/>
              <w:right w:val="single" w:color="000000" w:sz="6" w:space="0"/>
            </w:tcBorders>
            <w:hideMark/>
          </w:tcPr>
          <w:p w:rsidRPr="00793437" w:rsidR="00C01E51" w:rsidP="00E36116" w:rsidRDefault="00F64DE4" w14:paraId="7F44F471" w14:textId="77777777">
            <w:pPr>
              <w:pStyle w:val="naisc"/>
              <w:spacing w:before="0" w:after="0"/>
              <w:rPr>
                <w:sz w:val="22"/>
                <w:szCs w:val="22"/>
                <w:lang w:eastAsia="en-US"/>
              </w:rPr>
            </w:pPr>
            <w:r w:rsidRPr="00793437">
              <w:rPr>
                <w:sz w:val="22"/>
                <w:szCs w:val="22"/>
                <w:lang w:eastAsia="en-US"/>
              </w:rPr>
              <w:t>3</w:t>
            </w:r>
          </w:p>
        </w:tc>
        <w:tc>
          <w:tcPr>
            <w:tcW w:w="1116" w:type="pct"/>
            <w:tcBorders>
              <w:top w:val="single" w:color="000000" w:sz="6" w:space="0"/>
              <w:left w:val="single" w:color="000000" w:sz="6" w:space="0"/>
              <w:bottom w:val="single" w:color="000000" w:sz="6" w:space="0"/>
              <w:right w:val="single" w:color="000000" w:sz="6" w:space="0"/>
            </w:tcBorders>
            <w:hideMark/>
          </w:tcPr>
          <w:p w:rsidRPr="00E36116" w:rsidR="00C01E51" w:rsidP="00E36116" w:rsidRDefault="00F64DE4" w14:paraId="13628F36" w14:textId="77777777">
            <w:pPr>
              <w:pStyle w:val="naisc"/>
              <w:spacing w:before="0" w:after="0"/>
              <w:rPr>
                <w:sz w:val="22"/>
                <w:szCs w:val="22"/>
                <w:lang w:eastAsia="en-US"/>
              </w:rPr>
            </w:pPr>
            <w:r w:rsidRPr="00E36116">
              <w:rPr>
                <w:sz w:val="22"/>
                <w:szCs w:val="22"/>
                <w:lang w:eastAsia="en-US"/>
              </w:rPr>
              <w:t>4</w:t>
            </w:r>
          </w:p>
        </w:tc>
        <w:tc>
          <w:tcPr>
            <w:tcW w:w="769" w:type="pct"/>
            <w:tcBorders>
              <w:top w:val="single" w:color="auto" w:sz="4" w:space="0"/>
              <w:left w:val="single" w:color="auto" w:sz="4" w:space="0"/>
              <w:bottom w:val="single" w:color="auto" w:sz="4" w:space="0"/>
              <w:right w:val="single" w:color="auto" w:sz="4" w:space="0"/>
            </w:tcBorders>
            <w:hideMark/>
          </w:tcPr>
          <w:p w:rsidRPr="00E36116" w:rsidR="00C01E51" w:rsidP="00E36116" w:rsidRDefault="00F64DE4" w14:paraId="471CBD58" w14:textId="77777777">
            <w:pPr>
              <w:jc w:val="center"/>
              <w:rPr>
                <w:sz w:val="22"/>
                <w:szCs w:val="22"/>
                <w:lang w:eastAsia="en-US"/>
              </w:rPr>
            </w:pPr>
            <w:r w:rsidRPr="00E36116">
              <w:rPr>
                <w:sz w:val="22"/>
                <w:szCs w:val="22"/>
                <w:lang w:eastAsia="en-US"/>
              </w:rPr>
              <w:t>5</w:t>
            </w:r>
          </w:p>
        </w:tc>
        <w:tc>
          <w:tcPr>
            <w:tcW w:w="840" w:type="pct"/>
            <w:tcBorders>
              <w:top w:val="single" w:color="auto" w:sz="4" w:space="0"/>
              <w:left w:val="single" w:color="auto" w:sz="4" w:space="0"/>
              <w:bottom w:val="single" w:color="auto" w:sz="4" w:space="0"/>
              <w:right w:val="single" w:color="auto" w:sz="4" w:space="0"/>
            </w:tcBorders>
            <w:hideMark/>
          </w:tcPr>
          <w:p w:rsidRPr="00E36116" w:rsidR="00C01E51" w:rsidP="00E36116" w:rsidRDefault="00F64DE4" w14:paraId="3498B1AF" w14:textId="77777777">
            <w:pPr>
              <w:jc w:val="center"/>
              <w:rPr>
                <w:sz w:val="22"/>
                <w:szCs w:val="22"/>
                <w:lang w:eastAsia="en-US"/>
              </w:rPr>
            </w:pPr>
            <w:r w:rsidRPr="00E36116">
              <w:rPr>
                <w:sz w:val="22"/>
                <w:szCs w:val="22"/>
                <w:lang w:eastAsia="en-US"/>
              </w:rPr>
              <w:t>6</w:t>
            </w:r>
          </w:p>
        </w:tc>
      </w:tr>
      <w:tr w:rsidRPr="002957FB" w:rsidR="00472E17" w:rsidTr="00E36116" w14:paraId="51F5A6ED" w14:textId="77777777">
        <w:tc>
          <w:tcPr>
            <w:tcW w:w="191" w:type="pct"/>
            <w:tcBorders>
              <w:top w:val="single" w:color="000000" w:sz="6" w:space="0"/>
              <w:left w:val="single" w:color="000000" w:sz="6" w:space="0"/>
              <w:bottom w:val="single" w:color="000000" w:sz="6" w:space="0"/>
              <w:right w:val="single" w:color="000000" w:sz="6" w:space="0"/>
            </w:tcBorders>
          </w:tcPr>
          <w:p w:rsidRPr="002957FB" w:rsidR="00472E17" w:rsidP="002957FB" w:rsidRDefault="00472E17" w14:paraId="08CD54A9" w14:textId="0EA95254">
            <w:pPr>
              <w:pStyle w:val="naisc"/>
              <w:spacing w:before="0" w:after="0"/>
              <w:rPr>
                <w:sz w:val="22"/>
                <w:szCs w:val="22"/>
                <w:lang w:eastAsia="en-US"/>
              </w:rPr>
            </w:pPr>
            <w:r w:rsidRPr="002957FB">
              <w:rPr>
                <w:sz w:val="22"/>
                <w:szCs w:val="22"/>
                <w:lang w:eastAsia="en-US"/>
              </w:rPr>
              <w:t>1.</w:t>
            </w:r>
          </w:p>
        </w:tc>
        <w:tc>
          <w:tcPr>
            <w:tcW w:w="862" w:type="pct"/>
            <w:tcBorders>
              <w:top w:val="single" w:color="000000" w:sz="6" w:space="0"/>
              <w:left w:val="single" w:color="000000" w:sz="6" w:space="0"/>
              <w:bottom w:val="single" w:color="000000" w:sz="6" w:space="0"/>
              <w:right w:val="single" w:color="000000" w:sz="6" w:space="0"/>
            </w:tcBorders>
          </w:tcPr>
          <w:p w:rsidRPr="002C4155" w:rsidR="002C4155" w:rsidP="004A11DC" w:rsidRDefault="002957FB" w14:paraId="48358015" w14:textId="67D56301">
            <w:pPr>
              <w:pStyle w:val="naisc"/>
              <w:spacing w:before="0" w:after="0"/>
              <w:jc w:val="both"/>
              <w:rPr>
                <w:lang w:eastAsia="en-US"/>
              </w:rPr>
            </w:pPr>
            <w:r w:rsidRPr="002957FB">
              <w:rPr>
                <w:sz w:val="22"/>
                <w:szCs w:val="22"/>
              </w:rPr>
              <w:t>Ministru kabineta noteikumu projekts „Grozījumi Ministru kabineta 2005.gada 10.maija noteikumos Nr.321 „Noteikumi par tukšo materiālo nesēju un reproducēšanai izmantojamo iekārtu atlīdzības lielumu un tās iekasēšanas, atmaksāšanas, sadales un izmaksas kārtību””</w:t>
            </w:r>
            <w:r>
              <w:rPr>
                <w:sz w:val="22"/>
                <w:szCs w:val="22"/>
              </w:rPr>
              <w:t xml:space="preserve"> (turpmāk – Ministru kabineta noteikumu projekts)</w:t>
            </w:r>
            <w:r w:rsidRPr="002957FB" w:rsidR="00472E17">
              <w:rPr>
                <w:sz w:val="22"/>
                <w:szCs w:val="22"/>
              </w:rPr>
              <w:t xml:space="preserve"> kopumā</w:t>
            </w:r>
            <w:r>
              <w:rPr>
                <w:sz w:val="22"/>
                <w:szCs w:val="22"/>
              </w:rPr>
              <w:t>.</w:t>
            </w:r>
          </w:p>
        </w:tc>
        <w:tc>
          <w:tcPr>
            <w:tcW w:w="1221" w:type="pct"/>
            <w:tcBorders>
              <w:top w:val="single" w:color="000000" w:sz="6" w:space="0"/>
              <w:left w:val="single" w:color="000000" w:sz="6" w:space="0"/>
              <w:bottom w:val="single" w:color="000000" w:sz="6" w:space="0"/>
              <w:right w:val="single" w:color="000000" w:sz="6" w:space="0"/>
            </w:tcBorders>
          </w:tcPr>
          <w:p w:rsidRPr="002957FB" w:rsidR="00472E17" w:rsidP="00CA5C25" w:rsidRDefault="00472E17" w14:paraId="5376BD5E" w14:textId="28D42054">
            <w:pPr>
              <w:jc w:val="both"/>
              <w:rPr>
                <w:b/>
                <w:bCs/>
                <w:sz w:val="22"/>
                <w:szCs w:val="22"/>
              </w:rPr>
            </w:pPr>
            <w:r w:rsidRPr="002957FB">
              <w:rPr>
                <w:rFonts w:eastAsia="Calibri"/>
                <w:b/>
                <w:bCs/>
                <w:sz w:val="22"/>
                <w:szCs w:val="22"/>
                <w:shd w:val="clear" w:color="auto" w:fill="FFFFFF"/>
              </w:rPr>
              <w:t>LTRK, LETERA, LIKTA, LDTA</w:t>
            </w:r>
            <w:r w:rsidR="00D802F5">
              <w:rPr>
                <w:rFonts w:eastAsia="Calibri"/>
                <w:b/>
                <w:bCs/>
                <w:sz w:val="22"/>
                <w:szCs w:val="22"/>
                <w:shd w:val="clear" w:color="auto" w:fill="FFFFFF"/>
              </w:rPr>
              <w:t>:</w:t>
            </w:r>
          </w:p>
          <w:p w:rsidRPr="002957FB" w:rsidR="00472E17" w:rsidP="00CA5C25" w:rsidRDefault="00472E17" w14:paraId="7D5372F6" w14:textId="056E3165">
            <w:pPr>
              <w:pStyle w:val="naisc"/>
              <w:spacing w:before="0" w:after="0"/>
              <w:jc w:val="both"/>
              <w:rPr>
                <w:sz w:val="22"/>
                <w:szCs w:val="22"/>
              </w:rPr>
            </w:pPr>
            <w:r w:rsidRPr="002957FB">
              <w:rPr>
                <w:sz w:val="22"/>
                <w:szCs w:val="22"/>
              </w:rPr>
              <w:t>Neatkarīgi no aprēķina korektuma norādām, ka iebilstām principā pret viedtālruņu iekļaušanu ierīču sarakstā, kas tiek apliktas ar maksu, pamatojoties uz augstāk norādītajiem faktiem.</w:t>
            </w:r>
          </w:p>
          <w:p w:rsidRPr="002957FB" w:rsidR="00472E17" w:rsidP="00CA5C25" w:rsidRDefault="00472E17" w14:paraId="477F714E" w14:textId="10C80DB3">
            <w:pPr>
              <w:pStyle w:val="naisc"/>
              <w:spacing w:before="0" w:after="0"/>
              <w:jc w:val="both"/>
              <w:rPr>
                <w:sz w:val="22"/>
                <w:szCs w:val="22"/>
                <w:lang w:eastAsia="en-US"/>
              </w:rPr>
            </w:pPr>
            <w:r w:rsidRPr="002957FB">
              <w:rPr>
                <w:sz w:val="22"/>
                <w:szCs w:val="22"/>
              </w:rPr>
              <w:t>Tāpat ir ignorēti vairāki svarīgi uzdevumi, kas ļautu nodrošināt gan sakārtotu uzņēmējdarbības vidi, gan pienācīgu atlīdzību darbu autoriem. Pirātisms, kas autoriem rada vislielāko kaitējumu, ilgstoši netiek apkarots, gan radot tiešus zaudējumus autoriem, gan arī kropļojot ar autortiesībām aizsargāto darbu patēriņa kultūru Latvijā. Ir jānodrošina, lai datu nesēju atlīdzība tiktu iekasēta par visām datu nesēju piegādēm privātpersonām, arī no citu valstu sabiedrībām, kas piegādā preces tieši Latvijas privātpersonām (</w:t>
            </w:r>
            <w:proofErr w:type="spellStart"/>
            <w:r w:rsidRPr="002957FB">
              <w:rPr>
                <w:sz w:val="22"/>
                <w:szCs w:val="22"/>
              </w:rPr>
              <w:t>tālpārdošanas</w:t>
            </w:r>
            <w:proofErr w:type="spellEnd"/>
            <w:r w:rsidRPr="002957FB">
              <w:rPr>
                <w:sz w:val="22"/>
                <w:szCs w:val="22"/>
              </w:rPr>
              <w:t xml:space="preserve"> darījumos), tādējādi </w:t>
            </w:r>
            <w:r w:rsidRPr="002957FB">
              <w:rPr>
                <w:sz w:val="22"/>
                <w:szCs w:val="22"/>
              </w:rPr>
              <w:lastRenderedPageBreak/>
              <w:t xml:space="preserve">novēršot konkurences izkropļojumu. Citu valstu juridiskajām personām būtu jāpiemēro identiski nosacījumi kā Latvijas datu nesēju tirgotājiem. Datu nesēju atlīdzība ir jāiekasē par tām tehnoloģijām, kas faktiski tiek izmantotas darbu kopēšanā. Arvien pieaugošā interneta izmantošana </w:t>
            </w:r>
            <w:proofErr w:type="spellStart"/>
            <w:r w:rsidRPr="002957FB">
              <w:rPr>
                <w:sz w:val="22"/>
                <w:szCs w:val="22"/>
              </w:rPr>
              <w:t>autordarbu</w:t>
            </w:r>
            <w:proofErr w:type="spellEnd"/>
            <w:r w:rsidRPr="002957FB">
              <w:rPr>
                <w:sz w:val="22"/>
                <w:szCs w:val="22"/>
              </w:rPr>
              <w:t xml:space="preserve"> patēriņā galu galā rada situāciju, kad viss autoriem šādi izdarītais kaitējums būs jāuzņemas datu nesēju tirgotājiem, neraugoties uz to, ka datu nesēji jau vairs faktiski netiek izmantoti darbu kopēšanai. Ņemot vērā tehnoloģiju progresu, KM ir jāizstrādā jauna, reālajai situācijai atbilstoša sistēma, kā nodrošināt autoriem pienākošos kompensāciju par viņu darbu izmantošanu. Ir jāapsver iespēja aizliegt </w:t>
            </w:r>
            <w:proofErr w:type="spellStart"/>
            <w:r w:rsidRPr="002957FB">
              <w:rPr>
                <w:sz w:val="22"/>
                <w:szCs w:val="22"/>
              </w:rPr>
              <w:t>privātkopēšanu</w:t>
            </w:r>
            <w:proofErr w:type="spellEnd"/>
            <w:r w:rsidRPr="002957FB">
              <w:rPr>
                <w:sz w:val="22"/>
                <w:szCs w:val="22"/>
              </w:rPr>
              <w:t xml:space="preserve"> vispār, lai nodrošinātu, pirmkārt, sakārtotu biznesa vidi un vienādus nosacījumus visiem tirgus dalībniekiem, kā arī taisnīgi uzliktu izmaksu slogu tām personām, kas faktiski patērē ar autortiesībām aizsargātos darbus, nevis visai sabiedrības daļai, kam ir cietie diski, </w:t>
            </w:r>
            <w:proofErr w:type="spellStart"/>
            <w:r w:rsidRPr="002957FB">
              <w:rPr>
                <w:sz w:val="22"/>
                <w:szCs w:val="22"/>
              </w:rPr>
              <w:t>viedtelefoni</w:t>
            </w:r>
            <w:proofErr w:type="spellEnd"/>
            <w:r w:rsidRPr="002957FB">
              <w:rPr>
                <w:sz w:val="22"/>
                <w:szCs w:val="22"/>
              </w:rPr>
              <w:t xml:space="preserve"> u.c. datu nesēji, neatkarīgi no tā, kādiem mērķiem tie tiek izmantoti.</w:t>
            </w:r>
          </w:p>
        </w:tc>
        <w:tc>
          <w:tcPr>
            <w:tcW w:w="1116" w:type="pct"/>
            <w:tcBorders>
              <w:top w:val="single" w:color="000000" w:sz="6" w:space="0"/>
              <w:left w:val="single" w:color="000000" w:sz="6" w:space="0"/>
              <w:bottom w:val="single" w:color="000000" w:sz="6" w:space="0"/>
              <w:right w:val="single" w:color="000000" w:sz="6" w:space="0"/>
            </w:tcBorders>
          </w:tcPr>
          <w:p w:rsidRPr="002957FB" w:rsidR="00472E17" w:rsidRDefault="00472E17" w14:paraId="01969F16" w14:textId="77777777">
            <w:pPr>
              <w:pStyle w:val="naisc"/>
              <w:spacing w:before="0" w:after="0"/>
              <w:rPr>
                <w:b/>
                <w:bCs/>
                <w:sz w:val="22"/>
                <w:szCs w:val="22"/>
                <w:lang w:eastAsia="en-US"/>
              </w:rPr>
            </w:pPr>
            <w:r w:rsidRPr="002957FB">
              <w:rPr>
                <w:b/>
                <w:bCs/>
                <w:sz w:val="22"/>
                <w:szCs w:val="22"/>
                <w:lang w:eastAsia="en-US"/>
              </w:rPr>
              <w:lastRenderedPageBreak/>
              <w:t>Nav ņemts vērā</w:t>
            </w:r>
          </w:p>
          <w:p w:rsidRPr="002957FB" w:rsidR="00472E17" w:rsidP="00CA5C25" w:rsidRDefault="00472E17" w14:paraId="7FD7D87B" w14:textId="68B5B39F">
            <w:pPr>
              <w:pStyle w:val="naisc"/>
              <w:spacing w:before="0" w:after="0"/>
              <w:jc w:val="both"/>
              <w:rPr>
                <w:sz w:val="22"/>
                <w:szCs w:val="22"/>
                <w:lang w:eastAsia="en-US"/>
              </w:rPr>
            </w:pPr>
            <w:r w:rsidRPr="002957FB">
              <w:rPr>
                <w:sz w:val="22"/>
                <w:szCs w:val="22"/>
                <w:lang w:eastAsia="en-US"/>
              </w:rPr>
              <w:t>Iebildums</w:t>
            </w:r>
            <w:r w:rsidRPr="002957FB" w:rsidR="000830F3">
              <w:rPr>
                <w:sz w:val="22"/>
                <w:szCs w:val="22"/>
                <w:lang w:eastAsia="en-US"/>
              </w:rPr>
              <w:t xml:space="preserve"> par pirātisma apkarošanas problēmām pēc būtības</w:t>
            </w:r>
            <w:r w:rsidRPr="002957FB">
              <w:rPr>
                <w:sz w:val="22"/>
                <w:szCs w:val="22"/>
                <w:lang w:eastAsia="en-US"/>
              </w:rPr>
              <w:t xml:space="preserve"> neattiecas uz </w:t>
            </w:r>
            <w:proofErr w:type="spellStart"/>
            <w:r w:rsidRPr="002957FB">
              <w:rPr>
                <w:sz w:val="22"/>
                <w:szCs w:val="22"/>
                <w:lang w:eastAsia="en-US"/>
              </w:rPr>
              <w:t>privātkopēšanas</w:t>
            </w:r>
            <w:proofErr w:type="spellEnd"/>
            <w:r w:rsidRPr="002957FB">
              <w:rPr>
                <w:sz w:val="22"/>
                <w:szCs w:val="22"/>
                <w:lang w:eastAsia="en-US"/>
              </w:rPr>
              <w:t xml:space="preserve"> izņēmumu</w:t>
            </w:r>
            <w:r w:rsidRPr="002957FB" w:rsidR="000830F3">
              <w:rPr>
                <w:sz w:val="22"/>
                <w:szCs w:val="22"/>
                <w:lang w:eastAsia="en-US"/>
              </w:rPr>
              <w:t>, jo n</w:t>
            </w:r>
            <w:r w:rsidRPr="002957FB">
              <w:rPr>
                <w:sz w:val="22"/>
                <w:szCs w:val="22"/>
                <w:lang w:eastAsia="en-US"/>
              </w:rPr>
              <w:t xml:space="preserve">esēja atlīdzība tiek noteikta tikai par legāli iegūtu darbu kopēšanu. </w:t>
            </w:r>
          </w:p>
          <w:p w:rsidRPr="002957FB" w:rsidR="006429DA" w:rsidP="00CA5C25" w:rsidRDefault="0023228E" w14:paraId="6CA68C8C" w14:textId="77777777">
            <w:pPr>
              <w:pStyle w:val="naisc"/>
              <w:spacing w:before="0" w:after="0"/>
              <w:jc w:val="both"/>
              <w:rPr>
                <w:sz w:val="22"/>
                <w:szCs w:val="22"/>
                <w:lang w:eastAsia="en-US"/>
              </w:rPr>
            </w:pPr>
            <w:r w:rsidRPr="002957FB">
              <w:rPr>
                <w:sz w:val="22"/>
                <w:szCs w:val="22"/>
                <w:lang w:eastAsia="en-US"/>
              </w:rPr>
              <w:t xml:space="preserve">Saskaņā ar Autortiesību likuma 34.panta otro daļu nesēja atlīdzību par </w:t>
            </w:r>
            <w:proofErr w:type="spellStart"/>
            <w:r w:rsidRPr="002957FB">
              <w:rPr>
                <w:sz w:val="22"/>
                <w:szCs w:val="22"/>
                <w:lang w:eastAsia="en-US"/>
              </w:rPr>
              <w:t>privātkopēšanu</w:t>
            </w:r>
            <w:proofErr w:type="spellEnd"/>
            <w:r w:rsidRPr="002957FB">
              <w:rPr>
                <w:sz w:val="22"/>
                <w:szCs w:val="22"/>
                <w:lang w:eastAsia="en-US"/>
              </w:rPr>
              <w:t xml:space="preserve"> maksā šādai kopēšanai izmantojamo iekārtu un tukšo materiālo nesēju (turpmāk – iekārtas un nesēji) izgatavotāji un personas, kas tos ieved Latvijā.</w:t>
            </w:r>
          </w:p>
          <w:p w:rsidRPr="002957FB" w:rsidR="006429DA" w:rsidP="00CA5C25" w:rsidRDefault="006429DA" w14:paraId="37A44B30" w14:textId="190CD387">
            <w:pPr>
              <w:pStyle w:val="naisc"/>
              <w:spacing w:before="0" w:after="0"/>
              <w:jc w:val="both"/>
              <w:rPr>
                <w:sz w:val="22"/>
                <w:szCs w:val="22"/>
                <w:lang w:eastAsia="en-US"/>
              </w:rPr>
            </w:pPr>
            <w:r w:rsidRPr="002957FB">
              <w:rPr>
                <w:sz w:val="22"/>
                <w:szCs w:val="22"/>
                <w:lang w:eastAsia="en-US"/>
              </w:rPr>
              <w:t xml:space="preserve">Atbilstoši Eiropas Savienības Tiesas 2011.gada 16.jūnija spriedumam lietā Nr. C-462/09 </w:t>
            </w:r>
            <w:proofErr w:type="spellStart"/>
            <w:r w:rsidRPr="002957FB">
              <w:rPr>
                <w:i/>
                <w:iCs/>
                <w:sz w:val="22"/>
                <w:szCs w:val="22"/>
                <w:lang w:eastAsia="en-US"/>
              </w:rPr>
              <w:t>Stichting</w:t>
            </w:r>
            <w:proofErr w:type="spellEnd"/>
            <w:r w:rsidRPr="002957FB">
              <w:rPr>
                <w:i/>
                <w:iCs/>
                <w:sz w:val="22"/>
                <w:szCs w:val="22"/>
                <w:lang w:eastAsia="en-US"/>
              </w:rPr>
              <w:t xml:space="preserve"> </w:t>
            </w:r>
            <w:proofErr w:type="spellStart"/>
            <w:r w:rsidRPr="002957FB">
              <w:rPr>
                <w:i/>
                <w:iCs/>
                <w:sz w:val="22"/>
                <w:szCs w:val="22"/>
                <w:lang w:eastAsia="en-US"/>
              </w:rPr>
              <w:t>de</w:t>
            </w:r>
            <w:proofErr w:type="spellEnd"/>
            <w:r w:rsidRPr="002957FB">
              <w:rPr>
                <w:i/>
                <w:iCs/>
                <w:sz w:val="22"/>
                <w:szCs w:val="22"/>
                <w:lang w:eastAsia="en-US"/>
              </w:rPr>
              <w:t xml:space="preserve"> </w:t>
            </w:r>
            <w:proofErr w:type="spellStart"/>
            <w:r w:rsidRPr="002957FB">
              <w:rPr>
                <w:i/>
                <w:iCs/>
                <w:sz w:val="22"/>
                <w:szCs w:val="22"/>
                <w:lang w:eastAsia="en-US"/>
              </w:rPr>
              <w:t>Thuiskopi</w:t>
            </w:r>
            <w:r w:rsidRPr="002957FB" w:rsidR="00FD0B7B">
              <w:rPr>
                <w:i/>
                <w:iCs/>
                <w:sz w:val="22"/>
                <w:szCs w:val="22"/>
                <w:lang w:eastAsia="en-US"/>
              </w:rPr>
              <w:t>e</w:t>
            </w:r>
            <w:proofErr w:type="spellEnd"/>
            <w:r w:rsidRPr="002957FB">
              <w:rPr>
                <w:i/>
                <w:iCs/>
                <w:sz w:val="22"/>
                <w:szCs w:val="22"/>
                <w:lang w:eastAsia="en-US"/>
              </w:rPr>
              <w:t xml:space="preserve"> v. </w:t>
            </w:r>
            <w:proofErr w:type="spellStart"/>
            <w:r w:rsidRPr="002957FB">
              <w:rPr>
                <w:i/>
                <w:iCs/>
                <w:sz w:val="22"/>
                <w:szCs w:val="22"/>
                <w:lang w:eastAsia="en-US"/>
              </w:rPr>
              <w:t>Opus</w:t>
            </w:r>
            <w:proofErr w:type="spellEnd"/>
            <w:r w:rsidRPr="002957FB">
              <w:rPr>
                <w:i/>
                <w:iCs/>
                <w:sz w:val="22"/>
                <w:szCs w:val="22"/>
                <w:lang w:eastAsia="en-US"/>
              </w:rPr>
              <w:t xml:space="preserve"> </w:t>
            </w:r>
            <w:proofErr w:type="spellStart"/>
            <w:r w:rsidRPr="002957FB">
              <w:rPr>
                <w:i/>
                <w:iCs/>
                <w:sz w:val="22"/>
                <w:szCs w:val="22"/>
                <w:lang w:eastAsia="en-US"/>
              </w:rPr>
              <w:t>Supplies</w:t>
            </w:r>
            <w:proofErr w:type="spellEnd"/>
            <w:r w:rsidRPr="002957FB">
              <w:rPr>
                <w:i/>
                <w:iCs/>
                <w:sz w:val="22"/>
                <w:szCs w:val="22"/>
                <w:lang w:eastAsia="en-US"/>
              </w:rPr>
              <w:t xml:space="preserve"> </w:t>
            </w:r>
            <w:proofErr w:type="spellStart"/>
            <w:r w:rsidRPr="002957FB">
              <w:rPr>
                <w:i/>
                <w:iCs/>
                <w:sz w:val="22"/>
                <w:szCs w:val="22"/>
                <w:lang w:eastAsia="en-US"/>
              </w:rPr>
              <w:t>Deutschland</w:t>
            </w:r>
            <w:proofErr w:type="spellEnd"/>
            <w:r w:rsidRPr="002957FB">
              <w:rPr>
                <w:i/>
                <w:iCs/>
                <w:sz w:val="22"/>
                <w:szCs w:val="22"/>
                <w:lang w:eastAsia="en-US"/>
              </w:rPr>
              <w:t xml:space="preserve"> </w:t>
            </w:r>
            <w:proofErr w:type="spellStart"/>
            <w:r w:rsidRPr="002957FB">
              <w:rPr>
                <w:i/>
                <w:iCs/>
                <w:sz w:val="22"/>
                <w:szCs w:val="22"/>
                <w:lang w:eastAsia="en-US"/>
              </w:rPr>
              <w:t>GmbH</w:t>
            </w:r>
            <w:proofErr w:type="spellEnd"/>
            <w:r w:rsidRPr="002957FB">
              <w:rPr>
                <w:sz w:val="22"/>
                <w:szCs w:val="22"/>
                <w:lang w:eastAsia="en-US"/>
              </w:rPr>
              <w:t xml:space="preserve"> </w:t>
            </w:r>
            <w:r w:rsidRPr="002957FB" w:rsidR="00FD0B7B">
              <w:rPr>
                <w:sz w:val="22"/>
                <w:szCs w:val="22"/>
                <w:lang w:eastAsia="en-US"/>
              </w:rPr>
              <w:t xml:space="preserve">(sk. sprieduma 39. – 41.p.) dalībvalsts iestādēm, it īpaši tiesai, </w:t>
            </w:r>
            <w:r w:rsidRPr="002957FB">
              <w:rPr>
                <w:sz w:val="22"/>
                <w:szCs w:val="22"/>
                <w:lang w:eastAsia="en-US"/>
              </w:rPr>
              <w:t xml:space="preserve"> </w:t>
            </w:r>
            <w:r w:rsidRPr="002957FB" w:rsidR="00D633AB">
              <w:rPr>
                <w:sz w:val="22"/>
                <w:szCs w:val="22"/>
                <w:lang w:eastAsia="en-US"/>
              </w:rPr>
              <w:t xml:space="preserve">gadījumā, ja nav iespējams </w:t>
            </w:r>
            <w:r w:rsidRPr="002957FB" w:rsidR="00D633AB">
              <w:rPr>
                <w:sz w:val="22"/>
                <w:szCs w:val="22"/>
                <w:lang w:eastAsia="en-US"/>
              </w:rPr>
              <w:lastRenderedPageBreak/>
              <w:t>nodrošināt taisnīgās atlīdzības iekasēšanu no pircējiem, ir jāinterpretē savas valsts regulējums tādējādi, lai šo atlīdzību varētu iekasēt no pārdevēja, kurš</w:t>
            </w:r>
            <w:r w:rsidRPr="002957FB" w:rsidR="00DA2BC8">
              <w:rPr>
                <w:sz w:val="22"/>
                <w:szCs w:val="22"/>
                <w:lang w:eastAsia="en-US"/>
              </w:rPr>
              <w:t xml:space="preserve"> sekmējis minēto datu nesēju importu, nododot tos pircēja rīcībā.</w:t>
            </w:r>
            <w:r w:rsidRPr="002957FB" w:rsidR="00402FA6">
              <w:rPr>
                <w:sz w:val="22"/>
                <w:szCs w:val="22"/>
                <w:lang w:eastAsia="en-US"/>
              </w:rPr>
              <w:t xml:space="preserve"> Šo pienākumu neietekmē apstāklis, ka</w:t>
            </w:r>
            <w:r w:rsidRPr="002957FB" w:rsidR="00E25514">
              <w:rPr>
                <w:sz w:val="22"/>
                <w:szCs w:val="22"/>
                <w:lang w:eastAsia="en-US"/>
              </w:rPr>
              <w:t xml:space="preserve"> distances līgumu gadījumā</w:t>
            </w:r>
            <w:r w:rsidRPr="002957FB" w:rsidR="00402FA6">
              <w:rPr>
                <w:sz w:val="22"/>
                <w:szCs w:val="22"/>
                <w:lang w:eastAsia="en-US"/>
              </w:rPr>
              <w:t xml:space="preserve"> pārdevējs, kurš nodod pircēju rīcībā nesējus vai kopēšanas iekārtas</w:t>
            </w:r>
            <w:r w:rsidRPr="002957FB" w:rsidR="00E25514">
              <w:rPr>
                <w:sz w:val="22"/>
                <w:szCs w:val="22"/>
                <w:lang w:eastAsia="en-US"/>
              </w:rPr>
              <w:t>,</w:t>
            </w:r>
            <w:r w:rsidRPr="002957FB" w:rsidR="00402FA6">
              <w:rPr>
                <w:sz w:val="22"/>
                <w:szCs w:val="22"/>
                <w:lang w:eastAsia="en-US"/>
              </w:rPr>
              <w:t xml:space="preserve"> atrodas citā dalībvalstī.</w:t>
            </w:r>
          </w:p>
          <w:p w:rsidRPr="002957FB" w:rsidR="00A70A9D" w:rsidP="00CA5C25" w:rsidRDefault="00792420" w14:paraId="178CE342" w14:textId="35D719C3">
            <w:pPr>
              <w:pStyle w:val="naisc"/>
              <w:spacing w:before="0" w:after="0"/>
              <w:jc w:val="both"/>
              <w:rPr>
                <w:sz w:val="22"/>
                <w:szCs w:val="22"/>
                <w:lang w:eastAsia="en-US"/>
              </w:rPr>
            </w:pPr>
            <w:r w:rsidRPr="002957FB">
              <w:rPr>
                <w:sz w:val="22"/>
                <w:szCs w:val="22"/>
                <w:lang w:eastAsia="en-US"/>
              </w:rPr>
              <w:t xml:space="preserve">Pamatojoties uz </w:t>
            </w:r>
            <w:r w:rsidRPr="002957FB" w:rsidR="001C5A0F">
              <w:rPr>
                <w:sz w:val="22"/>
                <w:szCs w:val="22"/>
                <w:lang w:eastAsia="en-US"/>
              </w:rPr>
              <w:t>iepriekš norādītajām</w:t>
            </w:r>
            <w:r w:rsidRPr="002957FB">
              <w:rPr>
                <w:sz w:val="22"/>
                <w:szCs w:val="22"/>
                <w:lang w:eastAsia="en-US"/>
              </w:rPr>
              <w:t xml:space="preserve"> Eiropas Savienības Tiesas atziņām, jau šobrīd varētu interpretēt, ka Autortiesību likum</w:t>
            </w:r>
            <w:r w:rsidRPr="002957FB" w:rsidR="00CE02AB">
              <w:rPr>
                <w:sz w:val="22"/>
                <w:szCs w:val="22"/>
                <w:lang w:eastAsia="en-US"/>
              </w:rPr>
              <w:t>a 34.pants paredz pienākumu</w:t>
            </w:r>
            <w:r w:rsidRPr="002957FB" w:rsidR="00DC53BA">
              <w:rPr>
                <w:sz w:val="22"/>
                <w:szCs w:val="22"/>
                <w:lang w:eastAsia="en-US"/>
              </w:rPr>
              <w:t xml:space="preserve"> </w:t>
            </w:r>
            <w:r w:rsidRPr="002957FB" w:rsidR="0071010B">
              <w:rPr>
                <w:sz w:val="22"/>
                <w:szCs w:val="22"/>
                <w:lang w:eastAsia="en-US"/>
              </w:rPr>
              <w:t xml:space="preserve">ārvalstu interneta veikalam, </w:t>
            </w:r>
            <w:r w:rsidRPr="002957FB" w:rsidR="00852B57">
              <w:rPr>
                <w:sz w:val="22"/>
                <w:szCs w:val="22"/>
                <w:lang w:eastAsia="en-US"/>
              </w:rPr>
              <w:t>k</w:t>
            </w:r>
            <w:r w:rsidRPr="002957FB" w:rsidR="00DC53BA">
              <w:rPr>
                <w:sz w:val="22"/>
                <w:szCs w:val="22"/>
                <w:lang w:eastAsia="en-US"/>
              </w:rPr>
              <w:t>as nodrošina nesēju un ie</w:t>
            </w:r>
            <w:r w:rsidRPr="002957FB" w:rsidR="00260E8C">
              <w:rPr>
                <w:sz w:val="22"/>
                <w:szCs w:val="22"/>
                <w:lang w:eastAsia="en-US"/>
              </w:rPr>
              <w:t>kārtu</w:t>
            </w:r>
            <w:r w:rsidRPr="002957FB" w:rsidR="00DC53BA">
              <w:rPr>
                <w:sz w:val="22"/>
                <w:szCs w:val="22"/>
                <w:lang w:eastAsia="en-US"/>
              </w:rPr>
              <w:t xml:space="preserve"> piegādi </w:t>
            </w:r>
            <w:r w:rsidRPr="002957FB" w:rsidR="0071010B">
              <w:rPr>
                <w:sz w:val="22"/>
                <w:szCs w:val="22"/>
                <w:lang w:eastAsia="en-US"/>
              </w:rPr>
              <w:t>Latvijas pircēj</w:t>
            </w:r>
            <w:r w:rsidRPr="002957FB" w:rsidR="00DC53BA">
              <w:rPr>
                <w:sz w:val="22"/>
                <w:szCs w:val="22"/>
                <w:lang w:eastAsia="en-US"/>
              </w:rPr>
              <w:t>iem</w:t>
            </w:r>
            <w:r w:rsidRPr="002957FB" w:rsidR="0071010B">
              <w:rPr>
                <w:sz w:val="22"/>
                <w:szCs w:val="22"/>
                <w:lang w:eastAsia="en-US"/>
              </w:rPr>
              <w:t xml:space="preserve">, </w:t>
            </w:r>
            <w:r w:rsidRPr="002957FB" w:rsidR="00DC53BA">
              <w:rPr>
                <w:sz w:val="22"/>
                <w:szCs w:val="22"/>
                <w:lang w:eastAsia="en-US"/>
              </w:rPr>
              <w:t>pienākumu maksāt</w:t>
            </w:r>
            <w:r w:rsidRPr="002957FB" w:rsidR="0071010B">
              <w:rPr>
                <w:sz w:val="22"/>
                <w:szCs w:val="22"/>
                <w:lang w:eastAsia="en-US"/>
              </w:rPr>
              <w:t xml:space="preserve"> nesēja atlīdzīb</w:t>
            </w:r>
            <w:r w:rsidRPr="002957FB" w:rsidR="002B6907">
              <w:rPr>
                <w:sz w:val="22"/>
                <w:szCs w:val="22"/>
                <w:lang w:eastAsia="en-US"/>
              </w:rPr>
              <w:t>u</w:t>
            </w:r>
            <w:r w:rsidRPr="002957FB" w:rsidR="0071010B">
              <w:rPr>
                <w:sz w:val="22"/>
                <w:szCs w:val="22"/>
                <w:lang w:eastAsia="en-US"/>
              </w:rPr>
              <w:t xml:space="preserve">. </w:t>
            </w:r>
            <w:r w:rsidRPr="002957FB" w:rsidR="00A70A9D">
              <w:rPr>
                <w:sz w:val="22"/>
                <w:szCs w:val="22"/>
                <w:lang w:eastAsia="en-US"/>
              </w:rPr>
              <w:t>Ja iebilduma sniedzēj</w:t>
            </w:r>
            <w:r w:rsidRPr="002957FB" w:rsidR="00433B12">
              <w:rPr>
                <w:sz w:val="22"/>
                <w:szCs w:val="22"/>
                <w:lang w:eastAsia="en-US"/>
              </w:rPr>
              <w:t>u rīcībā</w:t>
            </w:r>
            <w:r w:rsidRPr="002957FB" w:rsidR="00A70A9D">
              <w:rPr>
                <w:sz w:val="22"/>
                <w:szCs w:val="22"/>
                <w:lang w:eastAsia="en-US"/>
              </w:rPr>
              <w:t xml:space="preserve"> ir informācija par </w:t>
            </w:r>
            <w:r w:rsidRPr="002957FB" w:rsidR="00AF31F6">
              <w:rPr>
                <w:sz w:val="22"/>
                <w:szCs w:val="22"/>
                <w:lang w:eastAsia="en-US"/>
              </w:rPr>
              <w:t xml:space="preserve">šādiem </w:t>
            </w:r>
            <w:r w:rsidRPr="002957FB" w:rsidR="00A70A9D">
              <w:rPr>
                <w:sz w:val="22"/>
                <w:szCs w:val="22"/>
                <w:lang w:eastAsia="en-US"/>
              </w:rPr>
              <w:t xml:space="preserve">ārvalstu interneta veikaliem, </w:t>
            </w:r>
            <w:r w:rsidRPr="002957FB" w:rsidR="00AF31F6">
              <w:rPr>
                <w:sz w:val="22"/>
                <w:szCs w:val="22"/>
                <w:lang w:eastAsia="en-US"/>
              </w:rPr>
              <w:t>par to būtu jāinformē</w:t>
            </w:r>
            <w:r w:rsidRPr="002957FB" w:rsidR="00A70A9D">
              <w:rPr>
                <w:sz w:val="22"/>
                <w:szCs w:val="22"/>
                <w:lang w:eastAsia="en-US"/>
              </w:rPr>
              <w:t xml:space="preserve"> atbildīg</w:t>
            </w:r>
            <w:r w:rsidRPr="002957FB" w:rsidR="00AF31F6">
              <w:rPr>
                <w:sz w:val="22"/>
                <w:szCs w:val="22"/>
                <w:lang w:eastAsia="en-US"/>
              </w:rPr>
              <w:t>ā</w:t>
            </w:r>
            <w:r w:rsidRPr="002957FB" w:rsidR="00A70A9D">
              <w:rPr>
                <w:sz w:val="22"/>
                <w:szCs w:val="22"/>
                <w:lang w:eastAsia="en-US"/>
              </w:rPr>
              <w:t xml:space="preserve"> kolektīvā pārvaldījuma organizācija tālākai rīcībai.</w:t>
            </w:r>
          </w:p>
          <w:p w:rsidRPr="002957FB" w:rsidR="00922FC6" w:rsidP="00CA5C25" w:rsidRDefault="00A70A9D" w14:paraId="243AAB7C" w14:textId="1804289E">
            <w:pPr>
              <w:pStyle w:val="naisc"/>
              <w:spacing w:before="0" w:after="0"/>
              <w:jc w:val="both"/>
              <w:rPr>
                <w:sz w:val="22"/>
                <w:szCs w:val="22"/>
                <w:lang w:eastAsia="en-US"/>
              </w:rPr>
            </w:pPr>
            <w:r w:rsidRPr="002957FB">
              <w:rPr>
                <w:sz w:val="22"/>
                <w:szCs w:val="22"/>
                <w:lang w:eastAsia="en-US"/>
              </w:rPr>
              <w:t xml:space="preserve">Tāpat iebilduma sniedzēji nav </w:t>
            </w:r>
            <w:r w:rsidRPr="002957FB" w:rsidR="00D97CB9">
              <w:rPr>
                <w:sz w:val="22"/>
                <w:szCs w:val="22"/>
                <w:lang w:eastAsia="en-US"/>
              </w:rPr>
              <w:t>snieguši informāciju par</w:t>
            </w:r>
            <w:r w:rsidRPr="002957FB">
              <w:rPr>
                <w:sz w:val="22"/>
                <w:szCs w:val="22"/>
                <w:lang w:eastAsia="en-US"/>
              </w:rPr>
              <w:t xml:space="preserve"> š</w:t>
            </w:r>
            <w:r w:rsidRPr="002957FB" w:rsidR="00D97CB9">
              <w:rPr>
                <w:sz w:val="22"/>
                <w:szCs w:val="22"/>
                <w:lang w:eastAsia="en-US"/>
              </w:rPr>
              <w:t>ādu pirkumu</w:t>
            </w:r>
            <w:r w:rsidRPr="002957FB">
              <w:rPr>
                <w:sz w:val="22"/>
                <w:szCs w:val="22"/>
                <w:lang w:eastAsia="en-US"/>
              </w:rPr>
              <w:t xml:space="preserve"> ap</w:t>
            </w:r>
            <w:r w:rsidRPr="002957FB" w:rsidR="00D97CB9">
              <w:rPr>
                <w:sz w:val="22"/>
                <w:szCs w:val="22"/>
                <w:lang w:eastAsia="en-US"/>
              </w:rPr>
              <w:t>jomu</w:t>
            </w:r>
            <w:r w:rsidRPr="002957FB">
              <w:rPr>
                <w:sz w:val="22"/>
                <w:szCs w:val="22"/>
                <w:lang w:eastAsia="en-US"/>
              </w:rPr>
              <w:t xml:space="preserve">. </w:t>
            </w:r>
            <w:r w:rsidRPr="002957FB" w:rsidR="00750FE0">
              <w:rPr>
                <w:sz w:val="22"/>
                <w:szCs w:val="22"/>
                <w:lang w:eastAsia="en-US"/>
              </w:rPr>
              <w:t>Jāņem vērā, ka</w:t>
            </w:r>
            <w:r w:rsidRPr="002957FB" w:rsidR="00B4715C">
              <w:rPr>
                <w:sz w:val="22"/>
                <w:szCs w:val="22"/>
                <w:lang w:eastAsia="en-US"/>
              </w:rPr>
              <w:t xml:space="preserve"> lielākajā daļā Eiropas Savienības</w:t>
            </w:r>
            <w:r w:rsidRPr="002957FB" w:rsidR="00750FE0">
              <w:rPr>
                <w:sz w:val="22"/>
                <w:szCs w:val="22"/>
                <w:lang w:eastAsia="en-US"/>
              </w:rPr>
              <w:t xml:space="preserve"> dalībvalstu un</w:t>
            </w:r>
            <w:r w:rsidRPr="002957FB" w:rsidR="00B4715C">
              <w:rPr>
                <w:sz w:val="22"/>
                <w:szCs w:val="22"/>
                <w:lang w:eastAsia="en-US"/>
              </w:rPr>
              <w:t xml:space="preserve"> daudzās </w:t>
            </w:r>
            <w:r w:rsidRPr="002957FB" w:rsidR="00750FE0">
              <w:rPr>
                <w:sz w:val="22"/>
                <w:szCs w:val="22"/>
                <w:lang w:eastAsia="en-US"/>
              </w:rPr>
              <w:t xml:space="preserve">trešās </w:t>
            </w:r>
            <w:r w:rsidRPr="002957FB" w:rsidR="00B4715C">
              <w:rPr>
                <w:sz w:val="22"/>
                <w:szCs w:val="22"/>
                <w:lang w:eastAsia="en-US"/>
              </w:rPr>
              <w:t xml:space="preserve">valstīs ir noteikta nesēja atlīdzība, </w:t>
            </w:r>
            <w:r w:rsidRPr="002957FB" w:rsidR="00750FE0">
              <w:rPr>
                <w:sz w:val="22"/>
                <w:szCs w:val="22"/>
                <w:lang w:eastAsia="en-US"/>
              </w:rPr>
              <w:t xml:space="preserve">līdz ar to jāvērtē, vai šī </w:t>
            </w:r>
            <w:r w:rsidRPr="002957FB" w:rsidR="00750FE0">
              <w:rPr>
                <w:sz w:val="22"/>
                <w:szCs w:val="22"/>
                <w:lang w:eastAsia="en-US"/>
              </w:rPr>
              <w:lastRenderedPageBreak/>
              <w:t>atlīdzība jau netiek samaksāta pārdevēja mītnes zemē.</w:t>
            </w:r>
          </w:p>
          <w:p w:rsidRPr="002957FB" w:rsidR="00A70A9D" w:rsidP="00CA5C25" w:rsidRDefault="00922FC6" w14:paraId="768BC85E" w14:textId="7296FE3A">
            <w:pPr>
              <w:pStyle w:val="naisc"/>
              <w:spacing w:before="0" w:after="0"/>
              <w:jc w:val="both"/>
              <w:rPr>
                <w:sz w:val="22"/>
                <w:szCs w:val="22"/>
                <w:lang w:eastAsia="en-US"/>
              </w:rPr>
            </w:pPr>
            <w:r w:rsidRPr="002957FB">
              <w:rPr>
                <w:sz w:val="22"/>
                <w:szCs w:val="22"/>
                <w:lang w:eastAsia="en-US"/>
              </w:rPr>
              <w:t xml:space="preserve">Turklāt, </w:t>
            </w:r>
            <w:r w:rsidRPr="002957FB" w:rsidR="00DE2A11">
              <w:rPr>
                <w:sz w:val="22"/>
                <w:szCs w:val="22"/>
                <w:lang w:eastAsia="en-US"/>
              </w:rPr>
              <w:t>tā kā</w:t>
            </w:r>
            <w:r w:rsidRPr="002957FB" w:rsidR="00A70A9D">
              <w:rPr>
                <w:sz w:val="22"/>
                <w:szCs w:val="22"/>
                <w:lang w:eastAsia="en-US"/>
              </w:rPr>
              <w:t xml:space="preserve"> Latvijā noteiktā</w:t>
            </w:r>
            <w:r w:rsidRPr="002957FB">
              <w:rPr>
                <w:sz w:val="22"/>
                <w:szCs w:val="22"/>
                <w:lang w:eastAsia="en-US"/>
              </w:rPr>
              <w:t>s</w:t>
            </w:r>
            <w:r w:rsidRPr="002957FB" w:rsidR="00A70A9D">
              <w:rPr>
                <w:sz w:val="22"/>
                <w:szCs w:val="22"/>
                <w:lang w:eastAsia="en-US"/>
              </w:rPr>
              <w:t xml:space="preserve"> nesēja atlīdzība</w:t>
            </w:r>
            <w:r w:rsidRPr="002957FB">
              <w:rPr>
                <w:sz w:val="22"/>
                <w:szCs w:val="22"/>
                <w:lang w:eastAsia="en-US"/>
              </w:rPr>
              <w:t>s apmērs</w:t>
            </w:r>
            <w:r w:rsidRPr="002957FB" w:rsidR="00A70A9D">
              <w:rPr>
                <w:sz w:val="22"/>
                <w:szCs w:val="22"/>
                <w:lang w:eastAsia="en-US"/>
              </w:rPr>
              <w:t xml:space="preserve"> ir vien</w:t>
            </w:r>
            <w:r w:rsidRPr="002957FB">
              <w:rPr>
                <w:sz w:val="22"/>
                <w:szCs w:val="22"/>
                <w:lang w:eastAsia="en-US"/>
              </w:rPr>
              <w:t>s</w:t>
            </w:r>
            <w:r w:rsidRPr="002957FB" w:rsidR="00A70A9D">
              <w:rPr>
                <w:sz w:val="22"/>
                <w:szCs w:val="22"/>
                <w:lang w:eastAsia="en-US"/>
              </w:rPr>
              <w:t xml:space="preserve"> no zemākajām Eiropā, rodas šaubas, vai nesēja atlīdzība</w:t>
            </w:r>
            <w:r w:rsidRPr="002957FB">
              <w:rPr>
                <w:sz w:val="22"/>
                <w:szCs w:val="22"/>
                <w:lang w:eastAsia="en-US"/>
              </w:rPr>
              <w:t xml:space="preserve"> būtu</w:t>
            </w:r>
            <w:r w:rsidRPr="002957FB" w:rsidR="00A70A9D">
              <w:rPr>
                <w:sz w:val="22"/>
                <w:szCs w:val="22"/>
                <w:lang w:eastAsia="en-US"/>
              </w:rPr>
              <w:t xml:space="preserve"> izšķirošais apstāklis, </w:t>
            </w:r>
            <w:r w:rsidRPr="002957FB" w:rsidR="00646B97">
              <w:rPr>
                <w:sz w:val="22"/>
                <w:szCs w:val="22"/>
                <w:lang w:eastAsia="en-US"/>
              </w:rPr>
              <w:t>kas liktu</w:t>
            </w:r>
            <w:r w:rsidRPr="002957FB" w:rsidR="00A70A9D">
              <w:rPr>
                <w:sz w:val="22"/>
                <w:szCs w:val="22"/>
                <w:lang w:eastAsia="en-US"/>
              </w:rPr>
              <w:t xml:space="preserve"> pircēj</w:t>
            </w:r>
            <w:r w:rsidRPr="002957FB" w:rsidR="00646B97">
              <w:rPr>
                <w:sz w:val="22"/>
                <w:szCs w:val="22"/>
                <w:lang w:eastAsia="en-US"/>
              </w:rPr>
              <w:t>am</w:t>
            </w:r>
            <w:r w:rsidRPr="002957FB" w:rsidR="00A70A9D">
              <w:rPr>
                <w:sz w:val="22"/>
                <w:szCs w:val="22"/>
                <w:lang w:eastAsia="en-US"/>
              </w:rPr>
              <w:t xml:space="preserve"> izvēlēt</w:t>
            </w:r>
            <w:r w:rsidRPr="002957FB" w:rsidR="00646B97">
              <w:rPr>
                <w:sz w:val="22"/>
                <w:szCs w:val="22"/>
                <w:lang w:eastAsia="en-US"/>
              </w:rPr>
              <w:t>ie</w:t>
            </w:r>
            <w:r w:rsidRPr="002957FB" w:rsidR="00A70A9D">
              <w:rPr>
                <w:sz w:val="22"/>
                <w:szCs w:val="22"/>
                <w:lang w:eastAsia="en-US"/>
              </w:rPr>
              <w:t>s preci iegādāties ārvalstu interneta veikalā</w:t>
            </w:r>
            <w:r w:rsidRPr="002957FB" w:rsidR="00646B97">
              <w:rPr>
                <w:sz w:val="22"/>
                <w:szCs w:val="22"/>
                <w:lang w:eastAsia="en-US"/>
              </w:rPr>
              <w:t xml:space="preserve">, maksājot par </w:t>
            </w:r>
            <w:r w:rsidRPr="002957FB" w:rsidR="00EE5672">
              <w:rPr>
                <w:sz w:val="22"/>
                <w:szCs w:val="22"/>
                <w:lang w:eastAsia="en-US"/>
              </w:rPr>
              <w:t xml:space="preserve">tās </w:t>
            </w:r>
            <w:r w:rsidRPr="002957FB" w:rsidR="00646B97">
              <w:rPr>
                <w:sz w:val="22"/>
                <w:szCs w:val="22"/>
                <w:lang w:eastAsia="en-US"/>
              </w:rPr>
              <w:t>piegādi</w:t>
            </w:r>
            <w:r w:rsidRPr="002957FB" w:rsidR="00C150C0">
              <w:rPr>
                <w:sz w:val="22"/>
                <w:szCs w:val="22"/>
                <w:lang w:eastAsia="en-US"/>
              </w:rPr>
              <w:t xml:space="preserve"> (iespējams, arī ievedmuitu un PVN)</w:t>
            </w:r>
            <w:r w:rsidRPr="002957FB" w:rsidR="00A70A9D">
              <w:rPr>
                <w:sz w:val="22"/>
                <w:szCs w:val="22"/>
                <w:lang w:eastAsia="en-US"/>
              </w:rPr>
              <w:t>, nevis pie tirgotājiem Latvij</w:t>
            </w:r>
            <w:r w:rsidRPr="002957FB" w:rsidR="00646B97">
              <w:rPr>
                <w:sz w:val="22"/>
                <w:szCs w:val="22"/>
                <w:lang w:eastAsia="en-US"/>
              </w:rPr>
              <w:t>ā</w:t>
            </w:r>
            <w:r w:rsidRPr="002957FB" w:rsidR="00A70A9D">
              <w:rPr>
                <w:sz w:val="22"/>
                <w:szCs w:val="22"/>
                <w:lang w:eastAsia="en-US"/>
              </w:rPr>
              <w:t>.</w:t>
            </w:r>
          </w:p>
          <w:p w:rsidRPr="002957FB" w:rsidR="00472E17" w:rsidP="00CA5C25" w:rsidRDefault="00A70A9D" w14:paraId="4E290610" w14:textId="7B082DC5">
            <w:pPr>
              <w:pStyle w:val="naisc"/>
              <w:spacing w:before="0" w:after="0"/>
              <w:jc w:val="both"/>
              <w:rPr>
                <w:sz w:val="22"/>
                <w:szCs w:val="22"/>
                <w:lang w:eastAsia="en-US"/>
              </w:rPr>
            </w:pPr>
            <w:r w:rsidRPr="002957FB">
              <w:rPr>
                <w:sz w:val="22"/>
                <w:szCs w:val="22"/>
                <w:lang w:eastAsia="en-US"/>
              </w:rPr>
              <w:t>Papildus jānorāda, ka šī j</w:t>
            </w:r>
            <w:r w:rsidRPr="002957FB" w:rsidR="00B4715C">
              <w:rPr>
                <w:sz w:val="22"/>
                <w:szCs w:val="22"/>
                <w:lang w:eastAsia="en-US"/>
              </w:rPr>
              <w:t>autājuma risināšana tiešā veidā neietekmē M</w:t>
            </w:r>
            <w:r w:rsidRPr="002957FB" w:rsidR="00055CB1">
              <w:rPr>
                <w:sz w:val="22"/>
                <w:szCs w:val="22"/>
                <w:lang w:eastAsia="en-US"/>
              </w:rPr>
              <w:t xml:space="preserve">inistru kabinetam </w:t>
            </w:r>
            <w:r w:rsidRPr="002957FB" w:rsidR="00B4715C">
              <w:rPr>
                <w:sz w:val="22"/>
                <w:szCs w:val="22"/>
                <w:lang w:eastAsia="en-US"/>
              </w:rPr>
              <w:t>un K</w:t>
            </w:r>
            <w:r w:rsidRPr="002957FB" w:rsidR="00055CB1">
              <w:rPr>
                <w:sz w:val="22"/>
                <w:szCs w:val="22"/>
                <w:lang w:eastAsia="en-US"/>
              </w:rPr>
              <w:t xml:space="preserve">ultūras ministrijai </w:t>
            </w:r>
            <w:r w:rsidRPr="002957FB" w:rsidR="00B4715C">
              <w:rPr>
                <w:sz w:val="22"/>
                <w:szCs w:val="22"/>
                <w:lang w:eastAsia="en-US"/>
              </w:rPr>
              <w:t>doto uzdevumu regulāri pārvērtēt nesēju un iekārt</w:t>
            </w:r>
            <w:r w:rsidRPr="002957FB" w:rsidR="006E25AA">
              <w:rPr>
                <w:sz w:val="22"/>
                <w:szCs w:val="22"/>
                <w:lang w:eastAsia="en-US"/>
              </w:rPr>
              <w:t>u</w:t>
            </w:r>
            <w:r w:rsidRPr="002957FB" w:rsidR="00B4715C">
              <w:rPr>
                <w:sz w:val="22"/>
                <w:szCs w:val="22"/>
                <w:lang w:eastAsia="en-US"/>
              </w:rPr>
              <w:t xml:space="preserve"> sarakstu.</w:t>
            </w:r>
          </w:p>
          <w:p w:rsidRPr="002957FB" w:rsidR="00B4715C" w:rsidP="00CA5C25" w:rsidRDefault="006C6CD4" w14:paraId="185DBD82" w14:textId="7C757177">
            <w:pPr>
              <w:pStyle w:val="naisc"/>
              <w:spacing w:before="0" w:after="0"/>
              <w:jc w:val="both"/>
              <w:rPr>
                <w:sz w:val="22"/>
                <w:szCs w:val="22"/>
                <w:lang w:eastAsia="en-US"/>
              </w:rPr>
            </w:pPr>
            <w:r w:rsidRPr="006C6CD4">
              <w:rPr>
                <w:sz w:val="22"/>
                <w:szCs w:val="22"/>
                <w:lang w:eastAsia="en-US"/>
              </w:rPr>
              <w:t xml:space="preserve">Ministru kabineta noteikumu </w:t>
            </w:r>
            <w:r>
              <w:rPr>
                <w:sz w:val="22"/>
                <w:szCs w:val="22"/>
                <w:lang w:eastAsia="en-US"/>
              </w:rPr>
              <w:t>p</w:t>
            </w:r>
            <w:r w:rsidRPr="002957FB" w:rsidR="00B4715C">
              <w:rPr>
                <w:sz w:val="22"/>
                <w:szCs w:val="22"/>
                <w:lang w:eastAsia="en-US"/>
              </w:rPr>
              <w:t>rojekta anotācij</w:t>
            </w:r>
            <w:r>
              <w:rPr>
                <w:sz w:val="22"/>
                <w:szCs w:val="22"/>
                <w:lang w:eastAsia="en-US"/>
              </w:rPr>
              <w:t>ā</w:t>
            </w:r>
            <w:r w:rsidRPr="002957FB" w:rsidR="00B4715C">
              <w:rPr>
                <w:sz w:val="22"/>
                <w:szCs w:val="22"/>
                <w:lang w:eastAsia="en-US"/>
              </w:rPr>
              <w:t xml:space="preserve"> iekļauts skaidrojums, kādēļ esošā nesēja atlīdzības sistēma joprojām uzskatāma par taisnīgāko un atbilstošāko.</w:t>
            </w:r>
          </w:p>
          <w:p w:rsidRPr="002957FB" w:rsidR="00DE62B6" w:rsidP="00CA5C25" w:rsidRDefault="00B4715C" w14:paraId="35453A10" w14:textId="77777777">
            <w:pPr>
              <w:pStyle w:val="naisc"/>
              <w:spacing w:before="0" w:after="0"/>
              <w:jc w:val="both"/>
              <w:rPr>
                <w:sz w:val="22"/>
                <w:szCs w:val="22"/>
                <w:lang w:eastAsia="en-US"/>
              </w:rPr>
            </w:pPr>
            <w:r w:rsidRPr="002957FB">
              <w:rPr>
                <w:sz w:val="22"/>
                <w:szCs w:val="22"/>
                <w:lang w:eastAsia="en-US"/>
              </w:rPr>
              <w:t xml:space="preserve">Priekšlikums </w:t>
            </w:r>
            <w:r w:rsidRPr="002957FB" w:rsidR="00731B67">
              <w:rPr>
                <w:sz w:val="22"/>
                <w:szCs w:val="22"/>
                <w:lang w:eastAsia="en-US"/>
              </w:rPr>
              <w:t xml:space="preserve">aizliegt </w:t>
            </w:r>
            <w:proofErr w:type="spellStart"/>
            <w:r w:rsidRPr="002957FB" w:rsidR="00731B67">
              <w:rPr>
                <w:sz w:val="22"/>
                <w:szCs w:val="22"/>
                <w:lang w:eastAsia="en-US"/>
              </w:rPr>
              <w:t>privātkopēšanu</w:t>
            </w:r>
            <w:proofErr w:type="spellEnd"/>
            <w:r w:rsidRPr="002957FB" w:rsidR="00731B67">
              <w:rPr>
                <w:sz w:val="22"/>
                <w:szCs w:val="22"/>
                <w:lang w:eastAsia="en-US"/>
              </w:rPr>
              <w:t xml:space="preserve"> nav ne pamatots, ne izvērtēt</w:t>
            </w:r>
            <w:r w:rsidRPr="002957FB" w:rsidR="000830F3">
              <w:rPr>
                <w:sz w:val="22"/>
                <w:szCs w:val="22"/>
                <w:lang w:eastAsia="en-US"/>
              </w:rPr>
              <w:t>as šādas rīcības sekas.</w:t>
            </w:r>
            <w:r w:rsidRPr="002957FB" w:rsidR="00731B67">
              <w:rPr>
                <w:sz w:val="22"/>
                <w:szCs w:val="22"/>
                <w:lang w:eastAsia="en-US"/>
              </w:rPr>
              <w:t xml:space="preserve"> </w:t>
            </w:r>
          </w:p>
          <w:p w:rsidRPr="002957FB" w:rsidR="00DE62B6" w:rsidP="00CA5C25" w:rsidRDefault="00DE62B6" w14:paraId="68336578" w14:textId="408EE38F">
            <w:pPr>
              <w:pStyle w:val="naisc"/>
              <w:spacing w:before="0" w:after="0"/>
              <w:jc w:val="both"/>
              <w:rPr>
                <w:sz w:val="22"/>
                <w:szCs w:val="22"/>
                <w:lang w:eastAsia="en-US"/>
              </w:rPr>
            </w:pPr>
            <w:r w:rsidRPr="002957FB">
              <w:rPr>
                <w:sz w:val="22"/>
                <w:szCs w:val="22"/>
                <w:lang w:eastAsia="en-US"/>
              </w:rPr>
              <w:t>K</w:t>
            </w:r>
            <w:r w:rsidR="006C6CD4">
              <w:rPr>
                <w:sz w:val="22"/>
                <w:szCs w:val="22"/>
                <w:lang w:eastAsia="en-US"/>
              </w:rPr>
              <w:t>ultūras ministrijas</w:t>
            </w:r>
            <w:r w:rsidRPr="002957FB">
              <w:rPr>
                <w:sz w:val="22"/>
                <w:szCs w:val="22"/>
                <w:lang w:eastAsia="en-US"/>
              </w:rPr>
              <w:t xml:space="preserve"> ieskatā nav pamata aizliegt </w:t>
            </w:r>
            <w:proofErr w:type="spellStart"/>
            <w:r w:rsidRPr="002957FB">
              <w:rPr>
                <w:sz w:val="22"/>
                <w:szCs w:val="22"/>
                <w:lang w:eastAsia="en-US"/>
              </w:rPr>
              <w:t>privātkopēšanu</w:t>
            </w:r>
            <w:proofErr w:type="spellEnd"/>
            <w:r w:rsidRPr="002957FB">
              <w:rPr>
                <w:sz w:val="22"/>
                <w:szCs w:val="22"/>
                <w:lang w:eastAsia="en-US"/>
              </w:rPr>
              <w:t xml:space="preserve">, jo iedzīvotāju paradumi </w:t>
            </w:r>
            <w:proofErr w:type="spellStart"/>
            <w:r w:rsidRPr="002957FB">
              <w:rPr>
                <w:sz w:val="22"/>
                <w:szCs w:val="22"/>
                <w:lang w:eastAsia="en-US"/>
              </w:rPr>
              <w:t>privātkopēšanas</w:t>
            </w:r>
            <w:proofErr w:type="spellEnd"/>
            <w:r w:rsidRPr="002957FB">
              <w:rPr>
                <w:sz w:val="22"/>
                <w:szCs w:val="22"/>
                <w:lang w:eastAsia="en-US"/>
              </w:rPr>
              <w:t xml:space="preserve"> jomā salīdzinājumā ar 2012.gadu, kad tika veikta iepriekšējā nesēju un iekārtu saraksta pārskatīšana, nav būtiski mainījušies.</w:t>
            </w:r>
          </w:p>
          <w:p w:rsidRPr="002957FB" w:rsidR="00B4715C" w:rsidP="00CA5C25" w:rsidRDefault="00731B67" w14:paraId="5B59F12F" w14:textId="44BCAC35">
            <w:pPr>
              <w:pStyle w:val="naisc"/>
              <w:spacing w:before="0" w:after="0"/>
              <w:jc w:val="both"/>
              <w:rPr>
                <w:sz w:val="22"/>
                <w:szCs w:val="22"/>
                <w:lang w:eastAsia="en-US"/>
              </w:rPr>
            </w:pPr>
            <w:proofErr w:type="spellStart"/>
            <w:r w:rsidRPr="002957FB">
              <w:rPr>
                <w:sz w:val="22"/>
                <w:szCs w:val="22"/>
                <w:lang w:eastAsia="en-US"/>
              </w:rPr>
              <w:lastRenderedPageBreak/>
              <w:t>Privātkopēšanas</w:t>
            </w:r>
            <w:proofErr w:type="spellEnd"/>
            <w:r w:rsidRPr="002957FB">
              <w:rPr>
                <w:sz w:val="22"/>
                <w:szCs w:val="22"/>
                <w:lang w:eastAsia="en-US"/>
              </w:rPr>
              <w:t xml:space="preserve"> aizliegšana </w:t>
            </w:r>
            <w:r w:rsidRPr="002957FB" w:rsidR="00DE62B6">
              <w:rPr>
                <w:sz w:val="22"/>
                <w:szCs w:val="22"/>
                <w:lang w:eastAsia="en-US"/>
              </w:rPr>
              <w:t>daļu</w:t>
            </w:r>
            <w:r w:rsidRPr="002957FB">
              <w:rPr>
                <w:sz w:val="22"/>
                <w:szCs w:val="22"/>
                <w:lang w:eastAsia="en-US"/>
              </w:rPr>
              <w:t xml:space="preserve"> Latvijas iedzīvotāju padarītu par </w:t>
            </w:r>
            <w:r w:rsidRPr="002957FB" w:rsidR="007F311C">
              <w:rPr>
                <w:sz w:val="22"/>
                <w:szCs w:val="22"/>
                <w:lang w:eastAsia="en-US"/>
              </w:rPr>
              <w:t xml:space="preserve">faktiskiem </w:t>
            </w:r>
            <w:r w:rsidRPr="002957FB">
              <w:rPr>
                <w:sz w:val="22"/>
                <w:szCs w:val="22"/>
                <w:lang w:eastAsia="en-US"/>
              </w:rPr>
              <w:t xml:space="preserve">pārkāpējiem, </w:t>
            </w:r>
            <w:r w:rsidRPr="002957FB" w:rsidR="007F311C">
              <w:rPr>
                <w:sz w:val="22"/>
                <w:szCs w:val="22"/>
                <w:lang w:eastAsia="en-US"/>
              </w:rPr>
              <w:t>jo tiem būtu pienākums lūgt autoru atļauju jebkurai kopēšanas darbībai personiskai lietošanai</w:t>
            </w:r>
            <w:r w:rsidRPr="002957FB" w:rsidR="00996268">
              <w:rPr>
                <w:sz w:val="22"/>
                <w:szCs w:val="22"/>
                <w:lang w:eastAsia="en-US"/>
              </w:rPr>
              <w:t xml:space="preserve">, par kuru veikšanu digitālā vidē tie nereti pat neapzinās (piemēram, </w:t>
            </w:r>
            <w:r w:rsidRPr="002957FB" w:rsidR="007F06CB">
              <w:rPr>
                <w:sz w:val="22"/>
                <w:szCs w:val="22"/>
                <w:lang w:eastAsia="en-US"/>
              </w:rPr>
              <w:t xml:space="preserve">dažādu </w:t>
            </w:r>
            <w:proofErr w:type="spellStart"/>
            <w:r w:rsidRPr="002957FB" w:rsidR="007F06CB">
              <w:rPr>
                <w:sz w:val="22"/>
                <w:szCs w:val="22"/>
                <w:lang w:eastAsia="en-US"/>
              </w:rPr>
              <w:t>autordarbu</w:t>
            </w:r>
            <w:proofErr w:type="spellEnd"/>
            <w:r w:rsidRPr="002957FB" w:rsidR="00996268">
              <w:rPr>
                <w:sz w:val="22"/>
                <w:szCs w:val="22"/>
                <w:lang w:eastAsia="en-US"/>
              </w:rPr>
              <w:t xml:space="preserve"> pārsūtīšanu </w:t>
            </w:r>
            <w:r w:rsidRPr="002957FB" w:rsidR="007F06CB">
              <w:rPr>
                <w:sz w:val="22"/>
                <w:szCs w:val="22"/>
                <w:lang w:eastAsia="en-US"/>
              </w:rPr>
              <w:t>sociālajos tīklos</w:t>
            </w:r>
            <w:r w:rsidRPr="002957FB" w:rsidR="00996268">
              <w:rPr>
                <w:sz w:val="22"/>
                <w:szCs w:val="22"/>
                <w:lang w:eastAsia="en-US"/>
              </w:rPr>
              <w:t xml:space="preserve">). </w:t>
            </w:r>
            <w:r w:rsidRPr="002957FB" w:rsidR="007F311C">
              <w:rPr>
                <w:sz w:val="22"/>
                <w:szCs w:val="22"/>
                <w:lang w:eastAsia="en-US"/>
              </w:rPr>
              <w:t xml:space="preserve">Vienlaikus </w:t>
            </w:r>
            <w:r w:rsidRPr="002957FB">
              <w:rPr>
                <w:sz w:val="22"/>
                <w:szCs w:val="22"/>
                <w:lang w:eastAsia="en-US"/>
              </w:rPr>
              <w:t>Latvijas autori, izpildītāji un producenti</w:t>
            </w:r>
            <w:r w:rsidRPr="002957FB" w:rsidR="00735264">
              <w:rPr>
                <w:sz w:val="22"/>
                <w:szCs w:val="22"/>
                <w:lang w:eastAsia="en-US"/>
              </w:rPr>
              <w:t xml:space="preserve"> tiktu nostādīti nelabvēlīgākā situācij</w:t>
            </w:r>
            <w:r w:rsidRPr="002957FB" w:rsidR="003F4614">
              <w:rPr>
                <w:sz w:val="22"/>
                <w:szCs w:val="22"/>
                <w:lang w:eastAsia="en-US"/>
              </w:rPr>
              <w:t>ā</w:t>
            </w:r>
            <w:r w:rsidRPr="002957FB" w:rsidR="00735264">
              <w:rPr>
                <w:sz w:val="22"/>
                <w:szCs w:val="22"/>
                <w:lang w:eastAsia="en-US"/>
              </w:rPr>
              <w:t xml:space="preserve"> nekā viņu kolēģi lielākajā daļā </w:t>
            </w:r>
            <w:r w:rsidRPr="002957FB">
              <w:rPr>
                <w:sz w:val="22"/>
                <w:szCs w:val="22"/>
                <w:lang w:eastAsia="en-US"/>
              </w:rPr>
              <w:t xml:space="preserve"> Eiropas </w:t>
            </w:r>
            <w:r w:rsidRPr="002957FB" w:rsidR="00735264">
              <w:rPr>
                <w:sz w:val="22"/>
                <w:szCs w:val="22"/>
                <w:lang w:eastAsia="en-US"/>
              </w:rPr>
              <w:t>S</w:t>
            </w:r>
            <w:r w:rsidRPr="002957FB">
              <w:rPr>
                <w:sz w:val="22"/>
                <w:szCs w:val="22"/>
                <w:lang w:eastAsia="en-US"/>
              </w:rPr>
              <w:t>avienības dalībvalstu</w:t>
            </w:r>
            <w:r w:rsidRPr="002957FB" w:rsidR="00735264">
              <w:rPr>
                <w:sz w:val="22"/>
                <w:szCs w:val="22"/>
                <w:lang w:eastAsia="en-US"/>
              </w:rPr>
              <w:t xml:space="preserve"> (ieskaitot </w:t>
            </w:r>
            <w:r w:rsidRPr="002957FB">
              <w:rPr>
                <w:sz w:val="22"/>
                <w:szCs w:val="22"/>
                <w:lang w:eastAsia="en-US"/>
              </w:rPr>
              <w:t>Lietuv</w:t>
            </w:r>
            <w:r w:rsidRPr="002957FB" w:rsidR="00735264">
              <w:rPr>
                <w:sz w:val="22"/>
                <w:szCs w:val="22"/>
                <w:lang w:eastAsia="en-US"/>
              </w:rPr>
              <w:t>u</w:t>
            </w:r>
            <w:r w:rsidRPr="002957FB">
              <w:rPr>
                <w:sz w:val="22"/>
                <w:szCs w:val="22"/>
                <w:lang w:eastAsia="en-US"/>
              </w:rPr>
              <w:t xml:space="preserve"> un Igaunij</w:t>
            </w:r>
            <w:r w:rsidRPr="002957FB" w:rsidR="00735264">
              <w:rPr>
                <w:sz w:val="22"/>
                <w:szCs w:val="22"/>
                <w:lang w:eastAsia="en-US"/>
              </w:rPr>
              <w:t>u), kuri saņem nesēja atlīdzību</w:t>
            </w:r>
            <w:r w:rsidRPr="002957FB">
              <w:rPr>
                <w:sz w:val="22"/>
                <w:szCs w:val="22"/>
                <w:lang w:eastAsia="en-US"/>
              </w:rPr>
              <w:t>.</w:t>
            </w:r>
          </w:p>
          <w:p w:rsidRPr="002957FB" w:rsidR="00B4715C" w:rsidRDefault="0064509A" w14:paraId="7F2AA8B4" w14:textId="6D082D60">
            <w:pPr>
              <w:pStyle w:val="naisc"/>
              <w:spacing w:before="0" w:after="0"/>
              <w:jc w:val="both"/>
              <w:rPr>
                <w:sz w:val="22"/>
                <w:szCs w:val="22"/>
                <w:lang w:eastAsia="en-US"/>
              </w:rPr>
            </w:pPr>
            <w:r w:rsidRPr="002957FB">
              <w:rPr>
                <w:sz w:val="22"/>
                <w:szCs w:val="22"/>
              </w:rPr>
              <w:t>Papildus jāņem vērā, ka šāds ierosinājums neatbilst autortiesību doktrīnai, kas nosaka, ka likumā paredzot autortiesību ierobežojumus, tiek īstenota viena no būtiskākajām autortiesību funkcijām – tiesību īpašnieku un sabiedrības interešu taisnīga un samērīga sabalansēšana. Turklāt, veidojot likumus, tiek ņemts vērā fakts, ka daudzus darbu lietošanas veidus praktiski nav iespējams izkontrolēt un tādēļ loģiskāk ir leģitimēt likumā dažas praktiski nekontrolējamas darbības, nevis pieļaut situāciju, kad likums nesodīti tiek ignorēts, tādējādi zaudējot savu nozīmi.</w:t>
            </w:r>
          </w:p>
        </w:tc>
        <w:tc>
          <w:tcPr>
            <w:tcW w:w="769" w:type="pct"/>
            <w:tcBorders>
              <w:top w:val="single" w:color="auto" w:sz="4" w:space="0"/>
              <w:left w:val="single" w:color="auto" w:sz="4" w:space="0"/>
              <w:bottom w:val="single" w:color="auto" w:sz="4" w:space="0"/>
              <w:right w:val="single" w:color="auto" w:sz="4" w:space="0"/>
            </w:tcBorders>
          </w:tcPr>
          <w:p w:rsidR="00472E17" w:rsidP="00736354" w:rsidRDefault="00736354" w14:paraId="540DF585" w14:textId="77777777">
            <w:pPr>
              <w:rPr>
                <w:sz w:val="22"/>
                <w:szCs w:val="22"/>
                <w:lang w:eastAsia="en-US"/>
              </w:rPr>
            </w:pPr>
            <w:r w:rsidRPr="00736354">
              <w:rPr>
                <w:b/>
                <w:bCs/>
                <w:sz w:val="22"/>
                <w:szCs w:val="22"/>
                <w:lang w:eastAsia="en-US"/>
              </w:rPr>
              <w:lastRenderedPageBreak/>
              <w:t>LIKTA</w:t>
            </w:r>
          </w:p>
          <w:p w:rsidRPr="002957FB" w:rsidR="00736354" w:rsidP="00736354" w:rsidRDefault="00736354" w14:paraId="22970CC2" w14:textId="42B1BC66">
            <w:pPr>
              <w:jc w:val="both"/>
              <w:rPr>
                <w:sz w:val="22"/>
                <w:szCs w:val="22"/>
                <w:lang w:eastAsia="en-US"/>
              </w:rPr>
            </w:pPr>
            <w:r>
              <w:rPr>
                <w:sz w:val="22"/>
                <w:szCs w:val="22"/>
                <w:lang w:eastAsia="en-US"/>
              </w:rPr>
              <w:t>U</w:t>
            </w:r>
            <w:r w:rsidRPr="00736354">
              <w:rPr>
                <w:sz w:val="22"/>
                <w:szCs w:val="22"/>
                <w:lang w:eastAsia="en-US"/>
              </w:rPr>
              <w:t>ztur iepriekš izteiktos iebildumus un neatbalsta Projekta tālāku virzību.</w:t>
            </w:r>
          </w:p>
        </w:tc>
        <w:tc>
          <w:tcPr>
            <w:tcW w:w="840" w:type="pct"/>
            <w:tcBorders>
              <w:top w:val="single" w:color="auto" w:sz="4" w:space="0"/>
              <w:left w:val="single" w:color="auto" w:sz="4" w:space="0"/>
              <w:bottom w:val="single" w:color="auto" w:sz="4" w:space="0"/>
              <w:right w:val="single" w:color="auto" w:sz="4" w:space="0"/>
            </w:tcBorders>
          </w:tcPr>
          <w:p w:rsidRPr="002957FB" w:rsidR="00472E17" w:rsidP="00CA5C25" w:rsidRDefault="00AD0CA5" w14:paraId="17D142A0" w14:textId="15273D21">
            <w:pPr>
              <w:jc w:val="both"/>
              <w:rPr>
                <w:sz w:val="22"/>
                <w:szCs w:val="22"/>
                <w:lang w:eastAsia="en-US"/>
              </w:rPr>
            </w:pPr>
            <w:r w:rsidRPr="00AD0CA5">
              <w:rPr>
                <w:sz w:val="22"/>
                <w:szCs w:val="22"/>
              </w:rPr>
              <w:t xml:space="preserve">Ministru kabineta noteikumu </w:t>
            </w:r>
            <w:r>
              <w:rPr>
                <w:sz w:val="22"/>
                <w:szCs w:val="22"/>
              </w:rPr>
              <w:t>p</w:t>
            </w:r>
            <w:r w:rsidRPr="002957FB" w:rsidR="0071010B">
              <w:rPr>
                <w:sz w:val="22"/>
                <w:szCs w:val="22"/>
              </w:rPr>
              <w:t>rojekts kopumā</w:t>
            </w:r>
            <w:r>
              <w:rPr>
                <w:sz w:val="22"/>
                <w:szCs w:val="22"/>
              </w:rPr>
              <w:t>.</w:t>
            </w:r>
          </w:p>
        </w:tc>
      </w:tr>
      <w:tr w:rsidRPr="00E36116" w:rsidR="00472E17" w:rsidTr="00E36116" w14:paraId="68AFA69E" w14:textId="77777777">
        <w:tc>
          <w:tcPr>
            <w:tcW w:w="191" w:type="pct"/>
            <w:tcBorders>
              <w:top w:val="single" w:color="000000" w:sz="6" w:space="0"/>
              <w:left w:val="single" w:color="000000" w:sz="6" w:space="0"/>
              <w:bottom w:val="single" w:color="000000" w:sz="6" w:space="0"/>
              <w:right w:val="single" w:color="000000" w:sz="6" w:space="0"/>
            </w:tcBorders>
          </w:tcPr>
          <w:p w:rsidRPr="00E36116" w:rsidR="00472E17" w:rsidP="00E36116" w:rsidRDefault="005A0736" w14:paraId="573692FF" w14:textId="1514834A">
            <w:pPr>
              <w:pStyle w:val="naisc"/>
              <w:spacing w:before="0" w:after="0"/>
              <w:rPr>
                <w:sz w:val="22"/>
                <w:szCs w:val="22"/>
                <w:lang w:eastAsia="en-US"/>
              </w:rPr>
            </w:pPr>
            <w:r w:rsidRPr="00E36116">
              <w:rPr>
                <w:sz w:val="22"/>
                <w:szCs w:val="22"/>
                <w:lang w:eastAsia="en-US"/>
              </w:rPr>
              <w:lastRenderedPageBreak/>
              <w:t>2.</w:t>
            </w:r>
          </w:p>
        </w:tc>
        <w:tc>
          <w:tcPr>
            <w:tcW w:w="862" w:type="pct"/>
            <w:tcBorders>
              <w:top w:val="single" w:color="000000" w:sz="6" w:space="0"/>
              <w:left w:val="single" w:color="000000" w:sz="6" w:space="0"/>
              <w:bottom w:val="single" w:color="000000" w:sz="6" w:space="0"/>
              <w:right w:val="single" w:color="000000" w:sz="6" w:space="0"/>
            </w:tcBorders>
          </w:tcPr>
          <w:p w:rsidRPr="00E36116" w:rsidR="00472E17" w:rsidP="00CA5C25" w:rsidRDefault="00B12BC6" w14:paraId="38B18152" w14:textId="1D60E698">
            <w:pPr>
              <w:jc w:val="both"/>
              <w:rPr>
                <w:sz w:val="22"/>
                <w:szCs w:val="22"/>
              </w:rPr>
            </w:pPr>
            <w:r w:rsidRPr="00B12BC6">
              <w:rPr>
                <w:sz w:val="22"/>
                <w:szCs w:val="22"/>
              </w:rPr>
              <w:t xml:space="preserve">Ministru kabineta noteikumu </w:t>
            </w:r>
            <w:r>
              <w:rPr>
                <w:sz w:val="22"/>
                <w:szCs w:val="22"/>
              </w:rPr>
              <w:t>p</w:t>
            </w:r>
            <w:r w:rsidRPr="00793437" w:rsidR="00472E17">
              <w:rPr>
                <w:sz w:val="22"/>
                <w:szCs w:val="22"/>
              </w:rPr>
              <w:t>rojekta 1.3.apakšpunkts:</w:t>
            </w:r>
          </w:p>
          <w:p w:rsidR="00B12BC6" w:rsidP="00B12BC6" w:rsidRDefault="00B12BC6" w14:paraId="56F2E457" w14:textId="77777777">
            <w:pPr>
              <w:jc w:val="both"/>
              <w:rPr>
                <w:sz w:val="22"/>
                <w:szCs w:val="22"/>
              </w:rPr>
            </w:pPr>
          </w:p>
          <w:p w:rsidRPr="00E36116" w:rsidR="00472E17" w:rsidP="00CA5C25" w:rsidRDefault="00B12BC6" w14:paraId="0CBB043A" w14:textId="70701D36">
            <w:pPr>
              <w:jc w:val="both"/>
              <w:rPr>
                <w:sz w:val="22"/>
                <w:szCs w:val="22"/>
              </w:rPr>
            </w:pPr>
            <w:r w:rsidRPr="00E36116">
              <w:rPr>
                <w:sz w:val="22"/>
                <w:szCs w:val="22"/>
              </w:rPr>
              <w:t>„</w:t>
            </w:r>
            <w:r w:rsidRPr="00E36116" w:rsidR="00472E17">
              <w:rPr>
                <w:sz w:val="22"/>
                <w:szCs w:val="22"/>
              </w:rPr>
              <w:t>1.3.</w:t>
            </w:r>
            <w:r>
              <w:rPr>
                <w:sz w:val="22"/>
                <w:szCs w:val="22"/>
              </w:rPr>
              <w:t> </w:t>
            </w:r>
            <w:r w:rsidRPr="00E36116" w:rsidR="00472E17">
              <w:rPr>
                <w:sz w:val="22"/>
                <w:szCs w:val="22"/>
              </w:rPr>
              <w:t>izteikt 3. un 4.punktu šādā redakcijā:</w:t>
            </w:r>
          </w:p>
          <w:p w:rsidRPr="00E36116" w:rsidR="00472E17" w:rsidP="00CA5C25" w:rsidRDefault="00472E17" w14:paraId="7D9DEBF3" w14:textId="181DA3D2">
            <w:pPr>
              <w:jc w:val="both"/>
              <w:rPr>
                <w:sz w:val="22"/>
                <w:szCs w:val="22"/>
              </w:rPr>
            </w:pPr>
            <w:r w:rsidRPr="00E36116">
              <w:rPr>
                <w:sz w:val="22"/>
                <w:szCs w:val="22"/>
              </w:rPr>
              <w:t>„3.</w:t>
            </w:r>
            <w:r w:rsidR="00B12BC6">
              <w:rPr>
                <w:sz w:val="22"/>
                <w:szCs w:val="22"/>
              </w:rPr>
              <w:t> </w:t>
            </w:r>
            <w:r w:rsidRPr="00E36116">
              <w:rPr>
                <w:sz w:val="22"/>
                <w:szCs w:val="22"/>
              </w:rPr>
              <w:t>Atlīdzību par tukšajiem materiālajiem nesējiem nosaka un maksā šādā apmērā:</w:t>
            </w:r>
          </w:p>
          <w:p w:rsidRPr="00E36116" w:rsidR="00472E17" w:rsidP="00CA5C25" w:rsidRDefault="00472E17" w14:paraId="2E71C30A" w14:textId="77777777">
            <w:pPr>
              <w:jc w:val="both"/>
              <w:rPr>
                <w:sz w:val="22"/>
                <w:szCs w:val="22"/>
              </w:rPr>
            </w:pPr>
            <w:r w:rsidRPr="00E36116">
              <w:rPr>
                <w:sz w:val="22"/>
                <w:szCs w:val="22"/>
              </w:rPr>
              <w:t>3.1. USB zibatmiņai kā procentuālu likmi no pirmās atsavināšanas cenas Latvijas teritorijā bez pievienotās vērtības nodokļa – 6 %;</w:t>
            </w:r>
          </w:p>
          <w:p w:rsidRPr="00E36116" w:rsidR="00472E17" w:rsidP="00CA5C25" w:rsidRDefault="00472E17" w14:paraId="5D54108D" w14:textId="77777777">
            <w:pPr>
              <w:jc w:val="both"/>
              <w:rPr>
                <w:sz w:val="22"/>
                <w:szCs w:val="22"/>
              </w:rPr>
            </w:pPr>
            <w:r w:rsidRPr="00E36116">
              <w:rPr>
                <w:sz w:val="22"/>
                <w:szCs w:val="22"/>
              </w:rPr>
              <w:t>3.2. ārējam cietajam datora diskam kā procentuālu likmi no pirmās atsavināšanas cenas Latvijas teritorijā bez pievienotās vērtības nodokļa – 4 %;</w:t>
            </w:r>
          </w:p>
          <w:p w:rsidRPr="00E36116" w:rsidR="00472E17" w:rsidP="00CA5C25" w:rsidRDefault="00472E17" w14:paraId="7D0BDAB8" w14:textId="77777777">
            <w:pPr>
              <w:jc w:val="both"/>
              <w:rPr>
                <w:sz w:val="22"/>
                <w:szCs w:val="22"/>
              </w:rPr>
            </w:pPr>
            <w:r w:rsidRPr="00E36116">
              <w:rPr>
                <w:sz w:val="22"/>
                <w:szCs w:val="22"/>
              </w:rPr>
              <w:t xml:space="preserve">3.3. visu veidu datoru cietajiem diskiem, ieskaitot HDD un SSD diskus, 2,85 </w:t>
            </w:r>
            <w:proofErr w:type="spellStart"/>
            <w:r w:rsidRPr="003329AD">
              <w:rPr>
                <w:i/>
                <w:iCs/>
                <w:sz w:val="22"/>
                <w:szCs w:val="22"/>
              </w:rPr>
              <w:t>euro</w:t>
            </w:r>
            <w:proofErr w:type="spellEnd"/>
            <w:r w:rsidRPr="003329AD">
              <w:rPr>
                <w:sz w:val="22"/>
                <w:szCs w:val="22"/>
              </w:rPr>
              <w:t xml:space="preserve"> apmērā par vienību.</w:t>
            </w:r>
          </w:p>
          <w:p w:rsidR="00472E17" w:rsidP="00CA5C25" w:rsidRDefault="00472E17" w14:paraId="4AD2BB74" w14:textId="26EF5902">
            <w:pPr>
              <w:jc w:val="both"/>
              <w:rPr>
                <w:sz w:val="22"/>
                <w:szCs w:val="22"/>
              </w:rPr>
            </w:pPr>
          </w:p>
          <w:p w:rsidRPr="00E36116" w:rsidR="00472E17" w:rsidP="00CA5C25" w:rsidRDefault="00472E17" w14:paraId="116E3FAA" w14:textId="442264DD">
            <w:pPr>
              <w:jc w:val="both"/>
              <w:rPr>
                <w:sz w:val="22"/>
                <w:szCs w:val="22"/>
              </w:rPr>
            </w:pPr>
            <w:r w:rsidRPr="00E36116">
              <w:rPr>
                <w:sz w:val="22"/>
                <w:szCs w:val="22"/>
              </w:rPr>
              <w:t>4.</w:t>
            </w:r>
            <w:r w:rsidR="00B12BC6">
              <w:rPr>
                <w:sz w:val="22"/>
                <w:szCs w:val="22"/>
              </w:rPr>
              <w:t> </w:t>
            </w:r>
            <w:r w:rsidRPr="00E36116">
              <w:rPr>
                <w:sz w:val="22"/>
                <w:szCs w:val="22"/>
              </w:rPr>
              <w:t>Atlīdzību par reproducēšanai izmantojamām iekārtām maksā šādā apmērā:</w:t>
            </w:r>
          </w:p>
          <w:p w:rsidRPr="00E36116" w:rsidR="00472E17" w:rsidP="00CA5C25" w:rsidRDefault="00472E17" w14:paraId="4D8D0D29" w14:textId="76844740">
            <w:pPr>
              <w:jc w:val="both"/>
              <w:rPr>
                <w:sz w:val="22"/>
                <w:szCs w:val="22"/>
              </w:rPr>
            </w:pPr>
            <w:r w:rsidRPr="00E36116">
              <w:rPr>
                <w:sz w:val="22"/>
                <w:szCs w:val="22"/>
              </w:rPr>
              <w:t>4.1.</w:t>
            </w:r>
            <w:r w:rsidR="00B12BC6">
              <w:rPr>
                <w:sz w:val="22"/>
                <w:szCs w:val="22"/>
              </w:rPr>
              <w:t> </w:t>
            </w:r>
            <w:r w:rsidRPr="00E36116">
              <w:rPr>
                <w:sz w:val="22"/>
                <w:szCs w:val="22"/>
              </w:rPr>
              <w:t xml:space="preserve">par visu veidu personālajiem datoriem, ieskaitot portatīvos </w:t>
            </w:r>
            <w:r w:rsidRPr="00E36116">
              <w:rPr>
                <w:sz w:val="22"/>
                <w:szCs w:val="22"/>
              </w:rPr>
              <w:lastRenderedPageBreak/>
              <w:t xml:space="preserve">datorus un planšetdatorus, 2,85 </w:t>
            </w:r>
            <w:proofErr w:type="spellStart"/>
            <w:r w:rsidRPr="003329AD">
              <w:rPr>
                <w:i/>
                <w:iCs/>
                <w:sz w:val="22"/>
                <w:szCs w:val="22"/>
              </w:rPr>
              <w:t>euro</w:t>
            </w:r>
            <w:proofErr w:type="spellEnd"/>
            <w:r w:rsidRPr="003329AD">
              <w:rPr>
                <w:sz w:val="22"/>
                <w:szCs w:val="22"/>
              </w:rPr>
              <w:t xml:space="preserve"> apmērā par vienību;</w:t>
            </w:r>
          </w:p>
          <w:p w:rsidRPr="00E36116" w:rsidR="00472E17" w:rsidP="00CA5C25" w:rsidRDefault="00472E17" w14:paraId="63B22B8F" w14:textId="4BAE61B4">
            <w:pPr>
              <w:pStyle w:val="naisc"/>
              <w:spacing w:before="0" w:after="0"/>
              <w:jc w:val="both"/>
              <w:rPr>
                <w:sz w:val="22"/>
                <w:szCs w:val="22"/>
              </w:rPr>
            </w:pPr>
            <w:r w:rsidRPr="00E36116">
              <w:rPr>
                <w:sz w:val="22"/>
                <w:szCs w:val="22"/>
              </w:rPr>
              <w:t>4.2.</w:t>
            </w:r>
            <w:r w:rsidR="00B12BC6">
              <w:rPr>
                <w:sz w:val="22"/>
                <w:szCs w:val="22"/>
              </w:rPr>
              <w:t> </w:t>
            </w:r>
            <w:r w:rsidRPr="00E36116">
              <w:rPr>
                <w:sz w:val="22"/>
                <w:szCs w:val="22"/>
              </w:rPr>
              <w:t xml:space="preserve">par viedtālruņiem 1,5 </w:t>
            </w:r>
            <w:proofErr w:type="spellStart"/>
            <w:r w:rsidRPr="00E36116">
              <w:rPr>
                <w:i/>
                <w:iCs/>
                <w:sz w:val="22"/>
                <w:szCs w:val="22"/>
              </w:rPr>
              <w:t>euro</w:t>
            </w:r>
            <w:proofErr w:type="spellEnd"/>
            <w:r w:rsidRPr="00E36116">
              <w:rPr>
                <w:sz w:val="22"/>
                <w:szCs w:val="22"/>
              </w:rPr>
              <w:t xml:space="preserve"> apmērā par vienību.””</w:t>
            </w:r>
          </w:p>
        </w:tc>
        <w:tc>
          <w:tcPr>
            <w:tcW w:w="1221" w:type="pct"/>
            <w:tcBorders>
              <w:top w:val="single" w:color="000000" w:sz="6" w:space="0"/>
              <w:left w:val="single" w:color="000000" w:sz="6" w:space="0"/>
              <w:bottom w:val="single" w:color="000000" w:sz="6" w:space="0"/>
              <w:right w:val="single" w:color="000000" w:sz="6" w:space="0"/>
            </w:tcBorders>
          </w:tcPr>
          <w:p w:rsidRPr="00E36116" w:rsidR="00472E17" w:rsidP="00CA5C25" w:rsidRDefault="00472E17" w14:paraId="7E0FA276" w14:textId="35707FE8">
            <w:pPr>
              <w:rPr>
                <w:sz w:val="22"/>
                <w:szCs w:val="22"/>
              </w:rPr>
            </w:pPr>
            <w:r w:rsidRPr="00E36116">
              <w:rPr>
                <w:b/>
                <w:bCs/>
                <w:sz w:val="22"/>
                <w:szCs w:val="22"/>
              </w:rPr>
              <w:lastRenderedPageBreak/>
              <w:t>LDTA</w:t>
            </w:r>
            <w:r w:rsidR="00D802F5">
              <w:rPr>
                <w:b/>
                <w:bCs/>
                <w:sz w:val="22"/>
                <w:szCs w:val="22"/>
              </w:rPr>
              <w:t>:</w:t>
            </w:r>
          </w:p>
          <w:p w:rsidRPr="00E36116" w:rsidR="00472E17" w:rsidP="00CA5C25" w:rsidRDefault="00472E17" w14:paraId="38D89476" w14:textId="77777777">
            <w:pPr>
              <w:jc w:val="both"/>
              <w:rPr>
                <w:sz w:val="22"/>
                <w:szCs w:val="22"/>
              </w:rPr>
            </w:pPr>
            <w:r w:rsidRPr="00E36116">
              <w:rPr>
                <w:sz w:val="22"/>
                <w:szCs w:val="22"/>
              </w:rPr>
              <w:t xml:space="preserve">Kļūdas </w:t>
            </w:r>
            <w:proofErr w:type="spellStart"/>
            <w:r w:rsidRPr="00E36116">
              <w:rPr>
                <w:sz w:val="22"/>
                <w:szCs w:val="22"/>
              </w:rPr>
              <w:t>pamatpieņēmumos</w:t>
            </w:r>
            <w:proofErr w:type="spellEnd"/>
            <w:r w:rsidRPr="00E36116">
              <w:rPr>
                <w:sz w:val="22"/>
                <w:szCs w:val="22"/>
              </w:rPr>
              <w:t xml:space="preserve">: atbilstoši KM veiktajam statistikas pētījumam pieņemts, ka 14% Latvijas iedzīvotāju veic darbu </w:t>
            </w:r>
            <w:proofErr w:type="spellStart"/>
            <w:r w:rsidRPr="00E36116">
              <w:rPr>
                <w:sz w:val="22"/>
                <w:szCs w:val="22"/>
              </w:rPr>
              <w:t>privātkopēšanu</w:t>
            </w:r>
            <w:proofErr w:type="spellEnd"/>
            <w:r w:rsidRPr="00E36116">
              <w:rPr>
                <w:sz w:val="22"/>
                <w:szCs w:val="22"/>
              </w:rPr>
              <w:t xml:space="preserve">. Kļūdas iemesls – neatbilstoša respondentu atlase un neprecīzi formulēti jautājumi. KM ignorē, ka iedzīvotāji pārsvarā darbus izmanto straumējot un saglabāšana tiek veikta datu mākoņos, nevis cietajos diskos. Ja notiek darbu </w:t>
            </w:r>
            <w:proofErr w:type="spellStart"/>
            <w:r w:rsidRPr="00E36116">
              <w:rPr>
                <w:sz w:val="22"/>
                <w:szCs w:val="22"/>
              </w:rPr>
              <w:t>privātkopēšana</w:t>
            </w:r>
            <w:proofErr w:type="spellEnd"/>
            <w:r w:rsidRPr="00E36116">
              <w:rPr>
                <w:sz w:val="22"/>
                <w:szCs w:val="22"/>
              </w:rPr>
              <w:t>, tad pārsvarā nelegāli iegūtam saturam, kas nav nodevas objekts.</w:t>
            </w:r>
          </w:p>
          <w:p w:rsidRPr="00E36116" w:rsidR="00472E17" w:rsidP="00CA5C25" w:rsidRDefault="00A3415B" w14:paraId="67C435A0" w14:textId="24204B0F">
            <w:pPr>
              <w:pStyle w:val="2ndlevelprovision"/>
              <w:numPr>
                <w:ilvl w:val="0"/>
                <w:numId w:val="0"/>
              </w:numPr>
              <w:spacing w:before="0" w:after="0"/>
              <w:rPr>
                <w:sz w:val="22"/>
                <w:szCs w:val="22"/>
                <w:lang w:val="lv-LV"/>
              </w:rPr>
            </w:pPr>
            <w:r w:rsidRPr="00E36116">
              <w:rPr>
                <w:sz w:val="22"/>
                <w:szCs w:val="22"/>
                <w:lang w:val="lv-LV"/>
              </w:rPr>
              <w:t>EK pārkāpuma procedūra: Direktīva paredz, ka atlīdzību jāiekasē tikai par datu nesējiem, ko izmanto privātpersonas. Latvijā atmaksas procedūra par juridisko personu datu nesējiem praktiski netiek veikta dēļ pārmērīgi sarežģītām procedūrām.</w:t>
            </w:r>
          </w:p>
          <w:p w:rsidRPr="00E36116" w:rsidR="00472E17" w:rsidP="00CA5C25" w:rsidRDefault="00472E17" w14:paraId="52EA01A9" w14:textId="7C5F5B82">
            <w:pPr>
              <w:pStyle w:val="2ndlevelprovision"/>
              <w:numPr>
                <w:ilvl w:val="0"/>
                <w:numId w:val="0"/>
              </w:numPr>
              <w:spacing w:before="0" w:after="0"/>
              <w:rPr>
                <w:sz w:val="22"/>
                <w:szCs w:val="22"/>
                <w:lang w:val="lv-LV" w:eastAsia="lv-LV"/>
              </w:rPr>
            </w:pPr>
            <w:r w:rsidRPr="00E36116">
              <w:rPr>
                <w:sz w:val="22"/>
                <w:szCs w:val="22"/>
                <w:lang w:val="lv-LV" w:eastAsia="lv-LV"/>
              </w:rPr>
              <w:t xml:space="preserve">Neatbilstoši definēts atlīdzības objekts: Grozījumi paredz iekasēt atlīdzību par visu veidu datoru cietajiem diskiem. Šādā tvērumā atlīdzību iekasēs arī par cietajiem diskiem, kas paredzēti, sistēmām, kurās notiek datu krāšana, piemēram, videonovērošanas iekārtām, kases sistēmām. Slogu plānots uzlikt arī viedtālruņiem ar mazu atmiņu. Šīs iekārtas nav iespējams izmantot </w:t>
            </w:r>
            <w:proofErr w:type="spellStart"/>
            <w:r w:rsidRPr="00E36116">
              <w:rPr>
                <w:sz w:val="22"/>
                <w:szCs w:val="22"/>
                <w:lang w:val="lv-LV" w:eastAsia="lv-LV"/>
              </w:rPr>
              <w:t>privātkopēšanai</w:t>
            </w:r>
            <w:proofErr w:type="spellEnd"/>
            <w:r w:rsidRPr="00E36116">
              <w:rPr>
                <w:sz w:val="22"/>
                <w:szCs w:val="22"/>
                <w:lang w:val="lv-LV" w:eastAsia="lv-LV"/>
              </w:rPr>
              <w:t xml:space="preserve">. </w:t>
            </w:r>
          </w:p>
          <w:p w:rsidRPr="00E36116" w:rsidR="00472E17" w:rsidP="00CA5C25" w:rsidRDefault="00472E17" w14:paraId="421383B0" w14:textId="0DC8AAD4">
            <w:pPr>
              <w:pStyle w:val="2ndlevelprovision"/>
              <w:numPr>
                <w:ilvl w:val="0"/>
                <w:numId w:val="0"/>
              </w:numPr>
              <w:spacing w:before="0" w:after="0"/>
              <w:rPr>
                <w:sz w:val="22"/>
                <w:szCs w:val="22"/>
                <w:lang w:val="lv-LV" w:eastAsia="lv-LV"/>
              </w:rPr>
            </w:pPr>
            <w:r w:rsidRPr="00E36116">
              <w:rPr>
                <w:sz w:val="22"/>
                <w:szCs w:val="22"/>
                <w:lang w:val="lv-LV" w:eastAsia="lv-LV"/>
              </w:rPr>
              <w:t xml:space="preserve">Preces veids: atlīdzību par </w:t>
            </w:r>
            <w:proofErr w:type="spellStart"/>
            <w:r w:rsidRPr="00E36116">
              <w:rPr>
                <w:sz w:val="22"/>
                <w:szCs w:val="22"/>
                <w:lang w:val="lv-LV" w:eastAsia="lv-LV"/>
              </w:rPr>
              <w:t>privātkopēšanu</w:t>
            </w:r>
            <w:proofErr w:type="spellEnd"/>
            <w:r w:rsidRPr="00E36116">
              <w:rPr>
                <w:sz w:val="22"/>
                <w:szCs w:val="22"/>
                <w:lang w:val="lv-LV" w:eastAsia="lv-LV"/>
              </w:rPr>
              <w:t xml:space="preserve"> plānots iekasēt arī </w:t>
            </w:r>
            <w:r w:rsidRPr="00E36116">
              <w:rPr>
                <w:sz w:val="22"/>
                <w:szCs w:val="22"/>
                <w:lang w:val="lv-LV" w:eastAsia="lv-LV"/>
              </w:rPr>
              <w:lastRenderedPageBreak/>
              <w:t xml:space="preserve">par atsevišķi tirgotiem cietajiem diskiem, ko privātpersonas iegādājas reti – patērētājam ir nepieciešamas īpašas zināšanas, lai to izmantotu </w:t>
            </w:r>
            <w:proofErr w:type="spellStart"/>
            <w:r w:rsidRPr="00E36116">
              <w:rPr>
                <w:sz w:val="22"/>
                <w:szCs w:val="22"/>
                <w:lang w:val="lv-LV" w:eastAsia="lv-LV"/>
              </w:rPr>
              <w:t>privātkopēšanai</w:t>
            </w:r>
            <w:proofErr w:type="spellEnd"/>
            <w:r w:rsidRPr="00E36116">
              <w:rPr>
                <w:sz w:val="22"/>
                <w:szCs w:val="22"/>
                <w:lang w:val="lv-LV" w:eastAsia="lv-LV"/>
              </w:rPr>
              <w:t>. Atsevišķi tirgotie cietie diski visbiežāk izmantoti uzņēmumu un iestāžu darbam un, atbilstoši Direktīvai, par to atlīdzība nav iekasējama.</w:t>
            </w:r>
          </w:p>
          <w:p w:rsidRPr="00E36116" w:rsidR="00472E17" w:rsidP="00CA5C25" w:rsidRDefault="00472E17" w14:paraId="01AFCF48" w14:textId="77777777">
            <w:pPr>
              <w:pStyle w:val="2ndlevelprovision"/>
              <w:numPr>
                <w:ilvl w:val="0"/>
                <w:numId w:val="0"/>
              </w:numPr>
              <w:spacing w:before="0" w:after="0"/>
              <w:rPr>
                <w:sz w:val="22"/>
                <w:szCs w:val="22"/>
                <w:lang w:val="lv-LV" w:eastAsia="lv-LV"/>
              </w:rPr>
            </w:pPr>
            <w:r w:rsidRPr="00E36116">
              <w:rPr>
                <w:sz w:val="22"/>
                <w:szCs w:val="22"/>
                <w:lang w:val="lv-LV" w:eastAsia="lv-LV"/>
              </w:rPr>
              <w:t xml:space="preserve">Samērīgums: </w:t>
            </w:r>
            <w:proofErr w:type="spellStart"/>
            <w:r w:rsidRPr="00E36116">
              <w:rPr>
                <w:sz w:val="22"/>
                <w:szCs w:val="22"/>
                <w:lang w:val="lv-LV" w:eastAsia="lv-LV"/>
              </w:rPr>
              <w:t>privātkopēšanu</w:t>
            </w:r>
            <w:proofErr w:type="spellEnd"/>
            <w:r w:rsidRPr="00E36116">
              <w:rPr>
                <w:sz w:val="22"/>
                <w:szCs w:val="22"/>
                <w:lang w:val="lv-LV" w:eastAsia="lv-LV"/>
              </w:rPr>
              <w:t xml:space="preserve"> realitātē veic ļoti neliels iedzīvotāju skaits, tomēr atlīdzības slogs piemērots visai sabiedrībai – arī, piemēram, pensionāriem, kas neprot kopēt darbus, bet izmanto viedtālruni vai datoru saziņas vajadzībām. Atlīdzību iekasē arī par datoriem, ko izmanto valsts un pašvaldību iestādes, skolas, bankas, medicīnas iestādes, kur </w:t>
            </w:r>
            <w:proofErr w:type="spellStart"/>
            <w:r w:rsidRPr="00E36116">
              <w:rPr>
                <w:sz w:val="22"/>
                <w:szCs w:val="22"/>
                <w:lang w:val="lv-LV" w:eastAsia="lv-LV"/>
              </w:rPr>
              <w:t>privātkopēšana</w:t>
            </w:r>
            <w:proofErr w:type="spellEnd"/>
            <w:r w:rsidRPr="00E36116">
              <w:rPr>
                <w:sz w:val="22"/>
                <w:szCs w:val="22"/>
                <w:lang w:val="lv-LV" w:eastAsia="lv-LV"/>
              </w:rPr>
              <w:t xml:space="preserve"> nav atļauta, tātad – šādi datori nevar būt nodevas objekts. </w:t>
            </w:r>
          </w:p>
          <w:p w:rsidRPr="00E36116" w:rsidR="00472E17" w:rsidP="00CA5C25" w:rsidRDefault="00472E17" w14:paraId="453DEE82" w14:textId="5DDB7BAC">
            <w:pPr>
              <w:pStyle w:val="2ndlevelprovision"/>
              <w:numPr>
                <w:ilvl w:val="0"/>
                <w:numId w:val="0"/>
              </w:numPr>
              <w:spacing w:before="0" w:after="0"/>
              <w:rPr>
                <w:sz w:val="22"/>
                <w:szCs w:val="22"/>
                <w:lang w:val="lv-LV" w:eastAsia="lv-LV"/>
              </w:rPr>
            </w:pPr>
            <w:r w:rsidRPr="00E36116">
              <w:rPr>
                <w:sz w:val="22"/>
                <w:szCs w:val="22"/>
                <w:lang w:val="lv-LV" w:eastAsia="lv-LV"/>
              </w:rPr>
              <w:t xml:space="preserve">Zaudētas tirgus daļas: lētākajās preču grupās preču tirdzniecība nebūs iespējama, jo nebūs iespējams gūt pat minimālu peļņu. Piemēram, lētāko cieto disku iespējams iegādāties par ~25 EUR - tad atlīdzība ir vairāk nekā 10% no preces cenas, kas ir nesamērīgi augsta. </w:t>
            </w:r>
            <w:r w:rsidRPr="00E36116">
              <w:rPr>
                <w:sz w:val="22"/>
                <w:szCs w:val="22"/>
                <w:lang w:val="lv-LV"/>
              </w:rPr>
              <w:t>[..]</w:t>
            </w:r>
          </w:p>
        </w:tc>
        <w:tc>
          <w:tcPr>
            <w:tcW w:w="1116" w:type="pct"/>
            <w:tcBorders>
              <w:top w:val="single" w:color="000000" w:sz="6" w:space="0"/>
              <w:left w:val="single" w:color="000000" w:sz="6" w:space="0"/>
              <w:bottom w:val="single" w:color="000000" w:sz="6" w:space="0"/>
              <w:right w:val="single" w:color="000000" w:sz="6" w:space="0"/>
            </w:tcBorders>
          </w:tcPr>
          <w:p w:rsidRPr="00E36116" w:rsidR="00472E17" w:rsidRDefault="00731B67" w14:paraId="7F2851F7" w14:textId="77777777">
            <w:pPr>
              <w:pStyle w:val="naisc"/>
              <w:spacing w:before="0" w:after="0"/>
              <w:ind w:firstLine="288"/>
              <w:rPr>
                <w:b/>
                <w:bCs/>
                <w:sz w:val="22"/>
                <w:szCs w:val="22"/>
                <w:lang w:eastAsia="en-US"/>
              </w:rPr>
            </w:pPr>
            <w:r w:rsidRPr="00E36116">
              <w:rPr>
                <w:b/>
                <w:bCs/>
                <w:sz w:val="22"/>
                <w:szCs w:val="22"/>
                <w:lang w:eastAsia="en-US"/>
              </w:rPr>
              <w:lastRenderedPageBreak/>
              <w:t>Nav ņemts vērā</w:t>
            </w:r>
          </w:p>
          <w:p w:rsidRPr="00E36116" w:rsidR="000D73B8" w:rsidP="00CA5C25" w:rsidRDefault="000D73B8" w14:paraId="5236F354" w14:textId="6A3E3AEA">
            <w:pPr>
              <w:pStyle w:val="naisc"/>
              <w:spacing w:before="0" w:after="0"/>
              <w:jc w:val="both"/>
              <w:rPr>
                <w:sz w:val="22"/>
                <w:szCs w:val="22"/>
                <w:lang w:eastAsia="en-US"/>
              </w:rPr>
            </w:pPr>
            <w:r w:rsidRPr="00E36116">
              <w:rPr>
                <w:sz w:val="22"/>
                <w:szCs w:val="22"/>
                <w:lang w:eastAsia="en-US"/>
              </w:rPr>
              <w:t>Iebildums par kļūd</w:t>
            </w:r>
            <w:r w:rsidRPr="00E36116" w:rsidR="0070473A">
              <w:rPr>
                <w:sz w:val="22"/>
                <w:szCs w:val="22"/>
                <w:lang w:eastAsia="en-US"/>
              </w:rPr>
              <w:t xml:space="preserve">ām </w:t>
            </w:r>
            <w:proofErr w:type="spellStart"/>
            <w:r w:rsidRPr="00E36116" w:rsidR="0070473A">
              <w:rPr>
                <w:sz w:val="22"/>
                <w:szCs w:val="22"/>
                <w:lang w:eastAsia="en-US"/>
              </w:rPr>
              <w:t>pamatpieņēmumos</w:t>
            </w:r>
            <w:proofErr w:type="spellEnd"/>
            <w:r w:rsidRPr="00E36116">
              <w:rPr>
                <w:sz w:val="22"/>
                <w:szCs w:val="22"/>
                <w:lang w:eastAsia="en-US"/>
              </w:rPr>
              <w:t xml:space="preserve"> nav pamatots ar faktiem. K</w:t>
            </w:r>
            <w:r w:rsidR="006C6CD4">
              <w:rPr>
                <w:sz w:val="22"/>
                <w:szCs w:val="22"/>
                <w:lang w:eastAsia="en-US"/>
              </w:rPr>
              <w:t>ultūras ministrijai</w:t>
            </w:r>
            <w:r w:rsidRPr="00E36116">
              <w:rPr>
                <w:sz w:val="22"/>
                <w:szCs w:val="22"/>
                <w:lang w:eastAsia="en-US"/>
              </w:rPr>
              <w:t xml:space="preserve"> nav pamata apšaubīt 2020.gad</w:t>
            </w:r>
            <w:r w:rsidRPr="00E36116" w:rsidR="00055CB1">
              <w:rPr>
                <w:sz w:val="22"/>
                <w:szCs w:val="22"/>
                <w:lang w:eastAsia="en-US"/>
              </w:rPr>
              <w:t xml:space="preserve">a </w:t>
            </w:r>
            <w:proofErr w:type="spellStart"/>
            <w:r w:rsidRPr="00E36116" w:rsidR="00AB4E64">
              <w:rPr>
                <w:sz w:val="22"/>
                <w:szCs w:val="22"/>
                <w:lang w:eastAsia="en-US"/>
              </w:rPr>
              <w:t>privātkopēšanas</w:t>
            </w:r>
            <w:proofErr w:type="spellEnd"/>
            <w:r w:rsidRPr="00E36116" w:rsidR="00AB4E64">
              <w:rPr>
                <w:sz w:val="22"/>
                <w:szCs w:val="22"/>
                <w:lang w:eastAsia="en-US"/>
              </w:rPr>
              <w:t xml:space="preserve"> </w:t>
            </w:r>
            <w:r w:rsidRPr="00E36116">
              <w:rPr>
                <w:sz w:val="22"/>
                <w:szCs w:val="22"/>
                <w:lang w:eastAsia="en-US"/>
              </w:rPr>
              <w:t>pētījuma veikšanu vai rezultātus.</w:t>
            </w:r>
          </w:p>
          <w:p w:rsidRPr="00E36116" w:rsidR="00055CB1" w:rsidP="00CA5C25" w:rsidRDefault="007D41B4" w14:paraId="1DB081C1" w14:textId="70670FBA">
            <w:pPr>
              <w:pStyle w:val="naisc"/>
              <w:spacing w:before="0" w:after="0"/>
              <w:jc w:val="both"/>
              <w:rPr>
                <w:sz w:val="22"/>
                <w:szCs w:val="22"/>
                <w:lang w:eastAsia="en-US"/>
              </w:rPr>
            </w:pPr>
            <w:r w:rsidRPr="00E36116">
              <w:rPr>
                <w:sz w:val="22"/>
                <w:szCs w:val="22"/>
                <w:lang w:eastAsia="en-US"/>
              </w:rPr>
              <w:t>Lai nodrošinātu pētījumu rezultātu salīdzināmību, p</w:t>
            </w:r>
            <w:r w:rsidRPr="00E36116" w:rsidR="00055CB1">
              <w:rPr>
                <w:sz w:val="22"/>
                <w:szCs w:val="22"/>
                <w:lang w:eastAsia="en-US"/>
              </w:rPr>
              <w:t>ētījuma aptaujas jautājumi nav mainīti kopš 2012.gada</w:t>
            </w:r>
            <w:r w:rsidR="006C6CD4">
              <w:rPr>
                <w:sz w:val="22"/>
                <w:szCs w:val="22"/>
                <w:lang w:eastAsia="en-US"/>
              </w:rPr>
              <w:t>,</w:t>
            </w:r>
            <w:r w:rsidRPr="00E36116" w:rsidR="00055CB1">
              <w:rPr>
                <w:sz w:val="22"/>
                <w:szCs w:val="22"/>
                <w:lang w:eastAsia="en-US"/>
              </w:rPr>
              <w:t xml:space="preserve"> un 2017.gadā, pirms pētījuma veikšanas, </w:t>
            </w:r>
            <w:r w:rsidRPr="00E36116">
              <w:rPr>
                <w:sz w:val="22"/>
                <w:szCs w:val="22"/>
                <w:lang w:eastAsia="en-US"/>
              </w:rPr>
              <w:t xml:space="preserve">tie </w:t>
            </w:r>
            <w:r w:rsidRPr="00E36116" w:rsidR="00055CB1">
              <w:rPr>
                <w:sz w:val="22"/>
                <w:szCs w:val="22"/>
                <w:lang w:eastAsia="en-US"/>
              </w:rPr>
              <w:t>tika atkārtoti saskaņoti ar darba grupas locekļiem. 2020.gadā mainīta pētījuma metodoloģija uz interneta aptauju, ņemot vērā epidemioloģiskās drošības pasākumus Covid-19 pandēmijas izplatības mazināšanai</w:t>
            </w:r>
            <w:r w:rsidRPr="00E36116" w:rsidR="00B116DA">
              <w:rPr>
                <w:sz w:val="22"/>
                <w:szCs w:val="22"/>
                <w:lang w:eastAsia="en-US"/>
              </w:rPr>
              <w:t xml:space="preserve"> un</w:t>
            </w:r>
            <w:r w:rsidRPr="00E36116" w:rsidR="00055CB1">
              <w:rPr>
                <w:sz w:val="22"/>
                <w:szCs w:val="22"/>
                <w:lang w:eastAsia="en-US"/>
              </w:rPr>
              <w:t xml:space="preserve"> augsto interneta lietotāju skaitu valstī. </w:t>
            </w:r>
          </w:p>
          <w:p w:rsidRPr="00E36116" w:rsidR="000D73B8" w:rsidP="00CA5C25" w:rsidRDefault="005F7824" w14:paraId="7C3B4B0E" w14:textId="248CB786">
            <w:pPr>
              <w:pStyle w:val="naisc"/>
              <w:spacing w:before="0" w:after="0"/>
              <w:jc w:val="both"/>
              <w:rPr>
                <w:sz w:val="22"/>
                <w:szCs w:val="22"/>
                <w:lang w:eastAsia="en-US"/>
              </w:rPr>
            </w:pPr>
            <w:r w:rsidRPr="00E36116">
              <w:rPr>
                <w:sz w:val="22"/>
                <w:szCs w:val="22"/>
                <w:lang w:eastAsia="en-US"/>
              </w:rPr>
              <w:t>Autortiesību likuma 34.panta trešā daļa</w:t>
            </w:r>
            <w:r w:rsidRPr="00E36116" w:rsidR="000D73B8">
              <w:rPr>
                <w:sz w:val="22"/>
                <w:szCs w:val="22"/>
                <w:lang w:eastAsia="en-US"/>
              </w:rPr>
              <w:t xml:space="preserve"> paredz, ka profesionālajiem lietotājiem par iegādātajiem nesējiem un iekārtām nav jāmaksā nesēja atlīdzība. Tād</w:t>
            </w:r>
            <w:r w:rsidRPr="00E36116">
              <w:rPr>
                <w:sz w:val="22"/>
                <w:szCs w:val="22"/>
                <w:lang w:eastAsia="en-US"/>
              </w:rPr>
              <w:t>ē</w:t>
            </w:r>
            <w:r w:rsidRPr="00E36116" w:rsidR="000D73B8">
              <w:rPr>
                <w:sz w:val="22"/>
                <w:szCs w:val="22"/>
                <w:lang w:eastAsia="en-US"/>
              </w:rPr>
              <w:t xml:space="preserve">jādi </w:t>
            </w:r>
            <w:r w:rsidRPr="00E36116" w:rsidR="00F920FC">
              <w:rPr>
                <w:sz w:val="22"/>
                <w:szCs w:val="22"/>
                <w:lang w:eastAsia="en-US"/>
              </w:rPr>
              <w:t xml:space="preserve">minētā likuma norma un </w:t>
            </w:r>
            <w:r w:rsidRPr="005F0D77" w:rsidR="005F0D77">
              <w:rPr>
                <w:sz w:val="22"/>
                <w:szCs w:val="22"/>
                <w:lang w:eastAsia="en-US"/>
              </w:rPr>
              <w:t>Ministru kabineta 2005.gada 10.maija noteikum</w:t>
            </w:r>
            <w:r w:rsidR="005F0D77">
              <w:rPr>
                <w:sz w:val="22"/>
                <w:szCs w:val="22"/>
                <w:lang w:eastAsia="en-US"/>
              </w:rPr>
              <w:t>i</w:t>
            </w:r>
            <w:r w:rsidRPr="005F0D77" w:rsidR="005F0D77">
              <w:rPr>
                <w:sz w:val="22"/>
                <w:szCs w:val="22"/>
                <w:lang w:eastAsia="en-US"/>
              </w:rPr>
              <w:t xml:space="preserve"> Nr.321 „Noteikumi par tukšo materiālo nesēju un reproducēšanai izmantojamo iekārtu atlīdzības lielumu un tās iekasēšanas, atmaksāšanas, sadales un izmaksas kārtību”” (turpmāk – </w:t>
            </w:r>
            <w:r w:rsidRPr="00E36116" w:rsidR="000D73B8">
              <w:rPr>
                <w:sz w:val="22"/>
                <w:szCs w:val="22"/>
                <w:lang w:eastAsia="en-US"/>
              </w:rPr>
              <w:t>Noteikumi</w:t>
            </w:r>
            <w:r w:rsidR="005F0D77">
              <w:rPr>
                <w:sz w:val="22"/>
                <w:szCs w:val="22"/>
                <w:lang w:eastAsia="en-US"/>
              </w:rPr>
              <w:t>)</w:t>
            </w:r>
            <w:r w:rsidRPr="00E36116" w:rsidR="000D73B8">
              <w:rPr>
                <w:sz w:val="22"/>
                <w:szCs w:val="22"/>
                <w:lang w:eastAsia="en-US"/>
              </w:rPr>
              <w:t xml:space="preserve"> nodrošina iespēju nemaksāt </w:t>
            </w:r>
            <w:r w:rsidRPr="00E36116" w:rsidR="000D73B8">
              <w:rPr>
                <w:sz w:val="22"/>
                <w:szCs w:val="22"/>
                <w:lang w:eastAsia="en-US"/>
              </w:rPr>
              <w:lastRenderedPageBreak/>
              <w:t xml:space="preserve">nesēja atlīdzību par cietajiem diskiem, kas netiks izmantoti </w:t>
            </w:r>
            <w:proofErr w:type="spellStart"/>
            <w:r w:rsidRPr="00E36116" w:rsidR="000D73B8">
              <w:rPr>
                <w:sz w:val="22"/>
                <w:szCs w:val="22"/>
                <w:lang w:eastAsia="en-US"/>
              </w:rPr>
              <w:t>privātkopēšanai</w:t>
            </w:r>
            <w:proofErr w:type="spellEnd"/>
            <w:r w:rsidRPr="00E36116" w:rsidR="000D73B8">
              <w:rPr>
                <w:sz w:val="22"/>
                <w:szCs w:val="22"/>
                <w:lang w:eastAsia="en-US"/>
              </w:rPr>
              <w:t>.</w:t>
            </w:r>
          </w:p>
          <w:p w:rsidRPr="00E36116" w:rsidR="00D4359A" w:rsidP="00CA5C25" w:rsidRDefault="00D1190D" w14:paraId="00CD8EB7" w14:textId="4FB966AD">
            <w:pPr>
              <w:pStyle w:val="naisc"/>
              <w:spacing w:before="0" w:after="0"/>
              <w:jc w:val="both"/>
              <w:rPr>
                <w:sz w:val="22"/>
                <w:szCs w:val="22"/>
                <w:lang w:eastAsia="en-US"/>
              </w:rPr>
            </w:pPr>
            <w:r w:rsidRPr="00B12BC6">
              <w:rPr>
                <w:sz w:val="22"/>
                <w:szCs w:val="22"/>
              </w:rPr>
              <w:t xml:space="preserve">Ministru kabineta </w:t>
            </w:r>
            <w:r>
              <w:rPr>
                <w:sz w:val="22"/>
                <w:szCs w:val="22"/>
                <w:lang w:eastAsia="en-US"/>
              </w:rPr>
              <w:t>n</w:t>
            </w:r>
            <w:r w:rsidRPr="00E36116" w:rsidR="000D73B8">
              <w:rPr>
                <w:sz w:val="22"/>
                <w:szCs w:val="22"/>
                <w:lang w:eastAsia="en-US"/>
              </w:rPr>
              <w:t>oteikumu projekts paredz atlīdzības iekasēšanu tikai par viedtālruņiem</w:t>
            </w:r>
            <w:r w:rsidRPr="00E36116" w:rsidR="009965ED">
              <w:rPr>
                <w:sz w:val="22"/>
                <w:szCs w:val="22"/>
                <w:lang w:eastAsia="en-US"/>
              </w:rPr>
              <w:t xml:space="preserve"> (proti, tādiem tālruņiem, kuriem ir kopēšanas funkcija)</w:t>
            </w:r>
            <w:r w:rsidRPr="00E36116" w:rsidR="000D73B8">
              <w:rPr>
                <w:sz w:val="22"/>
                <w:szCs w:val="22"/>
                <w:lang w:eastAsia="en-US"/>
              </w:rPr>
              <w:t>, nevis visiem mobilajiem telefoniem. Tād</w:t>
            </w:r>
            <w:r w:rsidRPr="00E36116" w:rsidR="00610511">
              <w:rPr>
                <w:sz w:val="22"/>
                <w:szCs w:val="22"/>
                <w:lang w:eastAsia="en-US"/>
              </w:rPr>
              <w:t>ē</w:t>
            </w:r>
            <w:r w:rsidRPr="00E36116" w:rsidR="000D73B8">
              <w:rPr>
                <w:sz w:val="22"/>
                <w:szCs w:val="22"/>
                <w:lang w:eastAsia="en-US"/>
              </w:rPr>
              <w:t xml:space="preserve">jādi </w:t>
            </w:r>
            <w:r w:rsidRPr="00B12BC6">
              <w:rPr>
                <w:sz w:val="22"/>
                <w:szCs w:val="22"/>
              </w:rPr>
              <w:t>Ministru kabineta noteikumu</w:t>
            </w:r>
            <w:r w:rsidRPr="00E36116">
              <w:rPr>
                <w:sz w:val="22"/>
                <w:szCs w:val="22"/>
              </w:rPr>
              <w:t xml:space="preserve"> </w:t>
            </w:r>
            <w:r>
              <w:rPr>
                <w:sz w:val="22"/>
                <w:szCs w:val="22"/>
                <w:lang w:eastAsia="en-US"/>
              </w:rPr>
              <w:t>p</w:t>
            </w:r>
            <w:r w:rsidRPr="00E36116" w:rsidR="000D73B8">
              <w:rPr>
                <w:sz w:val="22"/>
                <w:szCs w:val="22"/>
                <w:lang w:eastAsia="en-US"/>
              </w:rPr>
              <w:t>rojekts nodrošina nesēja atlīdzības iekasēšanu tikai par tādām ierīcēm, kurās iespējama darbu un blakustiesību objektu kopēšana.</w:t>
            </w:r>
          </w:p>
          <w:p w:rsidRPr="00E36116" w:rsidR="00D4359A" w:rsidP="00CA5C25" w:rsidRDefault="00D4359A" w14:paraId="7A418C98" w14:textId="1AAE4BAF">
            <w:pPr>
              <w:pStyle w:val="naisc"/>
              <w:spacing w:before="0" w:after="0"/>
              <w:jc w:val="both"/>
              <w:rPr>
                <w:sz w:val="22"/>
                <w:szCs w:val="22"/>
                <w:lang w:eastAsia="en-US"/>
              </w:rPr>
            </w:pPr>
            <w:r w:rsidRPr="00E36116">
              <w:rPr>
                <w:sz w:val="22"/>
                <w:szCs w:val="22"/>
                <w:lang w:eastAsia="en-US"/>
              </w:rPr>
              <w:t xml:space="preserve">Apgalvojums, ka </w:t>
            </w:r>
            <w:proofErr w:type="spellStart"/>
            <w:r w:rsidRPr="00E36116">
              <w:rPr>
                <w:sz w:val="22"/>
                <w:szCs w:val="22"/>
                <w:lang w:eastAsia="en-US"/>
              </w:rPr>
              <w:t>privātkopēšana</w:t>
            </w:r>
            <w:proofErr w:type="spellEnd"/>
            <w:r w:rsidRPr="00E36116">
              <w:rPr>
                <w:sz w:val="22"/>
                <w:szCs w:val="22"/>
                <w:lang w:eastAsia="en-US"/>
              </w:rPr>
              <w:t xml:space="preserve"> nav atļauta visās valsts, pašvaldību, banku un medicīnas iestādēs nav pamatot</w:t>
            </w:r>
            <w:r w:rsidRPr="00E36116" w:rsidR="00BA61EA">
              <w:rPr>
                <w:sz w:val="22"/>
                <w:szCs w:val="22"/>
                <w:lang w:eastAsia="en-US"/>
              </w:rPr>
              <w:t>s</w:t>
            </w:r>
            <w:r w:rsidRPr="00E36116">
              <w:rPr>
                <w:sz w:val="22"/>
                <w:szCs w:val="22"/>
                <w:lang w:eastAsia="en-US"/>
              </w:rPr>
              <w:t xml:space="preserve">. </w:t>
            </w:r>
            <w:r w:rsidRPr="00E36116" w:rsidR="0014367D">
              <w:rPr>
                <w:sz w:val="22"/>
                <w:szCs w:val="22"/>
                <w:lang w:eastAsia="en-US"/>
              </w:rPr>
              <w:t>Turklāt i</w:t>
            </w:r>
            <w:r w:rsidRPr="00E36116">
              <w:rPr>
                <w:sz w:val="22"/>
                <w:szCs w:val="22"/>
                <w:lang w:eastAsia="en-US"/>
              </w:rPr>
              <w:t xml:space="preserve">estādes, kurās nav atļauta </w:t>
            </w:r>
            <w:proofErr w:type="spellStart"/>
            <w:r w:rsidRPr="00E36116">
              <w:rPr>
                <w:sz w:val="22"/>
                <w:szCs w:val="22"/>
                <w:lang w:eastAsia="en-US"/>
              </w:rPr>
              <w:t>privātkopēšana</w:t>
            </w:r>
            <w:proofErr w:type="spellEnd"/>
            <w:r w:rsidRPr="00E36116">
              <w:rPr>
                <w:sz w:val="22"/>
                <w:szCs w:val="22"/>
                <w:lang w:eastAsia="en-US"/>
              </w:rPr>
              <w:t xml:space="preserve">, var reģistrēties profesionālo lietotāju reģistrā, ja tās plāno iegādāties nesējus vai iekārtas, un nemaksāt nesēja atlīdzību. </w:t>
            </w:r>
          </w:p>
          <w:p w:rsidRPr="00E36116" w:rsidR="00055CB1" w:rsidP="00CA5C25" w:rsidRDefault="00D4359A" w14:paraId="294D1016" w14:textId="2EB1445C">
            <w:pPr>
              <w:pStyle w:val="naisc"/>
              <w:spacing w:before="0" w:after="0"/>
              <w:jc w:val="both"/>
              <w:rPr>
                <w:sz w:val="22"/>
                <w:szCs w:val="22"/>
                <w:lang w:eastAsia="en-US"/>
              </w:rPr>
            </w:pPr>
            <w:r w:rsidRPr="00E36116">
              <w:rPr>
                <w:sz w:val="22"/>
                <w:szCs w:val="22"/>
                <w:lang w:eastAsia="en-US"/>
              </w:rPr>
              <w:t xml:space="preserve">Automātiska juridisku personu iekļaušana profesionālo lietotāju reģistrā nav pamatota, jo tās var iegādāties nesējus un iekārtas, kas tiek izmantotas </w:t>
            </w:r>
            <w:proofErr w:type="spellStart"/>
            <w:r w:rsidRPr="00E36116">
              <w:rPr>
                <w:sz w:val="22"/>
                <w:szCs w:val="22"/>
                <w:lang w:eastAsia="en-US"/>
              </w:rPr>
              <w:t>privātkopēšanai</w:t>
            </w:r>
            <w:proofErr w:type="spellEnd"/>
            <w:r w:rsidRPr="00E36116">
              <w:rPr>
                <w:sz w:val="22"/>
                <w:szCs w:val="22"/>
                <w:lang w:eastAsia="en-US"/>
              </w:rPr>
              <w:t>, kā arī šāda sistēma uzliktu nesamērīgu administratīvo slogu iestādēm, kuras nesējus un iekārtas neiegādājas regulāri vai vispār</w:t>
            </w:r>
            <w:r w:rsidRPr="00E36116" w:rsidR="0033400F">
              <w:rPr>
                <w:sz w:val="22"/>
                <w:szCs w:val="22"/>
                <w:lang w:eastAsia="en-US"/>
              </w:rPr>
              <w:t xml:space="preserve"> </w:t>
            </w:r>
            <w:r w:rsidRPr="00E36116" w:rsidR="0033400F">
              <w:rPr>
                <w:sz w:val="22"/>
                <w:szCs w:val="22"/>
                <w:lang w:eastAsia="en-US"/>
              </w:rPr>
              <w:lastRenderedPageBreak/>
              <w:t>(jo tām būtu pienākums sniegt regulāras atskaites kolektīvā pārvaldījuma organizācijai)</w:t>
            </w:r>
            <w:r w:rsidRPr="00E36116">
              <w:rPr>
                <w:sz w:val="22"/>
                <w:szCs w:val="22"/>
                <w:lang w:eastAsia="en-US"/>
              </w:rPr>
              <w:t>.</w:t>
            </w:r>
          </w:p>
          <w:p w:rsidRPr="00E36116" w:rsidR="00D4359A" w:rsidP="00CA5C25" w:rsidRDefault="00D4359A" w14:paraId="73F3B7BB" w14:textId="16A4DFA1">
            <w:pPr>
              <w:pStyle w:val="naisc"/>
              <w:spacing w:before="0" w:after="0"/>
              <w:jc w:val="both"/>
              <w:rPr>
                <w:sz w:val="22"/>
                <w:szCs w:val="22"/>
                <w:lang w:eastAsia="en-US"/>
              </w:rPr>
            </w:pPr>
            <w:r w:rsidRPr="00E36116">
              <w:rPr>
                <w:sz w:val="22"/>
                <w:szCs w:val="22"/>
                <w:lang w:eastAsia="en-US"/>
              </w:rPr>
              <w:t>Iebildums nav pamatots ar faktiem</w:t>
            </w:r>
            <w:r w:rsidR="00D1190D">
              <w:rPr>
                <w:sz w:val="22"/>
                <w:szCs w:val="22"/>
                <w:lang w:eastAsia="en-US"/>
              </w:rPr>
              <w:t>,</w:t>
            </w:r>
            <w:r w:rsidRPr="00E36116">
              <w:rPr>
                <w:sz w:val="22"/>
                <w:szCs w:val="22"/>
                <w:lang w:eastAsia="en-US"/>
              </w:rPr>
              <w:t xml:space="preserve"> par to cik % no visiem cietajiem diskiem sastāda minētie diski un cik </w:t>
            </w:r>
            <w:r w:rsidRPr="00E36116" w:rsidR="00487284">
              <w:rPr>
                <w:sz w:val="22"/>
                <w:szCs w:val="22"/>
                <w:lang w:eastAsia="en-US"/>
              </w:rPr>
              <w:t xml:space="preserve">bieži tiek iegādāti šādi diski. Ja šādi diski var tikt iebūvēti personālajos datoros, tad uz tiem var veikt darbu un blakustiesību objektu </w:t>
            </w:r>
            <w:proofErr w:type="spellStart"/>
            <w:r w:rsidRPr="00E36116" w:rsidR="00487284">
              <w:rPr>
                <w:sz w:val="22"/>
                <w:szCs w:val="22"/>
                <w:lang w:eastAsia="en-US"/>
              </w:rPr>
              <w:t>privātkopēšanu</w:t>
            </w:r>
            <w:proofErr w:type="spellEnd"/>
            <w:r w:rsidRPr="00E36116" w:rsidR="00487284">
              <w:rPr>
                <w:sz w:val="22"/>
                <w:szCs w:val="22"/>
                <w:lang w:eastAsia="en-US"/>
              </w:rPr>
              <w:t>. Attiecīgi nodrošināms, ka par tiem maksājama nesēja atlīdzība. Ne darba grupa</w:t>
            </w:r>
            <w:r w:rsidRPr="00E36116" w:rsidR="00055CB1">
              <w:rPr>
                <w:sz w:val="22"/>
                <w:szCs w:val="22"/>
                <w:lang w:eastAsia="en-US"/>
              </w:rPr>
              <w:t>s</w:t>
            </w:r>
            <w:r w:rsidRPr="00E36116" w:rsidR="00487284">
              <w:rPr>
                <w:sz w:val="22"/>
                <w:szCs w:val="22"/>
                <w:lang w:eastAsia="en-US"/>
              </w:rPr>
              <w:t>, ne sabiedrības līdzdalības dalībnieki nav izteikuši priekšlikumu noteikt diferencētu maksu par nesējiem un iekārtām atbilstoši to atmiņas izmēram.</w:t>
            </w:r>
          </w:p>
        </w:tc>
        <w:tc>
          <w:tcPr>
            <w:tcW w:w="769" w:type="pct"/>
            <w:tcBorders>
              <w:top w:val="single" w:color="auto" w:sz="4" w:space="0"/>
              <w:left w:val="single" w:color="auto" w:sz="4" w:space="0"/>
              <w:bottom w:val="single" w:color="auto" w:sz="4" w:space="0"/>
              <w:right w:val="single" w:color="auto" w:sz="4" w:space="0"/>
            </w:tcBorders>
          </w:tcPr>
          <w:p w:rsidRPr="00E36116" w:rsidR="00472E17" w:rsidRDefault="00472E17" w14:paraId="67DC7E36" w14:textId="77777777">
            <w:pPr>
              <w:jc w:val="center"/>
              <w:rPr>
                <w:sz w:val="22"/>
                <w:szCs w:val="22"/>
                <w:lang w:eastAsia="en-US"/>
              </w:rPr>
            </w:pPr>
          </w:p>
        </w:tc>
        <w:tc>
          <w:tcPr>
            <w:tcW w:w="840" w:type="pct"/>
            <w:tcBorders>
              <w:top w:val="single" w:color="auto" w:sz="4" w:space="0"/>
              <w:left w:val="single" w:color="auto" w:sz="4" w:space="0"/>
              <w:bottom w:val="single" w:color="auto" w:sz="4" w:space="0"/>
              <w:right w:val="single" w:color="auto" w:sz="4" w:space="0"/>
            </w:tcBorders>
          </w:tcPr>
          <w:p w:rsidR="00A70A9D" w:rsidP="00B12BC6" w:rsidRDefault="00B12BC6" w14:paraId="58EA3EEB" w14:textId="4E23E2BA">
            <w:pPr>
              <w:jc w:val="both"/>
              <w:rPr>
                <w:sz w:val="22"/>
                <w:szCs w:val="22"/>
              </w:rPr>
            </w:pPr>
            <w:r w:rsidRPr="00B12BC6">
              <w:rPr>
                <w:sz w:val="22"/>
                <w:szCs w:val="22"/>
              </w:rPr>
              <w:t>Ministru kabineta noteikumu</w:t>
            </w:r>
            <w:r w:rsidRPr="00E36116">
              <w:rPr>
                <w:sz w:val="22"/>
                <w:szCs w:val="22"/>
              </w:rPr>
              <w:t xml:space="preserve"> </w:t>
            </w:r>
            <w:r>
              <w:rPr>
                <w:sz w:val="22"/>
                <w:szCs w:val="22"/>
              </w:rPr>
              <w:t>p</w:t>
            </w:r>
            <w:r w:rsidRPr="00E36116" w:rsidR="00A70A9D">
              <w:rPr>
                <w:sz w:val="22"/>
                <w:szCs w:val="22"/>
              </w:rPr>
              <w:t>rojekta 1.3.apakšpunkts:</w:t>
            </w:r>
          </w:p>
          <w:p w:rsidRPr="00E36116" w:rsidR="00B12BC6" w:rsidP="00CA5C25" w:rsidRDefault="00B12BC6" w14:paraId="1A117637" w14:textId="77777777">
            <w:pPr>
              <w:jc w:val="both"/>
              <w:rPr>
                <w:sz w:val="22"/>
                <w:szCs w:val="22"/>
              </w:rPr>
            </w:pPr>
          </w:p>
          <w:p w:rsidRPr="00E36116" w:rsidR="00A70A9D" w:rsidP="00CA5C25" w:rsidRDefault="00B12BC6" w14:paraId="02E39247" w14:textId="24339643">
            <w:pPr>
              <w:jc w:val="both"/>
              <w:rPr>
                <w:sz w:val="22"/>
                <w:szCs w:val="22"/>
              </w:rPr>
            </w:pPr>
            <w:r w:rsidRPr="00E36116">
              <w:rPr>
                <w:sz w:val="22"/>
                <w:szCs w:val="22"/>
                <w:lang w:eastAsia="en-US"/>
              </w:rPr>
              <w:t>„</w:t>
            </w:r>
            <w:r w:rsidRPr="00E36116" w:rsidR="00A70A9D">
              <w:rPr>
                <w:sz w:val="22"/>
                <w:szCs w:val="22"/>
                <w:lang w:eastAsia="en-US"/>
              </w:rPr>
              <w:t>1.3.</w:t>
            </w:r>
            <w:r>
              <w:rPr>
                <w:sz w:val="22"/>
                <w:szCs w:val="22"/>
                <w:lang w:eastAsia="en-US"/>
              </w:rPr>
              <w:t> </w:t>
            </w:r>
            <w:r w:rsidRPr="00E36116" w:rsidR="00A70A9D">
              <w:rPr>
                <w:sz w:val="22"/>
                <w:szCs w:val="22"/>
                <w:lang w:eastAsia="en-US"/>
              </w:rPr>
              <w:t>izteikt 3. un 4.punktu šādā redakcijā:</w:t>
            </w:r>
          </w:p>
          <w:p w:rsidRPr="00E36116" w:rsidR="00A70A9D" w:rsidRDefault="00A70A9D" w14:paraId="6F6F720D" w14:textId="6A18445B">
            <w:pPr>
              <w:jc w:val="both"/>
              <w:rPr>
                <w:sz w:val="22"/>
                <w:szCs w:val="22"/>
                <w:lang w:eastAsia="en-US"/>
              </w:rPr>
            </w:pPr>
            <w:r w:rsidRPr="00E36116">
              <w:rPr>
                <w:sz w:val="22"/>
                <w:szCs w:val="22"/>
                <w:lang w:eastAsia="en-US"/>
              </w:rPr>
              <w:t>„3.</w:t>
            </w:r>
            <w:r w:rsidR="00B12BC6">
              <w:rPr>
                <w:sz w:val="22"/>
                <w:szCs w:val="22"/>
                <w:lang w:eastAsia="en-US"/>
              </w:rPr>
              <w:t> </w:t>
            </w:r>
            <w:r w:rsidRPr="00E36116">
              <w:rPr>
                <w:sz w:val="22"/>
                <w:szCs w:val="22"/>
                <w:lang w:eastAsia="en-US"/>
              </w:rPr>
              <w:t>Atlīdzību par tukšajiem materiālajiem nesējiem nosaka un maksā šādā apmērā:</w:t>
            </w:r>
          </w:p>
          <w:p w:rsidRPr="00E36116" w:rsidR="00A70A9D" w:rsidRDefault="00A70A9D" w14:paraId="217748C6" w14:textId="77777777">
            <w:pPr>
              <w:jc w:val="both"/>
              <w:rPr>
                <w:sz w:val="22"/>
                <w:szCs w:val="22"/>
                <w:lang w:eastAsia="en-US"/>
              </w:rPr>
            </w:pPr>
            <w:r w:rsidRPr="00E36116">
              <w:rPr>
                <w:sz w:val="22"/>
                <w:szCs w:val="22"/>
                <w:lang w:eastAsia="en-US"/>
              </w:rPr>
              <w:t>3.1. USB zibatmiņai kā procentuālu likmi no pirmās atsavināšanas cenas Latvijas teritorijā bez pievienotās vērtības nodokļa – 6 %;</w:t>
            </w:r>
          </w:p>
          <w:p w:rsidRPr="00E36116" w:rsidR="00A70A9D" w:rsidRDefault="00A70A9D" w14:paraId="782F9BA2" w14:textId="400343DB">
            <w:pPr>
              <w:jc w:val="both"/>
              <w:rPr>
                <w:sz w:val="22"/>
                <w:szCs w:val="22"/>
                <w:lang w:eastAsia="en-US"/>
              </w:rPr>
            </w:pPr>
            <w:r w:rsidRPr="00E36116">
              <w:rPr>
                <w:sz w:val="22"/>
                <w:szCs w:val="22"/>
                <w:lang w:eastAsia="en-US"/>
              </w:rPr>
              <w:t>3.2.</w:t>
            </w:r>
            <w:r w:rsidR="00B12BC6">
              <w:rPr>
                <w:sz w:val="22"/>
                <w:szCs w:val="22"/>
                <w:lang w:eastAsia="en-US"/>
              </w:rPr>
              <w:t> </w:t>
            </w:r>
            <w:r w:rsidRPr="00E36116">
              <w:rPr>
                <w:sz w:val="22"/>
                <w:szCs w:val="22"/>
                <w:lang w:eastAsia="en-US"/>
              </w:rPr>
              <w:t>ārējam cietajam datora diskam kā procentuālu likmi no pirmās atsavināšanas cenas Latvijas teritorijā bez pievienotās vērtības nodokļa – 4 %;</w:t>
            </w:r>
          </w:p>
          <w:p w:rsidRPr="00E36116" w:rsidR="00A70A9D" w:rsidP="003329AD" w:rsidRDefault="00A70A9D" w14:paraId="55728F89" w14:textId="77777777">
            <w:pPr>
              <w:jc w:val="both"/>
              <w:rPr>
                <w:sz w:val="22"/>
                <w:szCs w:val="22"/>
                <w:lang w:eastAsia="en-US"/>
              </w:rPr>
            </w:pPr>
            <w:r w:rsidRPr="00E36116">
              <w:rPr>
                <w:sz w:val="22"/>
                <w:szCs w:val="22"/>
                <w:lang w:eastAsia="en-US"/>
              </w:rPr>
              <w:t xml:space="preserve">3.3. visu veidu datoru cietajiem diskiem, ieskaitot HDD un SSD diskus, 2,85 </w:t>
            </w:r>
            <w:proofErr w:type="spellStart"/>
            <w:r w:rsidRPr="003329AD">
              <w:rPr>
                <w:i/>
                <w:iCs/>
                <w:sz w:val="22"/>
                <w:szCs w:val="22"/>
                <w:lang w:eastAsia="en-US"/>
              </w:rPr>
              <w:t>euro</w:t>
            </w:r>
            <w:proofErr w:type="spellEnd"/>
            <w:r w:rsidRPr="003329AD">
              <w:rPr>
                <w:sz w:val="22"/>
                <w:szCs w:val="22"/>
                <w:lang w:eastAsia="en-US"/>
              </w:rPr>
              <w:t xml:space="preserve"> ap</w:t>
            </w:r>
            <w:r w:rsidRPr="00E36116">
              <w:rPr>
                <w:sz w:val="22"/>
                <w:szCs w:val="22"/>
                <w:lang w:eastAsia="en-US"/>
              </w:rPr>
              <w:t>mērā par vienību.</w:t>
            </w:r>
          </w:p>
          <w:p w:rsidRPr="00E36116" w:rsidR="00A70A9D" w:rsidRDefault="00A70A9D" w14:paraId="26F95403" w14:textId="77777777">
            <w:pPr>
              <w:jc w:val="both"/>
              <w:rPr>
                <w:sz w:val="22"/>
                <w:szCs w:val="22"/>
                <w:lang w:eastAsia="en-US"/>
              </w:rPr>
            </w:pPr>
          </w:p>
          <w:p w:rsidRPr="00E36116" w:rsidR="00A70A9D" w:rsidRDefault="00A70A9D" w14:paraId="4618B761" w14:textId="584EF882">
            <w:pPr>
              <w:jc w:val="both"/>
              <w:rPr>
                <w:sz w:val="22"/>
                <w:szCs w:val="22"/>
                <w:lang w:eastAsia="en-US"/>
              </w:rPr>
            </w:pPr>
            <w:r w:rsidRPr="00E36116">
              <w:rPr>
                <w:sz w:val="22"/>
                <w:szCs w:val="22"/>
                <w:lang w:eastAsia="en-US"/>
              </w:rPr>
              <w:t>4.</w:t>
            </w:r>
            <w:r w:rsidR="00B12BC6">
              <w:rPr>
                <w:sz w:val="22"/>
                <w:szCs w:val="22"/>
                <w:lang w:eastAsia="en-US"/>
              </w:rPr>
              <w:t> </w:t>
            </w:r>
            <w:r w:rsidRPr="00E36116">
              <w:rPr>
                <w:sz w:val="22"/>
                <w:szCs w:val="22"/>
                <w:lang w:eastAsia="en-US"/>
              </w:rPr>
              <w:t>Atlīdzību par reproducēšanai izmantojamām iekārtām maksā šādā apmērā:</w:t>
            </w:r>
          </w:p>
          <w:p w:rsidRPr="003329AD" w:rsidR="00A70A9D" w:rsidP="003329AD" w:rsidRDefault="00A70A9D" w14:paraId="3D3FD83C" w14:textId="68A065CC">
            <w:pPr>
              <w:jc w:val="both"/>
              <w:rPr>
                <w:sz w:val="22"/>
                <w:szCs w:val="22"/>
                <w:lang w:eastAsia="en-US"/>
              </w:rPr>
            </w:pPr>
            <w:r w:rsidRPr="00E36116">
              <w:rPr>
                <w:sz w:val="22"/>
                <w:szCs w:val="22"/>
                <w:lang w:eastAsia="en-US"/>
              </w:rPr>
              <w:t>4.1.</w:t>
            </w:r>
            <w:r w:rsidR="00B12BC6">
              <w:rPr>
                <w:sz w:val="22"/>
                <w:szCs w:val="22"/>
                <w:lang w:eastAsia="en-US"/>
              </w:rPr>
              <w:t> </w:t>
            </w:r>
            <w:r w:rsidRPr="00E36116">
              <w:rPr>
                <w:sz w:val="22"/>
                <w:szCs w:val="22"/>
                <w:lang w:eastAsia="en-US"/>
              </w:rPr>
              <w:t xml:space="preserve">par visu veidu personālajiem datoriem, ieskaitot portatīvos </w:t>
            </w:r>
            <w:r w:rsidRPr="00E36116">
              <w:rPr>
                <w:sz w:val="22"/>
                <w:szCs w:val="22"/>
                <w:lang w:eastAsia="en-US"/>
              </w:rPr>
              <w:lastRenderedPageBreak/>
              <w:t xml:space="preserve">datorus un planšetdatorus, 2,85 </w:t>
            </w:r>
            <w:proofErr w:type="spellStart"/>
            <w:r w:rsidRPr="003329AD">
              <w:rPr>
                <w:i/>
                <w:iCs/>
                <w:sz w:val="22"/>
                <w:szCs w:val="22"/>
                <w:lang w:eastAsia="en-US"/>
              </w:rPr>
              <w:t>euro</w:t>
            </w:r>
            <w:proofErr w:type="spellEnd"/>
            <w:r w:rsidRPr="003329AD">
              <w:rPr>
                <w:sz w:val="22"/>
                <w:szCs w:val="22"/>
                <w:lang w:eastAsia="en-US"/>
              </w:rPr>
              <w:t xml:space="preserve"> apmērā par vienību;</w:t>
            </w:r>
          </w:p>
          <w:p w:rsidRPr="00E36116" w:rsidR="00A70A9D" w:rsidP="003329AD" w:rsidRDefault="00A70A9D" w14:paraId="10E2D26F" w14:textId="5348B64F">
            <w:pPr>
              <w:jc w:val="both"/>
              <w:rPr>
                <w:sz w:val="22"/>
                <w:szCs w:val="22"/>
                <w:lang w:eastAsia="en-US"/>
              </w:rPr>
            </w:pPr>
            <w:r w:rsidRPr="003329AD">
              <w:rPr>
                <w:sz w:val="22"/>
                <w:szCs w:val="22"/>
                <w:lang w:eastAsia="en-US"/>
              </w:rPr>
              <w:t xml:space="preserve">4.2. par viedtālruņiem 1,5 </w:t>
            </w:r>
            <w:proofErr w:type="spellStart"/>
            <w:r w:rsidRPr="003329AD">
              <w:rPr>
                <w:i/>
                <w:iCs/>
                <w:sz w:val="22"/>
                <w:szCs w:val="22"/>
                <w:lang w:eastAsia="en-US"/>
              </w:rPr>
              <w:t>euro</w:t>
            </w:r>
            <w:proofErr w:type="spellEnd"/>
            <w:r w:rsidRPr="003329AD">
              <w:rPr>
                <w:sz w:val="22"/>
                <w:szCs w:val="22"/>
                <w:lang w:eastAsia="en-US"/>
              </w:rPr>
              <w:t xml:space="preserve"> apmērā par vienību.”</w:t>
            </w:r>
            <w:r w:rsidRPr="00E36116" w:rsidR="00E36116">
              <w:rPr>
                <w:sz w:val="22"/>
                <w:szCs w:val="22"/>
                <w:lang w:eastAsia="en-US"/>
              </w:rPr>
              <w:t>”</w:t>
            </w:r>
          </w:p>
        </w:tc>
      </w:tr>
      <w:tr w:rsidRPr="00E36116" w:rsidR="00472E17" w:rsidTr="00E36116" w14:paraId="5B235FBC" w14:textId="77777777">
        <w:tc>
          <w:tcPr>
            <w:tcW w:w="191" w:type="pct"/>
            <w:tcBorders>
              <w:top w:val="single" w:color="000000" w:sz="6" w:space="0"/>
              <w:left w:val="single" w:color="000000" w:sz="6" w:space="0"/>
              <w:bottom w:val="single" w:color="000000" w:sz="6" w:space="0"/>
              <w:right w:val="single" w:color="000000" w:sz="6" w:space="0"/>
            </w:tcBorders>
            <w:hideMark/>
          </w:tcPr>
          <w:p w:rsidRPr="00E36116" w:rsidR="00472E17" w:rsidP="00E36116" w:rsidRDefault="005A0736" w14:paraId="27A82D34" w14:textId="6A788D7D">
            <w:pPr>
              <w:pStyle w:val="naisc"/>
              <w:spacing w:before="0" w:after="0"/>
              <w:rPr>
                <w:sz w:val="22"/>
                <w:szCs w:val="22"/>
                <w:lang w:eastAsia="en-US"/>
              </w:rPr>
            </w:pPr>
            <w:r w:rsidRPr="00E36116">
              <w:rPr>
                <w:sz w:val="22"/>
                <w:szCs w:val="22"/>
                <w:lang w:eastAsia="en-US"/>
              </w:rPr>
              <w:lastRenderedPageBreak/>
              <w:t>3</w:t>
            </w:r>
            <w:r w:rsidRPr="00E36116" w:rsidR="00472E17">
              <w:rPr>
                <w:sz w:val="22"/>
                <w:szCs w:val="22"/>
                <w:lang w:eastAsia="en-US"/>
              </w:rPr>
              <w:t>.</w:t>
            </w:r>
          </w:p>
        </w:tc>
        <w:tc>
          <w:tcPr>
            <w:tcW w:w="862" w:type="pct"/>
            <w:tcBorders>
              <w:top w:val="single" w:color="000000" w:sz="6" w:space="0"/>
              <w:left w:val="single" w:color="000000" w:sz="6" w:space="0"/>
              <w:bottom w:val="single" w:color="000000" w:sz="6" w:space="0"/>
              <w:right w:val="single" w:color="000000" w:sz="6" w:space="0"/>
            </w:tcBorders>
            <w:hideMark/>
          </w:tcPr>
          <w:p w:rsidRPr="00E36116" w:rsidR="00472E17" w:rsidP="00E36116" w:rsidRDefault="00B12BC6" w14:paraId="66A674C2" w14:textId="6C6E2364">
            <w:pPr>
              <w:jc w:val="both"/>
              <w:rPr>
                <w:sz w:val="22"/>
                <w:szCs w:val="22"/>
              </w:rPr>
            </w:pPr>
            <w:r w:rsidRPr="00B12BC6">
              <w:rPr>
                <w:sz w:val="22"/>
                <w:szCs w:val="22"/>
              </w:rPr>
              <w:t xml:space="preserve">Ministru kabineta noteikumu </w:t>
            </w:r>
            <w:r>
              <w:rPr>
                <w:sz w:val="22"/>
                <w:szCs w:val="22"/>
              </w:rPr>
              <w:t>p</w:t>
            </w:r>
            <w:r w:rsidRPr="00E36116" w:rsidR="00472E17">
              <w:rPr>
                <w:sz w:val="22"/>
                <w:szCs w:val="22"/>
              </w:rPr>
              <w:t>rojekta 1.3.apakšpunkts (Noteiku</w:t>
            </w:r>
            <w:r w:rsidRPr="00793437" w:rsidR="00472E17">
              <w:rPr>
                <w:sz w:val="22"/>
                <w:szCs w:val="22"/>
              </w:rPr>
              <w:t>mu</w:t>
            </w:r>
            <w:r w:rsidRPr="003329AD" w:rsidR="00034290">
              <w:rPr>
                <w:sz w:val="22"/>
                <w:szCs w:val="22"/>
              </w:rPr>
              <w:t xml:space="preserve"> </w:t>
            </w:r>
            <w:r w:rsidRPr="00E36116" w:rsidR="00472E17">
              <w:rPr>
                <w:sz w:val="22"/>
                <w:szCs w:val="22"/>
              </w:rPr>
              <w:t>4.2.apakšpunkts):</w:t>
            </w:r>
          </w:p>
          <w:p w:rsidRPr="00E36116" w:rsidR="00472E17" w:rsidP="00CA5C25" w:rsidRDefault="00472E17" w14:paraId="1ADA284C" w14:textId="77777777">
            <w:pPr>
              <w:jc w:val="both"/>
              <w:rPr>
                <w:sz w:val="22"/>
                <w:szCs w:val="22"/>
                <w:lang w:eastAsia="en-US"/>
              </w:rPr>
            </w:pPr>
          </w:p>
          <w:p w:rsidRPr="00E36116" w:rsidR="00472E17" w:rsidP="00CA5C25" w:rsidRDefault="00472E17" w14:paraId="3E489BB7" w14:textId="58509CD3">
            <w:pPr>
              <w:jc w:val="both"/>
              <w:rPr>
                <w:sz w:val="22"/>
                <w:szCs w:val="22"/>
              </w:rPr>
            </w:pPr>
            <w:r w:rsidRPr="00E36116">
              <w:rPr>
                <w:sz w:val="22"/>
                <w:szCs w:val="22"/>
              </w:rPr>
              <w:t>„1.3. izteikt 3. un 4.punktu šādā redakcijā:</w:t>
            </w:r>
          </w:p>
          <w:p w:rsidRPr="00E36116" w:rsidR="00472E17" w:rsidP="00CA5C25" w:rsidRDefault="00472E17" w14:paraId="5BD819E1" w14:textId="63C2059D">
            <w:pPr>
              <w:jc w:val="both"/>
              <w:rPr>
                <w:sz w:val="22"/>
                <w:szCs w:val="22"/>
              </w:rPr>
            </w:pPr>
            <w:r w:rsidRPr="00E36116">
              <w:rPr>
                <w:sz w:val="22"/>
                <w:szCs w:val="22"/>
              </w:rPr>
              <w:t>[..]</w:t>
            </w:r>
          </w:p>
          <w:p w:rsidRPr="00E36116" w:rsidR="00E36116" w:rsidP="00CA5C25" w:rsidRDefault="00472E17" w14:paraId="6604D75E" w14:textId="279D4144">
            <w:pPr>
              <w:jc w:val="both"/>
              <w:rPr>
                <w:sz w:val="22"/>
                <w:szCs w:val="22"/>
              </w:rPr>
            </w:pPr>
            <w:r w:rsidRPr="00E36116">
              <w:rPr>
                <w:sz w:val="22"/>
                <w:szCs w:val="22"/>
              </w:rPr>
              <w:t>4.</w:t>
            </w:r>
            <w:r w:rsidR="00B12BC6">
              <w:rPr>
                <w:sz w:val="22"/>
                <w:szCs w:val="22"/>
              </w:rPr>
              <w:t> </w:t>
            </w:r>
            <w:r w:rsidRPr="00E36116">
              <w:rPr>
                <w:sz w:val="22"/>
                <w:szCs w:val="22"/>
              </w:rPr>
              <w:t xml:space="preserve">Atlīdzību par reproducēšanai izmantojamām iekārtām maksā šādā apmērā: </w:t>
            </w:r>
          </w:p>
          <w:p w:rsidRPr="00E36116" w:rsidR="00472E17" w:rsidP="00CA5C25" w:rsidRDefault="00472E17" w14:paraId="3863B0D0" w14:textId="08274814">
            <w:pPr>
              <w:jc w:val="both"/>
              <w:rPr>
                <w:sz w:val="22"/>
                <w:szCs w:val="22"/>
              </w:rPr>
            </w:pPr>
            <w:r w:rsidRPr="00E36116">
              <w:rPr>
                <w:sz w:val="22"/>
                <w:szCs w:val="22"/>
              </w:rPr>
              <w:t>[..]</w:t>
            </w:r>
          </w:p>
          <w:p w:rsidRPr="00E36116" w:rsidR="00472E17" w:rsidP="00CA5C25" w:rsidRDefault="00472E17" w14:paraId="54513D58" w14:textId="150310F0">
            <w:pPr>
              <w:pStyle w:val="naisc"/>
              <w:spacing w:before="0" w:after="0"/>
              <w:jc w:val="both"/>
              <w:rPr>
                <w:sz w:val="22"/>
                <w:szCs w:val="22"/>
              </w:rPr>
            </w:pPr>
            <w:r w:rsidRPr="00E36116">
              <w:rPr>
                <w:sz w:val="22"/>
                <w:szCs w:val="22"/>
              </w:rPr>
              <w:lastRenderedPageBreak/>
              <w:t xml:space="preserve">4.2. par viedtālruņiem 1,5 </w:t>
            </w:r>
            <w:proofErr w:type="spellStart"/>
            <w:r w:rsidRPr="00E36116">
              <w:rPr>
                <w:i/>
                <w:iCs/>
                <w:sz w:val="22"/>
                <w:szCs w:val="22"/>
              </w:rPr>
              <w:t>euro</w:t>
            </w:r>
            <w:proofErr w:type="spellEnd"/>
            <w:r w:rsidRPr="00E36116">
              <w:rPr>
                <w:sz w:val="22"/>
                <w:szCs w:val="22"/>
              </w:rPr>
              <w:t xml:space="preserve"> apmērā par vienību.”</w:t>
            </w:r>
            <w:r w:rsidRPr="00E36116" w:rsidR="00E36116">
              <w:rPr>
                <w:sz w:val="22"/>
                <w:szCs w:val="22"/>
              </w:rPr>
              <w:t>”</w:t>
            </w:r>
          </w:p>
        </w:tc>
        <w:tc>
          <w:tcPr>
            <w:tcW w:w="1221" w:type="pct"/>
            <w:tcBorders>
              <w:top w:val="single" w:color="000000" w:sz="6" w:space="0"/>
              <w:left w:val="single" w:color="000000" w:sz="6" w:space="0"/>
              <w:bottom w:val="single" w:color="000000" w:sz="6" w:space="0"/>
              <w:right w:val="single" w:color="000000" w:sz="6" w:space="0"/>
            </w:tcBorders>
          </w:tcPr>
          <w:p w:rsidRPr="00E36116" w:rsidR="00472E17" w:rsidP="00CA5C25" w:rsidRDefault="00472E17" w14:paraId="3AB75267" w14:textId="17746D93">
            <w:pPr>
              <w:jc w:val="both"/>
              <w:rPr>
                <w:b/>
                <w:bCs/>
                <w:sz w:val="22"/>
                <w:szCs w:val="22"/>
              </w:rPr>
            </w:pPr>
            <w:r w:rsidRPr="00E36116">
              <w:rPr>
                <w:b/>
                <w:bCs/>
                <w:sz w:val="22"/>
                <w:szCs w:val="22"/>
              </w:rPr>
              <w:lastRenderedPageBreak/>
              <w:t>LDDK</w:t>
            </w:r>
            <w:r w:rsidR="00631740">
              <w:rPr>
                <w:b/>
                <w:bCs/>
                <w:sz w:val="22"/>
                <w:szCs w:val="22"/>
              </w:rPr>
              <w:t>:</w:t>
            </w:r>
          </w:p>
          <w:p w:rsidRPr="00E36116" w:rsidR="00472E17" w:rsidP="00CA5C25" w:rsidRDefault="00472E17" w14:paraId="25E110DC" w14:textId="77777777">
            <w:pPr>
              <w:jc w:val="both"/>
              <w:rPr>
                <w:sz w:val="22"/>
                <w:szCs w:val="22"/>
              </w:rPr>
            </w:pPr>
            <w:r w:rsidRPr="00E36116">
              <w:rPr>
                <w:sz w:val="22"/>
                <w:szCs w:val="22"/>
              </w:rPr>
              <w:t>LDDK iebilst pret Kultūras Ministrijas ieceri paplašināt ar tā saucamo “nesēju nodevu” apliekamo iekārtu sarakstu, iekļaujot tajā viedtālruņus un nosakot tiem nodevu, jo šāda iecere nav pamatota un samērīga ar sabiedrības interesēm kopumā, tāpēc sniedz šādu priekšlikumu:</w:t>
            </w:r>
          </w:p>
          <w:p w:rsidRPr="00E36116" w:rsidR="00472E17" w:rsidP="00CA5C25" w:rsidRDefault="00472E17" w14:paraId="4650A0C9" w14:textId="77777777">
            <w:pPr>
              <w:jc w:val="both"/>
              <w:rPr>
                <w:sz w:val="22"/>
                <w:szCs w:val="22"/>
              </w:rPr>
            </w:pPr>
            <w:r w:rsidRPr="00E36116">
              <w:rPr>
                <w:sz w:val="22"/>
                <w:szCs w:val="22"/>
              </w:rPr>
              <w:t>svītrot 4.punkta 4.2.apakšpunktu.</w:t>
            </w:r>
          </w:p>
          <w:p w:rsidRPr="00E36116" w:rsidR="00472E17" w:rsidP="00CA5C25" w:rsidRDefault="00472E17" w14:paraId="787A2566" w14:textId="32084576">
            <w:pPr>
              <w:jc w:val="both"/>
              <w:rPr>
                <w:sz w:val="22"/>
                <w:szCs w:val="22"/>
              </w:rPr>
            </w:pPr>
            <w:r w:rsidRPr="00E36116">
              <w:rPr>
                <w:sz w:val="22"/>
                <w:szCs w:val="22"/>
              </w:rPr>
              <w:t>I Grozījumu izstrādes un virzīšanas process nav pieņemams</w:t>
            </w:r>
          </w:p>
          <w:p w:rsidRPr="00E36116" w:rsidR="00472E17" w:rsidP="00CA5C25" w:rsidRDefault="00472E17" w14:paraId="00F9A9C7" w14:textId="77777777">
            <w:pPr>
              <w:jc w:val="both"/>
              <w:rPr>
                <w:sz w:val="22"/>
                <w:szCs w:val="22"/>
              </w:rPr>
            </w:pPr>
            <w:r w:rsidRPr="00E36116">
              <w:rPr>
                <w:sz w:val="22"/>
                <w:szCs w:val="22"/>
              </w:rPr>
              <w:t xml:space="preserve">Vēršam uzmanību, ka “nesēju nodevas” jautājumu risināšanai kopš 2018.gada ir izveidota speciāla darba </w:t>
            </w:r>
            <w:r w:rsidRPr="00E36116">
              <w:rPr>
                <w:sz w:val="22"/>
                <w:szCs w:val="22"/>
              </w:rPr>
              <w:lastRenderedPageBreak/>
              <w:t xml:space="preserve">grupa, kurā ietilpst mūzikas industrijas pārstāvji, autoratlīdzības administrēšanā iesaistītie un sociālie partneri. Viens no darba grupas uzdevumiem ir profesionāls atbalsts Kultūras ministrijai, tai skaitā organizējot tirgus pētījumus. </w:t>
            </w:r>
          </w:p>
          <w:p w:rsidRPr="00E36116" w:rsidR="00472E17" w:rsidP="00CA5C25" w:rsidRDefault="00472E17" w14:paraId="04F2E42E" w14:textId="77777777">
            <w:pPr>
              <w:jc w:val="both"/>
              <w:rPr>
                <w:sz w:val="22"/>
                <w:szCs w:val="22"/>
              </w:rPr>
            </w:pPr>
            <w:r w:rsidRPr="00E36116">
              <w:rPr>
                <w:sz w:val="22"/>
                <w:szCs w:val="22"/>
              </w:rPr>
              <w:t>2020.gada oktobrī Kultūras ministrija ir izšķīrusies par sasteigtu soli – nekonsultējoties ar darba grupu, dažu dienu laikā organizēja KM Aptauju. Šāda rīcība norāda uz iespējamu ieinteresētību konkrētos rezultātos.</w:t>
            </w:r>
          </w:p>
          <w:p w:rsidRPr="00E36116" w:rsidR="00472E17" w:rsidP="00CA5C25" w:rsidRDefault="00472E17" w14:paraId="7528649E" w14:textId="77777777">
            <w:pPr>
              <w:jc w:val="both"/>
              <w:rPr>
                <w:sz w:val="22"/>
                <w:szCs w:val="22"/>
              </w:rPr>
            </w:pPr>
            <w:r w:rsidRPr="00E36116">
              <w:rPr>
                <w:sz w:val="22"/>
                <w:szCs w:val="22"/>
              </w:rPr>
              <w:t xml:space="preserve">KM Aptaujā ietvertie jautājumi, metodoloģija un tvērums ar sociālajiem partneriem vai patērētājiem kā “nesēju nodevas” faktiskajiem maksātājiem netika saskaņots, nedz arī apspriests tādējādi klaji ignorējot sabiedrības līdzdalību tai būtisku lēmumu pieņemšanā. </w:t>
            </w:r>
          </w:p>
          <w:p w:rsidRPr="00E36116" w:rsidR="00472E17" w:rsidP="00CA5C25" w:rsidRDefault="00472E17" w14:paraId="0D424CF8" w14:textId="4F0F8E36">
            <w:pPr>
              <w:jc w:val="both"/>
              <w:rPr>
                <w:sz w:val="22"/>
                <w:szCs w:val="22"/>
              </w:rPr>
            </w:pPr>
            <w:r w:rsidRPr="00E36116">
              <w:rPr>
                <w:sz w:val="22"/>
                <w:szCs w:val="22"/>
              </w:rPr>
              <w:t xml:space="preserve">Normatīvo aktu pieņemšanu bez atbilstoša ietekmes novērtējuma un izvēloties neprecīzus informācijas avotus neatbilst nedz Latvijas autoru, nedz Latvijas patērētāju interesēm. Tādēļ 2020.gada decembrī tika veikts neatkarīgs un metodoloģiski atbilstošs pētījums “Par viedtālruņu izmantošanu tiesiski iegūtu autortiesību darbu reproducēšanai personiskai lietošanai  (Neatkarīgs pētījums)”. Neatkarīgais pētījums apstiprina, ka </w:t>
            </w:r>
            <w:r w:rsidRPr="00E36116">
              <w:rPr>
                <w:sz w:val="22"/>
                <w:szCs w:val="22"/>
              </w:rPr>
              <w:lastRenderedPageBreak/>
              <w:t xml:space="preserve">metodoloģiski nepareizās KM Aptaujas rezultāti likumsakarīgi ir kļūdaini arī pēc būtības. Saskaņā ar Neatkarīgā pētījuma rezultātiem, tiesību subjektam radītais kaitējums ir minimāls (viedtālruni </w:t>
            </w:r>
            <w:proofErr w:type="spellStart"/>
            <w:r w:rsidRPr="00E36116">
              <w:rPr>
                <w:sz w:val="22"/>
                <w:szCs w:val="22"/>
              </w:rPr>
              <w:t>autordarbu</w:t>
            </w:r>
            <w:proofErr w:type="spellEnd"/>
            <w:r w:rsidRPr="00E36116">
              <w:rPr>
                <w:sz w:val="22"/>
                <w:szCs w:val="22"/>
              </w:rPr>
              <w:t xml:space="preserve"> kopēšanai izmanto maksimums tikai 16,5%, pretēji KM Aptaujai – 32%), līdz ar ko nav pamata viedtālruņus aplikt ar “nesēju nodevu”</w:t>
            </w:r>
            <w:r w:rsidRPr="00E36116" w:rsidR="004F6A4F">
              <w:rPr>
                <w:sz w:val="22"/>
                <w:szCs w:val="22"/>
              </w:rPr>
              <w:t>.</w:t>
            </w:r>
          </w:p>
          <w:p w:rsidRPr="00E36116" w:rsidR="00472E17" w:rsidP="00CA5C25" w:rsidRDefault="00472E17" w14:paraId="523235DC" w14:textId="77777777">
            <w:pPr>
              <w:jc w:val="both"/>
              <w:rPr>
                <w:sz w:val="22"/>
                <w:szCs w:val="22"/>
              </w:rPr>
            </w:pPr>
            <w:r w:rsidRPr="00E36116">
              <w:rPr>
                <w:sz w:val="22"/>
                <w:szCs w:val="22"/>
              </w:rPr>
              <w:t xml:space="preserve">LDDK nav pieņemama grozījumu virzīšanas steidzamība. Kultūras ministrija vēlas panākt Grozījumu stāšanos spēkā ar 2021.gada 1.martu. Kultūras ministrija nav uzskatījusi par nepieciešamu organizēt darba grupas sanāksmi, lai apspriestu Grozījumu precizēto redakciju pēc tam, kad Kultūras ministrija vienpersoniski pieņēma lēmumu paplašināt ar “nesēju nodevu” apliekamo iekārtu sarakstu ar viedtālruņiem. Anotācijā rodamā norāde par to, ka precizētais Grozījumu tiesiskais regulējums apspriests darba grupā, neatbilst patiesībai. </w:t>
            </w:r>
          </w:p>
          <w:p w:rsidRPr="00E36116" w:rsidR="00472E17" w:rsidP="00CA5C25" w:rsidRDefault="00472E17" w14:paraId="10D8FD64" w14:textId="22CF982B">
            <w:pPr>
              <w:jc w:val="both"/>
              <w:rPr>
                <w:sz w:val="22"/>
                <w:szCs w:val="22"/>
              </w:rPr>
            </w:pPr>
            <w:r w:rsidRPr="00E36116">
              <w:rPr>
                <w:sz w:val="22"/>
                <w:szCs w:val="22"/>
              </w:rPr>
              <w:t xml:space="preserve">Satversmes tiesa 2019.gada spriedumā Nr.2018-11-01  ir norādījusi, ka likumdošanas procesā ir būtiski ievērot labas likumdošanas principu un izteikto iebildumu un viedokļu izvērtēšana ir būtiska tā sastāvdaļa. Jebkurā likumdošanas stadijā, Grozījumiem jābūt izdiskutētiem no visām iesaistītām </w:t>
            </w:r>
            <w:r w:rsidRPr="00E36116">
              <w:rPr>
                <w:sz w:val="22"/>
                <w:szCs w:val="22"/>
              </w:rPr>
              <w:lastRenderedPageBreak/>
              <w:t>pusēm, un lēmumam jābūt balstītam uz padziļinātu, kvalitatīvu jautājuma izpēti, tostarp Eiropas labās prakses piemēriem. LDDK piekrīt, ka sasteigtā, necaurskatāmā un metodoloģiski kļūdainā procesā nevar sasniegt taisnīgu un sabiedrības interesēm atbilstošu rezultātu. [..]</w:t>
            </w:r>
          </w:p>
          <w:p w:rsidRPr="00E36116" w:rsidR="00472E17" w:rsidP="00CA5C25" w:rsidRDefault="00472E17" w14:paraId="67ED7DE8" w14:textId="38D15581">
            <w:pPr>
              <w:jc w:val="both"/>
              <w:rPr>
                <w:sz w:val="22"/>
                <w:szCs w:val="22"/>
              </w:rPr>
            </w:pPr>
            <w:r w:rsidRPr="00E36116">
              <w:rPr>
                <w:sz w:val="22"/>
                <w:szCs w:val="22"/>
              </w:rPr>
              <w:t>LDDK atgādina, ka Covid-19 izraisītās pandēmijas un nenoteiktības laikā publiskajā telpā valdības pārstāvji vairākkārt ir apliecinājuši, ka šobrīd ir svarīgi saglabāt biznesa vidi  un “radīt iespējas uzņēmējiem tikt pie finanšu līdzekļiem”,  nevis palielināt nodokļu slogu, ieviešot jaunas nodevas vai paplašinot esošo tvērumu.  [..]</w:t>
            </w:r>
          </w:p>
          <w:p w:rsidRPr="00E36116" w:rsidR="00472E17" w:rsidP="00CA5C25" w:rsidRDefault="00472E17" w14:paraId="0A0AFB04" w14:textId="0302B532">
            <w:pPr>
              <w:jc w:val="both"/>
              <w:rPr>
                <w:sz w:val="22"/>
                <w:szCs w:val="22"/>
              </w:rPr>
            </w:pPr>
            <w:r w:rsidRPr="00E36116">
              <w:rPr>
                <w:sz w:val="22"/>
                <w:szCs w:val="22"/>
              </w:rPr>
              <w:t>II Viedtālruņu aplikšanai ar “nesēju nodevu” nav objektīva pamata  [..]</w:t>
            </w:r>
          </w:p>
          <w:p w:rsidRPr="00E36116" w:rsidR="00472E17" w:rsidP="00CA5C25" w:rsidRDefault="00472E17" w14:paraId="2AF62E3D" w14:textId="56B943D0">
            <w:pPr>
              <w:jc w:val="both"/>
              <w:rPr>
                <w:sz w:val="22"/>
                <w:szCs w:val="22"/>
              </w:rPr>
            </w:pPr>
            <w:r w:rsidRPr="00E36116">
              <w:rPr>
                <w:sz w:val="22"/>
                <w:szCs w:val="22"/>
              </w:rPr>
              <w:t>Izrietoši no EST prakses, dalībvalstu kompetencē ir noteikt kaitējuma robežvērtību, ievērojot, ka šīs robežvērtības piemērošanai tostarp ir jāatbilst vienlīdzīgas attieksmes principam. Līdzšinējā praksē Kultūras ministrija ir izmantojusi 25% slieksni, lai novērtētu vai kaitējums, kas rodas likumīgi iegūtu ar autortiesībām aizsargātu darbu reproducēšanu personiskai lietošanai, pārsniedz ‘minimālu’ un attiecīgi šādiem nesējiem būtu piemērojama nodeva.</w:t>
            </w:r>
          </w:p>
          <w:p w:rsidRPr="00E36116" w:rsidR="00472E17" w:rsidP="00CA5C25" w:rsidRDefault="00472E17" w14:paraId="00801263" w14:textId="56DD95C8">
            <w:pPr>
              <w:jc w:val="both"/>
              <w:rPr>
                <w:sz w:val="22"/>
                <w:szCs w:val="22"/>
              </w:rPr>
            </w:pPr>
            <w:r w:rsidRPr="00E36116">
              <w:rPr>
                <w:sz w:val="22"/>
                <w:szCs w:val="22"/>
              </w:rPr>
              <w:lastRenderedPageBreak/>
              <w:t>Bez konsultācijām ar speciāli šim mērķim izveidoto darba grupu Kultūras ministrija 2020.gada novembrī ir patvaļīgi samazinājusi minimālā kaitējuma slieksni no 25% uz 20%, tādējādi pakļaujot nodevas piemērošanai potenciāli plašāku objektu loku. Šāda rīcība norāda uz Kultūras ministrijas apzinātu rīcību konkrēta mērķa – nesēju nodevas kopējā apmēra pieauguma – sasniegšanai bez objektīva pamatojuma un necaurskatāmā procesā.</w:t>
            </w:r>
          </w:p>
          <w:p w:rsidRPr="00E36116" w:rsidR="00472E17" w:rsidP="00CA5C25" w:rsidRDefault="00472E17" w14:paraId="695B3296" w14:textId="50245CD8">
            <w:pPr>
              <w:jc w:val="both"/>
              <w:rPr>
                <w:sz w:val="22"/>
                <w:szCs w:val="22"/>
              </w:rPr>
            </w:pPr>
            <w:r w:rsidRPr="00E36116">
              <w:rPr>
                <w:sz w:val="22"/>
                <w:szCs w:val="22"/>
              </w:rPr>
              <w:t xml:space="preserve">Atbilstoši Direktīvas 5.pantam un preambulas 35.apsvērumam minimāla kaitējuma gadījumā “nesēja nodevas” maksājuma saistība nav jānosaka. Uz šī kritērija ievērošanu norādījusi arī Satversmes tiesa Spriedumā. Atbilstoši EST judikatūrai taisnīgajai atlīdzībai un līdz ar to arī tās pamatā esošajai sistēmai un tās apmēram ir jābūt saistītam ar kaitējumu, kas tiesību subjektiem radīts privātās kopēšanas dēļ. Kultūras ministrija pēc KM Aptaujas rezultātiem ir secinājusi, ka “viedtālruņu lietošanas regularitāte </w:t>
            </w:r>
            <w:proofErr w:type="spellStart"/>
            <w:r w:rsidRPr="00E36116">
              <w:rPr>
                <w:sz w:val="22"/>
                <w:szCs w:val="22"/>
              </w:rPr>
              <w:t>autordarbu</w:t>
            </w:r>
            <w:proofErr w:type="spellEnd"/>
            <w:r w:rsidRPr="00E36116">
              <w:rPr>
                <w:sz w:val="22"/>
                <w:szCs w:val="22"/>
              </w:rPr>
              <w:t xml:space="preserve"> kopēšanai ir salīdzinoši zema” (sk. Anotāciju). Pie šādiem faktiem nevar izdarīt secinājumu par nesēju nodevas attiecināšanu uz viedtālruņiem. </w:t>
            </w:r>
          </w:p>
          <w:p w:rsidRPr="003329AD" w:rsidR="00472E17" w:rsidP="00CA5C25" w:rsidRDefault="00472E17" w14:paraId="11B45FFE" w14:textId="1E0AB611">
            <w:pPr>
              <w:jc w:val="both"/>
              <w:rPr>
                <w:sz w:val="22"/>
                <w:szCs w:val="22"/>
              </w:rPr>
            </w:pPr>
            <w:r w:rsidRPr="00E36116">
              <w:rPr>
                <w:sz w:val="22"/>
                <w:szCs w:val="22"/>
              </w:rPr>
              <w:t xml:space="preserve">[..] Atbilstoši KM Aptaujai, legālu </w:t>
            </w:r>
            <w:proofErr w:type="spellStart"/>
            <w:r w:rsidRPr="00E36116">
              <w:rPr>
                <w:sz w:val="22"/>
                <w:szCs w:val="22"/>
              </w:rPr>
              <w:t>autordarbu</w:t>
            </w:r>
            <w:proofErr w:type="spellEnd"/>
            <w:r w:rsidRPr="00E36116">
              <w:rPr>
                <w:sz w:val="22"/>
                <w:szCs w:val="22"/>
              </w:rPr>
              <w:t xml:space="preserve"> kopēšanu uz </w:t>
            </w:r>
            <w:r w:rsidRPr="00E36116">
              <w:rPr>
                <w:sz w:val="22"/>
                <w:szCs w:val="22"/>
              </w:rPr>
              <w:lastRenderedPageBreak/>
              <w:t>viedtālruņiem veic tikai nepilni 4,5% no visiem respondentiem. Bet Kultūras ministrija ierosina nesēju nodevu piemērot visiem viedtālruņiem kā preču kategorijai. Līdz ar to nesēju nodevu nāktos maksāt arī tiem 95% viedtālruņu lietotājiem, kas vispār kopēšanu uz viedtālruņiem neveic. Šādas metodes izmantošana dod iespēju nevis saņemt samērīgu atlīdzību par kaitējumu, bet virspeļņu. Turklāt, lai arī maksātāji būtu gandrīz visi Latvijas iedzīvotāji neatkarīgi no saviem paradumiem, saņēmēji būtu intelektuālā īpašuma tiesību turētāji visā pasaulē. Sabiedrība maksātu nodokli, no kura būtiska daļa tiktu novirzīta autoriem ārvalstīs (kopējie AKKA/LAA maksājumi ārvalstu autoriem 2019.gadā sasniedza 2,4 miljonus EUR</w:t>
            </w:r>
            <w:r w:rsidRPr="003329AD">
              <w:rPr>
                <w:sz w:val="22"/>
                <w:szCs w:val="22"/>
              </w:rPr>
              <w:t xml:space="preserve"> ).</w:t>
            </w:r>
          </w:p>
          <w:p w:rsidRPr="00E36116" w:rsidR="00472E17" w:rsidP="00CA5C25" w:rsidRDefault="00472E17" w14:paraId="7FE59FAC" w14:textId="7436ECA1">
            <w:pPr>
              <w:jc w:val="both"/>
              <w:rPr>
                <w:sz w:val="22"/>
                <w:szCs w:val="22"/>
              </w:rPr>
            </w:pPr>
            <w:r w:rsidRPr="00E36116">
              <w:rPr>
                <w:sz w:val="22"/>
                <w:szCs w:val="22"/>
              </w:rPr>
              <w:t xml:space="preserve">KM Aptaujā ietvertie jautājumu formulējumi par viedtālruņu izmantošanu un papildus paskaidrojumi pie katra jautājuma respondentiem ir formulēti kļūdaini. KM Aptaujā no “kopēšanas” skaidri nav nošķirta “lejupielāde” un “straumēšana”, kas ir viens no pieprasītākajiem </w:t>
            </w:r>
            <w:proofErr w:type="spellStart"/>
            <w:r w:rsidRPr="00E36116">
              <w:rPr>
                <w:sz w:val="22"/>
                <w:szCs w:val="22"/>
              </w:rPr>
              <w:t>autordarbu</w:t>
            </w:r>
            <w:proofErr w:type="spellEnd"/>
            <w:r w:rsidRPr="00E36116">
              <w:rPr>
                <w:sz w:val="22"/>
                <w:szCs w:val="22"/>
              </w:rPr>
              <w:t xml:space="preserve"> izmantošanas veidiem (</w:t>
            </w:r>
            <w:proofErr w:type="spellStart"/>
            <w:r w:rsidRPr="00E36116">
              <w:rPr>
                <w:sz w:val="22"/>
                <w:szCs w:val="22"/>
              </w:rPr>
              <w:t>Spotify</w:t>
            </w:r>
            <w:proofErr w:type="spellEnd"/>
            <w:r w:rsidRPr="00E36116">
              <w:rPr>
                <w:sz w:val="22"/>
                <w:szCs w:val="22"/>
              </w:rPr>
              <w:t xml:space="preserve">, </w:t>
            </w:r>
            <w:proofErr w:type="spellStart"/>
            <w:r w:rsidRPr="00E36116">
              <w:rPr>
                <w:sz w:val="22"/>
                <w:szCs w:val="22"/>
              </w:rPr>
              <w:t>Apple</w:t>
            </w:r>
            <w:proofErr w:type="spellEnd"/>
            <w:r w:rsidRPr="00E36116">
              <w:rPr>
                <w:sz w:val="22"/>
                <w:szCs w:val="22"/>
              </w:rPr>
              <w:t xml:space="preserve"> </w:t>
            </w:r>
            <w:proofErr w:type="spellStart"/>
            <w:r w:rsidRPr="00E36116">
              <w:rPr>
                <w:sz w:val="22"/>
                <w:szCs w:val="22"/>
              </w:rPr>
              <w:t>music</w:t>
            </w:r>
            <w:proofErr w:type="spellEnd"/>
            <w:r w:rsidRPr="00E36116">
              <w:rPr>
                <w:sz w:val="22"/>
                <w:szCs w:val="22"/>
              </w:rPr>
              <w:t xml:space="preserve">, </w:t>
            </w:r>
            <w:proofErr w:type="spellStart"/>
            <w:r w:rsidRPr="00E36116">
              <w:rPr>
                <w:sz w:val="22"/>
                <w:szCs w:val="22"/>
              </w:rPr>
              <w:t>Youtube</w:t>
            </w:r>
            <w:proofErr w:type="spellEnd"/>
            <w:r w:rsidRPr="00E36116">
              <w:rPr>
                <w:sz w:val="22"/>
                <w:szCs w:val="22"/>
              </w:rPr>
              <w:t xml:space="preserve">, u.tml.),par ko autori jau ir saņēmuši atlīdzību. Gadījumā, ja KM Aptaujas respondenti nenošķir minētos </w:t>
            </w:r>
            <w:r w:rsidRPr="00E36116">
              <w:rPr>
                <w:sz w:val="22"/>
                <w:szCs w:val="22"/>
              </w:rPr>
              <w:lastRenderedPageBreak/>
              <w:t>terminus, tad būtu secināms, ka ar ”nesēju nodevu” tiek aplikts objekts, par kuru jau ir samaksāta autoratlīdzība. [..]</w:t>
            </w:r>
          </w:p>
          <w:p w:rsidRPr="00E36116" w:rsidR="00472E17" w:rsidP="00CA5C25" w:rsidRDefault="00472E17" w14:paraId="4BB59D9D" w14:textId="2DD8D525">
            <w:pPr>
              <w:jc w:val="both"/>
              <w:rPr>
                <w:sz w:val="22"/>
                <w:szCs w:val="22"/>
              </w:rPr>
            </w:pPr>
            <w:r w:rsidRPr="00E36116">
              <w:rPr>
                <w:sz w:val="22"/>
                <w:szCs w:val="22"/>
              </w:rPr>
              <w:t>III Neatkarīgais pētījums: viedtālruņi ar “nesēja nodevu” nav apliekami</w:t>
            </w:r>
          </w:p>
          <w:p w:rsidRPr="00E36116" w:rsidR="00472E17" w:rsidP="00CA5C25" w:rsidRDefault="00472E17" w14:paraId="7E7B2A81" w14:textId="2B679EA6">
            <w:pPr>
              <w:jc w:val="both"/>
              <w:rPr>
                <w:sz w:val="22"/>
                <w:szCs w:val="22"/>
              </w:rPr>
            </w:pPr>
            <w:r w:rsidRPr="00E36116">
              <w:rPr>
                <w:sz w:val="22"/>
                <w:szCs w:val="22"/>
              </w:rPr>
              <w:t>Neatkarīgu pētījumu laika periodā no 2020.gada 1.decembra līdz 7.decembrim veica pētījumu aģentūra „</w:t>
            </w:r>
            <w:proofErr w:type="spellStart"/>
            <w:r w:rsidRPr="00E36116">
              <w:rPr>
                <w:sz w:val="22"/>
                <w:szCs w:val="22"/>
              </w:rPr>
              <w:t>Factum</w:t>
            </w:r>
            <w:proofErr w:type="spellEnd"/>
            <w:r w:rsidRPr="00E36116">
              <w:rPr>
                <w:sz w:val="22"/>
                <w:szCs w:val="22"/>
              </w:rPr>
              <w:t xml:space="preserve"> </w:t>
            </w:r>
            <w:proofErr w:type="spellStart"/>
            <w:r w:rsidRPr="00E36116">
              <w:rPr>
                <w:sz w:val="22"/>
                <w:szCs w:val="22"/>
              </w:rPr>
              <w:t>Interactive</w:t>
            </w:r>
            <w:proofErr w:type="spellEnd"/>
            <w:r w:rsidRPr="00E36116">
              <w:rPr>
                <w:sz w:val="22"/>
                <w:szCs w:val="22"/>
              </w:rPr>
              <w:t>”, SIA, piemērojot tiešsaistes aptauju paneļu dalībnieku nejaušu atlasi. Tā aptver Latvijas iedzīvotājus interneta lietotājus vecumā no 16 līdz 75 gadiem. Kopējais sasniegtās izlases lielums – 1927 respondenti, kas ir gandrīz divas reizes lielāks nekā KM Aptaujā.</w:t>
            </w:r>
          </w:p>
          <w:p w:rsidRPr="00E36116" w:rsidR="00472E17" w:rsidP="00CA5C25" w:rsidRDefault="00472E17" w14:paraId="5558D68A" w14:textId="05B2626B">
            <w:pPr>
              <w:jc w:val="both"/>
              <w:rPr>
                <w:sz w:val="22"/>
                <w:szCs w:val="22"/>
              </w:rPr>
            </w:pPr>
            <w:r w:rsidRPr="00E36116">
              <w:rPr>
                <w:sz w:val="22"/>
                <w:szCs w:val="22"/>
              </w:rPr>
              <w:t xml:space="preserve">[..] Neatkarīgais pētījums ietver jautājumus par to, vai un kā respondenti izmanto legālus </w:t>
            </w:r>
            <w:proofErr w:type="spellStart"/>
            <w:r w:rsidRPr="00E36116">
              <w:rPr>
                <w:sz w:val="22"/>
                <w:szCs w:val="22"/>
              </w:rPr>
              <w:t>autordarbus</w:t>
            </w:r>
            <w:proofErr w:type="spellEnd"/>
            <w:r w:rsidRPr="00E36116">
              <w:rPr>
                <w:sz w:val="22"/>
                <w:szCs w:val="22"/>
              </w:rPr>
              <w:t xml:space="preserve"> un vai mēdz šos </w:t>
            </w:r>
            <w:proofErr w:type="spellStart"/>
            <w:r w:rsidRPr="00E36116">
              <w:rPr>
                <w:sz w:val="22"/>
                <w:szCs w:val="22"/>
              </w:rPr>
              <w:t>autordarbus</w:t>
            </w:r>
            <w:proofErr w:type="spellEnd"/>
            <w:r w:rsidRPr="00E36116">
              <w:rPr>
                <w:sz w:val="22"/>
                <w:szCs w:val="22"/>
              </w:rPr>
              <w:t xml:space="preserve"> kopēt. Ievaddaļā respondentiem sniegts terminu skaidrojums, uzsverot, ka būtiski  no “kopēšanas” nošķirt “lejupielādi” un “straumēšanu”, jo “lejupielādes” un “straumēšanas” rezultātā, atšķirībā no “kopēšanas”, netiek radīts vēl viens tāds pats darba eksemplārs no jau esošas likumīgi iegādātas datnes.</w:t>
            </w:r>
          </w:p>
          <w:p w:rsidRPr="00E36116" w:rsidR="00472E17" w:rsidP="00CA5C25" w:rsidRDefault="00472E17" w14:paraId="34F13E91" w14:textId="413E1282">
            <w:pPr>
              <w:jc w:val="both"/>
              <w:rPr>
                <w:sz w:val="22"/>
                <w:szCs w:val="22"/>
              </w:rPr>
            </w:pPr>
            <w:r w:rsidRPr="00E36116">
              <w:rPr>
                <w:sz w:val="22"/>
                <w:szCs w:val="22"/>
              </w:rPr>
              <w:t xml:space="preserve">Neatkarīgs pētījums apstiprina, ka pēdējā gada laikā </w:t>
            </w:r>
            <w:proofErr w:type="spellStart"/>
            <w:r w:rsidRPr="00E36116">
              <w:rPr>
                <w:sz w:val="22"/>
                <w:szCs w:val="22"/>
              </w:rPr>
              <w:t>autordarbus</w:t>
            </w:r>
            <w:proofErr w:type="spellEnd"/>
            <w:r w:rsidRPr="00E36116">
              <w:rPr>
                <w:sz w:val="22"/>
                <w:szCs w:val="22"/>
              </w:rPr>
              <w:t xml:space="preserve"> ir kopējuši 34,3% no Latvijas iedzīvotājiem, kas lieto internetu, bet </w:t>
            </w:r>
            <w:r w:rsidRPr="00E36116">
              <w:rPr>
                <w:sz w:val="22"/>
                <w:szCs w:val="22"/>
              </w:rPr>
              <w:lastRenderedPageBreak/>
              <w:t xml:space="preserve">viedtālruni </w:t>
            </w:r>
            <w:proofErr w:type="spellStart"/>
            <w:r w:rsidRPr="00E36116">
              <w:rPr>
                <w:sz w:val="22"/>
                <w:szCs w:val="22"/>
              </w:rPr>
              <w:t>autordarbu</w:t>
            </w:r>
            <w:proofErr w:type="spellEnd"/>
            <w:r w:rsidRPr="00E36116">
              <w:rPr>
                <w:sz w:val="22"/>
                <w:szCs w:val="22"/>
              </w:rPr>
              <w:t xml:space="preserve"> kopēšanai ir izmantojuši maksimums tikai 16,5% no tiem Latvijas iedzīvotājiem, kas pēdējā gada laikā ir kopējuši </w:t>
            </w:r>
            <w:proofErr w:type="spellStart"/>
            <w:r w:rsidRPr="00E36116">
              <w:rPr>
                <w:sz w:val="22"/>
                <w:szCs w:val="22"/>
              </w:rPr>
              <w:t>autordarbus</w:t>
            </w:r>
            <w:proofErr w:type="spellEnd"/>
            <w:r w:rsidRPr="00E36116">
              <w:rPr>
                <w:sz w:val="22"/>
                <w:szCs w:val="22"/>
              </w:rPr>
              <w:t xml:space="preserve">. Turklāt jāņem vērā, ka pētījuma aptaujas metode bija pielāgota Covid-19 pandēmijas apstākļiem un attiecīgi – tā tika veikta tiešsaistē, tādējādi no atlases izslēdzot tos Latvijas iedzīvotājus, kas nelieto internetu vispār vai nelieto, piemēram, datoru. Samērā plašs Latvijas iedzīvotāju loks ir sasniedzams tikai klātienē un šo respondentu vidū ir daudz augstāka varbūtība, ka interneta </w:t>
            </w:r>
            <w:proofErr w:type="spellStart"/>
            <w:r w:rsidRPr="00E36116">
              <w:rPr>
                <w:sz w:val="22"/>
                <w:szCs w:val="22"/>
              </w:rPr>
              <w:t>pieslēgums</w:t>
            </w:r>
            <w:proofErr w:type="spellEnd"/>
            <w:r w:rsidRPr="00E36116">
              <w:rPr>
                <w:sz w:val="22"/>
                <w:szCs w:val="22"/>
              </w:rPr>
              <w:t xml:space="preserve"> un datortehnika netiek izmantota vispār un līdz ar to </w:t>
            </w:r>
            <w:proofErr w:type="spellStart"/>
            <w:r w:rsidRPr="00E36116">
              <w:rPr>
                <w:sz w:val="22"/>
                <w:szCs w:val="22"/>
              </w:rPr>
              <w:t>autordarbu</w:t>
            </w:r>
            <w:proofErr w:type="spellEnd"/>
            <w:r w:rsidRPr="00E36116">
              <w:rPr>
                <w:sz w:val="22"/>
                <w:szCs w:val="22"/>
              </w:rPr>
              <w:t xml:space="preserve"> digitāla kopēšana vispār nav iespējama. Tādējādi atbilstoši ekspertu aplēsēm faktiski </w:t>
            </w:r>
            <w:proofErr w:type="spellStart"/>
            <w:r w:rsidRPr="00E36116">
              <w:rPr>
                <w:sz w:val="22"/>
                <w:szCs w:val="22"/>
              </w:rPr>
              <w:t>autordarbu</w:t>
            </w:r>
            <w:proofErr w:type="spellEnd"/>
            <w:r w:rsidRPr="00E36116">
              <w:rPr>
                <w:sz w:val="22"/>
                <w:szCs w:val="22"/>
              </w:rPr>
              <w:t xml:space="preserve"> kopēšanu ar viedtālruni veic mazāk kā 10% no tiem iedzīvotājiem, kas vispār veikuši </w:t>
            </w:r>
            <w:proofErr w:type="spellStart"/>
            <w:r w:rsidRPr="00E36116">
              <w:rPr>
                <w:sz w:val="22"/>
                <w:szCs w:val="22"/>
              </w:rPr>
              <w:t>autordarbu</w:t>
            </w:r>
            <w:proofErr w:type="spellEnd"/>
            <w:r w:rsidRPr="00E36116">
              <w:rPr>
                <w:sz w:val="22"/>
                <w:szCs w:val="22"/>
              </w:rPr>
              <w:t xml:space="preserve"> kopēšanu.</w:t>
            </w:r>
          </w:p>
          <w:p w:rsidRPr="00E36116" w:rsidR="00472E17" w:rsidP="00CA5C25" w:rsidRDefault="00472E17" w14:paraId="582D4C69" w14:textId="0558D4A8">
            <w:pPr>
              <w:jc w:val="both"/>
              <w:rPr>
                <w:sz w:val="22"/>
                <w:szCs w:val="22"/>
              </w:rPr>
            </w:pPr>
            <w:r w:rsidRPr="00E36116">
              <w:rPr>
                <w:sz w:val="22"/>
                <w:szCs w:val="22"/>
              </w:rPr>
              <w:t>Neatkarīgā pētījuma rezultāti apstiprina, ka viedtālruņu ietveršana “nesēju nodevu” apliekamo iekārtu sarakstā nav pamatota un samērīga un ir ne tikai zem Kultūras ministrijas noteiktā minimālā kaitējuma sliekšņa 25%, bet arī zem 2020.gada novembrī voluntāri pazeminātā sliekšņa 20%.[..]</w:t>
            </w:r>
          </w:p>
        </w:tc>
        <w:tc>
          <w:tcPr>
            <w:tcW w:w="1116" w:type="pct"/>
            <w:tcBorders>
              <w:top w:val="single" w:color="000000" w:sz="6" w:space="0"/>
              <w:left w:val="single" w:color="000000" w:sz="6" w:space="0"/>
              <w:bottom w:val="single" w:color="000000" w:sz="6" w:space="0"/>
              <w:right w:val="single" w:color="000000" w:sz="6" w:space="0"/>
            </w:tcBorders>
            <w:hideMark/>
          </w:tcPr>
          <w:p w:rsidRPr="00E36116" w:rsidR="00472E17" w:rsidRDefault="00472E17" w14:paraId="5CD9367A" w14:textId="6D82A551">
            <w:pPr>
              <w:pStyle w:val="naisc"/>
              <w:spacing w:before="0" w:after="0"/>
              <w:ind w:firstLine="288"/>
              <w:rPr>
                <w:b/>
                <w:sz w:val="22"/>
                <w:szCs w:val="22"/>
              </w:rPr>
            </w:pPr>
            <w:r w:rsidRPr="00E36116">
              <w:rPr>
                <w:b/>
                <w:sz w:val="22"/>
                <w:szCs w:val="22"/>
              </w:rPr>
              <w:lastRenderedPageBreak/>
              <w:t>Nav ņemts vērā</w:t>
            </w:r>
          </w:p>
          <w:p w:rsidRPr="00E36116" w:rsidR="00472E17" w:rsidP="00CA5C25" w:rsidRDefault="00472E17" w14:paraId="0791CA64" w14:textId="6BAA9D6D">
            <w:pPr>
              <w:pStyle w:val="naisc"/>
              <w:spacing w:before="0" w:after="0"/>
              <w:jc w:val="both"/>
              <w:rPr>
                <w:sz w:val="22"/>
                <w:szCs w:val="22"/>
              </w:rPr>
            </w:pPr>
            <w:r w:rsidRPr="00E36116">
              <w:rPr>
                <w:sz w:val="22"/>
                <w:szCs w:val="22"/>
              </w:rPr>
              <w:t>K</w:t>
            </w:r>
            <w:r w:rsidR="00D1190D">
              <w:rPr>
                <w:sz w:val="22"/>
                <w:szCs w:val="22"/>
              </w:rPr>
              <w:t>ultūras ministrijas</w:t>
            </w:r>
            <w:r w:rsidRPr="00E36116">
              <w:rPr>
                <w:sz w:val="22"/>
                <w:szCs w:val="22"/>
              </w:rPr>
              <w:t xml:space="preserve"> izveidotās darba grupas </w:t>
            </w:r>
            <w:r w:rsidRPr="00E36116" w:rsidR="00957CD8">
              <w:rPr>
                <w:sz w:val="22"/>
                <w:szCs w:val="22"/>
              </w:rPr>
              <w:t>M</w:t>
            </w:r>
            <w:r w:rsidR="00D1190D">
              <w:rPr>
                <w:sz w:val="22"/>
                <w:szCs w:val="22"/>
              </w:rPr>
              <w:t>inistru kab</w:t>
            </w:r>
            <w:r w:rsidR="00DB40C1">
              <w:rPr>
                <w:sz w:val="22"/>
                <w:szCs w:val="22"/>
              </w:rPr>
              <w:t>i</w:t>
            </w:r>
            <w:r w:rsidR="00D1190D">
              <w:rPr>
                <w:sz w:val="22"/>
                <w:szCs w:val="22"/>
              </w:rPr>
              <w:t>neta</w:t>
            </w:r>
            <w:r w:rsidRPr="00E36116">
              <w:rPr>
                <w:sz w:val="22"/>
                <w:szCs w:val="22"/>
              </w:rPr>
              <w:t xml:space="preserve"> 2005.gada 10.maija noteikumu Nr.321 „Noteikumi par tukšo materiālo nesēju un reproducēšanai izmantojamo iekārtu atlīdzības lielumu un tās iekasēšanas atmaksāšana, sadales un izmaksas kārtību” izvērtēšanai (turpmāk – darba grupa) mērķis ir periodiski izvērtēt </w:t>
            </w:r>
            <w:r w:rsidRPr="00E36116" w:rsidR="00957CD8">
              <w:rPr>
                <w:sz w:val="22"/>
                <w:szCs w:val="22"/>
              </w:rPr>
              <w:t>Noteikum</w:t>
            </w:r>
            <w:r w:rsidR="00D1190D">
              <w:rPr>
                <w:sz w:val="22"/>
                <w:szCs w:val="22"/>
              </w:rPr>
              <w:t>u</w:t>
            </w:r>
            <w:r w:rsidRPr="00E36116" w:rsidR="00957CD8">
              <w:rPr>
                <w:sz w:val="22"/>
                <w:szCs w:val="22"/>
              </w:rPr>
              <w:t xml:space="preserve"> </w:t>
            </w:r>
            <w:r w:rsidRPr="00E36116">
              <w:rPr>
                <w:sz w:val="22"/>
                <w:szCs w:val="22"/>
              </w:rPr>
              <w:t xml:space="preserve">normas, tai skaitā </w:t>
            </w:r>
            <w:r w:rsidR="00543560">
              <w:rPr>
                <w:sz w:val="22"/>
                <w:szCs w:val="22"/>
              </w:rPr>
              <w:t xml:space="preserve">Noteikumu </w:t>
            </w:r>
            <w:r w:rsidRPr="00E36116">
              <w:rPr>
                <w:sz w:val="22"/>
                <w:szCs w:val="22"/>
              </w:rPr>
              <w:t xml:space="preserve">3. un 4.punktā minēto tukšo materiālo nesēju un reproducēšanai izmantojamo </w:t>
            </w:r>
            <w:r w:rsidRPr="00E36116">
              <w:rPr>
                <w:sz w:val="22"/>
                <w:szCs w:val="22"/>
              </w:rPr>
              <w:lastRenderedPageBreak/>
              <w:t xml:space="preserve">iekārtu sarakstu un atlīdzības likmes, un nepieciešamības gadījumā sagatavot grozījumus, pamatojoties uz darba grupas locekļu rakstiskiem priekšlikumiem. </w:t>
            </w:r>
          </w:p>
          <w:p w:rsidRPr="00E36116" w:rsidR="00957CD8" w:rsidP="00CA5C25" w:rsidRDefault="00472E17" w14:paraId="113DF852" w14:textId="6A29D889">
            <w:pPr>
              <w:pStyle w:val="naisc"/>
              <w:spacing w:before="0" w:after="0"/>
              <w:jc w:val="both"/>
              <w:rPr>
                <w:sz w:val="22"/>
                <w:szCs w:val="22"/>
              </w:rPr>
            </w:pPr>
            <w:r w:rsidRPr="00E36116">
              <w:rPr>
                <w:sz w:val="22"/>
                <w:szCs w:val="22"/>
              </w:rPr>
              <w:t>Darba grupa</w:t>
            </w:r>
            <w:r w:rsidRPr="00E36116" w:rsidR="003A5888">
              <w:rPr>
                <w:sz w:val="22"/>
                <w:szCs w:val="22"/>
              </w:rPr>
              <w:t xml:space="preserve"> var vienoties par</w:t>
            </w:r>
            <w:r w:rsidRPr="00E36116">
              <w:rPr>
                <w:sz w:val="22"/>
                <w:szCs w:val="22"/>
              </w:rPr>
              <w:t xml:space="preserve"> pētījum</w:t>
            </w:r>
            <w:r w:rsidRPr="00E36116" w:rsidR="003A5888">
              <w:rPr>
                <w:sz w:val="22"/>
                <w:szCs w:val="22"/>
              </w:rPr>
              <w:t>a veikšanas nepieciešamību, taču šāda darbība nebūtu automātiski uzskatāma par darba grupas uzdevumu</w:t>
            </w:r>
            <w:r w:rsidRPr="00E36116">
              <w:rPr>
                <w:sz w:val="22"/>
                <w:szCs w:val="22"/>
              </w:rPr>
              <w:t>. K</w:t>
            </w:r>
            <w:r w:rsidR="00543560">
              <w:rPr>
                <w:sz w:val="22"/>
                <w:szCs w:val="22"/>
              </w:rPr>
              <w:t>ultūras ministrija</w:t>
            </w:r>
            <w:r w:rsidRPr="00E36116" w:rsidR="003A5888">
              <w:rPr>
                <w:sz w:val="22"/>
                <w:szCs w:val="22"/>
              </w:rPr>
              <w:t xml:space="preserve"> organizēja</w:t>
            </w:r>
            <w:r w:rsidRPr="00E36116">
              <w:rPr>
                <w:sz w:val="22"/>
                <w:szCs w:val="22"/>
              </w:rPr>
              <w:t xml:space="preserve"> jaunu </w:t>
            </w:r>
            <w:proofErr w:type="spellStart"/>
            <w:r w:rsidRPr="00E36116">
              <w:rPr>
                <w:sz w:val="22"/>
                <w:szCs w:val="22"/>
              </w:rPr>
              <w:t>pr</w:t>
            </w:r>
            <w:r w:rsidRPr="00E36116" w:rsidR="00957CD8">
              <w:rPr>
                <w:sz w:val="22"/>
                <w:szCs w:val="22"/>
              </w:rPr>
              <w:t>i</w:t>
            </w:r>
            <w:r w:rsidRPr="00E36116">
              <w:rPr>
                <w:sz w:val="22"/>
                <w:szCs w:val="22"/>
              </w:rPr>
              <w:t>vātkopēšanas</w:t>
            </w:r>
            <w:proofErr w:type="spellEnd"/>
            <w:r w:rsidRPr="00E36116">
              <w:rPr>
                <w:sz w:val="22"/>
                <w:szCs w:val="22"/>
              </w:rPr>
              <w:t xml:space="preserve"> pētījumu 2020.gada oktobrī</w:t>
            </w:r>
            <w:r w:rsidRPr="00E36116" w:rsidR="003A5888">
              <w:rPr>
                <w:sz w:val="22"/>
                <w:szCs w:val="22"/>
              </w:rPr>
              <w:t>,</w:t>
            </w:r>
            <w:r w:rsidRPr="00E36116">
              <w:rPr>
                <w:sz w:val="22"/>
                <w:szCs w:val="22"/>
              </w:rPr>
              <w:t xml:space="preserve"> ņemot vērā LDTA, LETERA un LTRK izteiktos iebildumus </w:t>
            </w:r>
            <w:r w:rsidRPr="00E36116" w:rsidR="00957CD8">
              <w:rPr>
                <w:sz w:val="22"/>
                <w:szCs w:val="22"/>
              </w:rPr>
              <w:t>par neaktuālu datu (2017.gada pētījuma) izmantošanu</w:t>
            </w:r>
            <w:r w:rsidRPr="00E36116" w:rsidR="00B341AB">
              <w:rPr>
                <w:sz w:val="22"/>
                <w:szCs w:val="22"/>
              </w:rPr>
              <w:t>.</w:t>
            </w:r>
            <w:r w:rsidRPr="00E36116" w:rsidR="003A5888">
              <w:rPr>
                <w:sz w:val="22"/>
                <w:szCs w:val="22"/>
              </w:rPr>
              <w:t xml:space="preserve"> </w:t>
            </w:r>
            <w:r w:rsidRPr="00E36116" w:rsidR="00B341AB">
              <w:rPr>
                <w:sz w:val="22"/>
                <w:szCs w:val="22"/>
              </w:rPr>
              <w:t>P</w:t>
            </w:r>
            <w:r w:rsidRPr="00E36116" w:rsidR="003A5888">
              <w:rPr>
                <w:sz w:val="22"/>
                <w:szCs w:val="22"/>
              </w:rPr>
              <w:t xml:space="preserve">ar </w:t>
            </w:r>
            <w:r w:rsidRPr="00E36116" w:rsidR="00B341AB">
              <w:rPr>
                <w:sz w:val="22"/>
                <w:szCs w:val="22"/>
              </w:rPr>
              <w:t xml:space="preserve">jauna </w:t>
            </w:r>
            <w:r w:rsidRPr="00F04F19" w:rsidR="00B341AB">
              <w:rPr>
                <w:sz w:val="22"/>
                <w:szCs w:val="22"/>
              </w:rPr>
              <w:t>pētījuma veikšanu</w:t>
            </w:r>
            <w:r w:rsidRPr="00F04F19" w:rsidR="003A5888">
              <w:rPr>
                <w:sz w:val="22"/>
                <w:szCs w:val="22"/>
              </w:rPr>
              <w:t xml:space="preserve"> tika informēt</w:t>
            </w:r>
            <w:r w:rsidRPr="00F04F19" w:rsidR="00F04F19">
              <w:rPr>
                <w:sz w:val="22"/>
                <w:szCs w:val="22"/>
              </w:rPr>
              <w:t>i</w:t>
            </w:r>
            <w:r w:rsidRPr="00F04F19" w:rsidR="003A5888">
              <w:rPr>
                <w:sz w:val="22"/>
                <w:szCs w:val="22"/>
              </w:rPr>
              <w:t xml:space="preserve"> </w:t>
            </w:r>
            <w:r w:rsidRPr="00B10567" w:rsidR="00E015FE">
              <w:rPr>
                <w:sz w:val="22"/>
                <w:szCs w:val="22"/>
              </w:rPr>
              <w:t xml:space="preserve">2020.gada </w:t>
            </w:r>
            <w:r w:rsidRPr="00B10567" w:rsidR="00A71BE6">
              <w:rPr>
                <w:sz w:val="22"/>
                <w:szCs w:val="22"/>
              </w:rPr>
              <w:t>19.oktobr</w:t>
            </w:r>
            <w:r w:rsidRPr="00B10567" w:rsidR="00F04F19">
              <w:rPr>
                <w:sz w:val="22"/>
                <w:szCs w:val="22"/>
              </w:rPr>
              <w:t xml:space="preserve">a </w:t>
            </w:r>
            <w:r w:rsidR="00B10567">
              <w:rPr>
                <w:sz w:val="22"/>
                <w:szCs w:val="22"/>
              </w:rPr>
              <w:t xml:space="preserve">sabiedrības līdzdalības ietvaros organizētās </w:t>
            </w:r>
            <w:r w:rsidRPr="00B10567" w:rsidR="00F04F19">
              <w:rPr>
                <w:sz w:val="22"/>
                <w:szCs w:val="22"/>
              </w:rPr>
              <w:t>sanāksmes dalībnieki</w:t>
            </w:r>
            <w:r w:rsidRPr="00F04F19" w:rsidR="00A71BE6">
              <w:rPr>
                <w:sz w:val="22"/>
                <w:szCs w:val="22"/>
              </w:rPr>
              <w:t>.</w:t>
            </w:r>
            <w:r w:rsidRPr="00E36116" w:rsidR="006628AC">
              <w:rPr>
                <w:sz w:val="22"/>
                <w:szCs w:val="22"/>
              </w:rPr>
              <w:t xml:space="preserve"> </w:t>
            </w:r>
          </w:p>
          <w:p w:rsidRPr="00E36116" w:rsidR="00472E17" w:rsidP="00CA5C25" w:rsidRDefault="00957CD8" w14:paraId="7F0BEBDC" w14:textId="634AB41D">
            <w:pPr>
              <w:pStyle w:val="naisc"/>
              <w:spacing w:before="0" w:after="0"/>
              <w:jc w:val="both"/>
              <w:rPr>
                <w:sz w:val="22"/>
                <w:szCs w:val="22"/>
              </w:rPr>
            </w:pPr>
            <w:r w:rsidRPr="00E36116">
              <w:rPr>
                <w:sz w:val="22"/>
                <w:szCs w:val="22"/>
              </w:rPr>
              <w:t>2020.gada pētījuma a</w:t>
            </w:r>
            <w:r w:rsidRPr="00E36116" w:rsidR="00472E17">
              <w:rPr>
                <w:sz w:val="22"/>
                <w:szCs w:val="22"/>
              </w:rPr>
              <w:t xml:space="preserve">nketas sākumā respondentiem dots skaidrojums, ka pētījuma mērķis ir noskaidrot viņu paradumus attiecībā uz </w:t>
            </w:r>
            <w:proofErr w:type="spellStart"/>
            <w:r w:rsidRPr="00E36116" w:rsidR="00472E17">
              <w:rPr>
                <w:sz w:val="22"/>
                <w:szCs w:val="22"/>
              </w:rPr>
              <w:t>autordarbu</w:t>
            </w:r>
            <w:proofErr w:type="spellEnd"/>
            <w:r w:rsidRPr="00E36116" w:rsidR="00472E17">
              <w:rPr>
                <w:sz w:val="22"/>
                <w:szCs w:val="22"/>
              </w:rPr>
              <w:t xml:space="preserve"> kopēšanu un ierakstīšanu. Precizējot, ka runa ir par likumīgi iegūtu darbu pārrakstīšanu citos informācijas nesējos, tādos kā, piemēram, USB zibatmiņa, viedtālrunis vai datora ārējais cietais disks, personiskai lietošanai.</w:t>
            </w:r>
          </w:p>
          <w:p w:rsidRPr="00E36116" w:rsidR="00472E17" w:rsidP="00CA5C25" w:rsidRDefault="00472E17" w14:paraId="3C8B63B7" w14:textId="715C7706">
            <w:pPr>
              <w:pStyle w:val="naisc"/>
              <w:spacing w:before="0" w:after="0"/>
              <w:jc w:val="both"/>
              <w:rPr>
                <w:sz w:val="22"/>
                <w:szCs w:val="22"/>
              </w:rPr>
            </w:pPr>
            <w:r w:rsidRPr="00E36116">
              <w:rPr>
                <w:sz w:val="22"/>
                <w:szCs w:val="22"/>
              </w:rPr>
              <w:lastRenderedPageBreak/>
              <w:t xml:space="preserve">Tā kā darbu straumēšana neietver to pārrakstīšanu citā informācijas nesējā, nav pamata uzskatīt, ka respondenti nav spējuši atšķirt darbu kopēšanu </w:t>
            </w:r>
            <w:r w:rsidRPr="00E36116" w:rsidR="006C44D0">
              <w:rPr>
                <w:sz w:val="22"/>
                <w:szCs w:val="22"/>
              </w:rPr>
              <w:t xml:space="preserve">(pārrakstīšanu) </w:t>
            </w:r>
            <w:r w:rsidRPr="00E36116">
              <w:rPr>
                <w:sz w:val="22"/>
                <w:szCs w:val="22"/>
              </w:rPr>
              <w:t xml:space="preserve">no straumēšanas. </w:t>
            </w:r>
          </w:p>
          <w:p w:rsidRPr="00E36116" w:rsidR="00487284" w:rsidP="00CA5C25" w:rsidRDefault="00472E17" w14:paraId="65C3B9C4" w14:textId="1C6230CB">
            <w:pPr>
              <w:pStyle w:val="naisc"/>
              <w:spacing w:before="0" w:after="0"/>
              <w:jc w:val="both"/>
              <w:rPr>
                <w:sz w:val="22"/>
                <w:szCs w:val="22"/>
              </w:rPr>
            </w:pPr>
            <w:r w:rsidRPr="00E36116">
              <w:rPr>
                <w:sz w:val="22"/>
                <w:szCs w:val="22"/>
              </w:rPr>
              <w:t>Atbilstoši informācijai, kas K</w:t>
            </w:r>
            <w:r w:rsidR="00543560">
              <w:rPr>
                <w:sz w:val="22"/>
                <w:szCs w:val="22"/>
              </w:rPr>
              <w:t>ultūras ministrijai</w:t>
            </w:r>
            <w:r w:rsidRPr="00E36116">
              <w:rPr>
                <w:sz w:val="22"/>
                <w:szCs w:val="22"/>
              </w:rPr>
              <w:t xml:space="preserve"> sniegta par Neatkarīgo pētījumu, t</w:t>
            </w:r>
            <w:r w:rsidR="00F04F19">
              <w:rPr>
                <w:sz w:val="22"/>
                <w:szCs w:val="22"/>
              </w:rPr>
              <w:t>o veicis SIA “</w:t>
            </w:r>
            <w:proofErr w:type="spellStart"/>
            <w:r w:rsidRPr="00F04F19" w:rsidR="00F04F19">
              <w:rPr>
                <w:sz w:val="22"/>
                <w:szCs w:val="22"/>
              </w:rPr>
              <w:t>Factum</w:t>
            </w:r>
            <w:proofErr w:type="spellEnd"/>
            <w:r w:rsidRPr="00F04F19" w:rsidR="00F04F19">
              <w:rPr>
                <w:sz w:val="22"/>
                <w:szCs w:val="22"/>
              </w:rPr>
              <w:t xml:space="preserve"> </w:t>
            </w:r>
            <w:proofErr w:type="spellStart"/>
            <w:r w:rsidRPr="00F04F19" w:rsidR="00F04F19">
              <w:rPr>
                <w:sz w:val="22"/>
                <w:szCs w:val="22"/>
              </w:rPr>
              <w:t>Interactive</w:t>
            </w:r>
            <w:proofErr w:type="spellEnd"/>
            <w:r w:rsidR="00F04F19">
              <w:rPr>
                <w:sz w:val="22"/>
                <w:szCs w:val="22"/>
              </w:rPr>
              <w:t>”</w:t>
            </w:r>
            <w:r w:rsidRPr="00F04F19" w:rsidR="00F04F19">
              <w:rPr>
                <w:sz w:val="22"/>
                <w:szCs w:val="22"/>
              </w:rPr>
              <w:t xml:space="preserve"> </w:t>
            </w:r>
            <w:r w:rsidRPr="00E36116">
              <w:rPr>
                <w:sz w:val="22"/>
                <w:szCs w:val="22"/>
              </w:rPr>
              <w:t xml:space="preserve">pēc SIA “Latvijas Mobilais Telefons” (turpmāk - LMT) pasūtījuma, kas ir </w:t>
            </w:r>
            <w:r w:rsidRPr="00E36116" w:rsidR="00487284">
              <w:rPr>
                <w:sz w:val="22"/>
                <w:szCs w:val="22"/>
              </w:rPr>
              <w:t xml:space="preserve">tieši </w:t>
            </w:r>
            <w:r w:rsidRPr="00E36116">
              <w:rPr>
                <w:sz w:val="22"/>
                <w:szCs w:val="22"/>
              </w:rPr>
              <w:t>ieinteresētā puse.</w:t>
            </w:r>
            <w:r w:rsidRPr="00E36116" w:rsidR="001F428F">
              <w:rPr>
                <w:sz w:val="22"/>
                <w:szCs w:val="22"/>
              </w:rPr>
              <w:t xml:space="preserve"> Kaut arī K</w:t>
            </w:r>
            <w:r w:rsidR="00543560">
              <w:rPr>
                <w:sz w:val="22"/>
                <w:szCs w:val="22"/>
              </w:rPr>
              <w:t>ultūras ministrija</w:t>
            </w:r>
            <w:r w:rsidRPr="00E36116" w:rsidR="001F428F">
              <w:rPr>
                <w:sz w:val="22"/>
                <w:szCs w:val="22"/>
              </w:rPr>
              <w:t xml:space="preserve"> vairākkārt paudusi lūgumu rast iespēju iepazīties ar pilno pētījumu gan LMT, gan arī atzinumu sniedzējām – LDDK un LTRK, K</w:t>
            </w:r>
            <w:r w:rsidR="00543560">
              <w:rPr>
                <w:sz w:val="22"/>
                <w:szCs w:val="22"/>
              </w:rPr>
              <w:t>ultūras ministrijai</w:t>
            </w:r>
            <w:r w:rsidRPr="00E36116" w:rsidR="001F428F">
              <w:rPr>
                <w:sz w:val="22"/>
                <w:szCs w:val="22"/>
              </w:rPr>
              <w:t xml:space="preserve"> minētais pilnais pētījums nav ticis iesniegts.</w:t>
            </w:r>
            <w:r w:rsidRPr="00E36116">
              <w:rPr>
                <w:sz w:val="22"/>
                <w:szCs w:val="22"/>
              </w:rPr>
              <w:t xml:space="preserve"> Tād</w:t>
            </w:r>
            <w:r w:rsidRPr="00E36116" w:rsidR="00B40D1D">
              <w:rPr>
                <w:sz w:val="22"/>
                <w:szCs w:val="22"/>
              </w:rPr>
              <w:t>ē</w:t>
            </w:r>
            <w:r w:rsidRPr="00E36116">
              <w:rPr>
                <w:sz w:val="22"/>
                <w:szCs w:val="22"/>
              </w:rPr>
              <w:t>jādi K</w:t>
            </w:r>
            <w:r w:rsidR="00543560">
              <w:rPr>
                <w:sz w:val="22"/>
                <w:szCs w:val="22"/>
              </w:rPr>
              <w:t>ultūras ministrija</w:t>
            </w:r>
            <w:r w:rsidRPr="00E36116">
              <w:rPr>
                <w:sz w:val="22"/>
                <w:szCs w:val="22"/>
              </w:rPr>
              <w:t xml:space="preserve"> nevar pārliecināties</w:t>
            </w:r>
            <w:r w:rsidRPr="00E36116" w:rsidR="00487284">
              <w:rPr>
                <w:sz w:val="22"/>
                <w:szCs w:val="22"/>
              </w:rPr>
              <w:t xml:space="preserve"> ne</w:t>
            </w:r>
            <w:r w:rsidRPr="00E36116">
              <w:rPr>
                <w:sz w:val="22"/>
                <w:szCs w:val="22"/>
              </w:rPr>
              <w:t xml:space="preserve"> par pētījuma metodoloģiju</w:t>
            </w:r>
            <w:r w:rsidRPr="00E36116" w:rsidR="00487284">
              <w:rPr>
                <w:sz w:val="22"/>
                <w:szCs w:val="22"/>
              </w:rPr>
              <w:t>,</w:t>
            </w:r>
            <w:r w:rsidRPr="00E36116">
              <w:rPr>
                <w:sz w:val="22"/>
                <w:szCs w:val="22"/>
              </w:rPr>
              <w:t xml:space="preserve"> </w:t>
            </w:r>
            <w:r w:rsidRPr="00E36116" w:rsidR="00487284">
              <w:rPr>
                <w:sz w:val="22"/>
                <w:szCs w:val="22"/>
              </w:rPr>
              <w:t>ne</w:t>
            </w:r>
            <w:r w:rsidRPr="00E36116">
              <w:rPr>
                <w:sz w:val="22"/>
                <w:szCs w:val="22"/>
              </w:rPr>
              <w:t xml:space="preserve"> jautājumu formulējumu</w:t>
            </w:r>
            <w:r w:rsidRPr="00E36116" w:rsidR="00487284">
              <w:rPr>
                <w:sz w:val="22"/>
                <w:szCs w:val="22"/>
              </w:rPr>
              <w:t xml:space="preserve">, ne rezultātiem. </w:t>
            </w:r>
            <w:proofErr w:type="spellStart"/>
            <w:r w:rsidRPr="00F04F19" w:rsidR="00F04F19">
              <w:rPr>
                <w:sz w:val="22"/>
                <w:szCs w:val="22"/>
              </w:rPr>
              <w:t>Factum</w:t>
            </w:r>
            <w:proofErr w:type="spellEnd"/>
            <w:r w:rsidRPr="00F04F19" w:rsidR="00F04F19">
              <w:rPr>
                <w:sz w:val="22"/>
                <w:szCs w:val="22"/>
              </w:rPr>
              <w:t xml:space="preserve"> </w:t>
            </w:r>
            <w:proofErr w:type="spellStart"/>
            <w:r w:rsidRPr="00F04F19" w:rsidR="00F04F19">
              <w:rPr>
                <w:sz w:val="22"/>
                <w:szCs w:val="22"/>
              </w:rPr>
              <w:t>Interactive</w:t>
            </w:r>
            <w:proofErr w:type="spellEnd"/>
            <w:r w:rsidRPr="00E36116" w:rsidR="00F04F19">
              <w:rPr>
                <w:sz w:val="22"/>
                <w:szCs w:val="22"/>
              </w:rPr>
              <w:t xml:space="preserve"> </w:t>
            </w:r>
            <w:r w:rsidR="00F04F19">
              <w:rPr>
                <w:sz w:val="22"/>
                <w:szCs w:val="22"/>
              </w:rPr>
              <w:t xml:space="preserve">pētījuma izvilkums tika prezentēts 2021.gada 15.janvāra darba grupas sanāksmē, taču arī tajā netika prezentēti pilnā pētījuma dati. </w:t>
            </w:r>
            <w:r w:rsidRPr="00E36116" w:rsidR="00487284">
              <w:rPr>
                <w:sz w:val="22"/>
                <w:szCs w:val="22"/>
              </w:rPr>
              <w:t xml:space="preserve">Ja </w:t>
            </w:r>
            <w:r w:rsidRPr="00E36116" w:rsidR="00957CD8">
              <w:rPr>
                <w:sz w:val="22"/>
                <w:szCs w:val="22"/>
              </w:rPr>
              <w:t xml:space="preserve">pilnais </w:t>
            </w:r>
            <w:r w:rsidRPr="00E36116" w:rsidR="00487284">
              <w:rPr>
                <w:sz w:val="22"/>
                <w:szCs w:val="22"/>
              </w:rPr>
              <w:t>pētījums nav pieejams nevienam citam, izņemot pašu pētījuma pasūtītāju, tai skaitā, tas nav pieejams arī atzinum</w:t>
            </w:r>
            <w:r w:rsidRPr="00E36116" w:rsidR="006338EC">
              <w:rPr>
                <w:sz w:val="22"/>
                <w:szCs w:val="22"/>
              </w:rPr>
              <w:t>u</w:t>
            </w:r>
            <w:r w:rsidRPr="00E36116" w:rsidR="00487284">
              <w:rPr>
                <w:sz w:val="22"/>
                <w:szCs w:val="22"/>
              </w:rPr>
              <w:t xml:space="preserve"> sniedzējiem, </w:t>
            </w:r>
            <w:r w:rsidRPr="00E36116" w:rsidR="006338EC">
              <w:rPr>
                <w:sz w:val="22"/>
                <w:szCs w:val="22"/>
              </w:rPr>
              <w:t xml:space="preserve">rodas </w:t>
            </w:r>
            <w:r w:rsidRPr="00E36116" w:rsidR="006338EC">
              <w:rPr>
                <w:sz w:val="22"/>
                <w:szCs w:val="22"/>
              </w:rPr>
              <w:lastRenderedPageBreak/>
              <w:t xml:space="preserve">šaubas par tā rezultātu </w:t>
            </w:r>
            <w:r w:rsidRPr="00E36116" w:rsidR="007E371A">
              <w:rPr>
                <w:sz w:val="22"/>
                <w:szCs w:val="22"/>
              </w:rPr>
              <w:t>objektivitāti</w:t>
            </w:r>
            <w:r w:rsidRPr="00E36116" w:rsidR="006338EC">
              <w:rPr>
                <w:sz w:val="22"/>
                <w:szCs w:val="22"/>
              </w:rPr>
              <w:t>.</w:t>
            </w:r>
          </w:p>
          <w:p w:rsidR="00A62EF4" w:rsidP="00CA5C25" w:rsidRDefault="00F04F19" w14:paraId="14776425" w14:textId="7510A443">
            <w:pPr>
              <w:pStyle w:val="naisc"/>
              <w:spacing w:before="0" w:after="0"/>
              <w:jc w:val="both"/>
              <w:rPr>
                <w:sz w:val="22"/>
                <w:szCs w:val="22"/>
              </w:rPr>
            </w:pPr>
            <w:r>
              <w:rPr>
                <w:sz w:val="22"/>
                <w:szCs w:val="22"/>
              </w:rPr>
              <w:t>A</w:t>
            </w:r>
            <w:r w:rsidRPr="00E36116" w:rsidR="00957CD8">
              <w:rPr>
                <w:sz w:val="22"/>
                <w:szCs w:val="22"/>
              </w:rPr>
              <w:t>tbilstoši</w:t>
            </w:r>
            <w:r w:rsidRPr="00E36116" w:rsidR="00472E17">
              <w:rPr>
                <w:sz w:val="22"/>
                <w:szCs w:val="22"/>
              </w:rPr>
              <w:t xml:space="preserve"> K</w:t>
            </w:r>
            <w:r w:rsidR="00543560">
              <w:rPr>
                <w:sz w:val="22"/>
                <w:szCs w:val="22"/>
              </w:rPr>
              <w:t>ultūras ministrijas</w:t>
            </w:r>
            <w:r w:rsidRPr="00E36116" w:rsidR="00472E17">
              <w:rPr>
                <w:sz w:val="22"/>
                <w:szCs w:val="22"/>
              </w:rPr>
              <w:t xml:space="preserve"> rīcībā esoš</w:t>
            </w:r>
            <w:r w:rsidRPr="00E36116" w:rsidR="00957CD8">
              <w:rPr>
                <w:sz w:val="22"/>
                <w:szCs w:val="22"/>
              </w:rPr>
              <w:t>ajam</w:t>
            </w:r>
            <w:r w:rsidRPr="00E36116" w:rsidR="00472E17">
              <w:rPr>
                <w:sz w:val="22"/>
                <w:szCs w:val="22"/>
              </w:rPr>
              <w:t xml:space="preserve"> izvilkuma</w:t>
            </w:r>
            <w:r w:rsidRPr="00E36116" w:rsidR="00957CD8">
              <w:rPr>
                <w:sz w:val="22"/>
                <w:szCs w:val="22"/>
              </w:rPr>
              <w:t>m</w:t>
            </w:r>
            <w:r w:rsidRPr="00E36116" w:rsidR="00472E17">
              <w:rPr>
                <w:sz w:val="22"/>
                <w:szCs w:val="22"/>
              </w:rPr>
              <w:t xml:space="preserve"> no </w:t>
            </w:r>
            <w:proofErr w:type="spellStart"/>
            <w:r w:rsidRPr="00F04F19">
              <w:rPr>
                <w:sz w:val="22"/>
                <w:szCs w:val="22"/>
              </w:rPr>
              <w:t>Factum</w:t>
            </w:r>
            <w:proofErr w:type="spellEnd"/>
            <w:r w:rsidRPr="00F04F19">
              <w:rPr>
                <w:sz w:val="22"/>
                <w:szCs w:val="22"/>
              </w:rPr>
              <w:t xml:space="preserve"> </w:t>
            </w:r>
            <w:proofErr w:type="spellStart"/>
            <w:r w:rsidRPr="00F04F19">
              <w:rPr>
                <w:sz w:val="22"/>
                <w:szCs w:val="22"/>
              </w:rPr>
              <w:t>Interactive</w:t>
            </w:r>
            <w:proofErr w:type="spellEnd"/>
            <w:r w:rsidRPr="00E36116" w:rsidDel="00F04F19">
              <w:rPr>
                <w:sz w:val="22"/>
                <w:szCs w:val="22"/>
              </w:rPr>
              <w:t xml:space="preserve"> </w:t>
            </w:r>
            <w:r w:rsidRPr="00E36116" w:rsidR="00472E17">
              <w:rPr>
                <w:sz w:val="22"/>
                <w:szCs w:val="22"/>
              </w:rPr>
              <w:t xml:space="preserve">pētījuma, secināms, ka pēdējā gada laikā </w:t>
            </w:r>
            <w:proofErr w:type="spellStart"/>
            <w:r w:rsidRPr="00E36116" w:rsidR="00472E17">
              <w:rPr>
                <w:sz w:val="22"/>
                <w:szCs w:val="22"/>
              </w:rPr>
              <w:t>autordarbus</w:t>
            </w:r>
            <w:proofErr w:type="spellEnd"/>
            <w:r w:rsidRPr="00E36116" w:rsidR="00472E17">
              <w:rPr>
                <w:sz w:val="22"/>
                <w:szCs w:val="22"/>
              </w:rPr>
              <w:t xml:space="preserve"> ir kopējuši 34,3% no Latvijas iedzīvotājiem, interneta lietotājiem. </w:t>
            </w:r>
            <w:r w:rsidRPr="00E36116" w:rsidR="00957CD8">
              <w:rPr>
                <w:sz w:val="22"/>
                <w:szCs w:val="22"/>
              </w:rPr>
              <w:t>P</w:t>
            </w:r>
            <w:r w:rsidRPr="00E36116" w:rsidR="00487284">
              <w:rPr>
                <w:sz w:val="22"/>
                <w:szCs w:val="22"/>
              </w:rPr>
              <w:t>ētījumā uzsvērts,</w:t>
            </w:r>
            <w:r w:rsidRPr="00E36116" w:rsidR="00472E17">
              <w:rPr>
                <w:sz w:val="22"/>
                <w:szCs w:val="22"/>
              </w:rPr>
              <w:t xml:space="preserve"> ka š</w:t>
            </w:r>
            <w:r w:rsidRPr="00E36116" w:rsidR="00957CD8">
              <w:rPr>
                <w:sz w:val="22"/>
                <w:szCs w:val="22"/>
              </w:rPr>
              <w:t>is</w:t>
            </w:r>
            <w:r w:rsidRPr="00E36116" w:rsidR="00472E17">
              <w:rPr>
                <w:sz w:val="22"/>
                <w:szCs w:val="22"/>
              </w:rPr>
              <w:t xml:space="preserve"> </w:t>
            </w:r>
            <w:r w:rsidRPr="00E36116" w:rsidR="00487284">
              <w:rPr>
                <w:sz w:val="22"/>
                <w:szCs w:val="22"/>
              </w:rPr>
              <w:t>pētījums</w:t>
            </w:r>
            <w:r w:rsidRPr="00E36116" w:rsidR="00472E17">
              <w:rPr>
                <w:sz w:val="22"/>
                <w:szCs w:val="22"/>
              </w:rPr>
              <w:t xml:space="preserve"> neattiecas uz darbu straumēšanu vai lejupielādi.</w:t>
            </w:r>
            <w:r w:rsidRPr="00E36116" w:rsidR="00D3234E">
              <w:rPr>
                <w:sz w:val="22"/>
                <w:szCs w:val="22"/>
              </w:rPr>
              <w:t xml:space="preserve"> </w:t>
            </w:r>
          </w:p>
          <w:p w:rsidRPr="00E36116" w:rsidR="00472E17" w:rsidP="00CA5C25" w:rsidRDefault="00A62EF4" w14:paraId="04BD04C3" w14:textId="4579B4A8">
            <w:pPr>
              <w:pStyle w:val="naisc"/>
              <w:spacing w:before="0" w:after="0"/>
              <w:jc w:val="both"/>
              <w:rPr>
                <w:sz w:val="22"/>
                <w:szCs w:val="22"/>
              </w:rPr>
            </w:pPr>
            <w:r>
              <w:rPr>
                <w:sz w:val="22"/>
                <w:szCs w:val="22"/>
              </w:rPr>
              <w:t xml:space="preserve">Lai gan LDDK norādījis, ka </w:t>
            </w:r>
            <w:proofErr w:type="spellStart"/>
            <w:r w:rsidRPr="00A62EF4">
              <w:rPr>
                <w:sz w:val="22"/>
                <w:szCs w:val="22"/>
              </w:rPr>
              <w:t>Factum</w:t>
            </w:r>
            <w:proofErr w:type="spellEnd"/>
            <w:r w:rsidRPr="00A62EF4">
              <w:rPr>
                <w:sz w:val="22"/>
                <w:szCs w:val="22"/>
              </w:rPr>
              <w:t xml:space="preserve"> </w:t>
            </w:r>
            <w:proofErr w:type="spellStart"/>
            <w:r w:rsidRPr="00A62EF4">
              <w:rPr>
                <w:sz w:val="22"/>
                <w:szCs w:val="22"/>
              </w:rPr>
              <w:t>Interactive</w:t>
            </w:r>
            <w:proofErr w:type="spellEnd"/>
            <w:r w:rsidRPr="00A62EF4">
              <w:rPr>
                <w:sz w:val="22"/>
                <w:szCs w:val="22"/>
              </w:rPr>
              <w:t xml:space="preserve"> pētījums</w:t>
            </w:r>
            <w:r>
              <w:rPr>
                <w:sz w:val="22"/>
                <w:szCs w:val="22"/>
              </w:rPr>
              <w:t xml:space="preserve"> </w:t>
            </w:r>
            <w:r w:rsidRPr="00A62EF4">
              <w:rPr>
                <w:sz w:val="22"/>
                <w:szCs w:val="22"/>
              </w:rPr>
              <w:t>tika organizēts, lai noskaidrotu viedtālruņu izmantošanas īpatsvaru tiesiski iegūtu autortiesību darbu reproducēšanai personiskai lietošanai</w:t>
            </w:r>
            <w:r>
              <w:rPr>
                <w:sz w:val="22"/>
                <w:szCs w:val="22"/>
              </w:rPr>
              <w:t>, Kultūras ministrijas ieskatā</w:t>
            </w:r>
            <w:r w:rsidR="002C3BFC">
              <w:rPr>
                <w:sz w:val="22"/>
                <w:szCs w:val="22"/>
              </w:rPr>
              <w:t>,</w:t>
            </w:r>
            <w:r>
              <w:rPr>
                <w:sz w:val="22"/>
                <w:szCs w:val="22"/>
              </w:rPr>
              <w:t xml:space="preserve"> vērtējot pētījuma pirmo jautājumu</w:t>
            </w:r>
            <w:r w:rsidR="002C3BFC">
              <w:rPr>
                <w:sz w:val="22"/>
                <w:szCs w:val="22"/>
              </w:rPr>
              <w:t>,</w:t>
            </w:r>
            <w:r>
              <w:rPr>
                <w:sz w:val="22"/>
                <w:szCs w:val="22"/>
              </w:rPr>
              <w:t xml:space="preserve"> ir </w:t>
            </w:r>
            <w:r w:rsidRPr="00E36116" w:rsidR="00957CD8">
              <w:rPr>
                <w:sz w:val="22"/>
                <w:szCs w:val="22"/>
              </w:rPr>
              <w:t xml:space="preserve">secināms, </w:t>
            </w:r>
            <w:r w:rsidRPr="00E36116" w:rsidR="00472E17">
              <w:rPr>
                <w:sz w:val="22"/>
                <w:szCs w:val="22"/>
              </w:rPr>
              <w:t xml:space="preserve">ka darbu kopēšana </w:t>
            </w:r>
            <w:r w:rsidR="00872F61">
              <w:rPr>
                <w:sz w:val="22"/>
                <w:szCs w:val="22"/>
              </w:rPr>
              <w:t xml:space="preserve">personiskām vajadzībām </w:t>
            </w:r>
            <w:r w:rsidRPr="00E36116" w:rsidR="00957CD8">
              <w:rPr>
                <w:sz w:val="22"/>
                <w:szCs w:val="22"/>
              </w:rPr>
              <w:t>ir</w:t>
            </w:r>
            <w:r w:rsidRPr="00E36116" w:rsidR="00472E17">
              <w:rPr>
                <w:sz w:val="22"/>
                <w:szCs w:val="22"/>
              </w:rPr>
              <w:t xml:space="preserve"> izplatītāka</w:t>
            </w:r>
            <w:r w:rsidRPr="00E36116" w:rsidR="00D3234E">
              <w:rPr>
                <w:sz w:val="22"/>
                <w:szCs w:val="22"/>
              </w:rPr>
              <w:t xml:space="preserve"> ne</w:t>
            </w:r>
            <w:r w:rsidRPr="00E36116" w:rsidR="00472E17">
              <w:rPr>
                <w:sz w:val="22"/>
                <w:szCs w:val="22"/>
              </w:rPr>
              <w:t>kā to uzrāda K</w:t>
            </w:r>
            <w:r w:rsidR="00543560">
              <w:rPr>
                <w:sz w:val="22"/>
                <w:szCs w:val="22"/>
              </w:rPr>
              <w:t>ultūras ministrijas</w:t>
            </w:r>
            <w:r w:rsidRPr="00E36116" w:rsidR="00472E17">
              <w:rPr>
                <w:sz w:val="22"/>
                <w:szCs w:val="22"/>
              </w:rPr>
              <w:t xml:space="preserve"> pētījums</w:t>
            </w:r>
            <w:r w:rsidRPr="00E36116" w:rsidR="002B2684">
              <w:rPr>
                <w:sz w:val="22"/>
                <w:szCs w:val="22"/>
              </w:rPr>
              <w:t xml:space="preserve"> (K</w:t>
            </w:r>
            <w:r w:rsidR="00543560">
              <w:rPr>
                <w:sz w:val="22"/>
                <w:szCs w:val="22"/>
              </w:rPr>
              <w:t>ultūras ministrijas</w:t>
            </w:r>
            <w:r w:rsidRPr="00E36116" w:rsidR="002B2684">
              <w:rPr>
                <w:sz w:val="22"/>
                <w:szCs w:val="22"/>
              </w:rPr>
              <w:t xml:space="preserve"> 2020.gada pētījumā </w:t>
            </w:r>
            <w:proofErr w:type="spellStart"/>
            <w:r w:rsidRPr="00E36116" w:rsidR="002B2684">
              <w:rPr>
                <w:sz w:val="22"/>
                <w:szCs w:val="22"/>
              </w:rPr>
              <w:t>autordarbus</w:t>
            </w:r>
            <w:proofErr w:type="spellEnd"/>
            <w:r w:rsidRPr="00E36116" w:rsidR="002B2684">
              <w:rPr>
                <w:sz w:val="22"/>
                <w:szCs w:val="22"/>
              </w:rPr>
              <w:t xml:space="preserve"> kopējuši 14% respondentu)</w:t>
            </w:r>
            <w:r w:rsidRPr="00E36116" w:rsidR="00472E17">
              <w:rPr>
                <w:sz w:val="22"/>
                <w:szCs w:val="22"/>
              </w:rPr>
              <w:t xml:space="preserve">. </w:t>
            </w:r>
          </w:p>
          <w:p w:rsidRPr="00E36116" w:rsidR="00472E17" w:rsidP="00CA5C25" w:rsidRDefault="001D299B" w14:paraId="36F1BE54" w14:textId="252007AF">
            <w:pPr>
              <w:pStyle w:val="naisc"/>
              <w:spacing w:before="0" w:after="0"/>
              <w:jc w:val="both"/>
              <w:rPr>
                <w:sz w:val="22"/>
                <w:szCs w:val="22"/>
              </w:rPr>
            </w:pPr>
            <w:r w:rsidRPr="00E36116">
              <w:rPr>
                <w:sz w:val="22"/>
                <w:szCs w:val="22"/>
              </w:rPr>
              <w:t xml:space="preserve">Atbilstoši </w:t>
            </w:r>
            <w:r w:rsidR="00543560">
              <w:rPr>
                <w:sz w:val="22"/>
                <w:szCs w:val="22"/>
              </w:rPr>
              <w:t>Ministru kabineta noteikumu p</w:t>
            </w:r>
            <w:r w:rsidRPr="00E36116" w:rsidR="00472E17">
              <w:rPr>
                <w:sz w:val="22"/>
                <w:szCs w:val="22"/>
              </w:rPr>
              <w:t xml:space="preserve">rojekta anotācijā </w:t>
            </w:r>
            <w:r w:rsidRPr="00E36116">
              <w:rPr>
                <w:sz w:val="22"/>
                <w:szCs w:val="22"/>
              </w:rPr>
              <w:t>norādītajiem</w:t>
            </w:r>
            <w:r w:rsidRPr="00E36116" w:rsidR="00472E17">
              <w:rPr>
                <w:sz w:val="22"/>
                <w:szCs w:val="22"/>
              </w:rPr>
              <w:t xml:space="preserve"> </w:t>
            </w:r>
            <w:r w:rsidRPr="00E36116">
              <w:rPr>
                <w:sz w:val="22"/>
                <w:szCs w:val="22"/>
              </w:rPr>
              <w:t>kritērijiem</w:t>
            </w:r>
            <w:r w:rsidRPr="00E36116" w:rsidR="00472E17">
              <w:rPr>
                <w:sz w:val="22"/>
                <w:szCs w:val="22"/>
              </w:rPr>
              <w:t xml:space="preserve"> K</w:t>
            </w:r>
            <w:r w:rsidR="00543560">
              <w:rPr>
                <w:sz w:val="22"/>
                <w:szCs w:val="22"/>
              </w:rPr>
              <w:t>ultūras ministrija</w:t>
            </w:r>
            <w:r w:rsidRPr="00E36116" w:rsidR="00472E17">
              <w:rPr>
                <w:sz w:val="22"/>
                <w:szCs w:val="22"/>
              </w:rPr>
              <w:t xml:space="preserve"> ir </w:t>
            </w:r>
            <w:r w:rsidRPr="00E36116">
              <w:rPr>
                <w:sz w:val="22"/>
                <w:szCs w:val="22"/>
              </w:rPr>
              <w:t>secinājusi,</w:t>
            </w:r>
            <w:r w:rsidRPr="00E36116" w:rsidR="00472E17">
              <w:rPr>
                <w:sz w:val="22"/>
                <w:szCs w:val="22"/>
              </w:rPr>
              <w:t xml:space="preserve"> ka tiesību subjektu mantiskajām interesēm ar Autortiesību likuma 34.pantā paredzēto autortiesību ierobežojumu tiek nodarīts kaitējums, kurš būtu </w:t>
            </w:r>
            <w:r w:rsidRPr="00E36116" w:rsidR="00472E17">
              <w:rPr>
                <w:sz w:val="22"/>
                <w:szCs w:val="22"/>
              </w:rPr>
              <w:lastRenderedPageBreak/>
              <w:t xml:space="preserve">kompensējams un tas nav uzskatāms par minimālu. Tā kā </w:t>
            </w:r>
            <w:proofErr w:type="spellStart"/>
            <w:r w:rsidRPr="00F04F19" w:rsidR="00A62EF4">
              <w:rPr>
                <w:sz w:val="22"/>
                <w:szCs w:val="22"/>
              </w:rPr>
              <w:t>Factum</w:t>
            </w:r>
            <w:proofErr w:type="spellEnd"/>
            <w:r w:rsidRPr="00F04F19" w:rsidR="00A62EF4">
              <w:rPr>
                <w:sz w:val="22"/>
                <w:szCs w:val="22"/>
              </w:rPr>
              <w:t xml:space="preserve"> </w:t>
            </w:r>
            <w:proofErr w:type="spellStart"/>
            <w:r w:rsidRPr="00F04F19" w:rsidR="00A62EF4">
              <w:rPr>
                <w:sz w:val="22"/>
                <w:szCs w:val="22"/>
              </w:rPr>
              <w:t>Interactive</w:t>
            </w:r>
            <w:proofErr w:type="spellEnd"/>
            <w:r w:rsidRPr="00E36116" w:rsidDel="00F04F19" w:rsidR="00A62EF4">
              <w:rPr>
                <w:sz w:val="22"/>
                <w:szCs w:val="22"/>
              </w:rPr>
              <w:t xml:space="preserve"> </w:t>
            </w:r>
            <w:r w:rsidRPr="00E36116" w:rsidR="00472E17">
              <w:rPr>
                <w:sz w:val="22"/>
                <w:szCs w:val="22"/>
              </w:rPr>
              <w:t>pētījums norāda, ka kopēšana notiek lielākos apjomos nekā K</w:t>
            </w:r>
            <w:r w:rsidR="00543560">
              <w:rPr>
                <w:sz w:val="22"/>
                <w:szCs w:val="22"/>
              </w:rPr>
              <w:t>ultūras ministrijas</w:t>
            </w:r>
            <w:r w:rsidRPr="00E36116" w:rsidR="00472E17">
              <w:rPr>
                <w:sz w:val="22"/>
                <w:szCs w:val="22"/>
              </w:rPr>
              <w:t xml:space="preserve"> pētījums,</w:t>
            </w:r>
            <w:r w:rsidRPr="00E36116">
              <w:rPr>
                <w:sz w:val="22"/>
                <w:szCs w:val="22"/>
              </w:rPr>
              <w:t xml:space="preserve"> tad </w:t>
            </w:r>
            <w:proofErr w:type="spellStart"/>
            <w:r w:rsidRPr="00F04F19" w:rsidR="00A62EF4">
              <w:rPr>
                <w:sz w:val="22"/>
                <w:szCs w:val="22"/>
              </w:rPr>
              <w:t>Factum</w:t>
            </w:r>
            <w:proofErr w:type="spellEnd"/>
            <w:r w:rsidRPr="00F04F19" w:rsidR="00A62EF4">
              <w:rPr>
                <w:sz w:val="22"/>
                <w:szCs w:val="22"/>
              </w:rPr>
              <w:t xml:space="preserve"> </w:t>
            </w:r>
            <w:proofErr w:type="spellStart"/>
            <w:r w:rsidRPr="00F04F19" w:rsidR="00A62EF4">
              <w:rPr>
                <w:sz w:val="22"/>
                <w:szCs w:val="22"/>
              </w:rPr>
              <w:t>Interactive</w:t>
            </w:r>
            <w:proofErr w:type="spellEnd"/>
            <w:r w:rsidRPr="00E36116" w:rsidDel="00F04F19" w:rsidR="00A62EF4">
              <w:rPr>
                <w:sz w:val="22"/>
                <w:szCs w:val="22"/>
              </w:rPr>
              <w:t xml:space="preserve"> </w:t>
            </w:r>
            <w:r w:rsidRPr="00E36116">
              <w:rPr>
                <w:sz w:val="22"/>
                <w:szCs w:val="22"/>
              </w:rPr>
              <w:t>pētījums vēlreiz</w:t>
            </w:r>
            <w:r w:rsidRPr="00E36116" w:rsidR="00472E17">
              <w:rPr>
                <w:sz w:val="22"/>
                <w:szCs w:val="22"/>
              </w:rPr>
              <w:t xml:space="preserve"> apliecina, ka tiesību subjektiem nodarītais kaitējums nav uzskatāms par minimālu.</w:t>
            </w:r>
          </w:p>
          <w:p w:rsidRPr="00E36116" w:rsidR="00472E17" w:rsidP="00CA5C25" w:rsidRDefault="00472E17" w14:paraId="1B5AA147" w14:textId="1719F0A8">
            <w:pPr>
              <w:pStyle w:val="naisc"/>
              <w:spacing w:before="0" w:after="0"/>
              <w:jc w:val="both"/>
              <w:rPr>
                <w:sz w:val="22"/>
                <w:szCs w:val="22"/>
              </w:rPr>
            </w:pPr>
            <w:r w:rsidRPr="00E36116">
              <w:rPr>
                <w:sz w:val="22"/>
                <w:szCs w:val="22"/>
              </w:rPr>
              <w:t>K</w:t>
            </w:r>
            <w:r w:rsidR="00543560">
              <w:rPr>
                <w:sz w:val="22"/>
                <w:szCs w:val="22"/>
              </w:rPr>
              <w:t>ultūras ministrija</w:t>
            </w:r>
            <w:r w:rsidRPr="00E36116" w:rsidR="00021A89">
              <w:rPr>
                <w:sz w:val="22"/>
                <w:szCs w:val="22"/>
              </w:rPr>
              <w:t>, izstrādājot</w:t>
            </w:r>
            <w:r w:rsidRPr="00E36116">
              <w:rPr>
                <w:sz w:val="22"/>
                <w:szCs w:val="22"/>
              </w:rPr>
              <w:t xml:space="preserve"> </w:t>
            </w:r>
            <w:r w:rsidR="00543560">
              <w:rPr>
                <w:sz w:val="22"/>
                <w:szCs w:val="22"/>
              </w:rPr>
              <w:t>Ministru kabineta noteikumu p</w:t>
            </w:r>
            <w:r w:rsidRPr="00E36116">
              <w:rPr>
                <w:sz w:val="22"/>
                <w:szCs w:val="22"/>
              </w:rPr>
              <w:t>rojekt</w:t>
            </w:r>
            <w:r w:rsidRPr="00E36116" w:rsidR="00021A89">
              <w:rPr>
                <w:sz w:val="22"/>
                <w:szCs w:val="22"/>
              </w:rPr>
              <w:t>u,</w:t>
            </w:r>
            <w:r w:rsidRPr="00E36116">
              <w:rPr>
                <w:sz w:val="22"/>
                <w:szCs w:val="22"/>
              </w:rPr>
              <w:t xml:space="preserve"> ir ievērojusi </w:t>
            </w:r>
            <w:r w:rsidRPr="00E36116" w:rsidR="00957CD8">
              <w:rPr>
                <w:sz w:val="22"/>
                <w:szCs w:val="22"/>
              </w:rPr>
              <w:t>M</w:t>
            </w:r>
            <w:r w:rsidR="00543560">
              <w:rPr>
                <w:sz w:val="22"/>
                <w:szCs w:val="22"/>
              </w:rPr>
              <w:t>inistru kabineta</w:t>
            </w:r>
            <w:r w:rsidRPr="00E36116">
              <w:rPr>
                <w:sz w:val="22"/>
                <w:szCs w:val="22"/>
              </w:rPr>
              <w:t xml:space="preserve"> 2009.gada 7.aprī</w:t>
            </w:r>
            <w:r w:rsidRPr="00E36116" w:rsidR="00CA205E">
              <w:rPr>
                <w:sz w:val="22"/>
                <w:szCs w:val="22"/>
              </w:rPr>
              <w:t>ļa</w:t>
            </w:r>
            <w:r w:rsidRPr="00E36116">
              <w:rPr>
                <w:sz w:val="22"/>
                <w:szCs w:val="22"/>
              </w:rPr>
              <w:t xml:space="preserve"> noteikumu Nr.300 “Ministru kabineta kārtības rullis” un </w:t>
            </w:r>
            <w:r w:rsidRPr="00E36116" w:rsidR="00957CD8">
              <w:rPr>
                <w:sz w:val="22"/>
                <w:szCs w:val="22"/>
              </w:rPr>
              <w:t>M</w:t>
            </w:r>
            <w:r w:rsidR="00543560">
              <w:rPr>
                <w:sz w:val="22"/>
                <w:szCs w:val="22"/>
              </w:rPr>
              <w:t>inistru kabineta</w:t>
            </w:r>
            <w:r w:rsidRPr="00E36116">
              <w:rPr>
                <w:sz w:val="22"/>
                <w:szCs w:val="22"/>
              </w:rPr>
              <w:t xml:space="preserve"> 2009.gada 25.augusta noteikum</w:t>
            </w:r>
            <w:r w:rsidRPr="00E36116" w:rsidR="00CA205E">
              <w:rPr>
                <w:sz w:val="22"/>
                <w:szCs w:val="22"/>
              </w:rPr>
              <w:t>u</w:t>
            </w:r>
            <w:r w:rsidRPr="00E36116">
              <w:rPr>
                <w:sz w:val="22"/>
                <w:szCs w:val="22"/>
              </w:rPr>
              <w:t xml:space="preserve"> Nr.970 „Sabiedrības līdzdalības kārtība attīstības plānošanas procesā” prasības</w:t>
            </w:r>
            <w:r w:rsidRPr="00E36116" w:rsidR="00CA205E">
              <w:rPr>
                <w:sz w:val="22"/>
                <w:szCs w:val="22"/>
              </w:rPr>
              <w:t xml:space="preserve"> attiecībā uz sabiedrības līdzdalību</w:t>
            </w:r>
            <w:r w:rsidRPr="00E36116">
              <w:rPr>
                <w:sz w:val="22"/>
                <w:szCs w:val="22"/>
              </w:rPr>
              <w:t xml:space="preserve">. </w:t>
            </w:r>
            <w:r w:rsidR="00543560">
              <w:rPr>
                <w:sz w:val="22"/>
                <w:szCs w:val="22"/>
              </w:rPr>
              <w:t>Ministru kabineta noteikumu p</w:t>
            </w:r>
            <w:r w:rsidRPr="00E36116">
              <w:rPr>
                <w:sz w:val="22"/>
                <w:szCs w:val="22"/>
              </w:rPr>
              <w:t xml:space="preserve">rojektam nav lūgts paredzēt steidzamības kārtību. Līdz ar to nav pamatoti iebildumi par to, ka </w:t>
            </w:r>
            <w:r w:rsidR="00543560">
              <w:rPr>
                <w:sz w:val="22"/>
                <w:szCs w:val="22"/>
              </w:rPr>
              <w:t>Ministru kabineta noteikumu p</w:t>
            </w:r>
            <w:r w:rsidRPr="00E36116">
              <w:rPr>
                <w:sz w:val="22"/>
                <w:szCs w:val="22"/>
              </w:rPr>
              <w:t>rojekts tiktu virzīts sasteigti.</w:t>
            </w:r>
          </w:p>
          <w:p w:rsidRPr="00E36116" w:rsidR="00472E17" w:rsidP="00CA5C25" w:rsidRDefault="00472E17" w14:paraId="62CD24AC" w14:textId="4EC7AC94">
            <w:pPr>
              <w:pStyle w:val="naisc"/>
              <w:spacing w:before="0" w:after="0"/>
              <w:jc w:val="both"/>
              <w:rPr>
                <w:bCs/>
                <w:sz w:val="22"/>
                <w:szCs w:val="22"/>
              </w:rPr>
            </w:pPr>
            <w:r w:rsidRPr="00E36116">
              <w:rPr>
                <w:bCs/>
                <w:sz w:val="22"/>
                <w:szCs w:val="22"/>
              </w:rPr>
              <w:t xml:space="preserve">Papildus jāņem vērā Satversmes tiesa spriedumā norādīto, ka atbildība par Noteikumu 3. un 4.punkta satura pārskatīšanu ir jāuzņemas </w:t>
            </w:r>
            <w:r w:rsidRPr="00E36116" w:rsidR="00957CD8">
              <w:rPr>
                <w:bCs/>
                <w:sz w:val="22"/>
                <w:szCs w:val="22"/>
              </w:rPr>
              <w:t>M</w:t>
            </w:r>
            <w:r w:rsidR="00543560">
              <w:rPr>
                <w:bCs/>
                <w:sz w:val="22"/>
                <w:szCs w:val="22"/>
              </w:rPr>
              <w:t>inistru kabinetam</w:t>
            </w:r>
            <w:r w:rsidRPr="00E36116">
              <w:rPr>
                <w:bCs/>
                <w:sz w:val="22"/>
                <w:szCs w:val="22"/>
              </w:rPr>
              <w:t xml:space="preserve">. </w:t>
            </w:r>
            <w:r w:rsidRPr="00E36116" w:rsidR="000332DB">
              <w:rPr>
                <w:bCs/>
                <w:sz w:val="22"/>
                <w:szCs w:val="22"/>
              </w:rPr>
              <w:t>Turklāt a</w:t>
            </w:r>
            <w:r w:rsidRPr="00E36116">
              <w:rPr>
                <w:bCs/>
                <w:sz w:val="22"/>
                <w:szCs w:val="22"/>
              </w:rPr>
              <w:t xml:space="preserve">pstāklis, ka ieinteresētās personas nespēj panākt vienošanos par Noteikumu </w:t>
            </w:r>
            <w:r w:rsidRPr="00E36116">
              <w:rPr>
                <w:bCs/>
                <w:sz w:val="22"/>
                <w:szCs w:val="22"/>
              </w:rPr>
              <w:lastRenderedPageBreak/>
              <w:t xml:space="preserve">pilnveidošanu, neatbrīvo nedz </w:t>
            </w:r>
            <w:r w:rsidRPr="00E36116" w:rsidR="00957CD8">
              <w:rPr>
                <w:bCs/>
                <w:sz w:val="22"/>
                <w:szCs w:val="22"/>
              </w:rPr>
              <w:t>M</w:t>
            </w:r>
            <w:r w:rsidR="00543560">
              <w:rPr>
                <w:bCs/>
                <w:sz w:val="22"/>
                <w:szCs w:val="22"/>
              </w:rPr>
              <w:t>inistru kabinetu</w:t>
            </w:r>
            <w:r w:rsidRPr="00E36116">
              <w:rPr>
                <w:bCs/>
                <w:sz w:val="22"/>
                <w:szCs w:val="22"/>
              </w:rPr>
              <w:t xml:space="preserve">, nedz </w:t>
            </w:r>
            <w:r w:rsidRPr="00E36116" w:rsidR="00957CD8">
              <w:rPr>
                <w:bCs/>
                <w:sz w:val="22"/>
                <w:szCs w:val="22"/>
              </w:rPr>
              <w:t>K</w:t>
            </w:r>
            <w:r w:rsidR="00543560">
              <w:rPr>
                <w:bCs/>
                <w:sz w:val="22"/>
                <w:szCs w:val="22"/>
              </w:rPr>
              <w:t>ultūras ministriju</w:t>
            </w:r>
            <w:r w:rsidRPr="00E36116">
              <w:rPr>
                <w:bCs/>
                <w:sz w:val="22"/>
                <w:szCs w:val="22"/>
              </w:rPr>
              <w:t xml:space="preserve"> </w:t>
            </w:r>
            <w:r w:rsidRPr="00E36116" w:rsidR="000332DB">
              <w:rPr>
                <w:bCs/>
                <w:sz w:val="22"/>
                <w:szCs w:val="22"/>
              </w:rPr>
              <w:t xml:space="preserve">(kā </w:t>
            </w:r>
            <w:r w:rsidR="00543560">
              <w:rPr>
                <w:sz w:val="22"/>
                <w:szCs w:val="22"/>
              </w:rPr>
              <w:t xml:space="preserve">Ministru kabineta noteikumu </w:t>
            </w:r>
            <w:r w:rsidR="00543560">
              <w:rPr>
                <w:bCs/>
                <w:sz w:val="22"/>
                <w:szCs w:val="22"/>
              </w:rPr>
              <w:t>p</w:t>
            </w:r>
            <w:r w:rsidRPr="00E36116" w:rsidR="000332DB">
              <w:rPr>
                <w:bCs/>
                <w:sz w:val="22"/>
                <w:szCs w:val="22"/>
              </w:rPr>
              <w:t xml:space="preserve">rojekta izstrādātāju) </w:t>
            </w:r>
            <w:r w:rsidRPr="00E36116">
              <w:rPr>
                <w:bCs/>
                <w:sz w:val="22"/>
                <w:szCs w:val="22"/>
              </w:rPr>
              <w:t xml:space="preserve">no to pienākumiem. Neatkarīgi no darba grupā iesaistīto personu viedokļiem </w:t>
            </w:r>
            <w:r w:rsidRPr="00E36116" w:rsidR="00957CD8">
              <w:rPr>
                <w:bCs/>
                <w:sz w:val="22"/>
                <w:szCs w:val="22"/>
              </w:rPr>
              <w:t>M</w:t>
            </w:r>
            <w:r w:rsidR="00543560">
              <w:rPr>
                <w:bCs/>
                <w:sz w:val="22"/>
                <w:szCs w:val="22"/>
              </w:rPr>
              <w:t>inistru kabinetam</w:t>
            </w:r>
            <w:r w:rsidRPr="00E36116">
              <w:rPr>
                <w:bCs/>
                <w:sz w:val="22"/>
                <w:szCs w:val="22"/>
              </w:rPr>
              <w:t xml:space="preserve"> un </w:t>
            </w:r>
            <w:r w:rsidRPr="00E36116" w:rsidR="00957CD8">
              <w:rPr>
                <w:bCs/>
                <w:sz w:val="22"/>
                <w:szCs w:val="22"/>
              </w:rPr>
              <w:t>K</w:t>
            </w:r>
            <w:r w:rsidR="00543560">
              <w:rPr>
                <w:bCs/>
                <w:sz w:val="22"/>
                <w:szCs w:val="22"/>
              </w:rPr>
              <w:t>ultūras ministrijai</w:t>
            </w:r>
            <w:r w:rsidRPr="00E36116">
              <w:rPr>
                <w:bCs/>
                <w:sz w:val="22"/>
                <w:szCs w:val="22"/>
              </w:rPr>
              <w:t xml:space="preserve"> ir jāizvērtē Noteikumu grozīšanas nepieciešamība pēc būtības. Kaut arī ieinteresēto personu uzklausīšana ir lietderīga un pozitīvi vērtējama normatīvo aktu izstrādes procesa sastāvdaļa, likumdošanas procesu nevar padarīt atkarīgu no indivīdu pozitīvās vai negatīvās attieksmes pret normatīvā akta projektu.</w:t>
            </w:r>
          </w:p>
          <w:p w:rsidRPr="00E36116" w:rsidR="00472E17" w:rsidP="00CA5C25" w:rsidRDefault="00472E17" w14:paraId="7F83B610" w14:textId="5D3487E0">
            <w:pPr>
              <w:pStyle w:val="naisc"/>
              <w:spacing w:before="0" w:after="0"/>
              <w:jc w:val="both"/>
              <w:rPr>
                <w:bCs/>
                <w:sz w:val="22"/>
                <w:szCs w:val="22"/>
              </w:rPr>
            </w:pPr>
            <w:r w:rsidRPr="00E36116">
              <w:rPr>
                <w:bCs/>
                <w:sz w:val="22"/>
                <w:szCs w:val="22"/>
              </w:rPr>
              <w:t xml:space="preserve">Atlīdzība par </w:t>
            </w:r>
            <w:proofErr w:type="spellStart"/>
            <w:r w:rsidRPr="00E36116">
              <w:rPr>
                <w:bCs/>
                <w:sz w:val="22"/>
                <w:szCs w:val="22"/>
              </w:rPr>
              <w:t>privātkopēšanas</w:t>
            </w:r>
            <w:proofErr w:type="spellEnd"/>
            <w:r w:rsidRPr="00E36116">
              <w:rPr>
                <w:bCs/>
                <w:sz w:val="22"/>
                <w:szCs w:val="22"/>
              </w:rPr>
              <w:t xml:space="preserve"> izņēmumu nav ne nodeva, ne nodoklis. </w:t>
            </w:r>
            <w:r w:rsidRPr="00E36116" w:rsidR="004F6A4F">
              <w:rPr>
                <w:bCs/>
                <w:sz w:val="22"/>
                <w:szCs w:val="22"/>
              </w:rPr>
              <w:t>Tā ir</w:t>
            </w:r>
            <w:r w:rsidRPr="00E36116" w:rsidR="001D299B">
              <w:rPr>
                <w:bCs/>
                <w:sz w:val="22"/>
                <w:szCs w:val="22"/>
              </w:rPr>
              <w:t xml:space="preserve"> </w:t>
            </w:r>
            <w:r w:rsidRPr="00E36116" w:rsidR="00C63A41">
              <w:rPr>
                <w:bCs/>
                <w:sz w:val="22"/>
                <w:szCs w:val="22"/>
              </w:rPr>
              <w:t>kompensācija</w:t>
            </w:r>
            <w:r w:rsidRPr="00E36116" w:rsidR="004F6A4F">
              <w:rPr>
                <w:bCs/>
                <w:sz w:val="22"/>
                <w:szCs w:val="22"/>
              </w:rPr>
              <w:t xml:space="preserve"> tiesību </w:t>
            </w:r>
            <w:r w:rsidRPr="00E36116" w:rsidR="001D299B">
              <w:rPr>
                <w:bCs/>
                <w:sz w:val="22"/>
                <w:szCs w:val="22"/>
              </w:rPr>
              <w:t>subjektiem</w:t>
            </w:r>
            <w:r w:rsidRPr="00E36116" w:rsidR="004F6A4F">
              <w:rPr>
                <w:bCs/>
                <w:sz w:val="22"/>
                <w:szCs w:val="22"/>
              </w:rPr>
              <w:t xml:space="preserve"> par tiem nodarīto </w:t>
            </w:r>
            <w:r w:rsidRPr="00E36116" w:rsidR="001D299B">
              <w:rPr>
                <w:bCs/>
                <w:sz w:val="22"/>
                <w:szCs w:val="22"/>
              </w:rPr>
              <w:t xml:space="preserve">tiesību </w:t>
            </w:r>
            <w:r w:rsidRPr="00E36116" w:rsidR="004F6A4F">
              <w:rPr>
                <w:bCs/>
                <w:sz w:val="22"/>
                <w:szCs w:val="22"/>
              </w:rPr>
              <w:t>aizskārumu.</w:t>
            </w:r>
          </w:p>
          <w:p w:rsidRPr="00E36116" w:rsidR="00472E17" w:rsidP="00CA5C25" w:rsidRDefault="001D299B" w14:paraId="3D3B5FD3" w14:textId="6E43BF0B">
            <w:pPr>
              <w:pStyle w:val="naisc"/>
              <w:spacing w:before="0" w:after="0"/>
              <w:jc w:val="both"/>
              <w:rPr>
                <w:bCs/>
                <w:sz w:val="22"/>
                <w:szCs w:val="22"/>
              </w:rPr>
            </w:pPr>
            <w:r w:rsidRPr="00E36116">
              <w:rPr>
                <w:bCs/>
                <w:sz w:val="22"/>
                <w:szCs w:val="22"/>
              </w:rPr>
              <w:t xml:space="preserve">Atbilstoši tai dotajam uzdevumam </w:t>
            </w:r>
            <w:r w:rsidRPr="00E36116" w:rsidR="00472E17">
              <w:rPr>
                <w:bCs/>
                <w:sz w:val="22"/>
                <w:szCs w:val="22"/>
              </w:rPr>
              <w:t>K</w:t>
            </w:r>
            <w:r w:rsidR="00543560">
              <w:rPr>
                <w:bCs/>
                <w:sz w:val="22"/>
                <w:szCs w:val="22"/>
              </w:rPr>
              <w:t>ultūras ministrija</w:t>
            </w:r>
            <w:r w:rsidRPr="00E36116" w:rsidR="00472E17">
              <w:rPr>
                <w:bCs/>
                <w:sz w:val="22"/>
                <w:szCs w:val="22"/>
              </w:rPr>
              <w:t xml:space="preserve"> </w:t>
            </w:r>
            <w:r w:rsidRPr="00E36116">
              <w:rPr>
                <w:bCs/>
                <w:sz w:val="22"/>
                <w:szCs w:val="22"/>
              </w:rPr>
              <w:t>ir noteikusi</w:t>
            </w:r>
            <w:r w:rsidRPr="00E36116" w:rsidR="00472E17">
              <w:rPr>
                <w:bCs/>
                <w:sz w:val="22"/>
                <w:szCs w:val="22"/>
              </w:rPr>
              <w:t xml:space="preserve"> kompensējamā kaitējuma slieksni</w:t>
            </w:r>
            <w:r w:rsidRPr="00E36116">
              <w:rPr>
                <w:bCs/>
                <w:sz w:val="22"/>
                <w:szCs w:val="22"/>
              </w:rPr>
              <w:t xml:space="preserve">, </w:t>
            </w:r>
            <w:r w:rsidRPr="00E36116" w:rsidR="00472E17">
              <w:rPr>
                <w:bCs/>
                <w:sz w:val="22"/>
                <w:szCs w:val="22"/>
              </w:rPr>
              <w:t xml:space="preserve">ņemot vērā </w:t>
            </w:r>
            <w:r w:rsidRPr="00E36116" w:rsidR="009F37AC">
              <w:rPr>
                <w:bCs/>
                <w:sz w:val="22"/>
                <w:szCs w:val="22"/>
              </w:rPr>
              <w:t>Eiropas Savienības Tiesas atziņas</w:t>
            </w:r>
            <w:r w:rsidR="00A62EF4">
              <w:rPr>
                <w:bCs/>
                <w:sz w:val="22"/>
                <w:szCs w:val="22"/>
              </w:rPr>
              <w:t xml:space="preserve"> un</w:t>
            </w:r>
            <w:r w:rsidRPr="00E36116" w:rsidR="009F37AC">
              <w:rPr>
                <w:bCs/>
                <w:sz w:val="22"/>
                <w:szCs w:val="22"/>
              </w:rPr>
              <w:t xml:space="preserve"> </w:t>
            </w:r>
            <w:r w:rsidRPr="00E36116" w:rsidR="00472E17">
              <w:rPr>
                <w:bCs/>
                <w:sz w:val="22"/>
                <w:szCs w:val="22"/>
              </w:rPr>
              <w:t>citu Eiropas Savienības valstu praksi</w:t>
            </w:r>
            <w:r w:rsidR="00A62EF4">
              <w:rPr>
                <w:bCs/>
                <w:sz w:val="22"/>
                <w:szCs w:val="22"/>
              </w:rPr>
              <w:t xml:space="preserve">. </w:t>
            </w:r>
          </w:p>
          <w:p w:rsidRPr="00E36116" w:rsidR="00472E17" w:rsidP="00CA5C25" w:rsidRDefault="00543560" w14:paraId="0F8B5F38" w14:textId="0E8BE458">
            <w:pPr>
              <w:pStyle w:val="naisc"/>
              <w:spacing w:before="0" w:after="0"/>
              <w:jc w:val="both"/>
              <w:rPr>
                <w:bCs/>
                <w:sz w:val="22"/>
                <w:szCs w:val="22"/>
              </w:rPr>
            </w:pPr>
            <w:r>
              <w:rPr>
                <w:sz w:val="22"/>
                <w:szCs w:val="22"/>
              </w:rPr>
              <w:t xml:space="preserve">Ministru kabineta noteikumu </w:t>
            </w:r>
            <w:r>
              <w:rPr>
                <w:bCs/>
                <w:sz w:val="22"/>
                <w:szCs w:val="22"/>
              </w:rPr>
              <w:t>p</w:t>
            </w:r>
            <w:r w:rsidRPr="00E36116" w:rsidR="00472E17">
              <w:rPr>
                <w:bCs/>
                <w:sz w:val="22"/>
                <w:szCs w:val="22"/>
              </w:rPr>
              <w:t xml:space="preserve">rojekta anotācijā ietverta detalizēta analīze, kāpēc viedtālruņi tiek iekļauti nesēju un </w:t>
            </w:r>
            <w:r w:rsidRPr="00E36116" w:rsidR="00472E17">
              <w:rPr>
                <w:bCs/>
                <w:sz w:val="22"/>
                <w:szCs w:val="22"/>
              </w:rPr>
              <w:lastRenderedPageBreak/>
              <w:t>iekārtu sarakstā</w:t>
            </w:r>
            <w:r w:rsidRPr="00E36116" w:rsidR="001D5D87">
              <w:rPr>
                <w:bCs/>
                <w:sz w:val="22"/>
                <w:szCs w:val="22"/>
              </w:rPr>
              <w:t>,</w:t>
            </w:r>
            <w:r w:rsidRPr="00E36116" w:rsidR="00472E17">
              <w:rPr>
                <w:bCs/>
                <w:sz w:val="22"/>
                <w:szCs w:val="22"/>
              </w:rPr>
              <w:t xml:space="preserve"> par ko maksājama atlīdzība. </w:t>
            </w:r>
          </w:p>
          <w:p w:rsidRPr="00E36116" w:rsidR="00472E17" w:rsidP="00CA5C25" w:rsidRDefault="00472E17" w14:paraId="062E3A66" w14:textId="6130C470">
            <w:pPr>
              <w:pStyle w:val="naisc"/>
              <w:spacing w:before="0" w:after="0"/>
              <w:jc w:val="both"/>
              <w:rPr>
                <w:bCs/>
                <w:sz w:val="22"/>
                <w:szCs w:val="22"/>
              </w:rPr>
            </w:pPr>
            <w:r w:rsidRPr="00E36116">
              <w:rPr>
                <w:bCs/>
                <w:sz w:val="22"/>
                <w:szCs w:val="22"/>
              </w:rPr>
              <w:t xml:space="preserve">Papildus jānorāda, ka no </w:t>
            </w:r>
            <w:r w:rsidRPr="00E36116" w:rsidR="00683F30">
              <w:rPr>
                <w:bCs/>
                <w:sz w:val="22"/>
                <w:szCs w:val="22"/>
              </w:rPr>
              <w:t xml:space="preserve">AKKA/LAA </w:t>
            </w:r>
            <w:r w:rsidRPr="00E36116" w:rsidR="008B2FAE">
              <w:rPr>
                <w:bCs/>
                <w:sz w:val="22"/>
                <w:szCs w:val="22"/>
              </w:rPr>
              <w:t>sadalāmās</w:t>
            </w:r>
            <w:r w:rsidRPr="00E36116" w:rsidR="00683F30">
              <w:rPr>
                <w:bCs/>
                <w:sz w:val="22"/>
                <w:szCs w:val="22"/>
              </w:rPr>
              <w:t xml:space="preserve"> atlīdzības </w:t>
            </w:r>
            <w:r w:rsidRPr="00E36116" w:rsidR="008B2FAE">
              <w:rPr>
                <w:bCs/>
                <w:sz w:val="22"/>
                <w:szCs w:val="22"/>
              </w:rPr>
              <w:t xml:space="preserve">(268 308 </w:t>
            </w:r>
            <w:proofErr w:type="spellStart"/>
            <w:r w:rsidRPr="00E36116" w:rsidR="008B2FAE">
              <w:rPr>
                <w:bCs/>
                <w:i/>
                <w:iCs/>
                <w:sz w:val="22"/>
                <w:szCs w:val="22"/>
              </w:rPr>
              <w:t>euro</w:t>
            </w:r>
            <w:proofErr w:type="spellEnd"/>
            <w:r w:rsidRPr="00E36116" w:rsidR="008B2FAE">
              <w:rPr>
                <w:bCs/>
                <w:sz w:val="22"/>
                <w:szCs w:val="22"/>
              </w:rPr>
              <w:t xml:space="preserve">) </w:t>
            </w:r>
            <w:r w:rsidRPr="00E36116">
              <w:rPr>
                <w:bCs/>
                <w:sz w:val="22"/>
                <w:szCs w:val="22"/>
              </w:rPr>
              <w:t>2019.gad</w:t>
            </w:r>
            <w:r w:rsidRPr="00E36116" w:rsidR="00683F30">
              <w:rPr>
                <w:bCs/>
                <w:sz w:val="22"/>
                <w:szCs w:val="22"/>
              </w:rPr>
              <w:t>ā</w:t>
            </w:r>
            <w:r w:rsidRPr="00E36116" w:rsidR="00BD4B56">
              <w:rPr>
                <w:bCs/>
                <w:i/>
                <w:iCs/>
                <w:sz w:val="22"/>
                <w:szCs w:val="22"/>
              </w:rPr>
              <w:t xml:space="preserve"> </w:t>
            </w:r>
            <w:r w:rsidRPr="00E36116">
              <w:rPr>
                <w:bCs/>
                <w:sz w:val="22"/>
                <w:szCs w:val="22"/>
              </w:rPr>
              <w:t xml:space="preserve">27% tika sadalīti ārzemju autoriem, bet </w:t>
            </w:r>
            <w:r w:rsidRPr="00E36116">
              <w:rPr>
                <w:b/>
                <w:sz w:val="22"/>
                <w:szCs w:val="22"/>
              </w:rPr>
              <w:t>73%</w:t>
            </w:r>
            <w:r w:rsidRPr="00E36116">
              <w:rPr>
                <w:bCs/>
                <w:sz w:val="22"/>
                <w:szCs w:val="22"/>
              </w:rPr>
              <w:t xml:space="preserve"> – </w:t>
            </w:r>
            <w:r w:rsidRPr="00E36116">
              <w:rPr>
                <w:b/>
                <w:sz w:val="22"/>
                <w:szCs w:val="22"/>
              </w:rPr>
              <w:t>Latvijas autoriem</w:t>
            </w:r>
            <w:r w:rsidRPr="00E36116">
              <w:rPr>
                <w:bCs/>
                <w:sz w:val="22"/>
                <w:szCs w:val="22"/>
              </w:rPr>
              <w:t>.</w:t>
            </w:r>
          </w:p>
          <w:p w:rsidRPr="00E36116" w:rsidR="00472E17" w:rsidP="00CA5C25" w:rsidRDefault="00472E17" w14:paraId="140BDA76" w14:textId="3C079B30">
            <w:pPr>
              <w:pStyle w:val="naisc"/>
              <w:spacing w:before="0" w:after="0"/>
              <w:jc w:val="both"/>
              <w:rPr>
                <w:bCs/>
                <w:sz w:val="22"/>
                <w:szCs w:val="22"/>
              </w:rPr>
            </w:pPr>
            <w:r w:rsidRPr="00E36116">
              <w:rPr>
                <w:bCs/>
                <w:sz w:val="22"/>
                <w:szCs w:val="22"/>
              </w:rPr>
              <w:t xml:space="preserve">LaIPA 2019.gadā no nesēju atlīdzības </w:t>
            </w:r>
            <w:r w:rsidRPr="00E36116" w:rsidR="008B2FAE">
              <w:rPr>
                <w:bCs/>
                <w:sz w:val="22"/>
                <w:szCs w:val="22"/>
              </w:rPr>
              <w:t>(</w:t>
            </w:r>
            <w:r w:rsidRPr="00E36116">
              <w:rPr>
                <w:bCs/>
                <w:sz w:val="22"/>
                <w:szCs w:val="22"/>
              </w:rPr>
              <w:t xml:space="preserve">210 000 </w:t>
            </w:r>
            <w:proofErr w:type="spellStart"/>
            <w:r w:rsidRPr="00E36116">
              <w:rPr>
                <w:bCs/>
                <w:i/>
                <w:iCs/>
                <w:sz w:val="22"/>
                <w:szCs w:val="22"/>
              </w:rPr>
              <w:t>euro</w:t>
            </w:r>
            <w:proofErr w:type="spellEnd"/>
            <w:r w:rsidRPr="00E36116" w:rsidR="008B2FAE">
              <w:rPr>
                <w:bCs/>
                <w:i/>
                <w:iCs/>
                <w:sz w:val="22"/>
                <w:szCs w:val="22"/>
              </w:rPr>
              <w:t>)</w:t>
            </w:r>
            <w:r w:rsidRPr="00E36116">
              <w:rPr>
                <w:bCs/>
                <w:i/>
                <w:iCs/>
                <w:sz w:val="22"/>
                <w:szCs w:val="22"/>
              </w:rPr>
              <w:t xml:space="preserve"> </w:t>
            </w:r>
            <w:r w:rsidRPr="00E36116">
              <w:rPr>
                <w:bCs/>
                <w:sz w:val="22"/>
                <w:szCs w:val="22"/>
              </w:rPr>
              <w:t xml:space="preserve">38% </w:t>
            </w:r>
            <w:r w:rsidRPr="00E36116" w:rsidR="008B2FAE">
              <w:rPr>
                <w:bCs/>
                <w:sz w:val="22"/>
                <w:szCs w:val="22"/>
              </w:rPr>
              <w:t>sadalīja</w:t>
            </w:r>
            <w:r w:rsidRPr="00E36116">
              <w:rPr>
                <w:bCs/>
                <w:sz w:val="22"/>
                <w:szCs w:val="22"/>
              </w:rPr>
              <w:t xml:space="preserve"> ārvalst</w:t>
            </w:r>
            <w:r w:rsidRPr="00E36116" w:rsidR="008B2FAE">
              <w:rPr>
                <w:bCs/>
                <w:sz w:val="22"/>
                <w:szCs w:val="22"/>
              </w:rPr>
              <w:t>u tiesību subjektiem</w:t>
            </w:r>
            <w:r w:rsidRPr="00E36116">
              <w:rPr>
                <w:bCs/>
                <w:sz w:val="22"/>
                <w:szCs w:val="22"/>
              </w:rPr>
              <w:t xml:space="preserve">, </w:t>
            </w:r>
            <w:r w:rsidRPr="00E36116" w:rsidR="008B2FAE">
              <w:rPr>
                <w:bCs/>
                <w:sz w:val="22"/>
                <w:szCs w:val="22"/>
              </w:rPr>
              <w:t xml:space="preserve">bet </w:t>
            </w:r>
            <w:r w:rsidRPr="00E36116">
              <w:rPr>
                <w:bCs/>
                <w:sz w:val="22"/>
                <w:szCs w:val="22"/>
              </w:rPr>
              <w:t>62%</w:t>
            </w:r>
            <w:r w:rsidRPr="00E36116" w:rsidR="008B2FAE">
              <w:rPr>
                <w:bCs/>
                <w:sz w:val="22"/>
                <w:szCs w:val="22"/>
              </w:rPr>
              <w:t xml:space="preserve"> -</w:t>
            </w:r>
            <w:r w:rsidRPr="00E36116">
              <w:rPr>
                <w:bCs/>
                <w:sz w:val="22"/>
                <w:szCs w:val="22"/>
              </w:rPr>
              <w:t xml:space="preserve"> Latvijas izpildītājiem un mūzikas producentiem. Pārējās organizācijas 100% no nesēja atlīdzības sadala Latvijas tiesību subjektiem. Tād</w:t>
            </w:r>
            <w:r w:rsidRPr="00E36116" w:rsidR="0011430F">
              <w:rPr>
                <w:bCs/>
                <w:sz w:val="22"/>
                <w:szCs w:val="22"/>
              </w:rPr>
              <w:t>ē</w:t>
            </w:r>
            <w:r w:rsidRPr="00E36116">
              <w:rPr>
                <w:bCs/>
                <w:sz w:val="22"/>
                <w:szCs w:val="22"/>
              </w:rPr>
              <w:t>jādi iebildums par to, ka liekākā daļa no nesēja atlīdzības maksājuma tiek novirzīta ārzemju tiesību subjektiem, neatbilst patiesībai.</w:t>
            </w:r>
          </w:p>
        </w:tc>
        <w:tc>
          <w:tcPr>
            <w:tcW w:w="769" w:type="pct"/>
            <w:tcBorders>
              <w:top w:val="single" w:color="auto" w:sz="4" w:space="0"/>
              <w:left w:val="single" w:color="auto" w:sz="4" w:space="0"/>
              <w:bottom w:val="single" w:color="auto" w:sz="4" w:space="0"/>
              <w:right w:val="single" w:color="auto" w:sz="4" w:space="0"/>
            </w:tcBorders>
          </w:tcPr>
          <w:p w:rsidR="00472E17" w:rsidRDefault="00736354" w14:paraId="4CA66A5D" w14:textId="77777777">
            <w:pPr>
              <w:pStyle w:val="naisc"/>
              <w:spacing w:before="0" w:after="0"/>
              <w:jc w:val="both"/>
              <w:rPr>
                <w:sz w:val="22"/>
                <w:szCs w:val="22"/>
              </w:rPr>
            </w:pPr>
            <w:r w:rsidRPr="00736354">
              <w:rPr>
                <w:b/>
                <w:bCs/>
                <w:sz w:val="22"/>
                <w:szCs w:val="22"/>
              </w:rPr>
              <w:lastRenderedPageBreak/>
              <w:t>LDDK</w:t>
            </w:r>
            <w:r>
              <w:rPr>
                <w:sz w:val="22"/>
                <w:szCs w:val="22"/>
              </w:rPr>
              <w:t>:</w:t>
            </w:r>
          </w:p>
          <w:p w:rsidRPr="00E36116" w:rsidR="00736354" w:rsidRDefault="00736354" w14:paraId="4063F9B0" w14:textId="1AB0FE9C">
            <w:pPr>
              <w:pStyle w:val="naisc"/>
              <w:spacing w:before="0" w:after="0"/>
              <w:jc w:val="both"/>
              <w:rPr>
                <w:sz w:val="22"/>
                <w:szCs w:val="22"/>
              </w:rPr>
            </w:pPr>
            <w:r>
              <w:rPr>
                <w:sz w:val="22"/>
                <w:szCs w:val="22"/>
              </w:rPr>
              <w:t>U</w:t>
            </w:r>
            <w:r w:rsidRPr="00736354">
              <w:rPr>
                <w:sz w:val="22"/>
                <w:szCs w:val="22"/>
              </w:rPr>
              <w:t>ztur sniegtos iebildumus un neatbalsta projekta tālāku virzību</w:t>
            </w:r>
          </w:p>
        </w:tc>
        <w:tc>
          <w:tcPr>
            <w:tcW w:w="840" w:type="pct"/>
            <w:tcBorders>
              <w:top w:val="single" w:color="auto" w:sz="4" w:space="0"/>
              <w:left w:val="single" w:color="auto" w:sz="4" w:space="0"/>
              <w:bottom w:val="single" w:color="auto" w:sz="4" w:space="0"/>
              <w:right w:val="single" w:color="auto" w:sz="4" w:space="0"/>
            </w:tcBorders>
          </w:tcPr>
          <w:p w:rsidRPr="00E36116" w:rsidR="00F2646A" w:rsidRDefault="00B12BC6" w14:paraId="28920313" w14:textId="0AD94EBE">
            <w:pPr>
              <w:jc w:val="both"/>
              <w:rPr>
                <w:sz w:val="22"/>
                <w:szCs w:val="22"/>
              </w:rPr>
            </w:pPr>
            <w:r w:rsidRPr="00B12BC6">
              <w:rPr>
                <w:sz w:val="22"/>
                <w:szCs w:val="22"/>
              </w:rPr>
              <w:t>Ministru kabineta noteikumu</w:t>
            </w:r>
            <w:r w:rsidRPr="00E36116">
              <w:rPr>
                <w:sz w:val="22"/>
                <w:szCs w:val="22"/>
              </w:rPr>
              <w:t xml:space="preserve"> </w:t>
            </w:r>
            <w:r>
              <w:rPr>
                <w:sz w:val="22"/>
                <w:szCs w:val="22"/>
              </w:rPr>
              <w:t>p</w:t>
            </w:r>
            <w:r w:rsidRPr="00E36116" w:rsidR="00F2646A">
              <w:rPr>
                <w:sz w:val="22"/>
                <w:szCs w:val="22"/>
              </w:rPr>
              <w:t>rojekta 1.3.apakšpunkts (Noteikumu 4.2.apakšpunkts):</w:t>
            </w:r>
          </w:p>
          <w:p w:rsidRPr="00E36116" w:rsidR="00F2646A" w:rsidP="00CA5C25" w:rsidRDefault="00F2646A" w14:paraId="048CB1D8" w14:textId="77777777">
            <w:pPr>
              <w:jc w:val="both"/>
              <w:rPr>
                <w:sz w:val="22"/>
                <w:szCs w:val="22"/>
                <w:lang w:eastAsia="en-US"/>
              </w:rPr>
            </w:pPr>
          </w:p>
          <w:p w:rsidRPr="00E36116" w:rsidR="00F2646A" w:rsidP="00CA5C25" w:rsidRDefault="00F2646A" w14:paraId="248F58F4" w14:textId="4DAE7B61">
            <w:pPr>
              <w:jc w:val="both"/>
              <w:rPr>
                <w:sz w:val="22"/>
                <w:szCs w:val="22"/>
              </w:rPr>
            </w:pPr>
            <w:r w:rsidRPr="00E36116">
              <w:rPr>
                <w:sz w:val="22"/>
                <w:szCs w:val="22"/>
              </w:rPr>
              <w:t>„1.3. izteikt 3. un 4.punktu šādā redakcijā:</w:t>
            </w:r>
          </w:p>
          <w:p w:rsidRPr="00E36116" w:rsidR="00F2646A" w:rsidP="00CA5C25" w:rsidRDefault="00F2646A" w14:paraId="2A5445EF" w14:textId="77777777">
            <w:pPr>
              <w:jc w:val="both"/>
              <w:rPr>
                <w:sz w:val="22"/>
                <w:szCs w:val="22"/>
              </w:rPr>
            </w:pPr>
            <w:r w:rsidRPr="00E36116">
              <w:rPr>
                <w:sz w:val="22"/>
                <w:szCs w:val="22"/>
              </w:rPr>
              <w:t>[..]</w:t>
            </w:r>
          </w:p>
          <w:p w:rsidRPr="00E36116" w:rsidR="00E36116" w:rsidP="00CA5C25" w:rsidRDefault="00F2646A" w14:paraId="0C83F4FA" w14:textId="39C02675">
            <w:pPr>
              <w:jc w:val="both"/>
              <w:rPr>
                <w:sz w:val="22"/>
                <w:szCs w:val="22"/>
              </w:rPr>
            </w:pPr>
            <w:r w:rsidRPr="00E36116">
              <w:rPr>
                <w:sz w:val="22"/>
                <w:szCs w:val="22"/>
              </w:rPr>
              <w:t>4.</w:t>
            </w:r>
            <w:r w:rsidR="00B12BC6">
              <w:rPr>
                <w:sz w:val="22"/>
                <w:szCs w:val="22"/>
              </w:rPr>
              <w:t> </w:t>
            </w:r>
            <w:r w:rsidRPr="00E36116">
              <w:rPr>
                <w:sz w:val="22"/>
                <w:szCs w:val="22"/>
              </w:rPr>
              <w:t xml:space="preserve">Atlīdzību par reproducēšanai izmantojamām iekārtām maksā šādā apmērā: </w:t>
            </w:r>
          </w:p>
          <w:p w:rsidRPr="00E36116" w:rsidR="00F2646A" w:rsidP="00CA5C25" w:rsidRDefault="00F2646A" w14:paraId="7E0BABA0" w14:textId="62C72283">
            <w:pPr>
              <w:jc w:val="both"/>
              <w:rPr>
                <w:sz w:val="22"/>
                <w:szCs w:val="22"/>
              </w:rPr>
            </w:pPr>
            <w:r w:rsidRPr="00E36116">
              <w:rPr>
                <w:sz w:val="22"/>
                <w:szCs w:val="22"/>
              </w:rPr>
              <w:t>[..]</w:t>
            </w:r>
          </w:p>
          <w:p w:rsidRPr="00E36116" w:rsidR="00472E17" w:rsidRDefault="00F2646A" w14:paraId="25F24A91" w14:textId="068DEFD6">
            <w:pPr>
              <w:autoSpaceDE w:val="0"/>
              <w:autoSpaceDN w:val="0"/>
              <w:adjustRightInd w:val="0"/>
              <w:contextualSpacing/>
              <w:jc w:val="both"/>
              <w:rPr>
                <w:sz w:val="22"/>
                <w:szCs w:val="22"/>
                <w:lang w:eastAsia="en-US"/>
              </w:rPr>
            </w:pPr>
            <w:r w:rsidRPr="00E36116">
              <w:rPr>
                <w:sz w:val="22"/>
                <w:szCs w:val="22"/>
              </w:rPr>
              <w:lastRenderedPageBreak/>
              <w:t xml:space="preserve">4.2. par viedtālruņiem 1,5 </w:t>
            </w:r>
            <w:proofErr w:type="spellStart"/>
            <w:r w:rsidRPr="00E36116">
              <w:rPr>
                <w:i/>
                <w:iCs/>
                <w:sz w:val="22"/>
                <w:szCs w:val="22"/>
              </w:rPr>
              <w:t>euro</w:t>
            </w:r>
            <w:proofErr w:type="spellEnd"/>
            <w:r w:rsidRPr="00E36116">
              <w:rPr>
                <w:sz w:val="22"/>
                <w:szCs w:val="22"/>
              </w:rPr>
              <w:t xml:space="preserve"> apmērā par vienību.”</w:t>
            </w:r>
            <w:r w:rsidRPr="00E36116" w:rsidR="00E36116">
              <w:rPr>
                <w:sz w:val="22"/>
                <w:szCs w:val="22"/>
              </w:rPr>
              <w:t>”</w:t>
            </w:r>
          </w:p>
        </w:tc>
      </w:tr>
      <w:tr w:rsidRPr="00E36116" w:rsidR="00472E17" w:rsidTr="00E36116" w14:paraId="48153B87" w14:textId="77777777">
        <w:tc>
          <w:tcPr>
            <w:tcW w:w="191" w:type="pct"/>
            <w:tcBorders>
              <w:top w:val="single" w:color="000000" w:sz="6" w:space="0"/>
              <w:left w:val="single" w:color="000000" w:sz="6" w:space="0"/>
              <w:bottom w:val="single" w:color="000000" w:sz="6" w:space="0"/>
              <w:right w:val="single" w:color="000000" w:sz="6" w:space="0"/>
            </w:tcBorders>
          </w:tcPr>
          <w:p w:rsidRPr="00E36116" w:rsidR="00472E17" w:rsidP="00E36116" w:rsidRDefault="005A0736" w14:paraId="3C63DADA" w14:textId="2861CB11">
            <w:pPr>
              <w:pStyle w:val="naisc"/>
              <w:spacing w:before="0" w:after="0"/>
              <w:rPr>
                <w:sz w:val="22"/>
                <w:szCs w:val="22"/>
                <w:lang w:eastAsia="en-US"/>
              </w:rPr>
            </w:pPr>
            <w:r w:rsidRPr="00E36116">
              <w:rPr>
                <w:sz w:val="22"/>
                <w:szCs w:val="22"/>
                <w:lang w:eastAsia="en-US"/>
              </w:rPr>
              <w:lastRenderedPageBreak/>
              <w:t>4</w:t>
            </w:r>
            <w:r w:rsidRPr="00E36116" w:rsidR="00472E17">
              <w:rPr>
                <w:sz w:val="22"/>
                <w:szCs w:val="22"/>
                <w:lang w:eastAsia="en-US"/>
              </w:rPr>
              <w:t>.</w:t>
            </w:r>
          </w:p>
        </w:tc>
        <w:tc>
          <w:tcPr>
            <w:tcW w:w="862" w:type="pct"/>
            <w:tcBorders>
              <w:top w:val="single" w:color="000000" w:sz="6" w:space="0"/>
              <w:left w:val="single" w:color="000000" w:sz="6" w:space="0"/>
              <w:bottom w:val="single" w:color="000000" w:sz="6" w:space="0"/>
              <w:right w:val="single" w:color="000000" w:sz="6" w:space="0"/>
            </w:tcBorders>
          </w:tcPr>
          <w:p w:rsidRPr="00E36116" w:rsidR="00472E17" w:rsidP="00CA5C25" w:rsidRDefault="00B12BC6" w14:paraId="77ADE95F" w14:textId="1B9037C3">
            <w:pPr>
              <w:jc w:val="both"/>
              <w:rPr>
                <w:sz w:val="22"/>
                <w:szCs w:val="22"/>
              </w:rPr>
            </w:pPr>
            <w:r w:rsidRPr="00B12BC6">
              <w:rPr>
                <w:sz w:val="22"/>
                <w:szCs w:val="22"/>
              </w:rPr>
              <w:t xml:space="preserve">Ministru kabineta noteikumu </w:t>
            </w:r>
            <w:r>
              <w:rPr>
                <w:sz w:val="22"/>
                <w:szCs w:val="22"/>
              </w:rPr>
              <w:t>p</w:t>
            </w:r>
            <w:r w:rsidRPr="00E36116" w:rsidR="00472E17">
              <w:rPr>
                <w:sz w:val="22"/>
                <w:szCs w:val="22"/>
              </w:rPr>
              <w:t>rojekta 2.punkts:</w:t>
            </w:r>
          </w:p>
          <w:p w:rsidRPr="00E36116" w:rsidR="00472E17" w:rsidP="00CA5C25" w:rsidRDefault="00B12BC6" w14:paraId="5DCF9FCE" w14:textId="5F025870">
            <w:pPr>
              <w:jc w:val="both"/>
              <w:rPr>
                <w:sz w:val="22"/>
                <w:szCs w:val="22"/>
              </w:rPr>
            </w:pPr>
            <w:r w:rsidRPr="00E36116">
              <w:rPr>
                <w:sz w:val="22"/>
                <w:szCs w:val="22"/>
              </w:rPr>
              <w:lastRenderedPageBreak/>
              <w:t>„</w:t>
            </w:r>
            <w:r w:rsidRPr="00793437" w:rsidR="00472E17">
              <w:rPr>
                <w:sz w:val="22"/>
                <w:szCs w:val="22"/>
              </w:rPr>
              <w:t>2.</w:t>
            </w:r>
            <w:r>
              <w:rPr>
                <w:sz w:val="22"/>
                <w:szCs w:val="22"/>
              </w:rPr>
              <w:t> </w:t>
            </w:r>
            <w:r w:rsidRPr="00793437" w:rsidR="00472E17">
              <w:rPr>
                <w:sz w:val="22"/>
                <w:szCs w:val="22"/>
              </w:rPr>
              <w:t>Noteikumi stājas spēkā 2021.gad</w:t>
            </w:r>
            <w:r w:rsidRPr="00E36116" w:rsidR="00472E17">
              <w:rPr>
                <w:sz w:val="22"/>
                <w:szCs w:val="22"/>
              </w:rPr>
              <w:t>a 1.</w:t>
            </w:r>
            <w:r w:rsidR="00DF6654">
              <w:rPr>
                <w:sz w:val="22"/>
                <w:szCs w:val="22"/>
              </w:rPr>
              <w:t>aprīlī</w:t>
            </w:r>
            <w:r w:rsidRPr="00E36116" w:rsidR="00472E17">
              <w:rPr>
                <w:sz w:val="22"/>
                <w:szCs w:val="22"/>
              </w:rPr>
              <w:t>.”</w:t>
            </w:r>
          </w:p>
        </w:tc>
        <w:tc>
          <w:tcPr>
            <w:tcW w:w="1221" w:type="pct"/>
            <w:tcBorders>
              <w:top w:val="single" w:color="000000" w:sz="6" w:space="0"/>
              <w:left w:val="single" w:color="000000" w:sz="6" w:space="0"/>
              <w:bottom w:val="single" w:color="000000" w:sz="6" w:space="0"/>
              <w:right w:val="single" w:color="000000" w:sz="6" w:space="0"/>
            </w:tcBorders>
          </w:tcPr>
          <w:p w:rsidRPr="00E36116" w:rsidR="00472E17" w:rsidRDefault="00472E17" w14:paraId="11A41CBD" w14:textId="4EBD6508">
            <w:pPr>
              <w:tabs>
                <w:tab w:val="right" w:pos="9533"/>
              </w:tabs>
              <w:contextualSpacing/>
              <w:jc w:val="both"/>
              <w:rPr>
                <w:b/>
                <w:bCs/>
                <w:sz w:val="22"/>
                <w:szCs w:val="22"/>
              </w:rPr>
            </w:pPr>
            <w:r w:rsidRPr="00E36116">
              <w:rPr>
                <w:b/>
                <w:bCs/>
                <w:sz w:val="22"/>
                <w:szCs w:val="22"/>
              </w:rPr>
              <w:lastRenderedPageBreak/>
              <w:t>LTRK, LETERA, LIKTA, LIA</w:t>
            </w:r>
            <w:r w:rsidR="00D64A39">
              <w:rPr>
                <w:b/>
                <w:bCs/>
                <w:sz w:val="22"/>
                <w:szCs w:val="22"/>
              </w:rPr>
              <w:t>:</w:t>
            </w:r>
          </w:p>
          <w:p w:rsidRPr="00E36116" w:rsidR="00472E17" w:rsidP="00CA5C25" w:rsidRDefault="00472E17" w14:paraId="01328E09" w14:textId="0127C44F">
            <w:pPr>
              <w:tabs>
                <w:tab w:val="right" w:pos="9533"/>
              </w:tabs>
              <w:contextualSpacing/>
              <w:jc w:val="both"/>
              <w:rPr>
                <w:sz w:val="22"/>
                <w:szCs w:val="22"/>
              </w:rPr>
            </w:pPr>
            <w:r w:rsidRPr="00E36116">
              <w:rPr>
                <w:sz w:val="22"/>
                <w:szCs w:val="22"/>
              </w:rPr>
              <w:t xml:space="preserve">[..] Uzskatām, ka arī jaunais noteiktais datums – 01.03.2021. – </w:t>
            </w:r>
            <w:r w:rsidRPr="00E36116">
              <w:rPr>
                <w:sz w:val="22"/>
                <w:szCs w:val="22"/>
              </w:rPr>
              <w:lastRenderedPageBreak/>
              <w:t xml:space="preserve">var nebūt pietiekams, lai atrisinātu visus Noteikumos un Grozījumu projektā esošos trūkumus. Turklāt no komercdarbības plānošanas viedokļa tas, ka datums, no kura tiks uzsākta maksājumu piemērošana, tiek pārcelts uz 01.03.2021., esošajā situācijā nenovērš grozījumu radītās negatīvās sekas komercdarbībai. 2021.gada budžeti jau ir sagatavoti, un ne līdzekļi grozījumos paredzētajiem maksājumiem, ne līdzekļi, lai ieviestu iekšējās procedūras saistībā ar grozījumiem, tajos nav paredzēti. Grozījumu stāšanas spēkā atlikšana vien uz diviem mēnešiem laikā, kad komersanti cieš no tirdzniecības apjoma krituma un ir spiesti īpaši rūpīgi plānot izdevumus, nesamazina radīto papildus slogu komersantiem.  </w:t>
            </w:r>
          </w:p>
        </w:tc>
        <w:tc>
          <w:tcPr>
            <w:tcW w:w="1116" w:type="pct"/>
            <w:tcBorders>
              <w:top w:val="single" w:color="000000" w:sz="6" w:space="0"/>
              <w:left w:val="single" w:color="000000" w:sz="6" w:space="0"/>
              <w:bottom w:val="single" w:color="000000" w:sz="6" w:space="0"/>
              <w:right w:val="single" w:color="000000" w:sz="6" w:space="0"/>
            </w:tcBorders>
          </w:tcPr>
          <w:p w:rsidRPr="00E36116" w:rsidR="00472E17" w:rsidRDefault="00472E17" w14:paraId="2C0D3FE4" w14:textId="77777777">
            <w:pPr>
              <w:pStyle w:val="naisc"/>
              <w:spacing w:before="0" w:after="0"/>
              <w:rPr>
                <w:b/>
                <w:sz w:val="22"/>
                <w:szCs w:val="22"/>
                <w:lang w:eastAsia="en-US"/>
              </w:rPr>
            </w:pPr>
            <w:r w:rsidRPr="00E36116">
              <w:rPr>
                <w:b/>
                <w:sz w:val="22"/>
                <w:szCs w:val="22"/>
                <w:lang w:eastAsia="en-US"/>
              </w:rPr>
              <w:lastRenderedPageBreak/>
              <w:t>Nav ņemts vērā</w:t>
            </w:r>
          </w:p>
          <w:p w:rsidRPr="00E36116" w:rsidR="00472E17" w:rsidP="00CA5C25" w:rsidRDefault="005E7015" w14:paraId="0B7FADD7" w14:textId="2BB27813">
            <w:pPr>
              <w:pStyle w:val="naisc"/>
              <w:spacing w:before="0" w:after="0"/>
              <w:jc w:val="both"/>
              <w:rPr>
                <w:b/>
                <w:sz w:val="22"/>
                <w:szCs w:val="22"/>
              </w:rPr>
            </w:pPr>
            <w:r w:rsidRPr="00E36116">
              <w:rPr>
                <w:bCs/>
                <w:sz w:val="22"/>
                <w:szCs w:val="22"/>
              </w:rPr>
              <w:t>N</w:t>
            </w:r>
            <w:r w:rsidRPr="00E36116" w:rsidR="00472E17">
              <w:rPr>
                <w:bCs/>
                <w:sz w:val="22"/>
                <w:szCs w:val="22"/>
              </w:rPr>
              <w:t xml:space="preserve">av </w:t>
            </w:r>
            <w:r w:rsidRPr="00E36116" w:rsidR="00000854">
              <w:rPr>
                <w:bCs/>
                <w:sz w:val="22"/>
                <w:szCs w:val="22"/>
              </w:rPr>
              <w:t>sniegts</w:t>
            </w:r>
            <w:r w:rsidRPr="00E36116" w:rsidR="00472E17">
              <w:rPr>
                <w:bCs/>
                <w:sz w:val="22"/>
                <w:szCs w:val="22"/>
              </w:rPr>
              <w:t xml:space="preserve"> priekšlikums, cik ilgs laiks nepieciešams, lai varētu </w:t>
            </w:r>
            <w:r w:rsidRPr="00E36116" w:rsidR="00472E17">
              <w:rPr>
                <w:bCs/>
                <w:sz w:val="22"/>
                <w:szCs w:val="22"/>
              </w:rPr>
              <w:lastRenderedPageBreak/>
              <w:t xml:space="preserve">sagatavoties </w:t>
            </w:r>
            <w:r w:rsidRPr="00B12BC6" w:rsidR="00B12BC6">
              <w:rPr>
                <w:sz w:val="22"/>
                <w:szCs w:val="22"/>
              </w:rPr>
              <w:t>Ministru kabineta noteikumu</w:t>
            </w:r>
            <w:r w:rsidRPr="00E36116" w:rsidR="00B12BC6">
              <w:rPr>
                <w:sz w:val="22"/>
                <w:szCs w:val="22"/>
              </w:rPr>
              <w:t xml:space="preserve"> </w:t>
            </w:r>
            <w:r w:rsidR="00B12BC6">
              <w:rPr>
                <w:bCs/>
                <w:sz w:val="22"/>
                <w:szCs w:val="22"/>
              </w:rPr>
              <w:t>p</w:t>
            </w:r>
            <w:r w:rsidRPr="00E36116" w:rsidR="00472E17">
              <w:rPr>
                <w:bCs/>
                <w:sz w:val="22"/>
                <w:szCs w:val="22"/>
              </w:rPr>
              <w:t>rojektā ietvertajiem grozījumiem.</w:t>
            </w:r>
          </w:p>
        </w:tc>
        <w:tc>
          <w:tcPr>
            <w:tcW w:w="769" w:type="pct"/>
            <w:tcBorders>
              <w:top w:val="single" w:color="auto" w:sz="4" w:space="0"/>
              <w:left w:val="single" w:color="auto" w:sz="4" w:space="0"/>
              <w:bottom w:val="single" w:color="auto" w:sz="4" w:space="0"/>
              <w:right w:val="single" w:color="auto" w:sz="4" w:space="0"/>
            </w:tcBorders>
          </w:tcPr>
          <w:p w:rsidR="00736354" w:rsidP="00736354" w:rsidRDefault="00736354" w14:paraId="0BD2E8AA" w14:textId="44D73442">
            <w:pPr>
              <w:rPr>
                <w:sz w:val="22"/>
                <w:szCs w:val="22"/>
                <w:lang w:eastAsia="en-US"/>
              </w:rPr>
            </w:pPr>
            <w:r w:rsidRPr="00736354">
              <w:rPr>
                <w:b/>
                <w:bCs/>
                <w:sz w:val="22"/>
                <w:szCs w:val="22"/>
                <w:lang w:eastAsia="en-US"/>
              </w:rPr>
              <w:lastRenderedPageBreak/>
              <w:t>LIKTA</w:t>
            </w:r>
            <w:r>
              <w:rPr>
                <w:b/>
                <w:bCs/>
                <w:sz w:val="22"/>
                <w:szCs w:val="22"/>
                <w:lang w:eastAsia="en-US"/>
              </w:rPr>
              <w:t>, LIA:</w:t>
            </w:r>
          </w:p>
          <w:p w:rsidR="00472E17" w:rsidP="00736354" w:rsidRDefault="00736354" w14:paraId="14E1DF05" w14:textId="77777777">
            <w:pPr>
              <w:pStyle w:val="naisc"/>
              <w:spacing w:before="0" w:after="0"/>
              <w:jc w:val="both"/>
              <w:rPr>
                <w:sz w:val="22"/>
                <w:szCs w:val="22"/>
                <w:lang w:eastAsia="en-US"/>
              </w:rPr>
            </w:pPr>
            <w:r>
              <w:rPr>
                <w:sz w:val="22"/>
                <w:szCs w:val="22"/>
                <w:lang w:eastAsia="en-US"/>
              </w:rPr>
              <w:t>U</w:t>
            </w:r>
            <w:r w:rsidRPr="00736354">
              <w:rPr>
                <w:sz w:val="22"/>
                <w:szCs w:val="22"/>
                <w:lang w:eastAsia="en-US"/>
              </w:rPr>
              <w:t xml:space="preserve">ztur iepriekš izteiktos iebildumus </w:t>
            </w:r>
            <w:r w:rsidRPr="00736354">
              <w:rPr>
                <w:sz w:val="22"/>
                <w:szCs w:val="22"/>
                <w:lang w:eastAsia="en-US"/>
              </w:rPr>
              <w:lastRenderedPageBreak/>
              <w:t>un neatbalsta Projekta tālāku virzību.</w:t>
            </w:r>
          </w:p>
          <w:p w:rsidRPr="00E36116" w:rsidR="00736354" w:rsidP="00736354" w:rsidRDefault="00736354" w14:paraId="3C3CB7EC" w14:textId="23BE99BA">
            <w:pPr>
              <w:pStyle w:val="naisc"/>
              <w:spacing w:before="0" w:after="0"/>
              <w:jc w:val="both"/>
              <w:rPr>
                <w:sz w:val="22"/>
                <w:szCs w:val="22"/>
              </w:rPr>
            </w:pPr>
          </w:p>
        </w:tc>
        <w:tc>
          <w:tcPr>
            <w:tcW w:w="840" w:type="pct"/>
            <w:tcBorders>
              <w:top w:val="single" w:color="auto" w:sz="4" w:space="0"/>
              <w:left w:val="single" w:color="auto" w:sz="4" w:space="0"/>
              <w:bottom w:val="single" w:color="auto" w:sz="4" w:space="0"/>
              <w:right w:val="single" w:color="auto" w:sz="4" w:space="0"/>
            </w:tcBorders>
          </w:tcPr>
          <w:p w:rsidRPr="00E36116" w:rsidR="00F2646A" w:rsidP="00CA5C25" w:rsidRDefault="00B12BC6" w14:paraId="5D0EFDE0" w14:textId="78B53635">
            <w:pPr>
              <w:jc w:val="both"/>
              <w:rPr>
                <w:sz w:val="22"/>
                <w:szCs w:val="22"/>
              </w:rPr>
            </w:pPr>
            <w:r w:rsidRPr="00B12BC6">
              <w:rPr>
                <w:sz w:val="22"/>
                <w:szCs w:val="22"/>
              </w:rPr>
              <w:lastRenderedPageBreak/>
              <w:t>Ministru kabineta noteikumu</w:t>
            </w:r>
            <w:r w:rsidRPr="00E36116">
              <w:rPr>
                <w:sz w:val="22"/>
                <w:szCs w:val="22"/>
              </w:rPr>
              <w:t xml:space="preserve"> </w:t>
            </w:r>
            <w:r>
              <w:rPr>
                <w:sz w:val="22"/>
                <w:szCs w:val="22"/>
              </w:rPr>
              <w:t>p</w:t>
            </w:r>
            <w:r w:rsidRPr="00E36116" w:rsidR="00F2646A">
              <w:rPr>
                <w:sz w:val="22"/>
                <w:szCs w:val="22"/>
              </w:rPr>
              <w:t>rojekta 2.punkts:</w:t>
            </w:r>
          </w:p>
          <w:p w:rsidRPr="00E36116" w:rsidR="00472E17" w:rsidRDefault="00B12BC6" w14:paraId="00689B2A" w14:textId="22A91DA2">
            <w:pPr>
              <w:autoSpaceDE w:val="0"/>
              <w:autoSpaceDN w:val="0"/>
              <w:adjustRightInd w:val="0"/>
              <w:contextualSpacing/>
              <w:jc w:val="both"/>
              <w:rPr>
                <w:sz w:val="22"/>
                <w:szCs w:val="22"/>
                <w:lang w:eastAsia="en-US"/>
              </w:rPr>
            </w:pPr>
            <w:r w:rsidRPr="00E36116">
              <w:rPr>
                <w:sz w:val="22"/>
                <w:szCs w:val="22"/>
              </w:rPr>
              <w:lastRenderedPageBreak/>
              <w:t>„</w:t>
            </w:r>
            <w:r w:rsidRPr="00E36116" w:rsidR="00F2646A">
              <w:rPr>
                <w:sz w:val="22"/>
                <w:szCs w:val="22"/>
              </w:rPr>
              <w:t>2. Noteikumi stājas spēkā 2021.gada 1.</w:t>
            </w:r>
            <w:r w:rsidR="00DF6654">
              <w:rPr>
                <w:sz w:val="22"/>
                <w:szCs w:val="22"/>
              </w:rPr>
              <w:t>aprīlī</w:t>
            </w:r>
            <w:r w:rsidRPr="00E36116" w:rsidR="00F2646A">
              <w:rPr>
                <w:sz w:val="22"/>
                <w:szCs w:val="22"/>
              </w:rPr>
              <w:t>.”</w:t>
            </w:r>
          </w:p>
        </w:tc>
      </w:tr>
      <w:tr w:rsidRPr="00E36116" w:rsidR="00472E17" w:rsidTr="00E36116" w14:paraId="6CE17082" w14:textId="77777777">
        <w:tc>
          <w:tcPr>
            <w:tcW w:w="191" w:type="pct"/>
            <w:tcBorders>
              <w:top w:val="single" w:color="000000" w:sz="6" w:space="0"/>
              <w:left w:val="single" w:color="000000" w:sz="6" w:space="0"/>
              <w:bottom w:val="single" w:color="000000" w:sz="6" w:space="0"/>
              <w:right w:val="single" w:color="000000" w:sz="6" w:space="0"/>
            </w:tcBorders>
          </w:tcPr>
          <w:p w:rsidRPr="00E36116" w:rsidR="00472E17" w:rsidP="00E36116" w:rsidRDefault="00AB4E64" w14:paraId="27BFA7C1" w14:textId="7A3E3878">
            <w:pPr>
              <w:pStyle w:val="naisc"/>
              <w:spacing w:before="0" w:after="0"/>
              <w:rPr>
                <w:sz w:val="22"/>
                <w:szCs w:val="22"/>
                <w:lang w:eastAsia="en-US"/>
              </w:rPr>
            </w:pPr>
            <w:r w:rsidRPr="00E36116">
              <w:rPr>
                <w:sz w:val="22"/>
                <w:szCs w:val="22"/>
                <w:lang w:eastAsia="en-US"/>
              </w:rPr>
              <w:lastRenderedPageBreak/>
              <w:t>5.</w:t>
            </w:r>
          </w:p>
        </w:tc>
        <w:tc>
          <w:tcPr>
            <w:tcW w:w="862" w:type="pct"/>
            <w:tcBorders>
              <w:top w:val="single" w:color="000000" w:sz="6" w:space="0"/>
              <w:left w:val="single" w:color="000000" w:sz="6" w:space="0"/>
              <w:bottom w:val="single" w:color="000000" w:sz="6" w:space="0"/>
              <w:right w:val="single" w:color="000000" w:sz="6" w:space="0"/>
            </w:tcBorders>
          </w:tcPr>
          <w:p w:rsidRPr="00E36116" w:rsidR="00472E17" w:rsidP="00CA5C25" w:rsidRDefault="00903684" w14:paraId="36F1CCD3" w14:textId="66BF2C03">
            <w:pPr>
              <w:pStyle w:val="naisc"/>
              <w:spacing w:before="0" w:after="0"/>
              <w:jc w:val="both"/>
              <w:rPr>
                <w:sz w:val="22"/>
                <w:szCs w:val="22"/>
              </w:rPr>
            </w:pPr>
            <w:r w:rsidRPr="00903684">
              <w:rPr>
                <w:sz w:val="22"/>
                <w:szCs w:val="22"/>
              </w:rPr>
              <w:t xml:space="preserve">Ministru kabineta noteikumu </w:t>
            </w:r>
            <w:r>
              <w:rPr>
                <w:sz w:val="22"/>
                <w:szCs w:val="22"/>
              </w:rPr>
              <w:t>p</w:t>
            </w:r>
            <w:r w:rsidRPr="00E36116" w:rsidR="00472E17">
              <w:rPr>
                <w:sz w:val="22"/>
                <w:szCs w:val="22"/>
              </w:rPr>
              <w:t>rojekta sākotnējās ietekmes novērtējuma ziņojuma (anotācijas) I sadaļas 2.punkts:</w:t>
            </w:r>
          </w:p>
          <w:p w:rsidR="001B5295" w:rsidP="001B5295" w:rsidRDefault="001B5295" w14:paraId="177F7BA2" w14:textId="77777777">
            <w:pPr>
              <w:pStyle w:val="naisc"/>
              <w:spacing w:before="0" w:after="0"/>
              <w:jc w:val="both"/>
              <w:rPr>
                <w:sz w:val="22"/>
                <w:szCs w:val="22"/>
              </w:rPr>
            </w:pPr>
          </w:p>
          <w:p w:rsidRPr="00E36116" w:rsidR="00472E17" w:rsidP="00CA5C25" w:rsidRDefault="005A7EFE" w14:paraId="12CEFA9B" w14:textId="0C0242B7">
            <w:pPr>
              <w:pStyle w:val="naisc"/>
              <w:spacing w:before="0" w:after="0"/>
              <w:jc w:val="both"/>
              <w:rPr>
                <w:sz w:val="22"/>
                <w:szCs w:val="22"/>
              </w:rPr>
            </w:pPr>
            <w:r w:rsidRPr="00E36116">
              <w:rPr>
                <w:sz w:val="22"/>
                <w:szCs w:val="22"/>
              </w:rPr>
              <w:t>„</w:t>
            </w:r>
            <w:r w:rsidRPr="00E36116" w:rsidR="00472E17">
              <w:rPr>
                <w:sz w:val="22"/>
                <w:szCs w:val="22"/>
              </w:rPr>
              <w:t xml:space="preserve">[..] Ņemot vērā iepriekš norādītos atšķirīgos viedokļus par viedtālruņu iekļaušanu nesēju un iekārtu sarakstā, Kultūras ministrija 2019.gada </w:t>
            </w:r>
            <w:r w:rsidRPr="00E36116" w:rsidR="00472E17">
              <w:rPr>
                <w:sz w:val="22"/>
                <w:szCs w:val="22"/>
              </w:rPr>
              <w:lastRenderedPageBreak/>
              <w:t>15.maijā pasūtīja pētījumu par viedtālruņu lietotāju autortiesību un blakustiesību objektu izmantošanas paradumiem (turpmāk – viedtālruņu pētījums), lai precīzāk noskaidrotu, vai un cik lielā apmērā Latvijā tiek veikta no legāliem avotiem iegūtu darbu un blakustiesību objektu kopēšana uz viedtālruņiem.</w:t>
            </w:r>
          </w:p>
          <w:p w:rsidRPr="00E36116" w:rsidR="00472E17" w:rsidP="00CA5C25" w:rsidRDefault="00472E17" w14:paraId="7E935B12" w14:textId="42C20A7B">
            <w:pPr>
              <w:pStyle w:val="naisc"/>
              <w:spacing w:before="0" w:after="0"/>
              <w:jc w:val="both"/>
              <w:rPr>
                <w:sz w:val="22"/>
                <w:szCs w:val="22"/>
              </w:rPr>
            </w:pPr>
            <w:r w:rsidRPr="00E36116">
              <w:rPr>
                <w:sz w:val="22"/>
                <w:szCs w:val="22"/>
              </w:rPr>
              <w:t xml:space="preserve">Viedtālruņu pētījumā aptaujāti 1017 respondenti vecumā no 18 līdz 75 gadiem visos Latvijas reģionos. Viedtālruņu pētījuma dati liecina, ka, kopumā Latvijas iedzīvotāji kopijas privātai lietošanai uz saviem viedtālruņiem veido salīdzinoši reti. Proti, respondenti, kas lieto viedtālruni ar internetu (66,5% no aptaujātajiem respondentiem) norādījuši, ka pēdējā gada laikā internetā legāli iegādātu mūziku no citas iekārtas (piemēram, datora, </w:t>
            </w:r>
            <w:proofErr w:type="spellStart"/>
            <w:r w:rsidRPr="00E36116">
              <w:rPr>
                <w:sz w:val="22"/>
                <w:szCs w:val="22"/>
              </w:rPr>
              <w:t>mākoņpakalpojuma</w:t>
            </w:r>
            <w:proofErr w:type="spellEnd"/>
            <w:r w:rsidRPr="00E36116">
              <w:rPr>
                <w:sz w:val="22"/>
                <w:szCs w:val="22"/>
              </w:rPr>
              <w:t xml:space="preserve">) uz </w:t>
            </w:r>
            <w:r w:rsidRPr="00E36116">
              <w:rPr>
                <w:sz w:val="22"/>
                <w:szCs w:val="22"/>
              </w:rPr>
              <w:lastRenderedPageBreak/>
              <w:t>viedtālruni privātai lietošanai kopējuši 18,3% (no tiem 11,4% biežāk kā reizi mēnesī, 6,9% – retāk kā reizi mēnesī), internetā legāli iegādātu filmu – 10,9% (biežāk kā reizi mēnesī – 5,9%, retāk kā reizi mēnesī – 5%), mūziku no CD – 14% (biežāk kā reizi mēnesī – 7,1%, retāk kā reizi mēnesī – 6,9%), filmu no DVD – 8,2% (biežāk kā reizi mēnesī – 4,1%, retāk kā reizi mēnesī – 4,1%).</w:t>
            </w:r>
            <w:r w:rsidR="005A7EFE">
              <w:rPr>
                <w:sz w:val="22"/>
                <w:szCs w:val="22"/>
              </w:rPr>
              <w:t xml:space="preserve"> </w:t>
            </w:r>
            <w:r w:rsidRPr="00E36116">
              <w:rPr>
                <w:sz w:val="22"/>
                <w:szCs w:val="22"/>
              </w:rPr>
              <w:t>[..]</w:t>
            </w:r>
            <w:r w:rsidR="005A7EFE">
              <w:rPr>
                <w:sz w:val="22"/>
                <w:szCs w:val="22"/>
              </w:rPr>
              <w:t>”</w:t>
            </w:r>
          </w:p>
        </w:tc>
        <w:tc>
          <w:tcPr>
            <w:tcW w:w="1221" w:type="pct"/>
            <w:tcBorders>
              <w:top w:val="single" w:color="000000" w:sz="6" w:space="0"/>
              <w:left w:val="single" w:color="000000" w:sz="6" w:space="0"/>
              <w:bottom w:val="single" w:color="000000" w:sz="6" w:space="0"/>
              <w:right w:val="single" w:color="000000" w:sz="6" w:space="0"/>
            </w:tcBorders>
          </w:tcPr>
          <w:p w:rsidRPr="00793437" w:rsidR="00472E17" w:rsidP="00E36116" w:rsidRDefault="00472E17" w14:paraId="0291C5EC" w14:textId="23C68636">
            <w:pPr>
              <w:tabs>
                <w:tab w:val="right" w:pos="9533"/>
              </w:tabs>
              <w:contextualSpacing/>
              <w:jc w:val="both"/>
              <w:rPr>
                <w:b/>
                <w:bCs/>
                <w:sz w:val="22"/>
                <w:szCs w:val="22"/>
              </w:rPr>
            </w:pPr>
            <w:r w:rsidRPr="00793437">
              <w:rPr>
                <w:b/>
                <w:bCs/>
                <w:sz w:val="22"/>
                <w:szCs w:val="22"/>
              </w:rPr>
              <w:lastRenderedPageBreak/>
              <w:t>LTRK, LETERA, LIKTA, LIA</w:t>
            </w:r>
            <w:r w:rsidR="00D64A39">
              <w:rPr>
                <w:b/>
                <w:bCs/>
                <w:sz w:val="22"/>
                <w:szCs w:val="22"/>
              </w:rPr>
              <w:t>:</w:t>
            </w:r>
          </w:p>
          <w:p w:rsidRPr="00E36116" w:rsidR="00472E17" w:rsidP="00CA5C25" w:rsidRDefault="00472E17" w14:paraId="140EB57E" w14:textId="132F3939">
            <w:pPr>
              <w:tabs>
                <w:tab w:val="right" w:pos="9533"/>
              </w:tabs>
              <w:contextualSpacing/>
              <w:jc w:val="both"/>
              <w:rPr>
                <w:sz w:val="22"/>
                <w:szCs w:val="22"/>
              </w:rPr>
            </w:pPr>
            <w:r w:rsidRPr="00E36116">
              <w:rPr>
                <w:sz w:val="22"/>
                <w:szCs w:val="22"/>
              </w:rPr>
              <w:t>Nepiekrītam Anotācijā sniegtajam pamatojumam iekļaut viedtālruņus ar nesēja atlīdzību apliekamo ierīču sarakstā. 2020.gadā veiktā pētījumā “</w:t>
            </w:r>
            <w:proofErr w:type="spellStart"/>
            <w:r w:rsidRPr="00E36116">
              <w:rPr>
                <w:sz w:val="22"/>
                <w:szCs w:val="22"/>
              </w:rPr>
              <w:t>Privātkopēšanas</w:t>
            </w:r>
            <w:proofErr w:type="spellEnd"/>
            <w:r w:rsidRPr="00E36116">
              <w:rPr>
                <w:sz w:val="22"/>
                <w:szCs w:val="22"/>
              </w:rPr>
              <w:t xml:space="preserve"> aktivitāte Latvijas iedzīvotāju vidū” (turpmāk – 2020.gada Pētījums) rezultāti nav objektīvi. 2020.gada Pētījums ir nepilnīgs jautājumu respondentiem par viedtālruņu izmantošanu formulēšanas ziņā. Kultūras ministrija 2019.gadā veica pētījumu “Latvijas viedtālruņu lietotāju </w:t>
            </w:r>
            <w:r w:rsidRPr="00E36116">
              <w:rPr>
                <w:sz w:val="22"/>
                <w:szCs w:val="22"/>
              </w:rPr>
              <w:lastRenderedPageBreak/>
              <w:t>autortiesību un blakustiesību objektu izmantošanas paradumi” (Anotācijā – Viedtālruņu pētījums, turpmāk – 2019.gada Pētījums), kurā daudz detalizētāk kā iepriekšējos pētījumos un arī 2020.gada Pētījumā tika analizēti viedtālruņu izmantošanas paradumi. [..] Ievērojot norādītos 2020.gada Pētījuma trūkumus, secināms, ka 2020.gada Pētījuma rezultāti nevar tikt izmantoti secinājumiem par aktuālo situāciju viedtālruņu izmantošanā legāli iegūto autoru darbu iegūšanā, kopēšanā un glabāšanā, un jebkuras izmaiņas normatīvajā regulējumā, kas tiek balstītas uz šādiem secinājumiem, līdz ar to nav pamatotas. Ņemot vērā tik atšķirīgus 2019.gada Pētījuma un 2020.gada Pētījuma rezultātus, kā arī ievērojot, ka starp abiem pētījumiem pagājis pavisam neliels laika periods, ir skaidri jāpamato, kāpēc tika izmantoti tieši 2020.gada Pētījuma rezultāti.</w:t>
            </w:r>
          </w:p>
          <w:p w:rsidRPr="00E36116" w:rsidR="00472E17" w:rsidP="00CA5C25" w:rsidRDefault="00472E17" w14:paraId="1E236805" w14:textId="57272124">
            <w:pPr>
              <w:jc w:val="both"/>
              <w:rPr>
                <w:i/>
                <w:iCs/>
                <w:sz w:val="22"/>
                <w:szCs w:val="22"/>
              </w:rPr>
            </w:pPr>
            <w:r w:rsidRPr="00E36116">
              <w:rPr>
                <w:sz w:val="22"/>
                <w:szCs w:val="22"/>
              </w:rPr>
              <w:t>Anotācijā par 2019.gada Pētījumu (5.-6.lp.) ir norādīts: [..]</w:t>
            </w:r>
          </w:p>
          <w:p w:rsidRPr="00E36116" w:rsidR="00472E17" w:rsidP="00CA5C25" w:rsidRDefault="00472E17" w14:paraId="558A27EE" w14:textId="5D5669D6">
            <w:pPr>
              <w:jc w:val="both"/>
              <w:rPr>
                <w:sz w:val="22"/>
                <w:szCs w:val="22"/>
              </w:rPr>
            </w:pPr>
            <w:r w:rsidRPr="00E36116">
              <w:rPr>
                <w:sz w:val="22"/>
                <w:szCs w:val="22"/>
              </w:rPr>
              <w:t xml:space="preserve">Izvērtējot 2019.gada Pētījuma tekstu, secinām, ka rādītāji, kas nocitēti augstāk, 2019.gada Pētījuma tekstā nav atrodami (iespējams, Kultūras ministrija tos ir atspoguļojusi, pārrēķinot, apkopojot vai citādi pārveidojot). Tāpēc nepieciešams precizēt attiecīgo </w:t>
            </w:r>
            <w:r w:rsidRPr="00E36116">
              <w:rPr>
                <w:sz w:val="22"/>
                <w:szCs w:val="22"/>
              </w:rPr>
              <w:lastRenderedPageBreak/>
              <w:t>Anotācijas fragmentu atbilstoši 2019.gada Pētījumā norādītajam, lai būtu skaidrs, kā citātā izmantotie rādītāji tika iegūti.</w:t>
            </w:r>
          </w:p>
          <w:p w:rsidRPr="00E36116" w:rsidR="00472E17" w:rsidP="00CA5C25" w:rsidRDefault="00472E17" w14:paraId="7619B813" w14:textId="15B2FCB4">
            <w:pPr>
              <w:contextualSpacing/>
              <w:jc w:val="both"/>
              <w:rPr>
                <w:rFonts w:eastAsia="Calibri"/>
                <w:sz w:val="22"/>
                <w:szCs w:val="22"/>
              </w:rPr>
            </w:pPr>
            <w:r w:rsidRPr="00E36116">
              <w:rPr>
                <w:rFonts w:eastAsia="Calibri"/>
                <w:sz w:val="22"/>
                <w:szCs w:val="22"/>
              </w:rPr>
              <w:t xml:space="preserve">2019.gada Pētījuma rezultāti rada, ka viedtālruņus kopēšanai izmanto (atkarība no autoru darba veida – mūzika, filmas utt.) no 0,7 līdz 4,1% respondentu (šis rādītājs, iespējams un visdrīzāk, ir zemāks, ja izdalītu atsevišķi tikai tos respondentus, kas kopēja legāli iegūto saturu, jo jautājums tika uzdots, neizdalot legālā un nelegālā satura kopēšanu). Respondentu skaits, kas izmantoja viedtālruni legāli iegūto autoru darbu kopiju glabāšanai tajā, arī ir neliels – atkarībā no avota, kurā sākotnēji legāli tika iegūti autoru darbi un darbību biežuma 1,9-10,8%. Norādītie procentuālie rādītāji – 0,7-4,1% (kopēšana) un līdz 10,8% (kopiju glabāšana) ir nelieli, nesasniedz Kultūras ministrijas noteikto slieksni 20%. Tātad, atbilstoši Kultūras ministrijas uzstādījumam, respondenti, kas izmanto viedtālruņus </w:t>
            </w:r>
            <w:proofErr w:type="spellStart"/>
            <w:r w:rsidRPr="00E36116">
              <w:rPr>
                <w:rFonts w:eastAsia="Calibri"/>
                <w:sz w:val="22"/>
                <w:szCs w:val="22"/>
              </w:rPr>
              <w:t>privātkopēšanai</w:t>
            </w:r>
            <w:proofErr w:type="spellEnd"/>
            <w:r w:rsidRPr="00E36116">
              <w:rPr>
                <w:rFonts w:eastAsia="Calibri"/>
                <w:sz w:val="22"/>
                <w:szCs w:val="22"/>
              </w:rPr>
              <w:t xml:space="preserve">, neizdara autoriem būtisko interešu aizskārumu. [..] </w:t>
            </w:r>
          </w:p>
        </w:tc>
        <w:tc>
          <w:tcPr>
            <w:tcW w:w="1116" w:type="pct"/>
            <w:tcBorders>
              <w:top w:val="single" w:color="000000" w:sz="6" w:space="0"/>
              <w:left w:val="single" w:color="000000" w:sz="6" w:space="0"/>
              <w:bottom w:val="single" w:color="000000" w:sz="6" w:space="0"/>
              <w:right w:val="single" w:color="000000" w:sz="6" w:space="0"/>
            </w:tcBorders>
          </w:tcPr>
          <w:p w:rsidRPr="00E36116" w:rsidR="00472E17" w:rsidRDefault="00472E17" w14:paraId="5F696AE4" w14:textId="77777777">
            <w:pPr>
              <w:pStyle w:val="naisc"/>
              <w:spacing w:before="0" w:after="0"/>
              <w:ind w:firstLine="288"/>
              <w:rPr>
                <w:b/>
                <w:sz w:val="22"/>
                <w:szCs w:val="22"/>
                <w:lang w:eastAsia="en-US"/>
              </w:rPr>
            </w:pPr>
            <w:r w:rsidRPr="00E36116">
              <w:rPr>
                <w:b/>
                <w:sz w:val="22"/>
                <w:szCs w:val="22"/>
                <w:lang w:eastAsia="en-US"/>
              </w:rPr>
              <w:lastRenderedPageBreak/>
              <w:t>Nav ņemts vērā</w:t>
            </w:r>
          </w:p>
          <w:p w:rsidRPr="00E36116" w:rsidR="00AB4E64" w:rsidP="00CA5C25" w:rsidRDefault="00AB4E64" w14:paraId="001F93FE" w14:textId="39BF2150">
            <w:pPr>
              <w:pStyle w:val="naisc"/>
              <w:spacing w:before="0" w:after="0"/>
              <w:jc w:val="both"/>
              <w:rPr>
                <w:sz w:val="22"/>
                <w:szCs w:val="22"/>
                <w:lang w:eastAsia="en-US"/>
              </w:rPr>
            </w:pPr>
            <w:r w:rsidRPr="00E36116">
              <w:rPr>
                <w:sz w:val="22"/>
                <w:szCs w:val="22"/>
                <w:lang w:eastAsia="en-US"/>
              </w:rPr>
              <w:t>Iebildums par pētījuma neobjektivitāti nav pamatots ar faktiem. K</w:t>
            </w:r>
            <w:r w:rsidR="00543560">
              <w:rPr>
                <w:sz w:val="22"/>
                <w:szCs w:val="22"/>
                <w:lang w:eastAsia="en-US"/>
              </w:rPr>
              <w:t>ultūras ministrijai</w:t>
            </w:r>
            <w:r w:rsidRPr="00E36116">
              <w:rPr>
                <w:sz w:val="22"/>
                <w:szCs w:val="22"/>
                <w:lang w:eastAsia="en-US"/>
              </w:rPr>
              <w:t xml:space="preserve"> nav pamata apšaubīt 2020.gada</w:t>
            </w:r>
            <w:r w:rsidRPr="00E36116" w:rsidR="001D299B">
              <w:rPr>
                <w:sz w:val="22"/>
                <w:szCs w:val="22"/>
                <w:lang w:eastAsia="en-US"/>
              </w:rPr>
              <w:t xml:space="preserve"> </w:t>
            </w:r>
            <w:proofErr w:type="spellStart"/>
            <w:r w:rsidRPr="00E36116">
              <w:rPr>
                <w:sz w:val="22"/>
                <w:szCs w:val="22"/>
                <w:lang w:eastAsia="en-US"/>
              </w:rPr>
              <w:t>privātkopēšanas</w:t>
            </w:r>
            <w:proofErr w:type="spellEnd"/>
            <w:r w:rsidRPr="00E36116">
              <w:rPr>
                <w:sz w:val="22"/>
                <w:szCs w:val="22"/>
                <w:lang w:eastAsia="en-US"/>
              </w:rPr>
              <w:t xml:space="preserve"> pētījuma veikšan</w:t>
            </w:r>
            <w:r w:rsidRPr="00E36116" w:rsidR="001D299B">
              <w:rPr>
                <w:sz w:val="22"/>
                <w:szCs w:val="22"/>
                <w:lang w:eastAsia="en-US"/>
              </w:rPr>
              <w:t>as</w:t>
            </w:r>
            <w:r w:rsidRPr="00E36116">
              <w:rPr>
                <w:sz w:val="22"/>
                <w:szCs w:val="22"/>
                <w:lang w:eastAsia="en-US"/>
              </w:rPr>
              <w:t xml:space="preserve"> vai rezultātu</w:t>
            </w:r>
            <w:r w:rsidRPr="00E36116" w:rsidR="001D299B">
              <w:rPr>
                <w:sz w:val="22"/>
                <w:szCs w:val="22"/>
                <w:lang w:eastAsia="en-US"/>
              </w:rPr>
              <w:t xml:space="preserve"> objektivitāti</w:t>
            </w:r>
            <w:r w:rsidRPr="00E36116">
              <w:rPr>
                <w:sz w:val="22"/>
                <w:szCs w:val="22"/>
                <w:lang w:eastAsia="en-US"/>
              </w:rPr>
              <w:t>.</w:t>
            </w:r>
          </w:p>
          <w:p w:rsidRPr="00E36116" w:rsidR="008B346A" w:rsidP="00CA5C25" w:rsidRDefault="00AB4E64" w14:paraId="04C686F9" w14:textId="746DC92F">
            <w:pPr>
              <w:pStyle w:val="naisc"/>
              <w:spacing w:before="0" w:after="0"/>
              <w:jc w:val="both"/>
              <w:rPr>
                <w:sz w:val="22"/>
                <w:szCs w:val="22"/>
                <w:lang w:eastAsia="en-US"/>
              </w:rPr>
            </w:pPr>
            <w:r w:rsidRPr="00E36116">
              <w:rPr>
                <w:sz w:val="22"/>
                <w:szCs w:val="22"/>
                <w:lang w:eastAsia="en-US"/>
              </w:rPr>
              <w:t xml:space="preserve">Viedtālruņu pētījuma veikšanai izmantota cita metodoloģija un tā mērķis </w:t>
            </w:r>
            <w:r w:rsidRPr="00E36116" w:rsidR="001D299B">
              <w:rPr>
                <w:sz w:val="22"/>
                <w:szCs w:val="22"/>
                <w:lang w:eastAsia="en-US"/>
              </w:rPr>
              <w:t>bija</w:t>
            </w:r>
            <w:r w:rsidRPr="00E36116">
              <w:rPr>
                <w:sz w:val="22"/>
                <w:szCs w:val="22"/>
                <w:lang w:eastAsia="en-US"/>
              </w:rPr>
              <w:t xml:space="preserve"> noskaidrot </w:t>
            </w:r>
            <w:r w:rsidRPr="00E36116" w:rsidR="00567C66">
              <w:rPr>
                <w:sz w:val="22"/>
                <w:szCs w:val="22"/>
                <w:lang w:eastAsia="en-US"/>
              </w:rPr>
              <w:t>viedtālruņu</w:t>
            </w:r>
            <w:r w:rsidRPr="00E36116">
              <w:rPr>
                <w:sz w:val="22"/>
                <w:szCs w:val="22"/>
                <w:lang w:eastAsia="en-US"/>
              </w:rPr>
              <w:t xml:space="preserve"> lietotāju paradumus attiecībā uz satura patērēšanu</w:t>
            </w:r>
            <w:r w:rsidRPr="00E36116" w:rsidR="001D299B">
              <w:rPr>
                <w:sz w:val="22"/>
                <w:szCs w:val="22"/>
                <w:lang w:eastAsia="en-US"/>
              </w:rPr>
              <w:t xml:space="preserve"> viedtālruņos</w:t>
            </w:r>
            <w:r w:rsidRPr="00E36116">
              <w:rPr>
                <w:sz w:val="22"/>
                <w:szCs w:val="22"/>
                <w:lang w:eastAsia="en-US"/>
              </w:rPr>
              <w:t xml:space="preserve">, tai skaitā patērējot </w:t>
            </w:r>
            <w:r w:rsidRPr="00E36116">
              <w:rPr>
                <w:sz w:val="22"/>
                <w:szCs w:val="22"/>
                <w:lang w:eastAsia="en-US"/>
              </w:rPr>
              <w:lastRenderedPageBreak/>
              <w:t>saturu no nelegāliem avotiem.</w:t>
            </w:r>
            <w:r w:rsidRPr="00E36116" w:rsidR="00567C66">
              <w:rPr>
                <w:sz w:val="22"/>
                <w:szCs w:val="22"/>
                <w:lang w:eastAsia="en-US"/>
              </w:rPr>
              <w:t xml:space="preserve"> Tāpat viedtālruņu pētījumā K</w:t>
            </w:r>
            <w:r w:rsidR="00543560">
              <w:rPr>
                <w:sz w:val="22"/>
                <w:szCs w:val="22"/>
                <w:lang w:eastAsia="en-US"/>
              </w:rPr>
              <w:t>ultūras ministrijai</w:t>
            </w:r>
            <w:r w:rsidRPr="00E36116" w:rsidR="00567C66">
              <w:rPr>
                <w:sz w:val="22"/>
                <w:szCs w:val="22"/>
                <w:lang w:eastAsia="en-US"/>
              </w:rPr>
              <w:t xml:space="preserve"> vēlējās noskaidrot, vai lietotāji atšķir legālu saturu no nelegāla, cita starpā arī noskaidrojot</w:t>
            </w:r>
            <w:r w:rsidRPr="00E36116" w:rsidR="008E5CFF">
              <w:rPr>
                <w:sz w:val="22"/>
                <w:szCs w:val="22"/>
                <w:lang w:eastAsia="en-US"/>
              </w:rPr>
              <w:t>,</w:t>
            </w:r>
            <w:r w:rsidRPr="00E36116" w:rsidR="00567C66">
              <w:rPr>
                <w:sz w:val="22"/>
                <w:szCs w:val="22"/>
                <w:lang w:eastAsia="en-US"/>
              </w:rPr>
              <w:t xml:space="preserve"> kā lietotāji veido privātas kopijas (piemēru veidā nosaucot dažus izplatītus veidus, bet ne tuvu ne visus</w:t>
            </w:r>
            <w:r w:rsidRPr="00E36116" w:rsidR="00412B51">
              <w:rPr>
                <w:sz w:val="22"/>
                <w:szCs w:val="22"/>
                <w:lang w:eastAsia="en-US"/>
              </w:rPr>
              <w:t>;</w:t>
            </w:r>
            <w:r w:rsidRPr="00E36116" w:rsidR="00567C66">
              <w:rPr>
                <w:sz w:val="22"/>
                <w:szCs w:val="22"/>
                <w:lang w:eastAsia="en-US"/>
              </w:rPr>
              <w:t xml:space="preserve"> piemēram</w:t>
            </w:r>
            <w:r w:rsidRPr="00E36116" w:rsidR="001D299B">
              <w:rPr>
                <w:sz w:val="22"/>
                <w:szCs w:val="22"/>
                <w:lang w:eastAsia="en-US"/>
              </w:rPr>
              <w:t>,</w:t>
            </w:r>
            <w:r w:rsidRPr="00E36116" w:rsidR="00567C66">
              <w:rPr>
                <w:sz w:val="22"/>
                <w:szCs w:val="22"/>
                <w:lang w:eastAsia="en-US"/>
              </w:rPr>
              <w:t xml:space="preserve"> jautājumi neietver kopiju saglabāšanu, tai skaitā no sociālajiem portāliem, un </w:t>
            </w:r>
            <w:r w:rsidRPr="00E36116" w:rsidR="00412B51">
              <w:rPr>
                <w:sz w:val="22"/>
                <w:szCs w:val="22"/>
                <w:lang w:eastAsia="en-US"/>
              </w:rPr>
              <w:t xml:space="preserve">to </w:t>
            </w:r>
            <w:r w:rsidRPr="00E36116" w:rsidR="00567C66">
              <w:rPr>
                <w:sz w:val="22"/>
                <w:szCs w:val="22"/>
                <w:lang w:eastAsia="en-US"/>
              </w:rPr>
              <w:t>pārsūtīšanu radiem un draugiem).</w:t>
            </w:r>
            <w:r w:rsidRPr="00E36116">
              <w:rPr>
                <w:sz w:val="22"/>
                <w:szCs w:val="22"/>
                <w:lang w:eastAsia="en-US"/>
              </w:rPr>
              <w:t xml:space="preserve"> </w:t>
            </w:r>
            <w:proofErr w:type="spellStart"/>
            <w:r w:rsidRPr="00E36116">
              <w:rPr>
                <w:sz w:val="22"/>
                <w:szCs w:val="22"/>
                <w:lang w:eastAsia="en-US"/>
              </w:rPr>
              <w:t>Privātkopēšanas</w:t>
            </w:r>
            <w:proofErr w:type="spellEnd"/>
            <w:r w:rsidRPr="00E36116">
              <w:rPr>
                <w:sz w:val="22"/>
                <w:szCs w:val="22"/>
                <w:lang w:eastAsia="en-US"/>
              </w:rPr>
              <w:t xml:space="preserve"> pētījumu mērķis ir noteikt iedzīvotāju paradumus tieši attiecībā uz </w:t>
            </w:r>
            <w:proofErr w:type="spellStart"/>
            <w:r w:rsidRPr="00E36116">
              <w:rPr>
                <w:sz w:val="22"/>
                <w:szCs w:val="22"/>
                <w:lang w:eastAsia="en-US"/>
              </w:rPr>
              <w:t>privātkopēšanu</w:t>
            </w:r>
            <w:proofErr w:type="spellEnd"/>
            <w:r w:rsidRPr="00E36116">
              <w:rPr>
                <w:sz w:val="22"/>
                <w:szCs w:val="22"/>
                <w:lang w:eastAsia="en-US"/>
              </w:rPr>
              <w:t>. Tād</w:t>
            </w:r>
            <w:r w:rsidRPr="00E36116" w:rsidR="00412B51">
              <w:rPr>
                <w:sz w:val="22"/>
                <w:szCs w:val="22"/>
                <w:lang w:eastAsia="en-US"/>
              </w:rPr>
              <w:t>ē</w:t>
            </w:r>
            <w:r w:rsidRPr="00E36116">
              <w:rPr>
                <w:sz w:val="22"/>
                <w:szCs w:val="22"/>
                <w:lang w:eastAsia="en-US"/>
              </w:rPr>
              <w:t xml:space="preserve">jādi šo pētījumu rezultātiem nav piemērojama vienas un tās pašas analīzes metodes un tie nav salīdzināmi. </w:t>
            </w:r>
          </w:p>
          <w:p w:rsidRPr="00E36116" w:rsidR="0090511B" w:rsidP="00CA5C25" w:rsidRDefault="008B346A" w14:paraId="41F3AEB2" w14:textId="32CC0916">
            <w:pPr>
              <w:pStyle w:val="naisc"/>
              <w:spacing w:before="0" w:after="0"/>
              <w:jc w:val="both"/>
              <w:rPr>
                <w:sz w:val="22"/>
                <w:szCs w:val="22"/>
                <w:lang w:eastAsia="en-US"/>
              </w:rPr>
            </w:pPr>
            <w:r w:rsidRPr="00E36116">
              <w:rPr>
                <w:sz w:val="22"/>
                <w:szCs w:val="22"/>
                <w:lang w:eastAsia="en-US"/>
              </w:rPr>
              <w:t>Informācija no viedtālruņu pētījuma, kas iekļauta Projekta anotācijā, publiski pieejama K</w:t>
            </w:r>
            <w:r w:rsidR="00543560">
              <w:rPr>
                <w:sz w:val="22"/>
                <w:szCs w:val="22"/>
                <w:lang w:eastAsia="en-US"/>
              </w:rPr>
              <w:t>ultūras ministrijas</w:t>
            </w:r>
            <w:r w:rsidRPr="00E36116">
              <w:rPr>
                <w:sz w:val="22"/>
                <w:szCs w:val="22"/>
                <w:lang w:eastAsia="en-US"/>
              </w:rPr>
              <w:t xml:space="preserve"> mājaslapā</w:t>
            </w:r>
            <w:r w:rsidRPr="00E36116" w:rsidR="00567C66">
              <w:rPr>
                <w:sz w:val="22"/>
                <w:szCs w:val="22"/>
                <w:lang w:eastAsia="en-US"/>
              </w:rPr>
              <w:t xml:space="preserve"> </w:t>
            </w:r>
            <w:hyperlink w:history="1" r:id="rId8">
              <w:r w:rsidRPr="003329AD" w:rsidR="00567C66">
                <w:rPr>
                  <w:rStyle w:val="Hyperlink"/>
                  <w:sz w:val="22"/>
                  <w:szCs w:val="22"/>
                  <w:lang w:eastAsia="en-US"/>
                </w:rPr>
                <w:t>https://www.km.gov.lv/lv/kultura/autortiesibas/petijumi</w:t>
              </w:r>
            </w:hyperlink>
            <w:r w:rsidRPr="00E36116" w:rsidR="00567C66">
              <w:rPr>
                <w:sz w:val="22"/>
                <w:szCs w:val="22"/>
                <w:lang w:eastAsia="en-US"/>
              </w:rPr>
              <w:t xml:space="preserve"> (</w:t>
            </w:r>
            <w:r w:rsidRPr="00E36116" w:rsidR="001D299B">
              <w:rPr>
                <w:sz w:val="22"/>
                <w:szCs w:val="22"/>
                <w:lang w:eastAsia="en-US"/>
              </w:rPr>
              <w:t xml:space="preserve">sk. </w:t>
            </w:r>
            <w:r w:rsidRPr="00E36116" w:rsidR="00567C66">
              <w:rPr>
                <w:sz w:val="22"/>
                <w:szCs w:val="22"/>
                <w:lang w:eastAsia="en-US"/>
              </w:rPr>
              <w:t xml:space="preserve">pētījuma prezentācijas 53 </w:t>
            </w:r>
            <w:proofErr w:type="spellStart"/>
            <w:r w:rsidRPr="00E36116" w:rsidR="00567C66">
              <w:rPr>
                <w:sz w:val="22"/>
                <w:szCs w:val="22"/>
                <w:lang w:eastAsia="en-US"/>
              </w:rPr>
              <w:t>lp</w:t>
            </w:r>
            <w:proofErr w:type="spellEnd"/>
            <w:r w:rsidRPr="00E36116" w:rsidR="00567C66">
              <w:rPr>
                <w:sz w:val="22"/>
                <w:szCs w:val="22"/>
                <w:lang w:eastAsia="en-US"/>
              </w:rPr>
              <w:t>.)</w:t>
            </w:r>
            <w:r w:rsidRPr="00E36116" w:rsidR="0090511B">
              <w:rPr>
                <w:sz w:val="22"/>
                <w:szCs w:val="22"/>
                <w:lang w:eastAsia="en-US"/>
              </w:rPr>
              <w:t>.</w:t>
            </w:r>
          </w:p>
          <w:p w:rsidRPr="00E36116" w:rsidR="0090511B" w:rsidP="00CA5C25" w:rsidRDefault="00A15EA0" w14:paraId="680BF7F8" w14:textId="588551F4">
            <w:pPr>
              <w:pStyle w:val="naisc"/>
              <w:spacing w:before="0" w:after="0"/>
              <w:jc w:val="both"/>
              <w:rPr>
                <w:sz w:val="22"/>
                <w:szCs w:val="22"/>
                <w:lang w:eastAsia="en-US"/>
              </w:rPr>
            </w:pPr>
            <w:r w:rsidRPr="00E36116">
              <w:rPr>
                <w:sz w:val="22"/>
                <w:szCs w:val="22"/>
                <w:lang w:eastAsia="en-US"/>
              </w:rPr>
              <w:t>Tā kā viedtālruņu pētījums</w:t>
            </w:r>
            <w:r w:rsidRPr="00E36116" w:rsidR="006973C3">
              <w:rPr>
                <w:sz w:val="22"/>
                <w:szCs w:val="22"/>
                <w:lang w:eastAsia="en-US"/>
              </w:rPr>
              <w:t>, cita starpā, apstiprina</w:t>
            </w:r>
            <w:r w:rsidRPr="00793437">
              <w:rPr>
                <w:sz w:val="22"/>
                <w:szCs w:val="22"/>
                <w:lang w:eastAsia="en-US"/>
              </w:rPr>
              <w:t xml:space="preserve">, ka viedtālruņu lietotāji veic darbu </w:t>
            </w:r>
            <w:proofErr w:type="spellStart"/>
            <w:r w:rsidRPr="00793437">
              <w:rPr>
                <w:sz w:val="22"/>
                <w:szCs w:val="22"/>
                <w:lang w:eastAsia="en-US"/>
              </w:rPr>
              <w:t>privātkopēšanu</w:t>
            </w:r>
            <w:proofErr w:type="spellEnd"/>
            <w:r w:rsidRPr="00793437">
              <w:rPr>
                <w:sz w:val="22"/>
                <w:szCs w:val="22"/>
                <w:lang w:eastAsia="en-US"/>
              </w:rPr>
              <w:t xml:space="preserve">, tad uzskatāms, ka šis </w:t>
            </w:r>
            <w:r w:rsidRPr="00E36116">
              <w:rPr>
                <w:sz w:val="22"/>
                <w:szCs w:val="22"/>
                <w:lang w:eastAsia="en-US"/>
              </w:rPr>
              <w:t xml:space="preserve">pētījums papildina </w:t>
            </w:r>
            <w:r w:rsidRPr="00E36116" w:rsidR="001D299B">
              <w:rPr>
                <w:sz w:val="22"/>
                <w:szCs w:val="22"/>
                <w:lang w:eastAsia="en-US"/>
              </w:rPr>
              <w:t>K</w:t>
            </w:r>
            <w:r w:rsidR="00543560">
              <w:rPr>
                <w:sz w:val="22"/>
                <w:szCs w:val="22"/>
                <w:lang w:eastAsia="en-US"/>
              </w:rPr>
              <w:t>ultūras ministrijas</w:t>
            </w:r>
            <w:r w:rsidRPr="00E36116" w:rsidR="001D299B">
              <w:rPr>
                <w:sz w:val="22"/>
                <w:szCs w:val="22"/>
                <w:lang w:eastAsia="en-US"/>
              </w:rPr>
              <w:t xml:space="preserve"> pasūtītos </w:t>
            </w:r>
            <w:proofErr w:type="spellStart"/>
            <w:r w:rsidRPr="00E36116" w:rsidR="001D299B">
              <w:rPr>
                <w:sz w:val="22"/>
                <w:szCs w:val="22"/>
                <w:lang w:eastAsia="en-US"/>
              </w:rPr>
              <w:t>privātkopēšanas</w:t>
            </w:r>
            <w:proofErr w:type="spellEnd"/>
            <w:r w:rsidRPr="00E36116">
              <w:rPr>
                <w:sz w:val="22"/>
                <w:szCs w:val="22"/>
                <w:lang w:eastAsia="en-US"/>
              </w:rPr>
              <w:t xml:space="preserve"> pētījumus. </w:t>
            </w:r>
          </w:p>
          <w:p w:rsidRPr="00E36116" w:rsidR="004D4F85" w:rsidP="00CA5C25" w:rsidRDefault="004D4F85" w14:paraId="53B79887" w14:textId="3729243B">
            <w:pPr>
              <w:pStyle w:val="naisc"/>
              <w:spacing w:before="0" w:after="0"/>
              <w:jc w:val="both"/>
              <w:rPr>
                <w:sz w:val="22"/>
                <w:szCs w:val="22"/>
                <w:lang w:eastAsia="en-US"/>
              </w:rPr>
            </w:pPr>
            <w:r w:rsidRPr="00E36116">
              <w:rPr>
                <w:sz w:val="22"/>
                <w:szCs w:val="22"/>
                <w:lang w:eastAsia="en-US"/>
              </w:rPr>
              <w:lastRenderedPageBreak/>
              <w:t xml:space="preserve">2020.gada </w:t>
            </w:r>
            <w:proofErr w:type="spellStart"/>
            <w:r w:rsidRPr="00E36116">
              <w:rPr>
                <w:sz w:val="22"/>
                <w:szCs w:val="22"/>
                <w:lang w:eastAsia="en-US"/>
              </w:rPr>
              <w:t>privātkopēšanas</w:t>
            </w:r>
            <w:proofErr w:type="spellEnd"/>
            <w:r w:rsidRPr="00E36116">
              <w:rPr>
                <w:sz w:val="22"/>
                <w:szCs w:val="22"/>
                <w:lang w:eastAsia="en-US"/>
              </w:rPr>
              <w:t xml:space="preserve"> pētījumu rezultāti izmantoti kā pamatdati Projekta izstrādē, jo šī pētījuma dati ir salīdzināmi ar iepriekšējo grozījumu izstrādē izmantojamā </w:t>
            </w:r>
            <w:proofErr w:type="spellStart"/>
            <w:r w:rsidRPr="00E36116">
              <w:rPr>
                <w:sz w:val="22"/>
                <w:szCs w:val="22"/>
                <w:lang w:eastAsia="en-US"/>
              </w:rPr>
              <w:t>privātkopēšanas</w:t>
            </w:r>
            <w:proofErr w:type="spellEnd"/>
            <w:r w:rsidRPr="00E36116">
              <w:rPr>
                <w:sz w:val="22"/>
                <w:szCs w:val="22"/>
                <w:lang w:eastAsia="en-US"/>
              </w:rPr>
              <w:t xml:space="preserve"> pētījuma datiem (2012.gadā).</w:t>
            </w:r>
          </w:p>
        </w:tc>
        <w:tc>
          <w:tcPr>
            <w:tcW w:w="769" w:type="pct"/>
            <w:tcBorders>
              <w:top w:val="single" w:color="auto" w:sz="4" w:space="0"/>
              <w:left w:val="single" w:color="auto" w:sz="4" w:space="0"/>
              <w:bottom w:val="single" w:color="auto" w:sz="4" w:space="0"/>
              <w:right w:val="single" w:color="auto" w:sz="4" w:space="0"/>
            </w:tcBorders>
          </w:tcPr>
          <w:p w:rsidR="00736354" w:rsidP="00736354" w:rsidRDefault="00736354" w14:paraId="197DFD7E" w14:textId="3246FFCE">
            <w:pPr>
              <w:pStyle w:val="naisc"/>
              <w:spacing w:before="0" w:after="0"/>
              <w:jc w:val="both"/>
              <w:rPr>
                <w:b/>
                <w:bCs/>
                <w:sz w:val="22"/>
                <w:szCs w:val="22"/>
              </w:rPr>
            </w:pPr>
            <w:r>
              <w:rPr>
                <w:b/>
                <w:bCs/>
                <w:sz w:val="22"/>
                <w:szCs w:val="22"/>
              </w:rPr>
              <w:lastRenderedPageBreak/>
              <w:t>LIKTA:</w:t>
            </w:r>
          </w:p>
          <w:p w:rsidR="00736354" w:rsidP="00736354" w:rsidRDefault="00736354" w14:paraId="68D0621E" w14:textId="726057D9">
            <w:pPr>
              <w:pStyle w:val="naisc"/>
              <w:spacing w:before="0" w:after="0"/>
              <w:jc w:val="both"/>
              <w:rPr>
                <w:sz w:val="22"/>
                <w:szCs w:val="22"/>
                <w:lang w:eastAsia="en-US"/>
              </w:rPr>
            </w:pPr>
            <w:r>
              <w:rPr>
                <w:sz w:val="22"/>
                <w:szCs w:val="22"/>
                <w:lang w:eastAsia="en-US"/>
              </w:rPr>
              <w:t>U</w:t>
            </w:r>
            <w:r w:rsidRPr="00736354">
              <w:rPr>
                <w:sz w:val="22"/>
                <w:szCs w:val="22"/>
                <w:lang w:eastAsia="en-US"/>
              </w:rPr>
              <w:t>ztur iepriekš izteiktos iebildumus un neatbalsta Projekta tālāku virzību</w:t>
            </w:r>
          </w:p>
          <w:p w:rsidR="009C7325" w:rsidP="00736354" w:rsidRDefault="009C7325" w14:paraId="75170D60" w14:textId="77777777">
            <w:pPr>
              <w:pStyle w:val="naisc"/>
              <w:spacing w:before="0" w:after="0"/>
              <w:jc w:val="both"/>
              <w:rPr>
                <w:b/>
                <w:bCs/>
                <w:sz w:val="22"/>
                <w:szCs w:val="22"/>
              </w:rPr>
            </w:pPr>
          </w:p>
          <w:p w:rsidRPr="00736354" w:rsidR="00736354" w:rsidP="00736354" w:rsidRDefault="00736354" w14:paraId="19EB8555" w14:textId="2225A6D5">
            <w:pPr>
              <w:pStyle w:val="naisc"/>
              <w:spacing w:before="0" w:after="0"/>
              <w:jc w:val="both"/>
              <w:rPr>
                <w:b/>
                <w:bCs/>
                <w:sz w:val="22"/>
                <w:szCs w:val="22"/>
              </w:rPr>
            </w:pPr>
            <w:r w:rsidRPr="00736354">
              <w:rPr>
                <w:b/>
                <w:bCs/>
                <w:sz w:val="22"/>
                <w:szCs w:val="22"/>
              </w:rPr>
              <w:t>LIA:</w:t>
            </w:r>
          </w:p>
          <w:p w:rsidRPr="00E36116" w:rsidR="00472E17" w:rsidP="00736354" w:rsidRDefault="00736354" w14:paraId="456354F9" w14:textId="7B66CD1D">
            <w:pPr>
              <w:pStyle w:val="naisc"/>
              <w:spacing w:before="0" w:after="0"/>
              <w:jc w:val="both"/>
              <w:rPr>
                <w:sz w:val="22"/>
                <w:szCs w:val="22"/>
              </w:rPr>
            </w:pPr>
            <w:r w:rsidRPr="00736354">
              <w:rPr>
                <w:sz w:val="22"/>
                <w:szCs w:val="22"/>
              </w:rPr>
              <w:t xml:space="preserve">Asociācija uztur iepriekš izteiktos iebildumus pret noteikumu projekta virzību. Uzskatām, ka viedtālruņu iekļaušana ierīču </w:t>
            </w:r>
            <w:r w:rsidRPr="00736354">
              <w:rPr>
                <w:sz w:val="22"/>
                <w:szCs w:val="22"/>
              </w:rPr>
              <w:lastRenderedPageBreak/>
              <w:t>sarakstā, kas tiek apliktas ar “nodevu”, nav objektīvi pamatota. Tāpat uzskatām, ka process, kā tiek virzīts noteikumu projekts, nav konstruktīvs. Tā vietā, lai vispusīgi apspriestu noteikumu projekta pamatojumu darba grupas ietvaros, vienotos ar visām pusēm par pieņemamo pētījuma metodoloģiju, lai rezultāti nerādītu dažādas interpretācijas iespējas, Kultūras ministrija vairākkārt saskaņošanas procesā precizēja anotāciju, pēc būtības nerisinot problēmu saknē – kļūdaino pētījuma metodoloģiju. Turklāt katru reizi, precizējot anotāciju, rodas papildus neskaidrības. Lūdzam nevirzīt noteikumu projektu tālāk, bet turpināt diskusiju darba grupā.</w:t>
            </w:r>
          </w:p>
        </w:tc>
        <w:tc>
          <w:tcPr>
            <w:tcW w:w="840" w:type="pct"/>
            <w:tcBorders>
              <w:top w:val="single" w:color="auto" w:sz="4" w:space="0"/>
              <w:left w:val="single" w:color="auto" w:sz="4" w:space="0"/>
              <w:bottom w:val="single" w:color="auto" w:sz="4" w:space="0"/>
              <w:right w:val="single" w:color="auto" w:sz="4" w:space="0"/>
            </w:tcBorders>
          </w:tcPr>
          <w:p w:rsidRPr="00E36116" w:rsidR="00DD0C29" w:rsidP="00CA5C25" w:rsidRDefault="001B5295" w14:paraId="5F9DDDC2" w14:textId="0DA5E9FE">
            <w:pPr>
              <w:pStyle w:val="naisc"/>
              <w:spacing w:before="0" w:after="0"/>
              <w:jc w:val="both"/>
              <w:rPr>
                <w:sz w:val="22"/>
                <w:szCs w:val="22"/>
              </w:rPr>
            </w:pPr>
            <w:r w:rsidRPr="00B12BC6">
              <w:rPr>
                <w:sz w:val="22"/>
                <w:szCs w:val="22"/>
              </w:rPr>
              <w:lastRenderedPageBreak/>
              <w:t>Ministru kabineta noteikumu</w:t>
            </w:r>
            <w:r w:rsidRPr="00E36116">
              <w:rPr>
                <w:sz w:val="22"/>
                <w:szCs w:val="22"/>
              </w:rPr>
              <w:t xml:space="preserve"> </w:t>
            </w:r>
            <w:r>
              <w:rPr>
                <w:sz w:val="22"/>
                <w:szCs w:val="22"/>
              </w:rPr>
              <w:t>p</w:t>
            </w:r>
            <w:r w:rsidRPr="00E36116" w:rsidR="00DD0C29">
              <w:rPr>
                <w:sz w:val="22"/>
                <w:szCs w:val="22"/>
              </w:rPr>
              <w:t>rojekta sākotnējās ietekmes novērtējuma ziņojuma (anotācijas) I sadaļas 2.punkts:</w:t>
            </w:r>
          </w:p>
          <w:p w:rsidR="001B5295" w:rsidP="00CA5C25" w:rsidRDefault="001B5295" w14:paraId="299CE421" w14:textId="77777777">
            <w:pPr>
              <w:pStyle w:val="naisc"/>
              <w:spacing w:before="0" w:after="0"/>
              <w:jc w:val="both"/>
              <w:rPr>
                <w:sz w:val="22"/>
                <w:szCs w:val="22"/>
              </w:rPr>
            </w:pPr>
          </w:p>
          <w:p w:rsidRPr="00E36116" w:rsidR="00DD0C29" w:rsidP="00CA5C25" w:rsidRDefault="005A7EFE" w14:paraId="5D6F01E6" w14:textId="0ED5B672">
            <w:pPr>
              <w:pStyle w:val="naisc"/>
              <w:spacing w:before="0" w:after="0"/>
              <w:jc w:val="both"/>
              <w:rPr>
                <w:sz w:val="22"/>
                <w:szCs w:val="22"/>
              </w:rPr>
            </w:pPr>
            <w:r w:rsidRPr="00E36116">
              <w:rPr>
                <w:sz w:val="22"/>
                <w:szCs w:val="22"/>
              </w:rPr>
              <w:t>„</w:t>
            </w:r>
            <w:r w:rsidRPr="00E36116" w:rsidR="00DD0C29">
              <w:rPr>
                <w:sz w:val="22"/>
                <w:szCs w:val="22"/>
              </w:rPr>
              <w:t xml:space="preserve">[..] </w:t>
            </w:r>
            <w:r w:rsidRPr="00E36116" w:rsidR="00DD0C29">
              <w:rPr>
                <w:sz w:val="22"/>
                <w:szCs w:val="22"/>
                <w:lang w:eastAsia="en-US"/>
              </w:rPr>
              <w:t xml:space="preserve">Ņemot vērā iepriekš norādītos atšķirīgos viedokļus par viedtālruņu iekļaušanu nesēju un iekārtu sarakstā, Kultūras ministrija 2019.gada </w:t>
            </w:r>
            <w:r w:rsidRPr="00E36116" w:rsidR="00DD0C29">
              <w:rPr>
                <w:sz w:val="22"/>
                <w:szCs w:val="22"/>
                <w:lang w:eastAsia="en-US"/>
              </w:rPr>
              <w:lastRenderedPageBreak/>
              <w:t>15.maijā pasūtīja pētījumu par viedtālruņu lietotāju autortiesību un blakustiesību objektu izmantošanas paradumiem (turpmāk – viedtālruņu pētījums), lai precīzāk noskaidrotu, vai un cik lielā apmērā Latvijā tiek veikta no legāliem avotiem iegūtu darbu un blakustiesību objektu kopēšana uz viedtālruņiem.</w:t>
            </w:r>
          </w:p>
          <w:p w:rsidRPr="00E36116" w:rsidR="00DD0C29" w:rsidRDefault="00DD0C29" w14:paraId="0EBFBDCF" w14:textId="187B8343">
            <w:pPr>
              <w:pStyle w:val="naisc"/>
              <w:spacing w:before="0" w:after="0"/>
              <w:ind w:firstLine="288"/>
              <w:jc w:val="both"/>
              <w:rPr>
                <w:sz w:val="22"/>
                <w:szCs w:val="22"/>
                <w:lang w:eastAsia="en-US"/>
              </w:rPr>
            </w:pPr>
            <w:r w:rsidRPr="00E36116">
              <w:rPr>
                <w:sz w:val="22"/>
                <w:szCs w:val="22"/>
                <w:lang w:eastAsia="en-US"/>
              </w:rPr>
              <w:t xml:space="preserve">Viedtālruņu pētījumā aptaujāti 1017 respondenti vecumā no 18 līdz 75 gadiem visos Latvijas reģionos. Viedtālruņu pētījuma dati liecina, ka, kopumā Latvijas iedzīvotāji kopijas privātai lietošanai uz saviem viedtālruņiem veido salīdzinoši reti. Proti, respondenti, kas lieto viedtālruni ar internetu (66,5% no aptaujātajiem respondentiem) norādījuši, ka pēdējā gada laikā internetā legāli iegādātu mūziku no citas iekārtas (piemēram, datora, </w:t>
            </w:r>
            <w:proofErr w:type="spellStart"/>
            <w:r w:rsidRPr="00E36116">
              <w:rPr>
                <w:sz w:val="22"/>
                <w:szCs w:val="22"/>
                <w:lang w:eastAsia="en-US"/>
              </w:rPr>
              <w:lastRenderedPageBreak/>
              <w:t>mākoņpakalpojuma</w:t>
            </w:r>
            <w:proofErr w:type="spellEnd"/>
            <w:r w:rsidRPr="00E36116">
              <w:rPr>
                <w:sz w:val="22"/>
                <w:szCs w:val="22"/>
                <w:lang w:eastAsia="en-US"/>
              </w:rPr>
              <w:t>) uz viedtālruni privātai lietošanai kopējuši 18,3% (no tiem 11,4% biežāk kā reizi mēnesī, 6,9% – retāk kā reizi mēnesī), internetā legāli iegādātu filmu – 10,9% (biežāk kā reizi mēnesī – 5,9%, retāk kā reizi mēnesī – 5%), mūziku no CD – 14% (biežāk kā reizi mēnesī – 7,1%, retāk kā reizi mēnesī – 6,9%), filmu no DVD – 8,2% (biežāk kā reizi mēnesī – 4,1%, retāk kā reizi mēnesī – 4,1%).</w:t>
            </w:r>
            <w:r w:rsidR="005A7EFE">
              <w:rPr>
                <w:sz w:val="22"/>
                <w:szCs w:val="22"/>
              </w:rPr>
              <w:t xml:space="preserve"> </w:t>
            </w:r>
            <w:r w:rsidRPr="00E36116">
              <w:rPr>
                <w:sz w:val="22"/>
                <w:szCs w:val="22"/>
              </w:rPr>
              <w:t>[..]</w:t>
            </w:r>
            <w:r w:rsidR="005A7EFE">
              <w:rPr>
                <w:sz w:val="22"/>
                <w:szCs w:val="22"/>
              </w:rPr>
              <w:t>”</w:t>
            </w:r>
          </w:p>
        </w:tc>
      </w:tr>
      <w:tr w:rsidRPr="00E36116" w:rsidR="00736354" w:rsidTr="00E36116" w14:paraId="2DC79D14" w14:textId="77777777">
        <w:tc>
          <w:tcPr>
            <w:tcW w:w="191" w:type="pct"/>
            <w:tcBorders>
              <w:top w:val="single" w:color="000000" w:sz="6" w:space="0"/>
              <w:left w:val="single" w:color="000000" w:sz="6" w:space="0"/>
              <w:bottom w:val="single" w:color="000000" w:sz="6" w:space="0"/>
              <w:right w:val="single" w:color="000000" w:sz="6" w:space="0"/>
            </w:tcBorders>
          </w:tcPr>
          <w:p w:rsidRPr="00E36116" w:rsidR="00736354" w:rsidP="00736354" w:rsidRDefault="00736354" w14:paraId="7E54B069" w14:textId="4CA97B04">
            <w:pPr>
              <w:pStyle w:val="naisc"/>
              <w:spacing w:before="0" w:after="0"/>
              <w:rPr>
                <w:sz w:val="22"/>
                <w:szCs w:val="22"/>
                <w:lang w:eastAsia="en-US"/>
              </w:rPr>
            </w:pPr>
            <w:r w:rsidRPr="00E36116">
              <w:rPr>
                <w:sz w:val="22"/>
                <w:szCs w:val="22"/>
                <w:lang w:eastAsia="en-US"/>
              </w:rPr>
              <w:lastRenderedPageBreak/>
              <w:t>6.</w:t>
            </w:r>
          </w:p>
        </w:tc>
        <w:tc>
          <w:tcPr>
            <w:tcW w:w="862" w:type="pct"/>
            <w:tcBorders>
              <w:top w:val="single" w:color="000000" w:sz="6" w:space="0"/>
              <w:left w:val="single" w:color="000000" w:sz="6" w:space="0"/>
              <w:bottom w:val="single" w:color="000000" w:sz="6" w:space="0"/>
              <w:right w:val="single" w:color="000000" w:sz="6" w:space="0"/>
            </w:tcBorders>
          </w:tcPr>
          <w:p w:rsidRPr="00E36116" w:rsidR="00736354" w:rsidP="00736354" w:rsidRDefault="00736354" w14:paraId="2B6BB467" w14:textId="556753C4">
            <w:pPr>
              <w:pStyle w:val="naisc"/>
              <w:spacing w:before="0" w:after="0"/>
              <w:jc w:val="both"/>
              <w:rPr>
                <w:sz w:val="22"/>
                <w:szCs w:val="22"/>
              </w:rPr>
            </w:pPr>
            <w:r w:rsidRPr="00903684">
              <w:rPr>
                <w:sz w:val="22"/>
                <w:szCs w:val="22"/>
              </w:rPr>
              <w:t xml:space="preserve">Ministru kabineta noteikumu </w:t>
            </w:r>
            <w:r>
              <w:rPr>
                <w:sz w:val="22"/>
                <w:szCs w:val="22"/>
              </w:rPr>
              <w:t>p</w:t>
            </w:r>
            <w:r w:rsidRPr="00E36116">
              <w:rPr>
                <w:sz w:val="22"/>
                <w:szCs w:val="22"/>
              </w:rPr>
              <w:t xml:space="preserve">rojekta sākotnējās ietekmes </w:t>
            </w:r>
            <w:r w:rsidRPr="00793437">
              <w:rPr>
                <w:sz w:val="22"/>
                <w:szCs w:val="22"/>
              </w:rPr>
              <w:t>novērtējuma ziņojuma (anotācijas) I sadaļas 2.punkts:</w:t>
            </w:r>
          </w:p>
          <w:p w:rsidRPr="00E36116" w:rsidR="00736354" w:rsidP="00736354" w:rsidRDefault="00736354" w14:paraId="1200A130" w14:textId="000BCEB3">
            <w:pPr>
              <w:jc w:val="both"/>
              <w:rPr>
                <w:sz w:val="22"/>
                <w:szCs w:val="22"/>
              </w:rPr>
            </w:pPr>
            <w:r w:rsidRPr="00E36116">
              <w:rPr>
                <w:sz w:val="22"/>
                <w:szCs w:val="22"/>
              </w:rPr>
              <w:lastRenderedPageBreak/>
              <w:t>„[..]</w:t>
            </w:r>
            <w:r>
              <w:rPr>
                <w:sz w:val="22"/>
                <w:szCs w:val="22"/>
              </w:rPr>
              <w:t xml:space="preserve"> </w:t>
            </w:r>
            <w:r w:rsidRPr="00E36116">
              <w:rPr>
                <w:sz w:val="22"/>
                <w:szCs w:val="22"/>
              </w:rPr>
              <w:t>Izpētes rezultātā secināts, ka pašlaik lielākajā daļā Eiropas Savienības dalībvalstu viedtālruņi ir iekļauti iekārtu sarakstā. No 21 Eiropas Savienības dalībvalstīm, kurā pastāv funkcionējoša atlīdzības iekasēšanas un sadales sistēma, 19, tai skaitā Lietuva, viedtālruņus iekļāvušas nesēju un iekārtu sarakstā. Igaunijā pašlaik pirmajā lasījumā parlaments atbalstījis grozījumu likumā, kurā ir paredzēta viedtālruņu un citu iekārtu iekļaušana nesēju un iekārtu sarakstā. Viedtālruņi sarakstā nav iekļauti tikai Bulgārijai un Latvijai. Somijā atlīdzība netiek maksāta par nesējiem un iekārtām, bet gan ieviesta sistēma, ka valsts maksā nesēja atlīdzību.</w:t>
            </w:r>
            <w:r>
              <w:rPr>
                <w:sz w:val="22"/>
                <w:szCs w:val="22"/>
              </w:rPr>
              <w:t xml:space="preserve"> </w:t>
            </w:r>
            <w:r w:rsidRPr="00E36116">
              <w:rPr>
                <w:sz w:val="22"/>
                <w:szCs w:val="22"/>
              </w:rPr>
              <w:t>[..]</w:t>
            </w:r>
            <w:r>
              <w:rPr>
                <w:sz w:val="22"/>
                <w:szCs w:val="22"/>
              </w:rPr>
              <w:t>”</w:t>
            </w:r>
          </w:p>
        </w:tc>
        <w:tc>
          <w:tcPr>
            <w:tcW w:w="1221" w:type="pct"/>
            <w:tcBorders>
              <w:top w:val="single" w:color="000000" w:sz="6" w:space="0"/>
              <w:left w:val="single" w:color="000000" w:sz="6" w:space="0"/>
              <w:bottom w:val="single" w:color="000000" w:sz="6" w:space="0"/>
              <w:right w:val="single" w:color="000000" w:sz="6" w:space="0"/>
            </w:tcBorders>
          </w:tcPr>
          <w:p w:rsidRPr="00E36116" w:rsidR="00736354" w:rsidP="00736354" w:rsidRDefault="00736354" w14:paraId="0B812AB3" w14:textId="1217933F">
            <w:pPr>
              <w:pStyle w:val="naiskr"/>
              <w:spacing w:before="0" w:after="0"/>
              <w:jc w:val="both"/>
              <w:rPr>
                <w:rFonts w:eastAsia="Calibri"/>
                <w:b/>
                <w:bCs/>
                <w:sz w:val="22"/>
                <w:szCs w:val="22"/>
                <w:shd w:val="clear" w:color="auto" w:fill="FFFFFF"/>
              </w:rPr>
            </w:pPr>
            <w:r w:rsidRPr="00E36116">
              <w:rPr>
                <w:rFonts w:eastAsia="Calibri"/>
                <w:b/>
                <w:bCs/>
                <w:sz w:val="22"/>
                <w:szCs w:val="22"/>
                <w:shd w:val="clear" w:color="auto" w:fill="FFFFFF"/>
              </w:rPr>
              <w:lastRenderedPageBreak/>
              <w:t>LTRK, LETERA, LIKTA, LIA</w:t>
            </w:r>
            <w:r>
              <w:rPr>
                <w:rFonts w:eastAsia="Calibri"/>
                <w:b/>
                <w:bCs/>
                <w:sz w:val="22"/>
                <w:szCs w:val="22"/>
                <w:shd w:val="clear" w:color="auto" w:fill="FFFFFF"/>
              </w:rPr>
              <w:t>:</w:t>
            </w:r>
          </w:p>
          <w:p w:rsidRPr="00E36116" w:rsidR="00736354" w:rsidP="00736354" w:rsidRDefault="00736354" w14:paraId="14024672" w14:textId="38BC18DD">
            <w:pPr>
              <w:contextualSpacing/>
              <w:jc w:val="both"/>
              <w:rPr>
                <w:rFonts w:eastAsia="Calibri"/>
                <w:sz w:val="22"/>
                <w:szCs w:val="22"/>
                <w:shd w:val="clear" w:color="auto" w:fill="FFFFFF"/>
              </w:rPr>
            </w:pPr>
            <w:r w:rsidRPr="00E36116">
              <w:rPr>
                <w:rFonts w:eastAsia="Calibri"/>
                <w:sz w:val="22"/>
                <w:szCs w:val="22"/>
                <w:shd w:val="clear" w:color="auto" w:fill="FFFFFF"/>
              </w:rPr>
              <w:t>Anotācijā (8.lp.) norādīts, ka:</w:t>
            </w:r>
            <w:r w:rsidRPr="00E36116">
              <w:rPr>
                <w:sz w:val="22"/>
                <w:szCs w:val="22"/>
              </w:rPr>
              <w:t>[..]</w:t>
            </w:r>
          </w:p>
          <w:p w:rsidRPr="00E36116" w:rsidR="00736354" w:rsidP="00736354" w:rsidRDefault="00736354" w14:paraId="3D34576C" w14:textId="600566FE">
            <w:pPr>
              <w:tabs>
                <w:tab w:val="right" w:pos="9533"/>
              </w:tabs>
              <w:contextualSpacing/>
              <w:jc w:val="both"/>
              <w:rPr>
                <w:sz w:val="22"/>
                <w:szCs w:val="22"/>
              </w:rPr>
            </w:pPr>
            <w:r w:rsidRPr="00E36116">
              <w:rPr>
                <w:sz w:val="22"/>
                <w:szCs w:val="22"/>
              </w:rPr>
              <w:t xml:space="preserve">Ir atbalstāmi, ka Kultūras ministrija iepazinās arī ar starptautisko pieredzi par viedtālruņu iekļaušanu ierīču sarakstā, kas tiek aplikti ar </w:t>
            </w:r>
            <w:r w:rsidRPr="00E36116">
              <w:rPr>
                <w:sz w:val="22"/>
                <w:szCs w:val="22"/>
              </w:rPr>
              <w:lastRenderedPageBreak/>
              <w:t xml:space="preserve">maksu, tomēr norādām, ka šāds lēmums ir jāpamato ar konkrētajiem apstākļiem Latvijā, lēmums nevar tikt pieņemts tikai tāpēc, ka ārvalstīs pastāv attiecīga prakse. Pamatojumā jāizmanto fakti, kas liecina par viedtālruņu izmantošanu </w:t>
            </w:r>
            <w:proofErr w:type="spellStart"/>
            <w:r w:rsidRPr="00E36116">
              <w:rPr>
                <w:sz w:val="22"/>
                <w:szCs w:val="22"/>
              </w:rPr>
              <w:t>privātkopēšanai</w:t>
            </w:r>
            <w:proofErr w:type="spellEnd"/>
            <w:r w:rsidRPr="00E36116">
              <w:rPr>
                <w:sz w:val="22"/>
                <w:szCs w:val="22"/>
              </w:rPr>
              <w:t xml:space="preserve"> Latvijā. Ņemot vērā minēto, kategoriski iebilstām pret ar maksājumu apliekamo datu nesēju saraksta papildināšanu ar viedtālruņiem.</w:t>
            </w:r>
          </w:p>
        </w:tc>
        <w:tc>
          <w:tcPr>
            <w:tcW w:w="1116" w:type="pct"/>
            <w:tcBorders>
              <w:top w:val="single" w:color="000000" w:sz="6" w:space="0"/>
              <w:left w:val="single" w:color="000000" w:sz="6" w:space="0"/>
              <w:bottom w:val="single" w:color="000000" w:sz="6" w:space="0"/>
              <w:right w:val="single" w:color="000000" w:sz="6" w:space="0"/>
            </w:tcBorders>
          </w:tcPr>
          <w:p w:rsidRPr="00E36116" w:rsidR="00736354" w:rsidP="00736354" w:rsidRDefault="00736354" w14:paraId="614A812F" w14:textId="77777777">
            <w:pPr>
              <w:pStyle w:val="naisc"/>
              <w:spacing w:before="0" w:after="0"/>
              <w:ind w:firstLine="288"/>
              <w:rPr>
                <w:b/>
                <w:sz w:val="22"/>
                <w:szCs w:val="22"/>
                <w:lang w:eastAsia="en-US"/>
              </w:rPr>
            </w:pPr>
            <w:r w:rsidRPr="00E36116">
              <w:rPr>
                <w:b/>
                <w:sz w:val="22"/>
                <w:szCs w:val="22"/>
                <w:lang w:eastAsia="en-US"/>
              </w:rPr>
              <w:lastRenderedPageBreak/>
              <w:t>Nav ņemts vērā</w:t>
            </w:r>
          </w:p>
          <w:p w:rsidRPr="00E36116" w:rsidR="00736354" w:rsidP="00736354" w:rsidRDefault="00736354" w14:paraId="7BC2B28D" w14:textId="00A6D6F9">
            <w:pPr>
              <w:pStyle w:val="naisc"/>
              <w:spacing w:before="0" w:after="0"/>
              <w:jc w:val="both"/>
              <w:rPr>
                <w:bCs/>
                <w:sz w:val="22"/>
                <w:szCs w:val="22"/>
                <w:lang w:eastAsia="en-US"/>
              </w:rPr>
            </w:pPr>
            <w:r w:rsidRPr="00E36116">
              <w:rPr>
                <w:bCs/>
                <w:sz w:val="22"/>
                <w:szCs w:val="22"/>
                <w:lang w:eastAsia="en-US"/>
              </w:rPr>
              <w:t>Nesēju un iekārtu saraksta pārvērtēšanai piemērojamos kritērijus K</w:t>
            </w:r>
            <w:r>
              <w:rPr>
                <w:bCs/>
                <w:sz w:val="22"/>
                <w:szCs w:val="22"/>
                <w:lang w:eastAsia="en-US"/>
              </w:rPr>
              <w:t>ultūras ministrija</w:t>
            </w:r>
            <w:r w:rsidRPr="00E36116">
              <w:rPr>
                <w:bCs/>
                <w:sz w:val="22"/>
                <w:szCs w:val="22"/>
                <w:lang w:eastAsia="en-US"/>
              </w:rPr>
              <w:t xml:space="preserve"> noteikusi, balstoties uz </w:t>
            </w:r>
            <w:r>
              <w:rPr>
                <w:sz w:val="22"/>
                <w:szCs w:val="22"/>
              </w:rPr>
              <w:t xml:space="preserve">Ministru kabineta noteikumu </w:t>
            </w:r>
            <w:r>
              <w:rPr>
                <w:bCs/>
                <w:sz w:val="22"/>
                <w:szCs w:val="22"/>
                <w:lang w:eastAsia="en-US"/>
              </w:rPr>
              <w:t>p</w:t>
            </w:r>
            <w:r w:rsidRPr="00E36116">
              <w:rPr>
                <w:bCs/>
                <w:sz w:val="22"/>
                <w:szCs w:val="22"/>
                <w:lang w:eastAsia="en-US"/>
              </w:rPr>
              <w:t xml:space="preserve">rojekta </w:t>
            </w:r>
            <w:r w:rsidRPr="00E36116">
              <w:rPr>
                <w:bCs/>
                <w:sz w:val="22"/>
                <w:szCs w:val="22"/>
                <w:lang w:eastAsia="en-US"/>
              </w:rPr>
              <w:lastRenderedPageBreak/>
              <w:t xml:space="preserve">anotācijā minētajiem avotiem, no kuriem tikai viens ir citu valstu prakse. </w:t>
            </w:r>
            <w:r>
              <w:rPr>
                <w:sz w:val="22"/>
                <w:szCs w:val="22"/>
              </w:rPr>
              <w:t xml:space="preserve">Ministru kabineta noteikumu </w:t>
            </w:r>
            <w:r>
              <w:rPr>
                <w:bCs/>
                <w:sz w:val="22"/>
                <w:szCs w:val="22"/>
                <w:lang w:eastAsia="en-US"/>
              </w:rPr>
              <w:t>p</w:t>
            </w:r>
            <w:r w:rsidRPr="00E36116">
              <w:rPr>
                <w:bCs/>
                <w:sz w:val="22"/>
                <w:szCs w:val="22"/>
                <w:lang w:eastAsia="en-US"/>
              </w:rPr>
              <w:t xml:space="preserve">rojekts izstrādāts, pamatojoties uz noteiktajiem kritērijiem un izvērtējot Latvijas situāciju. </w:t>
            </w:r>
          </w:p>
          <w:p w:rsidRPr="00E36116" w:rsidR="00736354" w:rsidP="00736354" w:rsidRDefault="00736354" w14:paraId="36DCD808" w14:textId="1B91CAC7">
            <w:pPr>
              <w:pStyle w:val="naisc"/>
              <w:spacing w:before="0" w:after="0"/>
              <w:jc w:val="both"/>
              <w:rPr>
                <w:bCs/>
                <w:sz w:val="22"/>
                <w:szCs w:val="22"/>
                <w:lang w:eastAsia="en-US"/>
              </w:rPr>
            </w:pPr>
            <w:r w:rsidRPr="00E36116">
              <w:rPr>
                <w:bCs/>
                <w:sz w:val="22"/>
                <w:szCs w:val="22"/>
                <w:lang w:eastAsia="en-US"/>
              </w:rPr>
              <w:t xml:space="preserve">Vienlaikus Eiropas Savienības Tiesa 2015.gada 5.marta spriedumā lietā Nr.C-463/12 </w:t>
            </w:r>
            <w:proofErr w:type="spellStart"/>
            <w:r w:rsidRPr="003329AD">
              <w:rPr>
                <w:bCs/>
                <w:i/>
                <w:iCs/>
                <w:sz w:val="22"/>
                <w:szCs w:val="22"/>
                <w:lang w:eastAsia="en-US"/>
              </w:rPr>
              <w:t>Copydan</w:t>
            </w:r>
            <w:proofErr w:type="spellEnd"/>
            <w:r w:rsidRPr="003329AD">
              <w:rPr>
                <w:bCs/>
                <w:i/>
                <w:iCs/>
                <w:sz w:val="22"/>
                <w:szCs w:val="22"/>
                <w:lang w:eastAsia="en-US"/>
              </w:rPr>
              <w:t xml:space="preserve"> </w:t>
            </w:r>
            <w:proofErr w:type="spellStart"/>
            <w:r w:rsidRPr="003329AD">
              <w:rPr>
                <w:bCs/>
                <w:i/>
                <w:iCs/>
                <w:sz w:val="22"/>
                <w:szCs w:val="22"/>
                <w:lang w:eastAsia="en-US"/>
              </w:rPr>
              <w:t>Båndkopi</w:t>
            </w:r>
            <w:proofErr w:type="spellEnd"/>
            <w:r w:rsidRPr="003329AD">
              <w:rPr>
                <w:bCs/>
                <w:i/>
                <w:iCs/>
                <w:sz w:val="22"/>
                <w:szCs w:val="22"/>
                <w:lang w:eastAsia="en-US"/>
              </w:rPr>
              <w:t xml:space="preserve"> v Nokia </w:t>
            </w:r>
            <w:proofErr w:type="spellStart"/>
            <w:r w:rsidRPr="003329AD">
              <w:rPr>
                <w:bCs/>
                <w:i/>
                <w:iCs/>
                <w:sz w:val="22"/>
                <w:szCs w:val="22"/>
                <w:lang w:eastAsia="en-US"/>
              </w:rPr>
              <w:t>Danmark</w:t>
            </w:r>
            <w:proofErr w:type="spellEnd"/>
            <w:r w:rsidRPr="003329AD">
              <w:rPr>
                <w:bCs/>
                <w:i/>
                <w:iCs/>
                <w:sz w:val="22"/>
                <w:szCs w:val="22"/>
                <w:lang w:eastAsia="en-US"/>
              </w:rPr>
              <w:t xml:space="preserve"> A/S</w:t>
            </w:r>
            <w:r w:rsidRPr="003329AD">
              <w:rPr>
                <w:bCs/>
                <w:sz w:val="22"/>
                <w:szCs w:val="22"/>
                <w:lang w:eastAsia="en-US"/>
              </w:rPr>
              <w:t xml:space="preserve"> ir atzinusi </w:t>
            </w:r>
            <w:r w:rsidRPr="00E36116">
              <w:rPr>
                <w:bCs/>
                <w:sz w:val="22"/>
                <w:szCs w:val="22"/>
                <w:lang w:eastAsia="en-US"/>
              </w:rPr>
              <w:t xml:space="preserve">(sk. sprieduma 24. – 25.punktu), ka dalībvalstīm, lai noteiktu atlīdzību par </w:t>
            </w:r>
            <w:proofErr w:type="spellStart"/>
            <w:r w:rsidRPr="00E36116">
              <w:rPr>
                <w:bCs/>
                <w:sz w:val="22"/>
                <w:szCs w:val="22"/>
                <w:lang w:eastAsia="en-US"/>
              </w:rPr>
              <w:t>privātkopēšanas</w:t>
            </w:r>
            <w:proofErr w:type="spellEnd"/>
            <w:r w:rsidRPr="00E36116">
              <w:rPr>
                <w:bCs/>
                <w:sz w:val="22"/>
                <w:szCs w:val="22"/>
                <w:lang w:eastAsia="en-US"/>
              </w:rPr>
              <w:t xml:space="preserve"> ierobežojumu, nav jāpierāda, ka fiziskās personas ar šīm iekārtām un nesējiem tiešām ir izgatavojušas kopijas privātai lietošanai. Ja šādas iekārtas un nesēji ir nodoti fizisku personu kā privātu lietotāju rīcībā, pietiek ar šo iekārtu un nesēju spēju izgatavot kopijas, lai pamatotu </w:t>
            </w:r>
            <w:proofErr w:type="spellStart"/>
            <w:r w:rsidRPr="00E36116">
              <w:rPr>
                <w:bCs/>
                <w:sz w:val="22"/>
                <w:szCs w:val="22"/>
                <w:lang w:eastAsia="en-US"/>
              </w:rPr>
              <w:t>privātkopēšanas</w:t>
            </w:r>
            <w:proofErr w:type="spellEnd"/>
            <w:r w:rsidRPr="00E36116">
              <w:rPr>
                <w:bCs/>
                <w:sz w:val="22"/>
                <w:szCs w:val="22"/>
                <w:lang w:eastAsia="en-US"/>
              </w:rPr>
              <w:t xml:space="preserve"> atlīdzības piemērošanu.</w:t>
            </w:r>
          </w:p>
          <w:p w:rsidRPr="00E36116" w:rsidR="00736354" w:rsidP="00736354" w:rsidRDefault="00736354" w14:paraId="1C0AB1CA" w14:textId="431CF03D">
            <w:pPr>
              <w:pStyle w:val="naisc"/>
              <w:spacing w:before="0" w:after="0"/>
              <w:jc w:val="both"/>
              <w:rPr>
                <w:bCs/>
                <w:sz w:val="22"/>
                <w:szCs w:val="22"/>
                <w:lang w:eastAsia="en-US"/>
              </w:rPr>
            </w:pPr>
            <w:r w:rsidRPr="00E36116">
              <w:rPr>
                <w:bCs/>
                <w:sz w:val="22"/>
                <w:szCs w:val="22"/>
                <w:lang w:eastAsia="en-US"/>
              </w:rPr>
              <w:t xml:space="preserve">Tādējādi secināms, ka atbilstoši Eiropas Savienības Tiesas noteiktajam dalībvalstīm nav jāpierāda, ka </w:t>
            </w:r>
            <w:proofErr w:type="spellStart"/>
            <w:r w:rsidRPr="00E36116">
              <w:rPr>
                <w:bCs/>
                <w:sz w:val="22"/>
                <w:szCs w:val="22"/>
                <w:lang w:eastAsia="en-US"/>
              </w:rPr>
              <w:t>privātkopēšana</w:t>
            </w:r>
            <w:proofErr w:type="spellEnd"/>
            <w:r w:rsidRPr="00E36116">
              <w:rPr>
                <w:bCs/>
                <w:sz w:val="22"/>
                <w:szCs w:val="22"/>
                <w:lang w:eastAsia="en-US"/>
              </w:rPr>
              <w:t xml:space="preserve"> praksē tiek veikta. Vienlaikus K</w:t>
            </w:r>
            <w:r>
              <w:rPr>
                <w:bCs/>
                <w:sz w:val="22"/>
                <w:szCs w:val="22"/>
                <w:lang w:eastAsia="en-US"/>
              </w:rPr>
              <w:t>ultūras ministrijas</w:t>
            </w:r>
            <w:r w:rsidRPr="00E36116">
              <w:rPr>
                <w:bCs/>
                <w:sz w:val="22"/>
                <w:szCs w:val="22"/>
                <w:lang w:eastAsia="en-US"/>
              </w:rPr>
              <w:t xml:space="preserve"> ieskatā </w:t>
            </w:r>
            <w:proofErr w:type="spellStart"/>
            <w:r w:rsidRPr="00E36116">
              <w:rPr>
                <w:bCs/>
                <w:sz w:val="22"/>
                <w:szCs w:val="22"/>
                <w:lang w:eastAsia="en-US"/>
              </w:rPr>
              <w:t>privātkopēšanas</w:t>
            </w:r>
            <w:proofErr w:type="spellEnd"/>
            <w:r w:rsidRPr="00E36116">
              <w:rPr>
                <w:bCs/>
                <w:sz w:val="22"/>
                <w:szCs w:val="22"/>
                <w:lang w:eastAsia="en-US"/>
              </w:rPr>
              <w:t xml:space="preserve"> pētījuma rezultāti (t.i. konkrētā nesēja vai iekārtas izmantošanas biežums </w:t>
            </w:r>
            <w:proofErr w:type="spellStart"/>
            <w:r w:rsidRPr="00E36116">
              <w:rPr>
                <w:bCs/>
                <w:sz w:val="22"/>
                <w:szCs w:val="22"/>
                <w:lang w:eastAsia="en-US"/>
              </w:rPr>
              <w:lastRenderedPageBreak/>
              <w:t>privātkopēšanai</w:t>
            </w:r>
            <w:proofErr w:type="spellEnd"/>
            <w:r w:rsidRPr="00E36116">
              <w:rPr>
                <w:bCs/>
                <w:sz w:val="22"/>
                <w:szCs w:val="22"/>
                <w:lang w:eastAsia="en-US"/>
              </w:rPr>
              <w:t>) ņemami vērā, nosakot nesēja atlīdzības apmēru.</w:t>
            </w:r>
          </w:p>
        </w:tc>
        <w:tc>
          <w:tcPr>
            <w:tcW w:w="769" w:type="pct"/>
            <w:tcBorders>
              <w:top w:val="single" w:color="auto" w:sz="4" w:space="0"/>
              <w:left w:val="single" w:color="auto" w:sz="4" w:space="0"/>
              <w:bottom w:val="single" w:color="auto" w:sz="4" w:space="0"/>
              <w:right w:val="single" w:color="auto" w:sz="4" w:space="0"/>
            </w:tcBorders>
          </w:tcPr>
          <w:p w:rsidR="00736354" w:rsidP="00736354" w:rsidRDefault="00736354" w14:paraId="2B0E2D8A" w14:textId="77777777">
            <w:pPr>
              <w:rPr>
                <w:sz w:val="22"/>
                <w:szCs w:val="22"/>
                <w:lang w:eastAsia="en-US"/>
              </w:rPr>
            </w:pPr>
            <w:r w:rsidRPr="00736354">
              <w:rPr>
                <w:b/>
                <w:bCs/>
                <w:sz w:val="22"/>
                <w:szCs w:val="22"/>
                <w:lang w:eastAsia="en-US"/>
              </w:rPr>
              <w:lastRenderedPageBreak/>
              <w:t>LIKTA</w:t>
            </w:r>
            <w:r>
              <w:rPr>
                <w:b/>
                <w:bCs/>
                <w:sz w:val="22"/>
                <w:szCs w:val="22"/>
                <w:lang w:eastAsia="en-US"/>
              </w:rPr>
              <w:t>, LIA:</w:t>
            </w:r>
          </w:p>
          <w:p w:rsidR="00736354" w:rsidP="00736354" w:rsidRDefault="00736354" w14:paraId="59F5C70C" w14:textId="77777777">
            <w:pPr>
              <w:pStyle w:val="naisc"/>
              <w:spacing w:before="0" w:after="0"/>
              <w:jc w:val="both"/>
              <w:rPr>
                <w:sz w:val="22"/>
                <w:szCs w:val="22"/>
                <w:lang w:eastAsia="en-US"/>
              </w:rPr>
            </w:pPr>
            <w:r>
              <w:rPr>
                <w:sz w:val="22"/>
                <w:szCs w:val="22"/>
                <w:lang w:eastAsia="en-US"/>
              </w:rPr>
              <w:t>U</w:t>
            </w:r>
            <w:r w:rsidRPr="00736354">
              <w:rPr>
                <w:sz w:val="22"/>
                <w:szCs w:val="22"/>
                <w:lang w:eastAsia="en-US"/>
              </w:rPr>
              <w:t>ztur iepriekš izteiktos iebildumus un neatbalsta Projekta tālāku virzību.</w:t>
            </w:r>
          </w:p>
          <w:p w:rsidRPr="00E36116" w:rsidR="00736354" w:rsidP="00736354" w:rsidRDefault="00736354" w14:paraId="615346E8" w14:textId="77777777">
            <w:pPr>
              <w:pStyle w:val="naisc"/>
              <w:spacing w:before="0" w:after="0"/>
              <w:jc w:val="both"/>
              <w:rPr>
                <w:sz w:val="22"/>
                <w:szCs w:val="22"/>
              </w:rPr>
            </w:pPr>
          </w:p>
        </w:tc>
        <w:tc>
          <w:tcPr>
            <w:tcW w:w="840" w:type="pct"/>
            <w:tcBorders>
              <w:top w:val="single" w:color="auto" w:sz="4" w:space="0"/>
              <w:left w:val="single" w:color="auto" w:sz="4" w:space="0"/>
              <w:bottom w:val="single" w:color="auto" w:sz="4" w:space="0"/>
              <w:right w:val="single" w:color="auto" w:sz="4" w:space="0"/>
            </w:tcBorders>
          </w:tcPr>
          <w:p w:rsidR="00736354" w:rsidP="00736354" w:rsidRDefault="00736354" w14:paraId="3066E8AA" w14:textId="48391F20">
            <w:pPr>
              <w:pStyle w:val="naisc"/>
              <w:spacing w:before="0" w:after="0"/>
              <w:jc w:val="both"/>
              <w:rPr>
                <w:sz w:val="22"/>
                <w:szCs w:val="22"/>
              </w:rPr>
            </w:pPr>
            <w:r w:rsidRPr="00903684">
              <w:rPr>
                <w:sz w:val="22"/>
                <w:szCs w:val="22"/>
              </w:rPr>
              <w:t xml:space="preserve">Ministru kabineta noteikumu </w:t>
            </w:r>
            <w:r>
              <w:rPr>
                <w:sz w:val="22"/>
                <w:szCs w:val="22"/>
              </w:rPr>
              <w:t>p</w:t>
            </w:r>
            <w:r w:rsidRPr="00E36116">
              <w:rPr>
                <w:sz w:val="22"/>
                <w:szCs w:val="22"/>
              </w:rPr>
              <w:t xml:space="preserve">rojekta sākotnējās ietekmes novērtējuma ziņojuma (anotācijas) I sadaļas </w:t>
            </w:r>
            <w:r w:rsidRPr="00E36116">
              <w:rPr>
                <w:sz w:val="22"/>
                <w:szCs w:val="22"/>
              </w:rPr>
              <w:lastRenderedPageBreak/>
              <w:t>2.punkts precizēts šādā redakcijā:</w:t>
            </w:r>
          </w:p>
          <w:p w:rsidR="00736354" w:rsidP="00736354" w:rsidRDefault="00736354" w14:paraId="40301019" w14:textId="77777777">
            <w:pPr>
              <w:jc w:val="both"/>
              <w:rPr>
                <w:sz w:val="22"/>
                <w:szCs w:val="22"/>
              </w:rPr>
            </w:pPr>
          </w:p>
          <w:p w:rsidRPr="00E36116" w:rsidR="00736354" w:rsidP="00736354" w:rsidRDefault="00736354" w14:paraId="52D418C8" w14:textId="5C1915C2">
            <w:pPr>
              <w:jc w:val="both"/>
              <w:rPr>
                <w:sz w:val="22"/>
                <w:szCs w:val="22"/>
              </w:rPr>
            </w:pPr>
            <w:r w:rsidRPr="00E36116">
              <w:rPr>
                <w:sz w:val="22"/>
                <w:szCs w:val="22"/>
              </w:rPr>
              <w:t>„[..]</w:t>
            </w:r>
            <w:r>
              <w:rPr>
                <w:sz w:val="22"/>
                <w:szCs w:val="22"/>
              </w:rPr>
              <w:t xml:space="preserve"> </w:t>
            </w:r>
            <w:r w:rsidRPr="00E36116">
              <w:rPr>
                <w:sz w:val="22"/>
                <w:szCs w:val="22"/>
              </w:rPr>
              <w:t xml:space="preserve">Izpētes rezultātā secināts, ka pašlaik lielākajā daļā Eiropas Savienības dalībvalstu viedtālruņi ir iekļauti iekārtu sarakstā. No 22 Eiropas Savienības dalībvalstīm, kurā pastāv atlīdzības iekasēšanas un sadales sistēma, 20 valstis, tai skaitā Lietuva un Igaunija, viedtālruņus iekļāvušas nesēju un iekārtu sarakstā. Viedtālruņi sarakstā nav iekļauti tikai Bulgārijai un Latvijai. Somijā atlīdzība par nesējiem un iekārtām netiek maksāta, bet gan ieviesta sistēma, ka valsts maksā atlīdzību par </w:t>
            </w:r>
            <w:proofErr w:type="spellStart"/>
            <w:r w:rsidRPr="00E36116">
              <w:rPr>
                <w:sz w:val="22"/>
                <w:szCs w:val="22"/>
              </w:rPr>
              <w:t>privātkopēšanu</w:t>
            </w:r>
            <w:proofErr w:type="spellEnd"/>
            <w:r w:rsidRPr="00E36116">
              <w:rPr>
                <w:sz w:val="22"/>
                <w:szCs w:val="22"/>
              </w:rPr>
              <w:t xml:space="preserve">. Eiropas Savienības Tiesa 2016.gada 9.jūnija spriedumā lietā Nr.C-470/14 EGEDA atzina, ka tāda </w:t>
            </w:r>
            <w:proofErr w:type="spellStart"/>
            <w:r w:rsidRPr="00E36116">
              <w:rPr>
                <w:sz w:val="22"/>
                <w:szCs w:val="22"/>
              </w:rPr>
              <w:t>privātkopēšanas</w:t>
            </w:r>
            <w:proofErr w:type="spellEnd"/>
            <w:r w:rsidRPr="00E36116">
              <w:rPr>
                <w:sz w:val="22"/>
                <w:szCs w:val="22"/>
              </w:rPr>
              <w:t xml:space="preserve"> sistēma, kuras ietvaros atlīdzība tiek finansēta no valsts budžeta, ir pretrunā ar Eiropas </w:t>
            </w:r>
            <w:r w:rsidRPr="00E36116">
              <w:rPr>
                <w:sz w:val="22"/>
                <w:szCs w:val="22"/>
              </w:rPr>
              <w:lastRenderedPageBreak/>
              <w:t>Parlamenta un Padomes 2001.gada 22.maija direktīvas 2001/29/EK par dažu autortiesību un blakustiesību aspektu saskaņošanu informācijas sabiedrībā (turpmāk – Direktīva 2001/29/EK) 5.panta 2.punkta b) apakšpunktu, jo liedz iespēju nodrošināt, ka šīs taisnīgās atlīdzības izmaksas sedz privātu kopiju lietotāji.</w:t>
            </w:r>
            <w:r>
              <w:rPr>
                <w:sz w:val="22"/>
                <w:szCs w:val="22"/>
              </w:rPr>
              <w:t xml:space="preserve"> </w:t>
            </w:r>
            <w:r w:rsidRPr="00E36116">
              <w:rPr>
                <w:sz w:val="22"/>
                <w:szCs w:val="22"/>
              </w:rPr>
              <w:t>[..]</w:t>
            </w:r>
            <w:r>
              <w:rPr>
                <w:sz w:val="22"/>
                <w:szCs w:val="22"/>
              </w:rPr>
              <w:t>”</w:t>
            </w:r>
          </w:p>
        </w:tc>
      </w:tr>
      <w:tr w:rsidRPr="00E36116" w:rsidR="00736354" w:rsidTr="00E36116" w14:paraId="7E78DA88" w14:textId="77777777">
        <w:tc>
          <w:tcPr>
            <w:tcW w:w="191" w:type="pct"/>
            <w:tcBorders>
              <w:top w:val="single" w:color="000000" w:sz="6" w:space="0"/>
              <w:left w:val="single" w:color="000000" w:sz="6" w:space="0"/>
              <w:bottom w:val="single" w:color="000000" w:sz="6" w:space="0"/>
              <w:right w:val="single" w:color="000000" w:sz="6" w:space="0"/>
            </w:tcBorders>
          </w:tcPr>
          <w:p w:rsidRPr="00E36116" w:rsidR="00736354" w:rsidP="00736354" w:rsidRDefault="00736354" w14:paraId="0003BEF9" w14:textId="02667A83">
            <w:pPr>
              <w:pStyle w:val="naisc"/>
              <w:spacing w:before="0" w:after="0"/>
              <w:rPr>
                <w:sz w:val="22"/>
                <w:szCs w:val="22"/>
                <w:lang w:eastAsia="en-US"/>
              </w:rPr>
            </w:pPr>
            <w:r w:rsidRPr="00E36116">
              <w:rPr>
                <w:sz w:val="22"/>
                <w:szCs w:val="22"/>
                <w:lang w:eastAsia="en-US"/>
              </w:rPr>
              <w:lastRenderedPageBreak/>
              <w:t>7.</w:t>
            </w:r>
          </w:p>
        </w:tc>
        <w:tc>
          <w:tcPr>
            <w:tcW w:w="862" w:type="pct"/>
            <w:tcBorders>
              <w:top w:val="single" w:color="000000" w:sz="6" w:space="0"/>
              <w:left w:val="single" w:color="000000" w:sz="6" w:space="0"/>
              <w:bottom w:val="single" w:color="000000" w:sz="6" w:space="0"/>
              <w:right w:val="single" w:color="000000" w:sz="6" w:space="0"/>
            </w:tcBorders>
          </w:tcPr>
          <w:p w:rsidRPr="00E36116" w:rsidR="00736354" w:rsidP="00736354" w:rsidRDefault="00736354" w14:paraId="74844E17" w14:textId="4964A930">
            <w:pPr>
              <w:pStyle w:val="naisc"/>
              <w:spacing w:before="0" w:after="0"/>
              <w:jc w:val="both"/>
              <w:rPr>
                <w:sz w:val="22"/>
                <w:szCs w:val="22"/>
              </w:rPr>
            </w:pPr>
            <w:r w:rsidRPr="00903684">
              <w:rPr>
                <w:sz w:val="22"/>
                <w:szCs w:val="22"/>
              </w:rPr>
              <w:t xml:space="preserve">Ministru kabineta noteikumu </w:t>
            </w:r>
            <w:r>
              <w:rPr>
                <w:sz w:val="22"/>
                <w:szCs w:val="22"/>
              </w:rPr>
              <w:t>p</w:t>
            </w:r>
            <w:r w:rsidRPr="00E36116">
              <w:rPr>
                <w:sz w:val="22"/>
                <w:szCs w:val="22"/>
              </w:rPr>
              <w:t xml:space="preserve">rojekta sākotnējās ietekmes novērtējuma ziņojuma </w:t>
            </w:r>
            <w:r w:rsidRPr="00793437">
              <w:rPr>
                <w:sz w:val="22"/>
                <w:szCs w:val="22"/>
              </w:rPr>
              <w:t>(anotācijas) I sadaļas 2.punkts:</w:t>
            </w:r>
          </w:p>
          <w:p w:rsidR="00736354" w:rsidP="00736354" w:rsidRDefault="00736354" w14:paraId="4748B848" w14:textId="77777777">
            <w:pPr>
              <w:jc w:val="both"/>
              <w:rPr>
                <w:sz w:val="22"/>
                <w:szCs w:val="22"/>
              </w:rPr>
            </w:pPr>
          </w:p>
          <w:p w:rsidRPr="00E36116" w:rsidR="00736354" w:rsidP="00736354" w:rsidRDefault="00736354" w14:paraId="47E54807" w14:textId="74DD2DCC">
            <w:pPr>
              <w:jc w:val="both"/>
              <w:rPr>
                <w:sz w:val="22"/>
                <w:szCs w:val="22"/>
              </w:rPr>
            </w:pPr>
            <w:r w:rsidRPr="00E36116">
              <w:rPr>
                <w:sz w:val="22"/>
                <w:szCs w:val="22"/>
              </w:rPr>
              <w:t xml:space="preserve">„[..] </w:t>
            </w:r>
            <w:r w:rsidRPr="00E36116">
              <w:rPr>
                <w:iCs/>
                <w:sz w:val="22"/>
                <w:szCs w:val="22"/>
              </w:rPr>
              <w:t xml:space="preserve">Atbilstoši Eiropas Savienības Tiesas 2015.gada 5.marta spriedumā lietā Nr.C-463/12 </w:t>
            </w:r>
            <w:proofErr w:type="spellStart"/>
            <w:r w:rsidRPr="00E36116">
              <w:rPr>
                <w:i/>
                <w:iCs/>
                <w:sz w:val="22"/>
                <w:szCs w:val="22"/>
              </w:rPr>
              <w:t>Copydan</w:t>
            </w:r>
            <w:proofErr w:type="spellEnd"/>
            <w:r w:rsidRPr="00E36116">
              <w:rPr>
                <w:i/>
                <w:iCs/>
                <w:sz w:val="22"/>
                <w:szCs w:val="22"/>
              </w:rPr>
              <w:t xml:space="preserve"> </w:t>
            </w:r>
            <w:proofErr w:type="spellStart"/>
            <w:r w:rsidRPr="00E36116">
              <w:rPr>
                <w:i/>
                <w:iCs/>
                <w:sz w:val="22"/>
                <w:szCs w:val="22"/>
              </w:rPr>
              <w:t>Båndkopi</w:t>
            </w:r>
            <w:proofErr w:type="spellEnd"/>
            <w:r w:rsidRPr="00E36116">
              <w:rPr>
                <w:i/>
                <w:iCs/>
                <w:sz w:val="22"/>
                <w:szCs w:val="22"/>
              </w:rPr>
              <w:t xml:space="preserve"> v Nokia </w:t>
            </w:r>
            <w:proofErr w:type="spellStart"/>
            <w:r w:rsidRPr="00E36116">
              <w:rPr>
                <w:i/>
                <w:iCs/>
                <w:sz w:val="22"/>
                <w:szCs w:val="22"/>
              </w:rPr>
              <w:t>Danmark</w:t>
            </w:r>
            <w:proofErr w:type="spellEnd"/>
            <w:r w:rsidRPr="00E36116">
              <w:rPr>
                <w:i/>
                <w:iCs/>
                <w:sz w:val="22"/>
                <w:szCs w:val="22"/>
              </w:rPr>
              <w:t xml:space="preserve"> A/S</w:t>
            </w:r>
            <w:r w:rsidRPr="00E36116">
              <w:rPr>
                <w:iCs/>
                <w:sz w:val="22"/>
                <w:szCs w:val="22"/>
              </w:rPr>
              <w:t xml:space="preserve"> paustajām atziņām, dalībvalstīm, lai noteiktu atlīdzību par </w:t>
            </w:r>
            <w:proofErr w:type="spellStart"/>
            <w:r w:rsidRPr="00E36116">
              <w:rPr>
                <w:iCs/>
                <w:sz w:val="22"/>
                <w:szCs w:val="22"/>
              </w:rPr>
              <w:t>privātkopēšanas</w:t>
            </w:r>
            <w:proofErr w:type="spellEnd"/>
            <w:r w:rsidRPr="00E36116">
              <w:rPr>
                <w:iCs/>
                <w:sz w:val="22"/>
                <w:szCs w:val="22"/>
              </w:rPr>
              <w:t xml:space="preserve"> ierobežojumu, nav jāpierāda, ka fiziskās personas ar šīm iekārtām un nesējiem tiešām ir </w:t>
            </w:r>
            <w:r w:rsidRPr="00E36116">
              <w:rPr>
                <w:iCs/>
                <w:sz w:val="22"/>
                <w:szCs w:val="22"/>
              </w:rPr>
              <w:lastRenderedPageBreak/>
              <w:t xml:space="preserve">izgatavojušas kopijas privātai lietošanai. Ja šādas iekārtas un nesēji ir nodoti fizisku personu kā privātu lietotāju rīcībā, pietiek ar šo iekārtu un nesēju spēju izgatavot kopijas, lai pamatotu </w:t>
            </w:r>
            <w:proofErr w:type="spellStart"/>
            <w:r w:rsidRPr="00E36116">
              <w:rPr>
                <w:iCs/>
                <w:sz w:val="22"/>
                <w:szCs w:val="22"/>
              </w:rPr>
              <w:t>privātkopēšanas</w:t>
            </w:r>
            <w:proofErr w:type="spellEnd"/>
            <w:r w:rsidRPr="00E36116">
              <w:rPr>
                <w:iCs/>
                <w:sz w:val="22"/>
                <w:szCs w:val="22"/>
              </w:rPr>
              <w:t xml:space="preserve"> atlīdzības piemērošanu. Principā nav nozīmes tam, vai iekārtai vai nesējam ir viena funkcija vai vairākas funkcijas, nedz arī tam, vai reproducēšanas funkcija attiecīgā gadījumā ir sekundāra attiecībā pret citām funkcijām, jo tiek pieņemts, ka galīgie lietotāji izmanto visas pieejamās šī nesēja vai iekārtas funkcijas.</w:t>
            </w:r>
            <w:r w:rsidRPr="00E36116">
              <w:rPr>
                <w:color w:val="000000"/>
                <w:sz w:val="22"/>
                <w:szCs w:val="22"/>
              </w:rPr>
              <w:t> </w:t>
            </w:r>
            <w:r w:rsidRPr="00E36116">
              <w:rPr>
                <w:iCs/>
                <w:sz w:val="22"/>
                <w:szCs w:val="22"/>
              </w:rPr>
              <w:t xml:space="preserve">Taču ar reproducēšanu saistītās funkcijas </w:t>
            </w:r>
            <w:proofErr w:type="spellStart"/>
            <w:r w:rsidRPr="00E36116">
              <w:rPr>
                <w:iCs/>
                <w:sz w:val="22"/>
                <w:szCs w:val="22"/>
              </w:rPr>
              <w:t>daudzfunkcionalitāte</w:t>
            </w:r>
            <w:proofErr w:type="spellEnd"/>
            <w:r w:rsidRPr="00E36116">
              <w:rPr>
                <w:iCs/>
                <w:sz w:val="22"/>
                <w:szCs w:val="22"/>
              </w:rPr>
              <w:t xml:space="preserve"> un sekundārais raksturs var ietekmēt taisnīgās atlīdzības apmēru. It īpaši, ņemot vērā datu nesēja spējas reproducēt darbus privātai lietošanai relatīvo nozīmīgumu.</w:t>
            </w:r>
          </w:p>
          <w:p w:rsidRPr="00E36116" w:rsidR="00736354" w:rsidP="00736354" w:rsidRDefault="00736354" w14:paraId="2AC206B6" w14:textId="5AB2DE9D">
            <w:pPr>
              <w:ind w:firstLine="288"/>
              <w:jc w:val="both"/>
              <w:rPr>
                <w:sz w:val="22"/>
                <w:szCs w:val="22"/>
              </w:rPr>
            </w:pPr>
            <w:r w:rsidRPr="00E36116">
              <w:rPr>
                <w:iCs/>
                <w:sz w:val="22"/>
                <w:szCs w:val="22"/>
              </w:rPr>
              <w:t xml:space="preserve">Tikai gadījumā, ja tiek konstatēts, ka praksē kāda nesēja vai iekārtas </w:t>
            </w:r>
            <w:r w:rsidRPr="00E36116">
              <w:rPr>
                <w:iCs/>
                <w:sz w:val="22"/>
                <w:szCs w:val="22"/>
              </w:rPr>
              <w:lastRenderedPageBreak/>
              <w:t xml:space="preserve">lietotāji tikpat kā neizmanto šo nesēju vai iekārtu darbu </w:t>
            </w:r>
            <w:proofErr w:type="spellStart"/>
            <w:r w:rsidRPr="00E36116">
              <w:rPr>
                <w:iCs/>
                <w:sz w:val="22"/>
                <w:szCs w:val="22"/>
              </w:rPr>
              <w:t>privātkopēšanai</w:t>
            </w:r>
            <w:proofErr w:type="spellEnd"/>
            <w:r w:rsidRPr="00E36116">
              <w:rPr>
                <w:iCs/>
                <w:sz w:val="22"/>
                <w:szCs w:val="22"/>
              </w:rPr>
              <w:t>, šīs funkcijas nodrošināšana var neradīt pienākumu maksāt taisnīgu atlīdzību, ja tiesību subjektiem radītais kaitējums uzskatāms par minimālu.</w:t>
            </w:r>
            <w:r>
              <w:rPr>
                <w:sz w:val="22"/>
                <w:szCs w:val="22"/>
              </w:rPr>
              <w:t xml:space="preserve"> </w:t>
            </w:r>
            <w:r w:rsidRPr="00E36116">
              <w:rPr>
                <w:sz w:val="22"/>
                <w:szCs w:val="22"/>
              </w:rPr>
              <w:t>[..]</w:t>
            </w:r>
            <w:r>
              <w:rPr>
                <w:sz w:val="22"/>
                <w:szCs w:val="22"/>
              </w:rPr>
              <w:t>”</w:t>
            </w:r>
          </w:p>
        </w:tc>
        <w:tc>
          <w:tcPr>
            <w:tcW w:w="1221" w:type="pct"/>
            <w:tcBorders>
              <w:top w:val="single" w:color="000000" w:sz="6" w:space="0"/>
              <w:left w:val="single" w:color="000000" w:sz="6" w:space="0"/>
              <w:bottom w:val="single" w:color="000000" w:sz="6" w:space="0"/>
              <w:right w:val="single" w:color="000000" w:sz="6" w:space="0"/>
            </w:tcBorders>
          </w:tcPr>
          <w:p w:rsidRPr="00E36116" w:rsidR="00736354" w:rsidP="00736354" w:rsidRDefault="00736354" w14:paraId="6F961291" w14:textId="750EAFD5">
            <w:pPr>
              <w:pStyle w:val="naiskr"/>
              <w:spacing w:before="0" w:after="0"/>
              <w:jc w:val="both"/>
              <w:rPr>
                <w:rFonts w:eastAsia="Calibri"/>
                <w:b/>
                <w:bCs/>
                <w:sz w:val="22"/>
                <w:szCs w:val="22"/>
                <w:shd w:val="clear" w:color="auto" w:fill="FFFFFF"/>
              </w:rPr>
            </w:pPr>
            <w:r w:rsidRPr="00E36116">
              <w:rPr>
                <w:rFonts w:eastAsia="Calibri"/>
                <w:b/>
                <w:bCs/>
                <w:sz w:val="22"/>
                <w:szCs w:val="22"/>
                <w:shd w:val="clear" w:color="auto" w:fill="FFFFFF"/>
              </w:rPr>
              <w:lastRenderedPageBreak/>
              <w:t>LTRK, LETERA, LIKTA, LIA</w:t>
            </w:r>
            <w:r>
              <w:rPr>
                <w:rFonts w:eastAsia="Calibri"/>
                <w:b/>
                <w:bCs/>
                <w:sz w:val="22"/>
                <w:szCs w:val="22"/>
                <w:shd w:val="clear" w:color="auto" w:fill="FFFFFF"/>
              </w:rPr>
              <w:t>:</w:t>
            </w:r>
          </w:p>
          <w:p w:rsidRPr="00E36116" w:rsidR="00736354" w:rsidP="00736354" w:rsidRDefault="00736354" w14:paraId="70884D0E" w14:textId="5A05F7F8">
            <w:pPr>
              <w:jc w:val="both"/>
              <w:rPr>
                <w:bCs/>
                <w:sz w:val="22"/>
                <w:szCs w:val="22"/>
              </w:rPr>
            </w:pPr>
            <w:r w:rsidRPr="00E36116">
              <w:rPr>
                <w:sz w:val="22"/>
                <w:szCs w:val="22"/>
                <w:shd w:val="clear" w:color="auto" w:fill="FFFFFF"/>
              </w:rPr>
              <w:t>[..] V</w:t>
            </w:r>
            <w:r w:rsidRPr="00E36116">
              <w:rPr>
                <w:rFonts w:eastAsia="Calibri"/>
                <w:iCs/>
                <w:sz w:val="22"/>
                <w:szCs w:val="22"/>
              </w:rPr>
              <w:t xml:space="preserve">ar pastāvēt situācija, kad viedtālruņi netiek izmantoti </w:t>
            </w:r>
            <w:proofErr w:type="spellStart"/>
            <w:r w:rsidRPr="00E36116">
              <w:rPr>
                <w:rFonts w:eastAsia="Calibri"/>
                <w:iCs/>
                <w:sz w:val="22"/>
                <w:szCs w:val="22"/>
              </w:rPr>
              <w:t>privātkopēšanai</w:t>
            </w:r>
            <w:proofErr w:type="spellEnd"/>
            <w:r w:rsidRPr="00E36116">
              <w:rPr>
                <w:rFonts w:eastAsia="Calibri"/>
                <w:iCs/>
                <w:sz w:val="22"/>
                <w:szCs w:val="22"/>
              </w:rPr>
              <w:t xml:space="preserve">, un atbilstoši iepriekš minētai atziņai par šādiem viedtālruņiem nebūtu iekasējama maksa (radītais kaitējums atbilstoši 2019.gada Pētījumam ir neliels). Šai sakarā vēlamies norādīt, ka </w:t>
            </w:r>
            <w:r w:rsidRPr="00E36116">
              <w:rPr>
                <w:rFonts w:eastAsia="Calibri"/>
                <w:sz w:val="22"/>
                <w:szCs w:val="22"/>
                <w:shd w:val="clear" w:color="auto" w:fill="FFFFFF"/>
              </w:rPr>
              <w:t xml:space="preserve">atsevišķu marku viedtālruņi tehniski ir veidoti tā, ka nenodrošina kopēšanas iespējas vai arī kopēšana, izmantojot šos viedtālruņus, ir tik komplicēts darbību kopums, ka lietotājam ir ļoti sarežģīti izmantot viedtālruni kopēšanai bez speciālām zināšanām. 2020.gada Pētījumā šis aspekts netika vērtēts, kaut gan tas ir būtisks – tā ignorēšana novedīs tie tā, ka maksājums tiks attiecināts uz ierīcēm par funkciju, kuru tās </w:t>
            </w:r>
            <w:r w:rsidRPr="00E36116">
              <w:rPr>
                <w:rFonts w:eastAsia="Calibri"/>
                <w:sz w:val="22"/>
                <w:szCs w:val="22"/>
                <w:shd w:val="clear" w:color="auto" w:fill="FFFFFF"/>
              </w:rPr>
              <w:lastRenderedPageBreak/>
              <w:t xml:space="preserve">nenodrošina vai funkcijas izmantošana ir apgrūtinoša vidusmēra patērētājam. Ne Noteikumos, ne Grozījumu projekts neatrunā procedūru, kā būtu jārīkojas viedtālruņu pārdevējiem gadījumā, ja tas var pamatoti pierādīt, ka viedtālrunis (konkrētā marka, modelis) neparedz kopēšanas funkciju vai arī šīs funkcijas izmantošana bez speciālām zināšanām nav izmantojama, kādi pierādījumi būtu jāpiestāda un kā tiktu oficiāli atzīta viedtālruņa kopēšanas funkcijas neesamība vai praktiska nepieejamība. Tāpēc uzskatām, ka Grozījumu projekts ir nepilnīgs, tā piemērošana attiecībā uz viedtālruņiem, kas nenodrošina kopēšanas funkciju radīs nepamatotus izdevumus šo viedtālruņu pārdevējiem vai pircējiem. Grozījumu projektā ir nepieciešams paredzēt attiecīgo mehānismu, ievērojot atziņas </w:t>
            </w:r>
            <w:r w:rsidRPr="00E36116">
              <w:rPr>
                <w:rFonts w:eastAsia="Calibri"/>
                <w:iCs/>
                <w:sz w:val="22"/>
                <w:szCs w:val="22"/>
              </w:rPr>
              <w:t>Eiropas Savienības Tiesas 2015.gada 5.marta spriedumā, lai nodrošinātu taisnīgus apstākļus.</w:t>
            </w:r>
            <w:r>
              <w:rPr>
                <w:bCs/>
                <w:sz w:val="22"/>
                <w:szCs w:val="22"/>
              </w:rPr>
              <w:t xml:space="preserve"> </w:t>
            </w:r>
            <w:r w:rsidRPr="00E36116">
              <w:rPr>
                <w:bCs/>
                <w:sz w:val="22"/>
                <w:szCs w:val="22"/>
              </w:rPr>
              <w:t>[..]</w:t>
            </w:r>
          </w:p>
        </w:tc>
        <w:tc>
          <w:tcPr>
            <w:tcW w:w="1116" w:type="pct"/>
            <w:tcBorders>
              <w:top w:val="single" w:color="000000" w:sz="6" w:space="0"/>
              <w:left w:val="single" w:color="000000" w:sz="6" w:space="0"/>
              <w:bottom w:val="single" w:color="000000" w:sz="6" w:space="0"/>
              <w:right w:val="single" w:color="000000" w:sz="6" w:space="0"/>
            </w:tcBorders>
          </w:tcPr>
          <w:p w:rsidRPr="00E36116" w:rsidR="00736354" w:rsidP="00736354" w:rsidRDefault="00736354" w14:paraId="4E2A135C" w14:textId="77777777">
            <w:pPr>
              <w:pStyle w:val="naisc"/>
              <w:spacing w:before="0" w:after="0"/>
              <w:ind w:firstLine="288"/>
              <w:rPr>
                <w:b/>
                <w:sz w:val="22"/>
                <w:szCs w:val="22"/>
                <w:lang w:eastAsia="en-US"/>
              </w:rPr>
            </w:pPr>
            <w:r w:rsidRPr="00E36116">
              <w:rPr>
                <w:b/>
                <w:sz w:val="22"/>
                <w:szCs w:val="22"/>
                <w:lang w:eastAsia="en-US"/>
              </w:rPr>
              <w:lastRenderedPageBreak/>
              <w:t>Nav ņemts vērā</w:t>
            </w:r>
          </w:p>
          <w:p w:rsidRPr="00E36116" w:rsidR="00736354" w:rsidP="00736354" w:rsidRDefault="00736354" w14:paraId="235404C9" w14:textId="010B212A">
            <w:pPr>
              <w:pStyle w:val="naisc"/>
              <w:spacing w:before="0" w:after="0"/>
              <w:jc w:val="both"/>
              <w:rPr>
                <w:b/>
                <w:sz w:val="22"/>
                <w:szCs w:val="22"/>
                <w:lang w:eastAsia="en-US"/>
              </w:rPr>
            </w:pPr>
            <w:r>
              <w:rPr>
                <w:sz w:val="22"/>
                <w:szCs w:val="22"/>
              </w:rPr>
              <w:t xml:space="preserve">Ministru kabineta </w:t>
            </w:r>
            <w:r>
              <w:rPr>
                <w:sz w:val="22"/>
                <w:szCs w:val="22"/>
                <w:lang w:eastAsia="en-US"/>
              </w:rPr>
              <w:t>n</w:t>
            </w:r>
            <w:r w:rsidRPr="00E36116">
              <w:rPr>
                <w:sz w:val="22"/>
                <w:szCs w:val="22"/>
                <w:lang w:eastAsia="en-US"/>
              </w:rPr>
              <w:t xml:space="preserve">oteikumu projekts paredz atlīdzības iekasēšanu tikai par viedtālruņiem (proti, tālruņiem ar kopēšanas funkciju), nevis visiem mobilajiem telefoniem. </w:t>
            </w:r>
          </w:p>
          <w:p w:rsidRPr="00E36116" w:rsidR="00736354" w:rsidP="00736354" w:rsidRDefault="00736354" w14:paraId="1D565960" w14:textId="77777777">
            <w:pPr>
              <w:pStyle w:val="naisc"/>
              <w:spacing w:before="0" w:after="0"/>
              <w:jc w:val="both"/>
              <w:rPr>
                <w:bCs/>
                <w:sz w:val="22"/>
                <w:szCs w:val="22"/>
                <w:lang w:eastAsia="en-US"/>
              </w:rPr>
            </w:pPr>
            <w:r w:rsidRPr="00E36116">
              <w:rPr>
                <w:bCs/>
                <w:sz w:val="22"/>
                <w:szCs w:val="22"/>
                <w:lang w:eastAsia="en-US"/>
              </w:rPr>
              <w:t xml:space="preserve">Atzinuma sniedzēji nav nodrošinājuši papildu informāciju, kas ļautu veikt </w:t>
            </w:r>
            <w:proofErr w:type="spellStart"/>
            <w:r w:rsidRPr="00E36116">
              <w:rPr>
                <w:bCs/>
                <w:sz w:val="22"/>
                <w:szCs w:val="22"/>
                <w:lang w:eastAsia="en-US"/>
              </w:rPr>
              <w:t>izvērtējumu</w:t>
            </w:r>
            <w:proofErr w:type="spellEnd"/>
            <w:r w:rsidRPr="00E36116">
              <w:rPr>
                <w:bCs/>
                <w:sz w:val="22"/>
                <w:szCs w:val="22"/>
                <w:lang w:eastAsia="en-US"/>
              </w:rPr>
              <w:t xml:space="preserve"> par viedtālruņiem, kas nenodrošina kopēšanas iespējas vai padara kopēšanu sarežģītu.</w:t>
            </w:r>
          </w:p>
          <w:p w:rsidRPr="00E36116" w:rsidR="00736354" w:rsidP="00736354" w:rsidRDefault="00736354" w14:paraId="3801110E" w14:textId="11E9190A">
            <w:pPr>
              <w:pStyle w:val="naisc"/>
              <w:spacing w:before="0" w:after="0"/>
              <w:jc w:val="both"/>
              <w:rPr>
                <w:bCs/>
                <w:sz w:val="22"/>
                <w:szCs w:val="22"/>
                <w:lang w:eastAsia="en-US"/>
              </w:rPr>
            </w:pPr>
            <w:r w:rsidRPr="00E36116">
              <w:rPr>
                <w:bCs/>
                <w:sz w:val="22"/>
                <w:szCs w:val="22"/>
                <w:lang w:eastAsia="en-US"/>
              </w:rPr>
              <w:t>Turklāt citu Eiropas Savienības dalībvalstu nesēja atlīdzības regulējums neparedz izņēmumu attiecībā uz atsevišķu marku viedtālruņiem, kurus nebūtu iespējams izmantot kopēšanai.</w:t>
            </w:r>
          </w:p>
        </w:tc>
        <w:tc>
          <w:tcPr>
            <w:tcW w:w="769" w:type="pct"/>
            <w:tcBorders>
              <w:top w:val="single" w:color="auto" w:sz="4" w:space="0"/>
              <w:left w:val="single" w:color="auto" w:sz="4" w:space="0"/>
              <w:bottom w:val="single" w:color="auto" w:sz="4" w:space="0"/>
              <w:right w:val="single" w:color="auto" w:sz="4" w:space="0"/>
            </w:tcBorders>
          </w:tcPr>
          <w:p w:rsidR="00736354" w:rsidP="00736354" w:rsidRDefault="00736354" w14:paraId="4EF98647" w14:textId="77777777">
            <w:pPr>
              <w:rPr>
                <w:sz w:val="22"/>
                <w:szCs w:val="22"/>
                <w:lang w:eastAsia="en-US"/>
              </w:rPr>
            </w:pPr>
            <w:r w:rsidRPr="00736354">
              <w:rPr>
                <w:b/>
                <w:bCs/>
                <w:sz w:val="22"/>
                <w:szCs w:val="22"/>
                <w:lang w:eastAsia="en-US"/>
              </w:rPr>
              <w:t>LIKTA</w:t>
            </w:r>
            <w:r>
              <w:rPr>
                <w:b/>
                <w:bCs/>
                <w:sz w:val="22"/>
                <w:szCs w:val="22"/>
                <w:lang w:eastAsia="en-US"/>
              </w:rPr>
              <w:t>, LIA:</w:t>
            </w:r>
          </w:p>
          <w:p w:rsidR="00736354" w:rsidP="00736354" w:rsidRDefault="00736354" w14:paraId="55A12E7A" w14:textId="77777777">
            <w:pPr>
              <w:pStyle w:val="naisc"/>
              <w:spacing w:before="0" w:after="0"/>
              <w:jc w:val="both"/>
              <w:rPr>
                <w:sz w:val="22"/>
                <w:szCs w:val="22"/>
                <w:lang w:eastAsia="en-US"/>
              </w:rPr>
            </w:pPr>
            <w:r>
              <w:rPr>
                <w:sz w:val="22"/>
                <w:szCs w:val="22"/>
                <w:lang w:eastAsia="en-US"/>
              </w:rPr>
              <w:t>U</w:t>
            </w:r>
            <w:r w:rsidRPr="00736354">
              <w:rPr>
                <w:sz w:val="22"/>
                <w:szCs w:val="22"/>
                <w:lang w:eastAsia="en-US"/>
              </w:rPr>
              <w:t>ztur iepriekš izteiktos iebildumus un neatbalsta Projekta tālāku virzību.</w:t>
            </w:r>
          </w:p>
          <w:p w:rsidRPr="00E36116" w:rsidR="00736354" w:rsidP="00736354" w:rsidRDefault="00736354" w14:paraId="1BF804CE" w14:textId="77777777">
            <w:pPr>
              <w:pStyle w:val="naisc"/>
              <w:spacing w:before="0" w:after="0"/>
              <w:jc w:val="both"/>
              <w:rPr>
                <w:sz w:val="22"/>
                <w:szCs w:val="22"/>
              </w:rPr>
            </w:pPr>
          </w:p>
        </w:tc>
        <w:tc>
          <w:tcPr>
            <w:tcW w:w="840" w:type="pct"/>
            <w:tcBorders>
              <w:top w:val="single" w:color="auto" w:sz="4" w:space="0"/>
              <w:left w:val="single" w:color="auto" w:sz="4" w:space="0"/>
              <w:bottom w:val="single" w:color="auto" w:sz="4" w:space="0"/>
              <w:right w:val="single" w:color="auto" w:sz="4" w:space="0"/>
            </w:tcBorders>
          </w:tcPr>
          <w:p w:rsidRPr="00E36116" w:rsidR="00736354" w:rsidP="00736354" w:rsidRDefault="00736354" w14:paraId="5CAD872A" w14:textId="49953473">
            <w:pPr>
              <w:pStyle w:val="naisc"/>
              <w:spacing w:before="0" w:after="0"/>
              <w:jc w:val="both"/>
              <w:rPr>
                <w:sz w:val="22"/>
                <w:szCs w:val="22"/>
              </w:rPr>
            </w:pPr>
            <w:r w:rsidRPr="00903684">
              <w:rPr>
                <w:sz w:val="22"/>
                <w:szCs w:val="22"/>
              </w:rPr>
              <w:t xml:space="preserve">Ministru kabineta noteikumu </w:t>
            </w:r>
            <w:r>
              <w:rPr>
                <w:sz w:val="22"/>
                <w:szCs w:val="22"/>
              </w:rPr>
              <w:t>p</w:t>
            </w:r>
            <w:r w:rsidRPr="00E36116">
              <w:rPr>
                <w:sz w:val="22"/>
                <w:szCs w:val="22"/>
              </w:rPr>
              <w:t xml:space="preserve">rojekta sākotnējās ietekmes novērtējuma ziņojuma (anotācijas) I sadaļas 2.punkts precizēts šādā redakcijā: </w:t>
            </w:r>
          </w:p>
          <w:p w:rsidR="00736354" w:rsidP="00736354" w:rsidRDefault="00736354" w14:paraId="3CA21803" w14:textId="77777777">
            <w:pPr>
              <w:pStyle w:val="naisc"/>
              <w:spacing w:before="0" w:after="0"/>
              <w:jc w:val="both"/>
              <w:rPr>
                <w:sz w:val="22"/>
                <w:szCs w:val="22"/>
              </w:rPr>
            </w:pPr>
          </w:p>
          <w:p w:rsidRPr="00E36116" w:rsidR="00736354" w:rsidP="00736354" w:rsidRDefault="00736354" w14:paraId="14DD0797" w14:textId="239F9F92">
            <w:pPr>
              <w:pStyle w:val="naisc"/>
              <w:spacing w:before="0" w:after="0"/>
              <w:jc w:val="both"/>
              <w:rPr>
                <w:sz w:val="22"/>
                <w:szCs w:val="22"/>
              </w:rPr>
            </w:pPr>
            <w:r w:rsidRPr="00E36116">
              <w:rPr>
                <w:sz w:val="22"/>
                <w:szCs w:val="22"/>
              </w:rPr>
              <w:t>„[..]</w:t>
            </w:r>
            <w:r>
              <w:rPr>
                <w:sz w:val="22"/>
                <w:szCs w:val="22"/>
              </w:rPr>
              <w:t xml:space="preserve"> </w:t>
            </w:r>
            <w:r w:rsidRPr="00E36116">
              <w:rPr>
                <w:sz w:val="22"/>
                <w:szCs w:val="22"/>
              </w:rPr>
              <w:t xml:space="preserve">Vienlaikus jāņem vērā, ka atbilstoši Eiropas Savienības Tiesas 2015.gada 5.marta spriedumam lietā Nr.C-463/12 </w:t>
            </w:r>
            <w:proofErr w:type="spellStart"/>
            <w:r w:rsidRPr="00E36116">
              <w:rPr>
                <w:i/>
                <w:iCs/>
                <w:sz w:val="22"/>
                <w:szCs w:val="22"/>
              </w:rPr>
              <w:t>Copydan</w:t>
            </w:r>
            <w:proofErr w:type="spellEnd"/>
            <w:r w:rsidRPr="00E36116">
              <w:rPr>
                <w:i/>
                <w:iCs/>
                <w:sz w:val="22"/>
                <w:szCs w:val="22"/>
              </w:rPr>
              <w:t xml:space="preserve"> </w:t>
            </w:r>
            <w:proofErr w:type="spellStart"/>
            <w:r w:rsidRPr="00E36116">
              <w:rPr>
                <w:i/>
                <w:iCs/>
                <w:sz w:val="22"/>
                <w:szCs w:val="22"/>
              </w:rPr>
              <w:t>Båndkopi</w:t>
            </w:r>
            <w:proofErr w:type="spellEnd"/>
            <w:r w:rsidRPr="00E36116">
              <w:rPr>
                <w:i/>
                <w:iCs/>
                <w:sz w:val="22"/>
                <w:szCs w:val="22"/>
              </w:rPr>
              <w:t xml:space="preserve"> v Nokia </w:t>
            </w:r>
            <w:proofErr w:type="spellStart"/>
            <w:r w:rsidRPr="00E36116">
              <w:rPr>
                <w:i/>
                <w:iCs/>
                <w:sz w:val="22"/>
                <w:szCs w:val="22"/>
              </w:rPr>
              <w:t>Danmark</w:t>
            </w:r>
            <w:proofErr w:type="spellEnd"/>
            <w:r w:rsidRPr="00E36116">
              <w:rPr>
                <w:i/>
                <w:iCs/>
                <w:sz w:val="22"/>
                <w:szCs w:val="22"/>
              </w:rPr>
              <w:t xml:space="preserve"> A/S</w:t>
            </w:r>
            <w:r w:rsidRPr="00E36116">
              <w:rPr>
                <w:sz w:val="22"/>
                <w:szCs w:val="22"/>
              </w:rPr>
              <w:t xml:space="preserve"> (sk. sprieduma 24. – 28.punktu) dalībvalstīm, lai noteiktu atlīdzību par </w:t>
            </w:r>
            <w:proofErr w:type="spellStart"/>
            <w:r w:rsidRPr="00E36116">
              <w:rPr>
                <w:sz w:val="22"/>
                <w:szCs w:val="22"/>
              </w:rPr>
              <w:t>privātkopēšanas</w:t>
            </w:r>
            <w:proofErr w:type="spellEnd"/>
            <w:r w:rsidRPr="00E36116">
              <w:rPr>
                <w:sz w:val="22"/>
                <w:szCs w:val="22"/>
              </w:rPr>
              <w:t xml:space="preserve"> ierobežojumu, nav </w:t>
            </w:r>
            <w:r w:rsidRPr="00E36116">
              <w:rPr>
                <w:sz w:val="22"/>
                <w:szCs w:val="22"/>
              </w:rPr>
              <w:lastRenderedPageBreak/>
              <w:t xml:space="preserve">jāpierāda, ka fiziskās personas ar šīm iekārtām un nesējiem tiešām ir izgatavojušas kopijas privātai lietošanai. Ja šādas iekārtas un nesēji ir nodoti fizisku personu kā privātu lietotāju rīcībā, pietiek ar šo iekārtu un nesēju spēju izgatavot kopijas, lai pamatotu </w:t>
            </w:r>
            <w:proofErr w:type="spellStart"/>
            <w:r w:rsidRPr="00E36116">
              <w:rPr>
                <w:sz w:val="22"/>
                <w:szCs w:val="22"/>
              </w:rPr>
              <w:t>privātkopēšanas</w:t>
            </w:r>
            <w:proofErr w:type="spellEnd"/>
            <w:r w:rsidRPr="00E36116">
              <w:rPr>
                <w:sz w:val="22"/>
                <w:szCs w:val="22"/>
              </w:rPr>
              <w:t xml:space="preserve"> atlīdzības piemērošanu. Principā nav nozīmes tam, vai iekārtai vai nesējam ir viena funkcija vai vairākas funkcijas, nedz arī tam, vai reproducēšanas funkcija attiecīgā gadījumā ir sekundāra attiecībā pret citām funkcijām, jo tiek pieņemts, ka galīgie lietotāji izmanto visas pieejamās šī nesēja vai iekārtas funkcijas. Taču ar reproducēšanu saistītās funkcijas </w:t>
            </w:r>
            <w:proofErr w:type="spellStart"/>
            <w:r w:rsidRPr="00E36116">
              <w:rPr>
                <w:sz w:val="22"/>
                <w:szCs w:val="22"/>
              </w:rPr>
              <w:t>daudzfunkcionalitāte</w:t>
            </w:r>
            <w:proofErr w:type="spellEnd"/>
            <w:r w:rsidRPr="00E36116">
              <w:rPr>
                <w:sz w:val="22"/>
                <w:szCs w:val="22"/>
              </w:rPr>
              <w:t xml:space="preserve"> un sekundārais raksturs var ietekmēt taisnīgās atlīdzības apmēru. It īpaši, ņemot vērā datu </w:t>
            </w:r>
            <w:r w:rsidRPr="00E36116">
              <w:rPr>
                <w:sz w:val="22"/>
                <w:szCs w:val="22"/>
              </w:rPr>
              <w:lastRenderedPageBreak/>
              <w:t xml:space="preserve">nesēja spējas reproducēt darbus privātai lietošanai relatīvo nozīmīgumu. Tikai gadījumā, ja tiek konstatēts, ka praksē kāda nesēja vai iekārtas lietotāji tikpat kā neizmanto šo nesēju vai iekārtu darbu </w:t>
            </w:r>
            <w:proofErr w:type="spellStart"/>
            <w:r w:rsidRPr="00E36116">
              <w:rPr>
                <w:sz w:val="22"/>
                <w:szCs w:val="22"/>
              </w:rPr>
              <w:t>privātkopēšanai</w:t>
            </w:r>
            <w:proofErr w:type="spellEnd"/>
            <w:r w:rsidRPr="00E36116">
              <w:rPr>
                <w:sz w:val="22"/>
                <w:szCs w:val="22"/>
              </w:rPr>
              <w:t>, šīs funkcijas nodrošināšana var neradīt pienākumu maksāt taisnīgu atlīdzību, ja tiesību subjektiem radītais kaitējums uzskatāms par minimālu.</w:t>
            </w:r>
            <w:r>
              <w:rPr>
                <w:sz w:val="22"/>
                <w:szCs w:val="22"/>
              </w:rPr>
              <w:t xml:space="preserve"> </w:t>
            </w:r>
            <w:r w:rsidRPr="00E36116">
              <w:rPr>
                <w:sz w:val="22"/>
                <w:szCs w:val="22"/>
              </w:rPr>
              <w:t>[..]</w:t>
            </w:r>
            <w:r>
              <w:rPr>
                <w:sz w:val="22"/>
                <w:szCs w:val="22"/>
              </w:rPr>
              <w:t>”</w:t>
            </w:r>
          </w:p>
        </w:tc>
      </w:tr>
      <w:tr w:rsidRPr="00E36116" w:rsidR="00C343E2" w:rsidTr="00E36116" w14:paraId="00BA7320" w14:textId="77777777">
        <w:tc>
          <w:tcPr>
            <w:tcW w:w="191" w:type="pct"/>
            <w:tcBorders>
              <w:top w:val="single" w:color="000000" w:sz="6" w:space="0"/>
              <w:left w:val="single" w:color="000000" w:sz="6" w:space="0"/>
              <w:bottom w:val="single" w:color="000000" w:sz="6" w:space="0"/>
              <w:right w:val="single" w:color="000000" w:sz="6" w:space="0"/>
            </w:tcBorders>
          </w:tcPr>
          <w:p w:rsidRPr="00E36116" w:rsidR="00C343E2" w:rsidP="00C343E2" w:rsidRDefault="00C343E2" w14:paraId="6EC47AA5" w14:textId="0F74037E">
            <w:pPr>
              <w:pStyle w:val="naisc"/>
              <w:spacing w:before="0" w:after="0"/>
              <w:rPr>
                <w:sz w:val="22"/>
                <w:szCs w:val="22"/>
                <w:lang w:eastAsia="en-US"/>
              </w:rPr>
            </w:pPr>
            <w:r>
              <w:rPr>
                <w:sz w:val="22"/>
                <w:szCs w:val="22"/>
                <w:lang w:eastAsia="en-US"/>
              </w:rPr>
              <w:lastRenderedPageBreak/>
              <w:t>8.</w:t>
            </w:r>
          </w:p>
        </w:tc>
        <w:tc>
          <w:tcPr>
            <w:tcW w:w="862" w:type="pct"/>
            <w:tcBorders>
              <w:top w:val="single" w:color="000000" w:sz="6" w:space="0"/>
              <w:left w:val="single" w:color="000000" w:sz="6" w:space="0"/>
              <w:bottom w:val="single" w:color="000000" w:sz="6" w:space="0"/>
              <w:right w:val="single" w:color="000000" w:sz="6" w:space="0"/>
            </w:tcBorders>
          </w:tcPr>
          <w:p w:rsidR="00C343E2" w:rsidP="00C343E2" w:rsidRDefault="00C343E2" w14:paraId="5E7A7BE2" w14:textId="77777777">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Pr>
                <w:sz w:val="22"/>
                <w:szCs w:val="22"/>
              </w:rPr>
              <w:t>rojekta sākotnējās ietekmes novērtējuma ziņojuma (anotācijas) I sadaļas 2.punkts</w:t>
            </w:r>
            <w:r>
              <w:rPr>
                <w:sz w:val="22"/>
                <w:szCs w:val="22"/>
              </w:rPr>
              <w:t>:</w:t>
            </w:r>
          </w:p>
          <w:p w:rsidRPr="00793437" w:rsidR="00C343E2" w:rsidP="00C343E2" w:rsidRDefault="00C343E2" w14:paraId="1BEF8537" w14:textId="77777777">
            <w:pPr>
              <w:pStyle w:val="naisc"/>
              <w:spacing w:before="0" w:after="0"/>
              <w:jc w:val="both"/>
              <w:rPr>
                <w:sz w:val="22"/>
                <w:szCs w:val="22"/>
              </w:rPr>
            </w:pPr>
          </w:p>
          <w:p w:rsidRPr="00492DD6" w:rsidR="00C343E2" w:rsidP="00C343E2" w:rsidRDefault="00C343E2" w14:paraId="4ED648F9" w14:textId="77777777">
            <w:pPr>
              <w:pStyle w:val="naisc"/>
              <w:spacing w:before="0" w:after="0"/>
              <w:jc w:val="both"/>
              <w:rPr>
                <w:sz w:val="22"/>
                <w:szCs w:val="22"/>
              </w:rPr>
            </w:pPr>
            <w:r>
              <w:rPr>
                <w:sz w:val="22"/>
                <w:szCs w:val="22"/>
              </w:rPr>
              <w:t xml:space="preserve">“[..] </w:t>
            </w:r>
            <w:r w:rsidRPr="00492DD6">
              <w:rPr>
                <w:b/>
                <w:bCs/>
                <w:sz w:val="22"/>
                <w:szCs w:val="22"/>
              </w:rPr>
              <w:t>1) Tiesību subjektu tiesību aizskāruma smaguma pakāpe.</w:t>
            </w:r>
          </w:p>
          <w:p w:rsidRPr="00492DD6" w:rsidR="00C343E2" w:rsidP="00C343E2" w:rsidRDefault="00C343E2" w14:paraId="0DBA68EE" w14:textId="77777777">
            <w:pPr>
              <w:pStyle w:val="naisc"/>
              <w:spacing w:before="0" w:after="0"/>
              <w:jc w:val="both"/>
              <w:rPr>
                <w:sz w:val="22"/>
                <w:szCs w:val="22"/>
              </w:rPr>
            </w:pPr>
            <w:r w:rsidRPr="00492DD6">
              <w:rPr>
                <w:sz w:val="22"/>
                <w:szCs w:val="22"/>
              </w:rPr>
              <w:tab/>
              <w:t xml:space="preserve">Tiesību subjektiem ir tiesības saņemt kompensāciju par savu tiesību atļaut darbu un blakustiesību objektu reproducēšanu ierobežojumu. Minētajai atlīdzībai ir jābūt </w:t>
            </w:r>
            <w:r w:rsidRPr="00492DD6">
              <w:rPr>
                <w:sz w:val="22"/>
                <w:szCs w:val="22"/>
              </w:rPr>
              <w:lastRenderedPageBreak/>
              <w:t xml:space="preserve">taisnīgai (Autortiesību likuma 34.panta pirmā daļa). Tiesību subjektu tiesību aizskāruma smaguma pakāpe vērtējama, ņemot vērā, kāda tiesību subjektiem būtu iespēja gūt ienākumus, ja Autortiesību likums neparedzētu reproducēšanas tiesību ierobežojumu, kas jākompensē ar nesēja atlīdzības palīdzību. Minētais vērtējums ir atkarīgs no tā, cik lielā mērā sabiedrība veic likumīgi iegūtu ar autortiesībām aizsargātu darbu vai blakustiesību objektu reproducēšanu personiskai lietošanai. </w:t>
            </w:r>
          </w:p>
          <w:p w:rsidRPr="00903684" w:rsidR="00C343E2" w:rsidP="00C343E2" w:rsidRDefault="00C343E2" w14:paraId="02A20A80" w14:textId="4358183A">
            <w:pPr>
              <w:pStyle w:val="naisc"/>
              <w:spacing w:before="0" w:after="0"/>
              <w:jc w:val="both"/>
              <w:rPr>
                <w:sz w:val="22"/>
                <w:szCs w:val="22"/>
              </w:rPr>
            </w:pPr>
            <w:r w:rsidRPr="00492DD6">
              <w:rPr>
                <w:sz w:val="22"/>
                <w:szCs w:val="22"/>
              </w:rPr>
              <w:t xml:space="preserve">2020.gada pētījuma rezultāti norāda uz to, ka 14% iedzīvotāju veic iepriekš minēto reproducēšanu. Savukārt viedtālruņu pētījuma rezultāti liecina, ka, lai gan viedtālruņu lietošanas regularitāte darbu kopēšanai ir salīdzinoši zema, darbu kopēšana ar šo ierīci tiek veikta. </w:t>
            </w:r>
            <w:r>
              <w:rPr>
                <w:sz w:val="22"/>
                <w:szCs w:val="22"/>
              </w:rPr>
              <w:t>[..]”</w:t>
            </w:r>
          </w:p>
        </w:tc>
        <w:tc>
          <w:tcPr>
            <w:tcW w:w="1221" w:type="pct"/>
            <w:tcBorders>
              <w:top w:val="single" w:color="000000" w:sz="6" w:space="0"/>
              <w:left w:val="single" w:color="000000" w:sz="6" w:space="0"/>
              <w:bottom w:val="single" w:color="000000" w:sz="6" w:space="0"/>
              <w:right w:val="single" w:color="000000" w:sz="6" w:space="0"/>
            </w:tcBorders>
          </w:tcPr>
          <w:p w:rsidR="00C343E2" w:rsidP="00C343E2" w:rsidRDefault="00C343E2" w14:paraId="25A63187" w14:textId="77777777">
            <w:pPr>
              <w:jc w:val="both"/>
              <w:rPr>
                <w:sz w:val="22"/>
                <w:szCs w:val="22"/>
              </w:rPr>
            </w:pPr>
            <w:r>
              <w:rPr>
                <w:b/>
                <w:sz w:val="22"/>
                <w:szCs w:val="22"/>
              </w:rPr>
              <w:lastRenderedPageBreak/>
              <w:t xml:space="preserve">Ekonomikas </w:t>
            </w:r>
            <w:r w:rsidRPr="00E36116">
              <w:rPr>
                <w:b/>
                <w:sz w:val="22"/>
                <w:szCs w:val="22"/>
              </w:rPr>
              <w:t>ministrija</w:t>
            </w:r>
            <w:r>
              <w:rPr>
                <w:b/>
                <w:sz w:val="22"/>
                <w:szCs w:val="22"/>
              </w:rPr>
              <w:t>:</w:t>
            </w:r>
          </w:p>
          <w:p w:rsidRPr="00E36116" w:rsidR="00C343E2" w:rsidP="00C343E2" w:rsidRDefault="00C343E2" w14:paraId="1D797C09" w14:textId="73C6D451">
            <w:pPr>
              <w:pStyle w:val="naiskr"/>
              <w:spacing w:before="0" w:after="0"/>
              <w:jc w:val="both"/>
              <w:rPr>
                <w:rFonts w:eastAsia="Calibri"/>
                <w:b/>
                <w:bCs/>
                <w:sz w:val="22"/>
                <w:szCs w:val="22"/>
                <w:shd w:val="clear" w:color="auto" w:fill="FFFFFF"/>
              </w:rPr>
            </w:pPr>
            <w:r w:rsidRPr="004C7B82">
              <w:rPr>
                <w:sz w:val="22"/>
                <w:szCs w:val="22"/>
              </w:rPr>
              <w:t xml:space="preserve">Autortiesību turētājiem radīto zaudējumu apmērs – Noteikumu projekta precizētajā anotācijā nav iekļauta informācija par autortiesību turētājiem radīto zaudējumu kopējo apmēru un tā izmaiņu dinamiku. Ņemot vērā, ka noteikumu grozījumi paredz ne tikai noteikumu redakcionālas izmaiņas, bet arī aplikt ar nodevu jaunas informācijas nesēju un tehnoloģiju kategorijas, bez pieejamiem statistiskiem datiem par </w:t>
            </w:r>
            <w:proofErr w:type="spellStart"/>
            <w:r w:rsidRPr="004C7B82">
              <w:rPr>
                <w:sz w:val="22"/>
                <w:szCs w:val="22"/>
              </w:rPr>
              <w:t>privātkopēšanas</w:t>
            </w:r>
            <w:proofErr w:type="spellEnd"/>
            <w:r w:rsidRPr="004C7B82">
              <w:rPr>
                <w:sz w:val="22"/>
                <w:szCs w:val="22"/>
              </w:rPr>
              <w:t xml:space="preserve"> autortiesību turētājiem nodarītā kopējā kaitējuma apmēru nav iespējams pārliecināties par attiecīgā līdz šim iekasēto un plānoto nodevu ieņēmumu </w:t>
            </w:r>
            <w:r w:rsidRPr="004C7B82">
              <w:rPr>
                <w:sz w:val="22"/>
                <w:szCs w:val="22"/>
              </w:rPr>
              <w:lastRenderedPageBreak/>
              <w:t>kopapjoma samērīgumu. Tādējādi nav iespējams nodrošināt, ka iekasētais nodevu kopapjoms kompensē radušos zaudējumus pilnā apmērā vai nepārsniedz radīto zaudējumu apmēru. Lūdzam Kultūras ministriju iekļaut anotācijā autortiesību turētājiem nodarīto zaudējumu aprēķinus vai provizorisko zaudējumu aplēses.</w:t>
            </w:r>
          </w:p>
        </w:tc>
        <w:tc>
          <w:tcPr>
            <w:tcW w:w="1116" w:type="pct"/>
            <w:tcBorders>
              <w:top w:val="single" w:color="000000" w:sz="6" w:space="0"/>
              <w:left w:val="single" w:color="000000" w:sz="6" w:space="0"/>
              <w:bottom w:val="single" w:color="000000" w:sz="6" w:space="0"/>
              <w:right w:val="single" w:color="000000" w:sz="6" w:space="0"/>
            </w:tcBorders>
          </w:tcPr>
          <w:p w:rsidRPr="002C4155" w:rsidR="00C343E2" w:rsidP="00C343E2" w:rsidRDefault="00C343E2" w14:paraId="26C5AB11" w14:textId="77777777">
            <w:pPr>
              <w:pStyle w:val="naisc"/>
              <w:spacing w:before="0" w:after="0"/>
              <w:ind w:firstLine="288"/>
              <w:rPr>
                <w:b/>
                <w:sz w:val="22"/>
                <w:szCs w:val="22"/>
                <w:lang w:eastAsia="en-US"/>
              </w:rPr>
            </w:pPr>
            <w:r>
              <w:rPr>
                <w:b/>
                <w:sz w:val="22"/>
                <w:szCs w:val="22"/>
                <w:lang w:eastAsia="en-US"/>
              </w:rPr>
              <w:lastRenderedPageBreak/>
              <w:t>Daļēji ņ</w:t>
            </w:r>
            <w:r w:rsidRPr="002C4155">
              <w:rPr>
                <w:b/>
                <w:sz w:val="22"/>
                <w:szCs w:val="22"/>
                <w:lang w:eastAsia="en-US"/>
              </w:rPr>
              <w:t>emts vērā</w:t>
            </w:r>
          </w:p>
          <w:p w:rsidRPr="004F5EDA" w:rsidR="00C343E2" w:rsidP="00C343E2" w:rsidRDefault="00C343E2" w14:paraId="08406EC4" w14:textId="3EC03EB0">
            <w:pPr>
              <w:pStyle w:val="naisc"/>
              <w:spacing w:before="0" w:after="0"/>
              <w:ind w:firstLine="288"/>
              <w:jc w:val="both"/>
              <w:rPr>
                <w:bCs/>
                <w:sz w:val="22"/>
                <w:szCs w:val="22"/>
                <w:lang w:eastAsia="en-US"/>
              </w:rPr>
            </w:pPr>
            <w:r w:rsidRPr="002C4155">
              <w:rPr>
                <w:sz w:val="22"/>
                <w:szCs w:val="22"/>
              </w:rPr>
              <w:t xml:space="preserve">Ministru kabineta noteikumu </w:t>
            </w:r>
            <w:r w:rsidRPr="002C4155">
              <w:rPr>
                <w:bCs/>
                <w:sz w:val="22"/>
                <w:szCs w:val="22"/>
                <w:lang w:eastAsia="en-US"/>
              </w:rPr>
              <w:t>projekta anotācija papildināta</w:t>
            </w:r>
            <w:r>
              <w:rPr>
                <w:bCs/>
                <w:sz w:val="22"/>
                <w:szCs w:val="22"/>
                <w:lang w:eastAsia="en-US"/>
              </w:rPr>
              <w:t xml:space="preserve"> gan</w:t>
            </w:r>
            <w:r w:rsidRPr="002C4155">
              <w:rPr>
                <w:bCs/>
                <w:sz w:val="22"/>
                <w:szCs w:val="22"/>
                <w:lang w:eastAsia="en-US"/>
              </w:rPr>
              <w:t xml:space="preserve"> ar tiesību īpašnieku pārstāvju iesniegto zaudējumu aprēķinu</w:t>
            </w:r>
            <w:r>
              <w:rPr>
                <w:bCs/>
                <w:sz w:val="22"/>
                <w:szCs w:val="22"/>
                <w:lang w:eastAsia="en-US"/>
              </w:rPr>
              <w:t xml:space="preserve">, tai skaitā, </w:t>
            </w:r>
            <w:r w:rsidR="00B10567">
              <w:rPr>
                <w:bCs/>
                <w:sz w:val="22"/>
                <w:szCs w:val="22"/>
                <w:lang w:eastAsia="en-US"/>
              </w:rPr>
              <w:t xml:space="preserve">norādot </w:t>
            </w:r>
            <w:r w:rsidRPr="00AE7FF7">
              <w:rPr>
                <w:sz w:val="22"/>
                <w:szCs w:val="22"/>
              </w:rPr>
              <w:t>vidēj</w:t>
            </w:r>
            <w:r>
              <w:rPr>
                <w:sz w:val="22"/>
                <w:szCs w:val="22"/>
              </w:rPr>
              <w:t>o</w:t>
            </w:r>
            <w:r w:rsidRPr="00AE7FF7">
              <w:rPr>
                <w:sz w:val="22"/>
                <w:szCs w:val="22"/>
              </w:rPr>
              <w:t xml:space="preserve"> darb</w:t>
            </w:r>
            <w:r>
              <w:rPr>
                <w:sz w:val="22"/>
                <w:szCs w:val="22"/>
              </w:rPr>
              <w:t>u</w:t>
            </w:r>
            <w:r w:rsidRPr="00AE7FF7">
              <w:rPr>
                <w:sz w:val="22"/>
                <w:szCs w:val="22"/>
              </w:rPr>
              <w:t xml:space="preserve"> reproducēšanas cen</w:t>
            </w:r>
            <w:r>
              <w:rPr>
                <w:sz w:val="22"/>
                <w:szCs w:val="22"/>
              </w:rPr>
              <w:t>u</w:t>
            </w:r>
            <w:r w:rsidRPr="002C4155">
              <w:rPr>
                <w:bCs/>
                <w:sz w:val="22"/>
                <w:szCs w:val="22"/>
                <w:lang w:eastAsia="en-US"/>
              </w:rPr>
              <w:t xml:space="preserve">, </w:t>
            </w:r>
            <w:r>
              <w:rPr>
                <w:bCs/>
                <w:sz w:val="22"/>
                <w:szCs w:val="22"/>
                <w:lang w:eastAsia="en-US"/>
              </w:rPr>
              <w:t>gan</w:t>
            </w:r>
            <w:r w:rsidRPr="002C4155">
              <w:rPr>
                <w:bCs/>
                <w:sz w:val="22"/>
                <w:szCs w:val="22"/>
                <w:lang w:eastAsia="en-US"/>
              </w:rPr>
              <w:t xml:space="preserve"> ar informāciju par </w:t>
            </w:r>
            <w:r>
              <w:rPr>
                <w:bCs/>
                <w:sz w:val="22"/>
                <w:szCs w:val="22"/>
                <w:lang w:eastAsia="en-US"/>
              </w:rPr>
              <w:t xml:space="preserve">alternatīvu </w:t>
            </w:r>
            <w:r w:rsidRPr="002C4155">
              <w:rPr>
                <w:bCs/>
                <w:sz w:val="22"/>
                <w:szCs w:val="22"/>
                <w:lang w:eastAsia="en-US"/>
              </w:rPr>
              <w:t>zaudējumu aprēķin</w:t>
            </w:r>
            <w:r>
              <w:rPr>
                <w:bCs/>
                <w:sz w:val="22"/>
                <w:szCs w:val="22"/>
                <w:lang w:eastAsia="en-US"/>
              </w:rPr>
              <w:t>a metodiku</w:t>
            </w:r>
            <w:r w:rsidRPr="002C4155">
              <w:rPr>
                <w:bCs/>
                <w:sz w:val="22"/>
                <w:szCs w:val="22"/>
                <w:lang w:eastAsia="en-US"/>
              </w:rPr>
              <w:t>, ko izmantojusi Igaunijas tiesa, nosakot kompensācijas apmēru, kas piedzenams no valsts par labu tiesību īpašniekiem par nesēju un iekārtu saraksta neatjaunošanu.</w:t>
            </w:r>
            <w:r>
              <w:rPr>
                <w:bCs/>
                <w:sz w:val="22"/>
                <w:szCs w:val="22"/>
                <w:lang w:eastAsia="en-US"/>
              </w:rPr>
              <w:t xml:space="preserve"> Kultūras ministrija papildus arī veikusi provizorisku aprēķinu, kāda nesēja atlīdzības summa </w:t>
            </w:r>
            <w:r w:rsidR="005A12CC">
              <w:rPr>
                <w:bCs/>
                <w:sz w:val="22"/>
                <w:szCs w:val="22"/>
                <w:lang w:eastAsia="en-US"/>
              </w:rPr>
              <w:lastRenderedPageBreak/>
              <w:t xml:space="preserve">varētu tikt iekasēta </w:t>
            </w:r>
            <w:r>
              <w:rPr>
                <w:bCs/>
                <w:sz w:val="22"/>
                <w:szCs w:val="22"/>
                <w:lang w:eastAsia="en-US"/>
              </w:rPr>
              <w:t xml:space="preserve">pēc grozījumu izdarīšanas sarakstā. </w:t>
            </w:r>
          </w:p>
          <w:p w:rsidRPr="004F5EDA" w:rsidR="00C343E2" w:rsidP="00C343E2" w:rsidRDefault="00C343E2" w14:paraId="58982D34" w14:textId="243FA255">
            <w:pPr>
              <w:pStyle w:val="naisc"/>
              <w:spacing w:before="0" w:after="0"/>
              <w:ind w:firstLine="288"/>
              <w:jc w:val="both"/>
              <w:rPr>
                <w:bCs/>
                <w:sz w:val="22"/>
                <w:szCs w:val="22"/>
                <w:lang w:eastAsia="en-US"/>
              </w:rPr>
            </w:pPr>
            <w:r>
              <w:rPr>
                <w:bCs/>
                <w:sz w:val="22"/>
                <w:szCs w:val="22"/>
                <w:lang w:eastAsia="en-US"/>
              </w:rPr>
              <w:t>Aprēķināt</w:t>
            </w:r>
            <w:r w:rsidR="00B10567">
              <w:rPr>
                <w:bCs/>
                <w:sz w:val="22"/>
                <w:szCs w:val="22"/>
                <w:lang w:eastAsia="en-US"/>
              </w:rPr>
              <w:t>ā</w:t>
            </w:r>
            <w:r w:rsidRPr="004F5EDA">
              <w:rPr>
                <w:bCs/>
                <w:sz w:val="22"/>
                <w:szCs w:val="22"/>
                <w:lang w:eastAsia="en-US"/>
              </w:rPr>
              <w:t xml:space="preserve"> summa nesasniedz ne vidējo Eiropas Savienības atlīdzības summu uz vienu iedzīvotāju, ne tiesību īpašnieku aprēķināto zaudējumu summu, </w:t>
            </w:r>
            <w:r>
              <w:rPr>
                <w:bCs/>
                <w:sz w:val="22"/>
                <w:szCs w:val="22"/>
                <w:lang w:eastAsia="en-US"/>
              </w:rPr>
              <w:t xml:space="preserve">taču </w:t>
            </w:r>
            <w:r w:rsidRPr="004F5EDA">
              <w:rPr>
                <w:bCs/>
                <w:sz w:val="22"/>
                <w:szCs w:val="22"/>
                <w:lang w:eastAsia="en-US"/>
              </w:rPr>
              <w:t xml:space="preserve">tiesību īpašnieku pārstāvji ir kompromisa vārdā piekrituši </w:t>
            </w:r>
            <w:r>
              <w:rPr>
                <w:bCs/>
                <w:sz w:val="22"/>
                <w:szCs w:val="22"/>
                <w:lang w:eastAsia="en-US"/>
              </w:rPr>
              <w:t>Kultūras ministrijas piedāvātajiem saraksta grozījumiem</w:t>
            </w:r>
            <w:r w:rsidRPr="004F5EDA">
              <w:rPr>
                <w:bCs/>
                <w:sz w:val="22"/>
                <w:szCs w:val="22"/>
                <w:lang w:eastAsia="en-US"/>
              </w:rPr>
              <w:t xml:space="preserve">.  </w:t>
            </w:r>
          </w:p>
        </w:tc>
        <w:tc>
          <w:tcPr>
            <w:tcW w:w="769" w:type="pct"/>
            <w:tcBorders>
              <w:top w:val="single" w:color="auto" w:sz="4" w:space="0"/>
              <w:left w:val="single" w:color="auto" w:sz="4" w:space="0"/>
              <w:bottom w:val="single" w:color="auto" w:sz="4" w:space="0"/>
              <w:right w:val="single" w:color="auto" w:sz="4" w:space="0"/>
            </w:tcBorders>
          </w:tcPr>
          <w:p w:rsidR="00C343E2" w:rsidP="00C343E2" w:rsidRDefault="00C343E2" w14:paraId="54FC177D" w14:textId="77777777">
            <w:pPr>
              <w:jc w:val="both"/>
              <w:rPr>
                <w:sz w:val="22"/>
                <w:szCs w:val="22"/>
              </w:rPr>
            </w:pPr>
            <w:r>
              <w:rPr>
                <w:b/>
                <w:sz w:val="22"/>
                <w:szCs w:val="22"/>
              </w:rPr>
              <w:lastRenderedPageBreak/>
              <w:t xml:space="preserve">Ekonomikas </w:t>
            </w:r>
            <w:r w:rsidRPr="00E36116">
              <w:rPr>
                <w:b/>
                <w:sz w:val="22"/>
                <w:szCs w:val="22"/>
              </w:rPr>
              <w:t>ministrija</w:t>
            </w:r>
            <w:r>
              <w:rPr>
                <w:b/>
                <w:sz w:val="22"/>
                <w:szCs w:val="22"/>
              </w:rPr>
              <w:t>:</w:t>
            </w:r>
          </w:p>
          <w:p w:rsidRPr="00E36116" w:rsidR="00C343E2" w:rsidP="00C343E2" w:rsidRDefault="00C343E2" w14:paraId="610AFCC1" w14:textId="661DE874">
            <w:pPr>
              <w:pStyle w:val="naisc"/>
              <w:spacing w:before="0" w:after="0"/>
              <w:jc w:val="both"/>
              <w:rPr>
                <w:sz w:val="22"/>
                <w:szCs w:val="22"/>
              </w:rPr>
            </w:pPr>
            <w:r w:rsidRPr="00AE7FF7">
              <w:rPr>
                <w:sz w:val="22"/>
                <w:szCs w:val="22"/>
              </w:rPr>
              <w:t xml:space="preserve">Autortiesību turētājiem radīto zaudējumu apmērs – atbilstoši projekta grozījumu izziņai un koriģētajai anotācijai, 2020.gadā Latvijā, balstoties uz tiesību īpašnieku pārstāvju sniegto informāciju, zaudējumu aprēķins ir veikts, to aprēķinot atbilstoši 1 161 169 darbspējas vecuma personām Latvijā, un zaudējumi tiek </w:t>
            </w:r>
            <w:r w:rsidRPr="00AE7FF7">
              <w:rPr>
                <w:sz w:val="22"/>
                <w:szCs w:val="22"/>
              </w:rPr>
              <w:lastRenderedPageBreak/>
              <w:t xml:space="preserve">aprēķināti aptuveni  - 2,5 miljoni </w:t>
            </w:r>
            <w:proofErr w:type="spellStart"/>
            <w:r w:rsidRPr="004F5EDA">
              <w:rPr>
                <w:i/>
                <w:iCs/>
                <w:sz w:val="22"/>
                <w:szCs w:val="22"/>
              </w:rPr>
              <w:t>euro</w:t>
            </w:r>
            <w:proofErr w:type="spellEnd"/>
            <w:r w:rsidRPr="00AE7FF7">
              <w:rPr>
                <w:sz w:val="22"/>
                <w:szCs w:val="22"/>
              </w:rPr>
              <w:t xml:space="preserve"> gadā apjomā. Noteikumu projekta precizētajā anotācijā nav norādītas vidējās darba reproducēšanas cenas uz kuru pamata tiek veikts radīto zaudējumu aprēķins.</w:t>
            </w:r>
          </w:p>
        </w:tc>
        <w:tc>
          <w:tcPr>
            <w:tcW w:w="840" w:type="pct"/>
            <w:tcBorders>
              <w:top w:val="single" w:color="auto" w:sz="4" w:space="0"/>
              <w:left w:val="single" w:color="auto" w:sz="4" w:space="0"/>
              <w:bottom w:val="single" w:color="auto" w:sz="4" w:space="0"/>
              <w:right w:val="single" w:color="auto" w:sz="4" w:space="0"/>
            </w:tcBorders>
          </w:tcPr>
          <w:p w:rsidRPr="002C4155" w:rsidR="00C343E2" w:rsidP="00C343E2" w:rsidRDefault="00C343E2" w14:paraId="50DA6A7F" w14:textId="38618068">
            <w:pPr>
              <w:pStyle w:val="naisc"/>
              <w:spacing w:before="0" w:after="0"/>
              <w:jc w:val="both"/>
              <w:rPr>
                <w:sz w:val="22"/>
                <w:szCs w:val="22"/>
              </w:rPr>
            </w:pPr>
            <w:r w:rsidRPr="002C4155">
              <w:rPr>
                <w:sz w:val="22"/>
                <w:szCs w:val="22"/>
              </w:rPr>
              <w:lastRenderedPageBreak/>
              <w:t>Papildināts Ministru kabineta noteikumu projekta sākotnējās ietekmes novērtējuma ziņojuma (anotācijas) I sadaļas 2.punkts šādā redakcijā:</w:t>
            </w:r>
          </w:p>
          <w:p w:rsidRPr="00A231A2" w:rsidR="00A231A2" w:rsidP="00A231A2" w:rsidRDefault="00C343E2" w14:paraId="0CCF25DF" w14:textId="77777777">
            <w:pPr>
              <w:pStyle w:val="naisc"/>
              <w:jc w:val="both"/>
              <w:rPr>
                <w:sz w:val="22"/>
                <w:szCs w:val="22"/>
              </w:rPr>
            </w:pPr>
            <w:r w:rsidRPr="00A231A2">
              <w:rPr>
                <w:sz w:val="22"/>
                <w:szCs w:val="22"/>
              </w:rPr>
              <w:t>“[..]</w:t>
            </w:r>
            <w:r w:rsidRPr="00A231A2" w:rsidR="00A231A2">
              <w:rPr>
                <w:sz w:val="22"/>
                <w:szCs w:val="22"/>
              </w:rPr>
              <w:t xml:space="preserve">Atbilstoši tiesību īpašnieku pārstāvju sniegtajai informācijai zaudējumi, kurus tiesību īpašniekiem rada likumā noteiktais </w:t>
            </w:r>
            <w:proofErr w:type="spellStart"/>
            <w:r w:rsidRPr="00A231A2" w:rsidR="00A231A2">
              <w:rPr>
                <w:sz w:val="22"/>
                <w:szCs w:val="22"/>
              </w:rPr>
              <w:t>privātkopēšanas</w:t>
            </w:r>
            <w:proofErr w:type="spellEnd"/>
            <w:r w:rsidRPr="00A231A2" w:rsidR="00A231A2">
              <w:rPr>
                <w:sz w:val="22"/>
                <w:szCs w:val="22"/>
              </w:rPr>
              <w:t xml:space="preserve"> izņēmums, ir ~ 2,5 miljoni </w:t>
            </w:r>
            <w:proofErr w:type="spellStart"/>
            <w:r w:rsidRPr="00A231A2" w:rsidR="00A231A2">
              <w:rPr>
                <w:sz w:val="22"/>
                <w:szCs w:val="22"/>
              </w:rPr>
              <w:t>euro</w:t>
            </w:r>
            <w:proofErr w:type="spellEnd"/>
            <w:r w:rsidRPr="00A231A2" w:rsidR="00A231A2">
              <w:rPr>
                <w:sz w:val="22"/>
                <w:szCs w:val="22"/>
              </w:rPr>
              <w:t xml:space="preserve"> gadā. Aprēķina veikšanai ir izmantoti dati no </w:t>
            </w:r>
            <w:r w:rsidRPr="00A231A2" w:rsidR="00A231A2">
              <w:rPr>
                <w:sz w:val="22"/>
                <w:szCs w:val="22"/>
              </w:rPr>
              <w:lastRenderedPageBreak/>
              <w:t xml:space="preserve">2020.gada pētījuma, informācija no Centrālās statistikas pārvaldes mājas lapas (2020.gadā Latvijā ir bijušas 1 161 169 darbspējīgas personas) un vidējās darba reproducēšanas cenas (pieņemot,  ka vienas fonogrammas reproducēšanas atlīdzība ir 0,7 </w:t>
            </w:r>
            <w:proofErr w:type="spellStart"/>
            <w:r w:rsidRPr="00A231A2" w:rsidR="00A231A2">
              <w:rPr>
                <w:sz w:val="22"/>
                <w:szCs w:val="22"/>
              </w:rPr>
              <w:t>euro</w:t>
            </w:r>
            <w:proofErr w:type="spellEnd"/>
            <w:r w:rsidRPr="00A231A2" w:rsidR="00A231A2">
              <w:rPr>
                <w:sz w:val="22"/>
                <w:szCs w:val="22"/>
              </w:rPr>
              <w:t xml:space="preserve">, vienas filmas – 2 </w:t>
            </w:r>
            <w:proofErr w:type="spellStart"/>
            <w:r w:rsidRPr="00A231A2" w:rsidR="00A231A2">
              <w:rPr>
                <w:sz w:val="22"/>
                <w:szCs w:val="22"/>
              </w:rPr>
              <w:t>euro</w:t>
            </w:r>
            <w:proofErr w:type="spellEnd"/>
            <w:r w:rsidRPr="00A231A2" w:rsidR="00A231A2">
              <w:rPr>
                <w:sz w:val="22"/>
                <w:szCs w:val="22"/>
              </w:rPr>
              <w:t xml:space="preserve">, vienas grāmatas – 5 </w:t>
            </w:r>
            <w:proofErr w:type="spellStart"/>
            <w:r w:rsidRPr="00A231A2" w:rsidR="00A231A2">
              <w:rPr>
                <w:sz w:val="22"/>
                <w:szCs w:val="22"/>
              </w:rPr>
              <w:t>euro</w:t>
            </w:r>
            <w:proofErr w:type="spellEnd"/>
            <w:r w:rsidRPr="00A231A2" w:rsidR="00A231A2">
              <w:rPr>
                <w:sz w:val="22"/>
                <w:szCs w:val="22"/>
              </w:rPr>
              <w:t xml:space="preserve">, vienas fotogrāfijas – 0,5 </w:t>
            </w:r>
            <w:proofErr w:type="spellStart"/>
            <w:r w:rsidRPr="00A231A2" w:rsidR="00A231A2">
              <w:rPr>
                <w:sz w:val="22"/>
                <w:szCs w:val="22"/>
              </w:rPr>
              <w:t>euro</w:t>
            </w:r>
            <w:proofErr w:type="spellEnd"/>
            <w:r w:rsidRPr="00A231A2" w:rsidR="00A231A2">
              <w:rPr>
                <w:sz w:val="22"/>
                <w:szCs w:val="22"/>
              </w:rPr>
              <w:t xml:space="preserve">). Šāda aprēķina metode no tiesību īpašnieku puses izmantota, sniedzot pieteikumu ST, lai pierādītu zaudējumu aptuveno apmēru. Ar “vidējo cenu” saprotama vidēja cena, par kādu patērētājam ir iespējams iegādāties vienu mūzikas ierakstu – gan aprēķinot vienas fonogrammas vidējo cenu mūzikas ierakstu CD albumā, gan cenu, par kādu to var iegādāties internetā – gan Latvijas, gan ārvalstu vietnēs. Tāds </w:t>
            </w:r>
            <w:r w:rsidRPr="00A231A2" w:rsidR="00A231A2">
              <w:rPr>
                <w:sz w:val="22"/>
                <w:szCs w:val="22"/>
              </w:rPr>
              <w:lastRenderedPageBreak/>
              <w:t>pats princips piemērots arī attiecībā uz pārējiem objektiem.</w:t>
            </w:r>
          </w:p>
          <w:p w:rsidRPr="00A231A2" w:rsidR="00A231A2" w:rsidP="00A231A2" w:rsidRDefault="00A231A2" w14:paraId="01EC9230" w14:textId="77777777">
            <w:pPr>
              <w:pStyle w:val="naisc"/>
              <w:jc w:val="both"/>
              <w:rPr>
                <w:sz w:val="22"/>
                <w:szCs w:val="22"/>
              </w:rPr>
            </w:pPr>
            <w:r w:rsidRPr="00A231A2">
              <w:rPr>
                <w:sz w:val="22"/>
                <w:szCs w:val="22"/>
              </w:rPr>
              <w:t xml:space="preserve">Zaudējumu aprēķinu konkrētajā jomā iespējams novērtēt arī ar salīdzinošo metodi, proti, veicot aprēķinātās zaudējumu gala summas salīdzinājumu ar citām Eiropas Savienības dalībvalstīm. Šāda veida zaudējumu aprēķinu par taisnīgu un piemērojamu atzina Igaunijas tiesa, izskatot strīdu starp Igaunijas Republiku un autortiesību un blakustiesību subjektiem, aprēķinot no valsts piedzenamo kompensāciju par savlaicīgu normatīvo aktu nepieņemšanu, tādā veidā nenodrošinot pienācīgu nesēja atlīdzību (spriedums stājies spēkā 2020.gada decembrī un paredz piedzīt no valsts kompensāciju par labu tiesību īpašnieku organizācijām – 3,5 miljonus </w:t>
            </w:r>
            <w:proofErr w:type="spellStart"/>
            <w:r w:rsidRPr="00A231A2">
              <w:rPr>
                <w:sz w:val="22"/>
                <w:szCs w:val="22"/>
              </w:rPr>
              <w:t>euro</w:t>
            </w:r>
            <w:proofErr w:type="spellEnd"/>
            <w:r w:rsidRPr="00A231A2">
              <w:rPr>
                <w:sz w:val="22"/>
                <w:szCs w:val="22"/>
              </w:rPr>
              <w:t xml:space="preserve">, kā arī 656 </w:t>
            </w:r>
            <w:proofErr w:type="spellStart"/>
            <w:r w:rsidRPr="00A231A2">
              <w:rPr>
                <w:sz w:val="22"/>
                <w:szCs w:val="22"/>
              </w:rPr>
              <w:t>euro</w:t>
            </w:r>
            <w:proofErr w:type="spellEnd"/>
            <w:r w:rsidRPr="00A231A2">
              <w:rPr>
                <w:sz w:val="22"/>
                <w:szCs w:val="22"/>
              </w:rPr>
              <w:t xml:space="preserve"> dienā līdz </w:t>
            </w:r>
            <w:r w:rsidRPr="00A231A2">
              <w:rPr>
                <w:sz w:val="22"/>
                <w:szCs w:val="22"/>
              </w:rPr>
              <w:lastRenderedPageBreak/>
              <w:t>kompensācijas pilnīgai samaksai).</w:t>
            </w:r>
          </w:p>
          <w:p w:rsidRPr="00A231A2" w:rsidR="00A231A2" w:rsidP="00A231A2" w:rsidRDefault="00A231A2" w14:paraId="6BB0FB6D" w14:textId="77777777">
            <w:pPr>
              <w:pStyle w:val="naisc"/>
              <w:jc w:val="both"/>
              <w:rPr>
                <w:sz w:val="22"/>
                <w:szCs w:val="22"/>
              </w:rPr>
            </w:pPr>
            <w:r w:rsidRPr="00A231A2">
              <w:rPr>
                <w:sz w:val="22"/>
                <w:szCs w:val="22"/>
              </w:rPr>
              <w:t xml:space="preserve">Izmantojot šo aprēķina metodi, tiek ņemta vērā vidējā atlīdzība Eiropas Savienībā uz vienu iedzīvotāju. 2018.gadā tā bija 1,15-1,43 </w:t>
            </w:r>
            <w:proofErr w:type="spellStart"/>
            <w:r w:rsidRPr="00A231A2">
              <w:rPr>
                <w:sz w:val="22"/>
                <w:szCs w:val="22"/>
              </w:rPr>
              <w:t>euro</w:t>
            </w:r>
            <w:proofErr w:type="spellEnd"/>
            <w:r w:rsidRPr="00A231A2">
              <w:rPr>
                <w:sz w:val="22"/>
                <w:szCs w:val="22"/>
              </w:rPr>
              <w:t xml:space="preserve"> uz iedzīvotāju. Lietuvā iekasētā summa par nesēja atlīdzību ir ~1,07 </w:t>
            </w:r>
            <w:proofErr w:type="spellStart"/>
            <w:r w:rsidRPr="00A231A2">
              <w:rPr>
                <w:sz w:val="22"/>
                <w:szCs w:val="22"/>
              </w:rPr>
              <w:t>euro</w:t>
            </w:r>
            <w:proofErr w:type="spellEnd"/>
            <w:r w:rsidRPr="00A231A2">
              <w:rPr>
                <w:sz w:val="22"/>
                <w:szCs w:val="22"/>
              </w:rPr>
              <w:t xml:space="preserve"> uz iedzīvotāju. Aprēķinot kompensācijas summu, Igaunijas tiesa noteica, ka vidējai atlīdzībai ir jābūt 0,42 </w:t>
            </w:r>
            <w:proofErr w:type="spellStart"/>
            <w:r w:rsidRPr="00A231A2">
              <w:rPr>
                <w:sz w:val="22"/>
                <w:szCs w:val="22"/>
              </w:rPr>
              <w:t>euro</w:t>
            </w:r>
            <w:proofErr w:type="spellEnd"/>
            <w:r w:rsidRPr="00A231A2">
              <w:rPr>
                <w:sz w:val="22"/>
                <w:szCs w:val="22"/>
              </w:rPr>
              <w:t xml:space="preserve"> uz iedzīvotāju. Jāņem vērā, ka Igaunijas tiesa, nosakot kompensācijas summu ņēma vērā to, ka valsts daļu zaudējumu jau iepriekš bija segusi, kā arī kopējai summai tika pievienoti procenti par sešiem gadiem, kopā ap 0,5 </w:t>
            </w:r>
            <w:proofErr w:type="spellStart"/>
            <w:r w:rsidRPr="00A231A2">
              <w:rPr>
                <w:sz w:val="22"/>
                <w:szCs w:val="22"/>
              </w:rPr>
              <w:t>milj</w:t>
            </w:r>
            <w:proofErr w:type="spellEnd"/>
            <w:r w:rsidRPr="00A231A2">
              <w:rPr>
                <w:sz w:val="22"/>
                <w:szCs w:val="22"/>
              </w:rPr>
              <w:t xml:space="preserve"> </w:t>
            </w:r>
            <w:proofErr w:type="spellStart"/>
            <w:r w:rsidRPr="00A231A2">
              <w:rPr>
                <w:sz w:val="22"/>
                <w:szCs w:val="22"/>
              </w:rPr>
              <w:t>euro</w:t>
            </w:r>
            <w:proofErr w:type="spellEnd"/>
            <w:r w:rsidRPr="00A231A2">
              <w:rPr>
                <w:sz w:val="22"/>
                <w:szCs w:val="22"/>
              </w:rPr>
              <w:t>.</w:t>
            </w:r>
          </w:p>
          <w:p w:rsidRPr="00A231A2" w:rsidR="00A231A2" w:rsidP="00A231A2" w:rsidRDefault="00A231A2" w14:paraId="7FAA6315" w14:textId="77777777">
            <w:pPr>
              <w:pStyle w:val="naisc"/>
              <w:jc w:val="both"/>
              <w:rPr>
                <w:sz w:val="22"/>
                <w:szCs w:val="22"/>
              </w:rPr>
            </w:pPr>
            <w:r w:rsidRPr="00A231A2">
              <w:rPr>
                <w:sz w:val="22"/>
                <w:szCs w:val="22"/>
              </w:rPr>
              <w:t xml:space="preserve">2019.gadā iekasētā nesēja atlīdzības summa Latvijā bija nedaudz virs 550 000 </w:t>
            </w:r>
            <w:proofErr w:type="spellStart"/>
            <w:r w:rsidRPr="00A231A2">
              <w:rPr>
                <w:sz w:val="22"/>
                <w:szCs w:val="22"/>
              </w:rPr>
              <w:t>euro</w:t>
            </w:r>
            <w:proofErr w:type="spellEnd"/>
            <w:r w:rsidRPr="00A231A2">
              <w:rPr>
                <w:sz w:val="22"/>
                <w:szCs w:val="22"/>
              </w:rPr>
              <w:t xml:space="preserve">, tādējādi Latvijā pašlaik iekasētā summa atbilst ~ 0,29 </w:t>
            </w:r>
            <w:proofErr w:type="spellStart"/>
            <w:r w:rsidRPr="00A231A2">
              <w:rPr>
                <w:sz w:val="22"/>
                <w:szCs w:val="22"/>
              </w:rPr>
              <w:t>euro</w:t>
            </w:r>
            <w:proofErr w:type="spellEnd"/>
            <w:r w:rsidRPr="00A231A2">
              <w:rPr>
                <w:sz w:val="22"/>
                <w:szCs w:val="22"/>
              </w:rPr>
              <w:t xml:space="preserve"> uz iedzīvotāju. </w:t>
            </w:r>
          </w:p>
          <w:p w:rsidRPr="00903684" w:rsidR="00C343E2" w:rsidP="00A231A2" w:rsidRDefault="00A231A2" w14:paraId="7D8F6249" w14:textId="46A80F58">
            <w:pPr>
              <w:pStyle w:val="naisc"/>
              <w:spacing w:before="0" w:after="0"/>
              <w:jc w:val="both"/>
              <w:rPr>
                <w:sz w:val="22"/>
                <w:szCs w:val="22"/>
              </w:rPr>
            </w:pPr>
            <w:r w:rsidRPr="00A231A2">
              <w:rPr>
                <w:sz w:val="22"/>
                <w:szCs w:val="22"/>
              </w:rPr>
              <w:lastRenderedPageBreak/>
              <w:t xml:space="preserve">Lai Latvija sasniegtu vidējo Eiropas Savienības atlīdzības summu, tai būtu jāiekasē aptuveni 2 185 000 </w:t>
            </w:r>
            <w:proofErr w:type="spellStart"/>
            <w:r w:rsidRPr="00A231A2">
              <w:rPr>
                <w:sz w:val="22"/>
                <w:szCs w:val="22"/>
              </w:rPr>
              <w:t>euro</w:t>
            </w:r>
            <w:proofErr w:type="spellEnd"/>
            <w:r w:rsidRPr="00A231A2">
              <w:rPr>
                <w:sz w:val="22"/>
                <w:szCs w:val="22"/>
              </w:rPr>
              <w:t xml:space="preserve"> gadā (pieņemot, ka Latvijā ir 1,9 </w:t>
            </w:r>
            <w:proofErr w:type="spellStart"/>
            <w:r w:rsidRPr="00A231A2">
              <w:rPr>
                <w:sz w:val="22"/>
                <w:szCs w:val="22"/>
              </w:rPr>
              <w:t>milj</w:t>
            </w:r>
            <w:proofErr w:type="spellEnd"/>
            <w:r w:rsidRPr="00A231A2">
              <w:rPr>
                <w:sz w:val="22"/>
                <w:szCs w:val="22"/>
              </w:rPr>
              <w:t xml:space="preserve"> iedzīvotāju). Tā kā atbilstoši Viedtālruņu pētījumam Latvijā viedtālruni ar internetu lieto 66,5% iedzīvotāju un, pieņemot, ka katrs no šiem lietotājiem viedtālruni maina reizi divos gados, nosakot atlīdzību par vienu viedtālruni 1,5 </w:t>
            </w:r>
            <w:proofErr w:type="spellStart"/>
            <w:r w:rsidRPr="00A231A2">
              <w:rPr>
                <w:sz w:val="22"/>
                <w:szCs w:val="22"/>
              </w:rPr>
              <w:t>euro</w:t>
            </w:r>
            <w:proofErr w:type="spellEnd"/>
            <w:r w:rsidRPr="00A231A2">
              <w:rPr>
                <w:sz w:val="22"/>
                <w:szCs w:val="22"/>
              </w:rPr>
              <w:t xml:space="preserve"> apmērā, nesēja atlīdzība par viedtālruņiem gada laikā varētu sastādīt 945 000 </w:t>
            </w:r>
            <w:proofErr w:type="spellStart"/>
            <w:r w:rsidRPr="00A231A2">
              <w:rPr>
                <w:sz w:val="22"/>
                <w:szCs w:val="22"/>
              </w:rPr>
              <w:t>euro</w:t>
            </w:r>
            <w:proofErr w:type="spellEnd"/>
            <w:r w:rsidRPr="00A231A2">
              <w:rPr>
                <w:sz w:val="22"/>
                <w:szCs w:val="22"/>
              </w:rPr>
              <w:t xml:space="preserve">. 2019.gadā iekasētā nesēja atlīdzības summa par personālajiem datoriem bija aptuveni 400 000 </w:t>
            </w:r>
            <w:proofErr w:type="spellStart"/>
            <w:r w:rsidRPr="00A231A2">
              <w:rPr>
                <w:sz w:val="22"/>
                <w:szCs w:val="22"/>
              </w:rPr>
              <w:t>euro</w:t>
            </w:r>
            <w:proofErr w:type="spellEnd"/>
            <w:r w:rsidRPr="00A231A2">
              <w:rPr>
                <w:sz w:val="22"/>
                <w:szCs w:val="22"/>
              </w:rPr>
              <w:t xml:space="preserve">. Ja pieņem, ka datoru cietos diskus iegādājas apmēram divas reizes mazāk kā personālos datorus, par datoru cietajiem diskiem iekasētā summa varētu būt aptuveni 200 000 </w:t>
            </w:r>
            <w:proofErr w:type="spellStart"/>
            <w:r w:rsidRPr="00A231A2">
              <w:rPr>
                <w:sz w:val="22"/>
                <w:szCs w:val="22"/>
              </w:rPr>
              <w:t>euro</w:t>
            </w:r>
            <w:proofErr w:type="spellEnd"/>
            <w:r w:rsidRPr="00A231A2">
              <w:rPr>
                <w:sz w:val="22"/>
                <w:szCs w:val="22"/>
              </w:rPr>
              <w:t xml:space="preserve"> gadā. Tādējādi kopējā gadā iekasētā </w:t>
            </w:r>
            <w:r w:rsidRPr="00A231A2">
              <w:rPr>
                <w:sz w:val="22"/>
                <w:szCs w:val="22"/>
              </w:rPr>
              <w:lastRenderedPageBreak/>
              <w:t xml:space="preserve">summa pēc grozījumu stāšanās spēkā varētu būt līdz 1 695 000 </w:t>
            </w:r>
            <w:proofErr w:type="spellStart"/>
            <w:r w:rsidRPr="00A231A2">
              <w:rPr>
                <w:sz w:val="22"/>
                <w:szCs w:val="22"/>
              </w:rPr>
              <w:t>euro</w:t>
            </w:r>
            <w:proofErr w:type="spellEnd"/>
            <w:r w:rsidRPr="00A231A2">
              <w:rPr>
                <w:sz w:val="22"/>
                <w:szCs w:val="22"/>
              </w:rPr>
              <w:t xml:space="preserve">. Lai gan šī summa nesasniedz ne vidējo Eiropas Savienības atlīdzības summu uz vienu iedzīvotāju, ne tiesību īpašnieku aprēķināto zaudējumu summu, tiesību īpašnieku pārstāvji ir kompromisa vārdā piekrituši piedāvātajām izmaiņām.  </w:t>
            </w:r>
            <w:r w:rsidRPr="00A231A2" w:rsidR="00C343E2">
              <w:rPr>
                <w:sz w:val="22"/>
                <w:szCs w:val="22"/>
              </w:rPr>
              <w:t>[..]”</w:t>
            </w:r>
          </w:p>
        </w:tc>
      </w:tr>
      <w:tr w:rsidRPr="00E36116" w:rsidR="00C343E2" w:rsidTr="00E36116" w14:paraId="75F7E629" w14:textId="77777777">
        <w:tc>
          <w:tcPr>
            <w:tcW w:w="191" w:type="pct"/>
            <w:tcBorders>
              <w:top w:val="single" w:color="000000" w:sz="6" w:space="0"/>
              <w:left w:val="single" w:color="000000" w:sz="6" w:space="0"/>
              <w:bottom w:val="single" w:color="000000" w:sz="6" w:space="0"/>
              <w:right w:val="single" w:color="000000" w:sz="6" w:space="0"/>
            </w:tcBorders>
          </w:tcPr>
          <w:p w:rsidRPr="00E36116" w:rsidR="00C343E2" w:rsidP="00C343E2" w:rsidRDefault="00C343E2" w14:paraId="5AEF49B5" w14:textId="7A63082E">
            <w:pPr>
              <w:pStyle w:val="naisc"/>
              <w:spacing w:before="0" w:after="0"/>
              <w:rPr>
                <w:sz w:val="22"/>
                <w:szCs w:val="22"/>
                <w:lang w:eastAsia="en-US"/>
              </w:rPr>
            </w:pPr>
            <w:r>
              <w:rPr>
                <w:sz w:val="22"/>
                <w:szCs w:val="22"/>
                <w:lang w:eastAsia="en-US"/>
              </w:rPr>
              <w:lastRenderedPageBreak/>
              <w:t>9</w:t>
            </w:r>
            <w:r w:rsidRPr="00E36116">
              <w:rPr>
                <w:sz w:val="22"/>
                <w:szCs w:val="22"/>
                <w:lang w:eastAsia="en-US"/>
              </w:rPr>
              <w:t>.</w:t>
            </w:r>
          </w:p>
        </w:tc>
        <w:tc>
          <w:tcPr>
            <w:tcW w:w="862" w:type="pct"/>
            <w:tcBorders>
              <w:top w:val="single" w:color="000000" w:sz="6" w:space="0"/>
              <w:left w:val="single" w:color="000000" w:sz="6" w:space="0"/>
              <w:bottom w:val="single" w:color="000000" w:sz="6" w:space="0"/>
              <w:right w:val="single" w:color="000000" w:sz="6" w:space="0"/>
            </w:tcBorders>
          </w:tcPr>
          <w:p w:rsidRPr="00E36116" w:rsidR="00C343E2" w:rsidP="00C343E2" w:rsidRDefault="00C343E2" w14:paraId="0F0BBEC2" w14:textId="3DB95B1D">
            <w:pPr>
              <w:pStyle w:val="naisc"/>
              <w:spacing w:before="0" w:after="0"/>
              <w:jc w:val="both"/>
              <w:rPr>
                <w:sz w:val="22"/>
                <w:szCs w:val="22"/>
              </w:rPr>
            </w:pPr>
            <w:r w:rsidRPr="00903684">
              <w:rPr>
                <w:sz w:val="22"/>
                <w:szCs w:val="22"/>
              </w:rPr>
              <w:t xml:space="preserve">Ministru kabineta noteikumu </w:t>
            </w:r>
            <w:r>
              <w:rPr>
                <w:sz w:val="22"/>
                <w:szCs w:val="22"/>
              </w:rPr>
              <w:t>p</w:t>
            </w:r>
            <w:r w:rsidRPr="00E36116">
              <w:rPr>
                <w:sz w:val="22"/>
                <w:szCs w:val="22"/>
              </w:rPr>
              <w:t>rojekta sākotnējās ietekmes novērtējuma ziņojuma (anotācijas) I sadaļas 2.punkts:</w:t>
            </w:r>
          </w:p>
          <w:p w:rsidR="00C343E2" w:rsidP="00C343E2" w:rsidRDefault="00C343E2" w14:paraId="6976DE79" w14:textId="77777777">
            <w:pPr>
              <w:jc w:val="both"/>
              <w:rPr>
                <w:sz w:val="22"/>
                <w:szCs w:val="22"/>
              </w:rPr>
            </w:pPr>
          </w:p>
          <w:p w:rsidRPr="00793437" w:rsidR="00C343E2" w:rsidP="00C343E2" w:rsidRDefault="00C343E2" w14:paraId="02170605" w14:textId="2EA69245">
            <w:pPr>
              <w:jc w:val="both"/>
              <w:rPr>
                <w:b/>
                <w:bCs/>
                <w:sz w:val="22"/>
                <w:szCs w:val="22"/>
              </w:rPr>
            </w:pPr>
            <w:r w:rsidRPr="00E36116">
              <w:rPr>
                <w:sz w:val="22"/>
                <w:szCs w:val="22"/>
              </w:rPr>
              <w:t>„</w:t>
            </w:r>
            <w:r w:rsidRPr="00793437">
              <w:rPr>
                <w:sz w:val="22"/>
                <w:szCs w:val="22"/>
              </w:rPr>
              <w:t xml:space="preserve">[..] </w:t>
            </w:r>
            <w:r w:rsidRPr="00793437">
              <w:rPr>
                <w:b/>
                <w:bCs/>
                <w:sz w:val="22"/>
                <w:szCs w:val="22"/>
              </w:rPr>
              <w:t>2) Samērīgums ar sabiedrības interesēm.</w:t>
            </w:r>
          </w:p>
          <w:p w:rsidRPr="00E36116" w:rsidR="00C343E2" w:rsidP="00C343E2" w:rsidRDefault="00C343E2" w14:paraId="484E9959" w14:textId="77777777">
            <w:pPr>
              <w:pStyle w:val="naisc"/>
              <w:spacing w:before="0" w:after="0"/>
              <w:jc w:val="both"/>
              <w:rPr>
                <w:sz w:val="22"/>
                <w:szCs w:val="22"/>
              </w:rPr>
            </w:pPr>
            <w:r w:rsidRPr="00E36116">
              <w:rPr>
                <w:sz w:val="22"/>
                <w:szCs w:val="22"/>
              </w:rPr>
              <w:t xml:space="preserve">Nosakot nesējus un iekārtas, par kurām ir maksājama nesēja atlīdzība, un attiecīgās atlīdzības lielumu, jāņem vērā, ka ar nesēja atlīdzības palīdzību sabiedrībai uzliktajam ekonomiskajam slogam ir </w:t>
            </w:r>
            <w:r w:rsidRPr="00793437">
              <w:rPr>
                <w:sz w:val="22"/>
                <w:szCs w:val="22"/>
              </w:rPr>
              <w:t>jābūt samērīgam ar sabiedrības ieguvumu no attiecīgā</w:t>
            </w:r>
            <w:r w:rsidRPr="00E36116">
              <w:rPr>
                <w:sz w:val="22"/>
                <w:szCs w:val="22"/>
              </w:rPr>
              <w:t xml:space="preserve"> autortiesību </w:t>
            </w:r>
            <w:r w:rsidRPr="00E36116">
              <w:rPr>
                <w:sz w:val="22"/>
                <w:szCs w:val="22"/>
              </w:rPr>
              <w:lastRenderedPageBreak/>
              <w:t>ierobežojuma izmantošanas. Valsts kompetencē ir noteikt šāda kaitējuma robežvērtību, ievērojot, ka šīs robežvērtības piemērošanai tostarp jāatbilst vienlīdzīgas attieksmes principam.</w:t>
            </w:r>
          </w:p>
          <w:p w:rsidRPr="00E36116" w:rsidR="00C343E2" w:rsidP="00C343E2" w:rsidRDefault="00C343E2" w14:paraId="28EB795A" w14:textId="67833F2C">
            <w:pPr>
              <w:pStyle w:val="naisc"/>
              <w:spacing w:before="0" w:after="0"/>
              <w:ind w:firstLine="288"/>
              <w:jc w:val="both"/>
              <w:rPr>
                <w:sz w:val="22"/>
                <w:szCs w:val="22"/>
              </w:rPr>
            </w:pPr>
            <w:r w:rsidRPr="00E36116">
              <w:rPr>
                <w:sz w:val="22"/>
                <w:szCs w:val="22"/>
              </w:rPr>
              <w:t xml:space="preserve">Ņemot vērā Eiropas Savienības tiesas atziņas un citu valstu praksi attiecīgajā jomā, minimāls kaitējums būtu konstatējams attiecībā uz tādu nesēju un iekārtu izmantošanu, ja tos </w:t>
            </w:r>
            <w:proofErr w:type="spellStart"/>
            <w:r w:rsidRPr="00E36116">
              <w:rPr>
                <w:sz w:val="22"/>
                <w:szCs w:val="22"/>
              </w:rPr>
              <w:t>privātkopēšanai</w:t>
            </w:r>
            <w:proofErr w:type="spellEnd"/>
            <w:r w:rsidRPr="00E36116">
              <w:rPr>
                <w:sz w:val="22"/>
                <w:szCs w:val="22"/>
              </w:rPr>
              <w:t xml:space="preserve"> izmanto mazāk nekā 20% no respondentiem, kas veic likumīgi iegūtu ar autortiesībām aizsargātu darbu reproducēšanu personiskai lietošanai.</w:t>
            </w:r>
            <w:r>
              <w:rPr>
                <w:sz w:val="22"/>
                <w:szCs w:val="22"/>
              </w:rPr>
              <w:t xml:space="preserve"> [..]”</w:t>
            </w:r>
          </w:p>
        </w:tc>
        <w:tc>
          <w:tcPr>
            <w:tcW w:w="1221" w:type="pct"/>
            <w:tcBorders>
              <w:top w:val="single" w:color="000000" w:sz="6" w:space="0"/>
              <w:left w:val="single" w:color="000000" w:sz="6" w:space="0"/>
              <w:bottom w:val="single" w:color="000000" w:sz="6" w:space="0"/>
              <w:right w:val="single" w:color="000000" w:sz="6" w:space="0"/>
            </w:tcBorders>
          </w:tcPr>
          <w:p w:rsidRPr="00E36116" w:rsidR="00C343E2" w:rsidP="00C343E2" w:rsidRDefault="00C343E2" w14:paraId="2161E774" w14:textId="08898533">
            <w:pPr>
              <w:pStyle w:val="naiskr"/>
              <w:spacing w:before="0" w:after="0"/>
              <w:jc w:val="both"/>
              <w:rPr>
                <w:b/>
                <w:bCs/>
                <w:sz w:val="22"/>
                <w:szCs w:val="22"/>
              </w:rPr>
            </w:pPr>
            <w:r w:rsidRPr="00E36116">
              <w:rPr>
                <w:b/>
                <w:bCs/>
                <w:sz w:val="22"/>
                <w:szCs w:val="22"/>
              </w:rPr>
              <w:lastRenderedPageBreak/>
              <w:t>LTRK, LETERA, LIKTA, LIA</w:t>
            </w:r>
            <w:r>
              <w:rPr>
                <w:b/>
                <w:bCs/>
                <w:sz w:val="22"/>
                <w:szCs w:val="22"/>
              </w:rPr>
              <w:t>:</w:t>
            </w:r>
          </w:p>
          <w:p w:rsidRPr="00E36116" w:rsidR="00C343E2" w:rsidP="00C343E2" w:rsidRDefault="00C343E2" w14:paraId="6C9B27F1" w14:textId="16120E10">
            <w:pPr>
              <w:pStyle w:val="naiskr"/>
              <w:spacing w:before="0" w:after="0"/>
              <w:jc w:val="both"/>
              <w:rPr>
                <w:rFonts w:eastAsia="Calibri"/>
                <w:b/>
                <w:bCs/>
                <w:sz w:val="22"/>
                <w:szCs w:val="22"/>
                <w:shd w:val="clear" w:color="auto" w:fill="FFFFFF"/>
              </w:rPr>
            </w:pPr>
            <w:r w:rsidRPr="00E36116">
              <w:rPr>
                <w:sz w:val="22"/>
                <w:szCs w:val="22"/>
              </w:rPr>
              <w:t xml:space="preserve">Iebilstam arī pret to, ka 20% slieksnis, kas tiek uzskatīts par kritisko un kuru pārsniedzot, tiek </w:t>
            </w:r>
            <w:proofErr w:type="spellStart"/>
            <w:r w:rsidRPr="00E36116">
              <w:rPr>
                <w:sz w:val="22"/>
                <w:szCs w:val="22"/>
              </w:rPr>
              <w:t>prezumēts</w:t>
            </w:r>
            <w:proofErr w:type="spellEnd"/>
            <w:r w:rsidRPr="00E36116">
              <w:rPr>
                <w:sz w:val="22"/>
                <w:szCs w:val="22"/>
              </w:rPr>
              <w:t>, ka tiek radīts kaitējums autoriem, tiek noteikts pē</w:t>
            </w:r>
            <w:r w:rsidRPr="00793437">
              <w:rPr>
                <w:sz w:val="22"/>
                <w:szCs w:val="22"/>
              </w:rPr>
              <w:t xml:space="preserve">c 2020.gada Pētījuma rezultātu iegūšanas. Uzskatām, </w:t>
            </w:r>
            <w:r w:rsidRPr="00E36116">
              <w:rPr>
                <w:sz w:val="22"/>
                <w:szCs w:val="22"/>
              </w:rPr>
              <w:t>ka vispirms ir jānosaka slieksnis, pēc tam jāveic pētījums un jāanalizē, vai tiek sasniegts noteiktais slieksni. Sliekšņa noteikšana post-</w:t>
            </w:r>
            <w:proofErr w:type="spellStart"/>
            <w:r w:rsidRPr="00E36116">
              <w:rPr>
                <w:sz w:val="22"/>
                <w:szCs w:val="22"/>
              </w:rPr>
              <w:t>factum</w:t>
            </w:r>
            <w:proofErr w:type="spellEnd"/>
            <w:r w:rsidRPr="00E36116">
              <w:rPr>
                <w:sz w:val="22"/>
                <w:szCs w:val="22"/>
              </w:rPr>
              <w:t xml:space="preserve"> faktiski nozīmē atbildīgo iestāžu darbību </w:t>
            </w:r>
            <w:proofErr w:type="spellStart"/>
            <w:r w:rsidRPr="00E36116">
              <w:rPr>
                <w:sz w:val="22"/>
                <w:szCs w:val="22"/>
              </w:rPr>
              <w:t>neprognozējamību</w:t>
            </w:r>
            <w:proofErr w:type="spellEnd"/>
            <w:r w:rsidRPr="00E36116">
              <w:rPr>
                <w:sz w:val="22"/>
                <w:szCs w:val="22"/>
              </w:rPr>
              <w:t>, tiesiskās paļāvības neesamību, labas pārvaldības principu neievērošanu. Pie šādas pieejas slieksnis tiek noteikts atkarībā no pētījuma rezultātiem, un faktiski jebkāds slieksnis, pat 5%, var tikt pasludināts par kritisko.</w:t>
            </w:r>
          </w:p>
        </w:tc>
        <w:tc>
          <w:tcPr>
            <w:tcW w:w="1116" w:type="pct"/>
            <w:tcBorders>
              <w:top w:val="single" w:color="000000" w:sz="6" w:space="0"/>
              <w:left w:val="single" w:color="000000" w:sz="6" w:space="0"/>
              <w:bottom w:val="single" w:color="000000" w:sz="6" w:space="0"/>
              <w:right w:val="single" w:color="000000" w:sz="6" w:space="0"/>
            </w:tcBorders>
          </w:tcPr>
          <w:p w:rsidRPr="00E36116" w:rsidR="00C343E2" w:rsidP="00C343E2" w:rsidRDefault="00C343E2" w14:paraId="43A2E1D7" w14:textId="77777777">
            <w:pPr>
              <w:pStyle w:val="naisc"/>
              <w:spacing w:before="0" w:after="0"/>
              <w:ind w:firstLine="288"/>
              <w:rPr>
                <w:b/>
                <w:sz w:val="22"/>
                <w:szCs w:val="22"/>
                <w:lang w:eastAsia="en-US"/>
              </w:rPr>
            </w:pPr>
            <w:r w:rsidRPr="00E36116">
              <w:rPr>
                <w:b/>
                <w:sz w:val="22"/>
                <w:szCs w:val="22"/>
                <w:lang w:eastAsia="en-US"/>
              </w:rPr>
              <w:t>Nav ņemts vērā</w:t>
            </w:r>
          </w:p>
          <w:p w:rsidRPr="00E36116" w:rsidR="00C343E2" w:rsidP="00C343E2" w:rsidRDefault="00C343E2" w14:paraId="5C5C9125" w14:textId="311B75B8">
            <w:pPr>
              <w:pStyle w:val="naisc"/>
              <w:spacing w:before="0" w:after="0"/>
              <w:jc w:val="both"/>
              <w:rPr>
                <w:bCs/>
                <w:sz w:val="22"/>
                <w:szCs w:val="22"/>
                <w:lang w:eastAsia="en-US"/>
              </w:rPr>
            </w:pPr>
            <w:r w:rsidRPr="00E36116">
              <w:rPr>
                <w:bCs/>
                <w:sz w:val="22"/>
                <w:szCs w:val="22"/>
                <w:lang w:eastAsia="en-US"/>
              </w:rPr>
              <w:t>M</w:t>
            </w:r>
            <w:r>
              <w:rPr>
                <w:bCs/>
                <w:sz w:val="22"/>
                <w:szCs w:val="22"/>
                <w:lang w:eastAsia="en-US"/>
              </w:rPr>
              <w:t>inistru kabineta</w:t>
            </w:r>
            <w:r w:rsidRPr="00E36116">
              <w:rPr>
                <w:bCs/>
                <w:sz w:val="22"/>
                <w:szCs w:val="22"/>
                <w:lang w:eastAsia="en-US"/>
              </w:rPr>
              <w:t xml:space="preserve"> kompetencē ir noteikt kritērijus, atbilstoši kuriem iekārtas un nesēji tiek iekļauti sarakstā. </w:t>
            </w:r>
          </w:p>
          <w:p w:rsidRPr="00E36116" w:rsidR="00C343E2" w:rsidP="00C343E2" w:rsidRDefault="00C343E2" w14:paraId="46D2C916" w14:textId="2542F436">
            <w:pPr>
              <w:pStyle w:val="naisc"/>
              <w:spacing w:before="0" w:after="0"/>
              <w:jc w:val="both"/>
              <w:rPr>
                <w:bCs/>
                <w:sz w:val="22"/>
                <w:szCs w:val="22"/>
                <w:lang w:eastAsia="en-US"/>
              </w:rPr>
            </w:pPr>
            <w:r w:rsidRPr="00E36116">
              <w:rPr>
                <w:bCs/>
                <w:sz w:val="22"/>
                <w:szCs w:val="22"/>
                <w:lang w:eastAsia="en-US"/>
              </w:rPr>
              <w:t>Atbilstoši Direktīvas 2001/29/EK preambulas 35.apsvērumam dažos gadījumos, ja tiesību subjekta aizskārums (kaitējums) ir minimāls, pienākuma maksāt taisnīgu atlīdzību var nebūt.</w:t>
            </w:r>
          </w:p>
          <w:p w:rsidRPr="00E36116" w:rsidR="00C343E2" w:rsidP="00C343E2" w:rsidRDefault="00C343E2" w14:paraId="79374A1C" w14:textId="2D047639">
            <w:pPr>
              <w:pStyle w:val="naisc"/>
              <w:spacing w:before="0" w:after="0"/>
              <w:jc w:val="both"/>
              <w:rPr>
                <w:bCs/>
                <w:sz w:val="22"/>
                <w:szCs w:val="22"/>
                <w:lang w:eastAsia="en-US"/>
              </w:rPr>
            </w:pPr>
            <w:r w:rsidRPr="00E36116">
              <w:rPr>
                <w:bCs/>
                <w:sz w:val="22"/>
                <w:szCs w:val="22"/>
                <w:lang w:eastAsia="en-US"/>
              </w:rPr>
              <w:t xml:space="preserve">Eiropas Savienības Tiesa 2015.gada 5.marta spriedumā lietā Nr.C-463/12 </w:t>
            </w:r>
            <w:proofErr w:type="spellStart"/>
            <w:r w:rsidRPr="00793437">
              <w:rPr>
                <w:bCs/>
                <w:i/>
                <w:iCs/>
                <w:sz w:val="22"/>
                <w:szCs w:val="22"/>
                <w:lang w:eastAsia="en-US"/>
              </w:rPr>
              <w:t>Copydan</w:t>
            </w:r>
            <w:proofErr w:type="spellEnd"/>
            <w:r w:rsidRPr="00793437">
              <w:rPr>
                <w:bCs/>
                <w:i/>
                <w:iCs/>
                <w:sz w:val="22"/>
                <w:szCs w:val="22"/>
                <w:lang w:eastAsia="en-US"/>
              </w:rPr>
              <w:t xml:space="preserve"> </w:t>
            </w:r>
            <w:proofErr w:type="spellStart"/>
            <w:r w:rsidRPr="00793437">
              <w:rPr>
                <w:bCs/>
                <w:i/>
                <w:iCs/>
                <w:sz w:val="22"/>
                <w:szCs w:val="22"/>
                <w:lang w:eastAsia="en-US"/>
              </w:rPr>
              <w:t>Båndkopi</w:t>
            </w:r>
            <w:proofErr w:type="spellEnd"/>
            <w:r w:rsidRPr="00793437">
              <w:rPr>
                <w:bCs/>
                <w:i/>
                <w:iCs/>
                <w:sz w:val="22"/>
                <w:szCs w:val="22"/>
                <w:lang w:eastAsia="en-US"/>
              </w:rPr>
              <w:t xml:space="preserve"> v Nokia </w:t>
            </w:r>
            <w:proofErr w:type="spellStart"/>
            <w:r w:rsidRPr="00793437">
              <w:rPr>
                <w:bCs/>
                <w:i/>
                <w:iCs/>
                <w:sz w:val="22"/>
                <w:szCs w:val="22"/>
                <w:lang w:eastAsia="en-US"/>
              </w:rPr>
              <w:t>Danmark</w:t>
            </w:r>
            <w:proofErr w:type="spellEnd"/>
            <w:r w:rsidRPr="00793437">
              <w:rPr>
                <w:bCs/>
                <w:i/>
                <w:iCs/>
                <w:sz w:val="22"/>
                <w:szCs w:val="22"/>
                <w:lang w:eastAsia="en-US"/>
              </w:rPr>
              <w:t xml:space="preserve"> A/S</w:t>
            </w:r>
            <w:r w:rsidRPr="00793437">
              <w:rPr>
                <w:bCs/>
                <w:sz w:val="22"/>
                <w:szCs w:val="22"/>
                <w:lang w:eastAsia="en-US"/>
              </w:rPr>
              <w:t xml:space="preserve"> (sk. sprieduma 28.punktu) precizēja, ka gadījumā, ja tiktu konstatēts, ka praksē kāda datu nesēja lietotāji tikpat kā neveic reproducēšanu savām </w:t>
            </w:r>
            <w:r w:rsidRPr="00793437">
              <w:rPr>
                <w:bCs/>
                <w:sz w:val="22"/>
                <w:szCs w:val="22"/>
                <w:lang w:eastAsia="en-US"/>
              </w:rPr>
              <w:lastRenderedPageBreak/>
              <w:t>vajadzībām, šīs funkcijas nodrošināšana atbilstoši Direktīvas 2001/29 preambulas 35.apsvērumam varētu neradīt pienākumu maksāt taisnīgu atlīdzību, ciktāl tiesību subjektiem radītais kaitējums tiktu uzskatīts par minimālu. Tāpat Tiesa atzina</w:t>
            </w:r>
            <w:r w:rsidRPr="00E36116">
              <w:rPr>
                <w:bCs/>
                <w:sz w:val="22"/>
                <w:szCs w:val="22"/>
                <w:lang w:eastAsia="en-US"/>
              </w:rPr>
              <w:t>, ka valsts kompetencē ir noteikt šāda kaitējuma robežvērtību, ievērojot, ka šīs robežvērtības piemērošanai tostarp jāatbilst vienlīdzīgas attieksmes principam (sk. sprieduma 59. – 62.punktu).</w:t>
            </w:r>
          </w:p>
          <w:p w:rsidRPr="00E36116" w:rsidR="00C343E2" w:rsidP="00C343E2" w:rsidRDefault="00C343E2" w14:paraId="2F61B4C3" w14:textId="044AA23E">
            <w:pPr>
              <w:pStyle w:val="naisc"/>
              <w:spacing w:before="0" w:after="0"/>
              <w:jc w:val="both"/>
              <w:rPr>
                <w:b/>
                <w:sz w:val="22"/>
                <w:szCs w:val="22"/>
                <w:lang w:eastAsia="en-US"/>
              </w:rPr>
            </w:pPr>
            <w:r w:rsidRPr="00E36116">
              <w:rPr>
                <w:bCs/>
                <w:sz w:val="22"/>
                <w:szCs w:val="22"/>
                <w:lang w:eastAsia="en-US"/>
              </w:rPr>
              <w:t xml:space="preserve">Pamatojoties uz iepriekšminēto, secināms, ka “minimālā kaitējuma” robežvērtība varētu attiekties uz gadījumiem, kad tiek konstatēts, ka kāds nesējs vai iekārta </w:t>
            </w:r>
            <w:r w:rsidRPr="00E36116">
              <w:rPr>
                <w:b/>
                <w:sz w:val="22"/>
                <w:szCs w:val="22"/>
                <w:lang w:eastAsia="en-US"/>
              </w:rPr>
              <w:t xml:space="preserve">tikpat kā netiek izmantots </w:t>
            </w:r>
            <w:proofErr w:type="spellStart"/>
            <w:r w:rsidRPr="00E36116">
              <w:rPr>
                <w:b/>
                <w:sz w:val="22"/>
                <w:szCs w:val="22"/>
                <w:lang w:eastAsia="en-US"/>
              </w:rPr>
              <w:t>privātkopēšanai</w:t>
            </w:r>
            <w:proofErr w:type="spellEnd"/>
            <w:r w:rsidRPr="00E36116">
              <w:rPr>
                <w:b/>
                <w:sz w:val="22"/>
                <w:szCs w:val="22"/>
                <w:lang w:eastAsia="en-US"/>
              </w:rPr>
              <w:t>.</w:t>
            </w:r>
          </w:p>
          <w:p w:rsidRPr="00E36116" w:rsidR="00C343E2" w:rsidP="00C343E2" w:rsidRDefault="00C343E2" w14:paraId="090F6406" w14:textId="057FDB8E">
            <w:pPr>
              <w:pStyle w:val="naisc"/>
              <w:spacing w:before="0" w:after="0"/>
              <w:jc w:val="both"/>
              <w:rPr>
                <w:bCs/>
                <w:sz w:val="22"/>
                <w:szCs w:val="22"/>
                <w:lang w:eastAsia="en-US"/>
              </w:rPr>
            </w:pPr>
            <w:r w:rsidRPr="00E36116">
              <w:rPr>
                <w:bCs/>
                <w:sz w:val="22"/>
                <w:szCs w:val="22"/>
                <w:lang w:eastAsia="en-US"/>
              </w:rPr>
              <w:t>Līdz ar to K</w:t>
            </w:r>
            <w:r>
              <w:rPr>
                <w:bCs/>
                <w:sz w:val="22"/>
                <w:szCs w:val="22"/>
                <w:lang w:eastAsia="en-US"/>
              </w:rPr>
              <w:t>ultūras ministrija</w:t>
            </w:r>
            <w:r w:rsidRPr="00E36116">
              <w:rPr>
                <w:bCs/>
                <w:sz w:val="22"/>
                <w:szCs w:val="22"/>
                <w:lang w:eastAsia="en-US"/>
              </w:rPr>
              <w:t xml:space="preserve"> uzskatīja, ka ir pamatota 2012.gadā noteiktā sliekšņa </w:t>
            </w:r>
            <w:r>
              <w:rPr>
                <w:bCs/>
                <w:sz w:val="22"/>
                <w:szCs w:val="22"/>
                <w:lang w:eastAsia="en-US"/>
              </w:rPr>
              <w:t xml:space="preserve">neliela </w:t>
            </w:r>
            <w:r w:rsidRPr="00E36116">
              <w:rPr>
                <w:bCs/>
                <w:sz w:val="22"/>
                <w:szCs w:val="22"/>
                <w:lang w:eastAsia="en-US"/>
              </w:rPr>
              <w:t>pazemināšana. Ņemams vērā, ka 2012.gadā, kad tika veikta iepriekšējā nesēju un iekārtu pārskatīšana, Eiropas Savienības Tiesa vēl nebija sniegusi atziņas par Direktīvas 2001/29 preambulas 35. apsvērumā iekļautā jēdziena “minimāls kaitējums” iztulkošanu.</w:t>
            </w:r>
          </w:p>
          <w:p w:rsidRPr="00E36116" w:rsidR="00C343E2" w:rsidP="00C343E2" w:rsidRDefault="00C343E2" w14:paraId="175835E0" w14:textId="1516838C">
            <w:pPr>
              <w:pStyle w:val="naisc"/>
              <w:spacing w:before="0" w:after="0"/>
              <w:jc w:val="both"/>
              <w:rPr>
                <w:bCs/>
                <w:sz w:val="22"/>
                <w:szCs w:val="22"/>
                <w:lang w:eastAsia="en-US"/>
              </w:rPr>
            </w:pPr>
            <w:r w:rsidRPr="00E36116">
              <w:rPr>
                <w:bCs/>
                <w:sz w:val="22"/>
                <w:szCs w:val="22"/>
                <w:lang w:eastAsia="en-US"/>
              </w:rPr>
              <w:lastRenderedPageBreak/>
              <w:t>Turklāt minētā sliekšņa pazemināšana kopumā nerada ievērojamu ietekmi, jo 2012.gadā 25% sliekšņa pie</w:t>
            </w:r>
            <w:r w:rsidRPr="00793437">
              <w:rPr>
                <w:bCs/>
                <w:sz w:val="22"/>
                <w:szCs w:val="22"/>
                <w:lang w:eastAsia="en-US"/>
              </w:rPr>
              <w:t xml:space="preserve">mērošanas rezultātā sarakstā netika iekļauti tie nesēji un iekārtas, kurus izmantojuši apmēram 3% no visiem respondentiem, kamēr 2020.gadā, piemērojot 20% </w:t>
            </w:r>
            <w:r w:rsidRPr="00E36116">
              <w:rPr>
                <w:bCs/>
                <w:sz w:val="22"/>
                <w:szCs w:val="22"/>
                <w:lang w:eastAsia="en-US"/>
              </w:rPr>
              <w:t>slieksni, tie ir nesēji un iekārtas, kurus izmantojuši 2,8% respondentu.</w:t>
            </w:r>
          </w:p>
        </w:tc>
        <w:tc>
          <w:tcPr>
            <w:tcW w:w="769" w:type="pct"/>
            <w:tcBorders>
              <w:top w:val="single" w:color="auto" w:sz="4" w:space="0"/>
              <w:left w:val="single" w:color="auto" w:sz="4" w:space="0"/>
              <w:bottom w:val="single" w:color="auto" w:sz="4" w:space="0"/>
              <w:right w:val="single" w:color="auto" w:sz="4" w:space="0"/>
            </w:tcBorders>
          </w:tcPr>
          <w:p w:rsidR="00C343E2" w:rsidP="00C343E2" w:rsidRDefault="00C343E2" w14:paraId="74BC0A8B" w14:textId="77777777">
            <w:pPr>
              <w:rPr>
                <w:sz w:val="22"/>
                <w:szCs w:val="22"/>
                <w:lang w:eastAsia="en-US"/>
              </w:rPr>
            </w:pPr>
            <w:r w:rsidRPr="00736354">
              <w:rPr>
                <w:b/>
                <w:bCs/>
                <w:sz w:val="22"/>
                <w:szCs w:val="22"/>
                <w:lang w:eastAsia="en-US"/>
              </w:rPr>
              <w:lastRenderedPageBreak/>
              <w:t>LIKTA</w:t>
            </w:r>
            <w:r>
              <w:rPr>
                <w:b/>
                <w:bCs/>
                <w:sz w:val="22"/>
                <w:szCs w:val="22"/>
                <w:lang w:eastAsia="en-US"/>
              </w:rPr>
              <w:t>, LIA:</w:t>
            </w:r>
          </w:p>
          <w:p w:rsidR="00C343E2" w:rsidP="00C343E2" w:rsidRDefault="00C343E2" w14:paraId="6CED7785" w14:textId="77777777">
            <w:pPr>
              <w:pStyle w:val="naisc"/>
              <w:spacing w:before="0" w:after="0"/>
              <w:jc w:val="both"/>
              <w:rPr>
                <w:sz w:val="22"/>
                <w:szCs w:val="22"/>
                <w:lang w:eastAsia="en-US"/>
              </w:rPr>
            </w:pPr>
            <w:r>
              <w:rPr>
                <w:sz w:val="22"/>
                <w:szCs w:val="22"/>
                <w:lang w:eastAsia="en-US"/>
              </w:rPr>
              <w:t>U</w:t>
            </w:r>
            <w:r w:rsidRPr="00736354">
              <w:rPr>
                <w:sz w:val="22"/>
                <w:szCs w:val="22"/>
                <w:lang w:eastAsia="en-US"/>
              </w:rPr>
              <w:t>ztur iepriekš izteiktos iebildumus un neatbalsta Projekta tālāku virzību.</w:t>
            </w:r>
          </w:p>
          <w:p w:rsidRPr="00793437" w:rsidR="00C343E2" w:rsidP="00C343E2" w:rsidRDefault="00C343E2" w14:paraId="2E178674" w14:textId="77777777">
            <w:pPr>
              <w:pStyle w:val="naisc"/>
              <w:spacing w:before="0" w:after="0"/>
              <w:jc w:val="both"/>
              <w:rPr>
                <w:sz w:val="22"/>
                <w:szCs w:val="22"/>
              </w:rPr>
            </w:pPr>
          </w:p>
        </w:tc>
        <w:tc>
          <w:tcPr>
            <w:tcW w:w="840" w:type="pct"/>
            <w:tcBorders>
              <w:top w:val="single" w:color="auto" w:sz="4" w:space="0"/>
              <w:left w:val="single" w:color="auto" w:sz="4" w:space="0"/>
              <w:bottom w:val="single" w:color="auto" w:sz="4" w:space="0"/>
              <w:right w:val="single" w:color="auto" w:sz="4" w:space="0"/>
            </w:tcBorders>
          </w:tcPr>
          <w:p w:rsidRPr="00504F9E" w:rsidR="00C343E2" w:rsidP="00C343E2" w:rsidRDefault="00C343E2" w14:paraId="726FE3BD" w14:textId="1BC144BD">
            <w:pPr>
              <w:pStyle w:val="naisc"/>
              <w:spacing w:before="0" w:after="0"/>
              <w:jc w:val="both"/>
              <w:rPr>
                <w:sz w:val="22"/>
                <w:szCs w:val="22"/>
              </w:rPr>
            </w:pPr>
            <w:r w:rsidRPr="00903684">
              <w:rPr>
                <w:sz w:val="22"/>
                <w:szCs w:val="22"/>
              </w:rPr>
              <w:t xml:space="preserve">Ministru kabineta noteikumu </w:t>
            </w:r>
            <w:r>
              <w:rPr>
                <w:sz w:val="22"/>
                <w:szCs w:val="22"/>
              </w:rPr>
              <w:t>p</w:t>
            </w:r>
            <w:r w:rsidRPr="00504F9E">
              <w:rPr>
                <w:sz w:val="22"/>
                <w:szCs w:val="22"/>
              </w:rPr>
              <w:t>rojekta sākotnējās ietekmes novērtējuma ziņojuma (anotācijas) I sadaļas 2.punkts</w:t>
            </w:r>
            <w:r>
              <w:rPr>
                <w:sz w:val="22"/>
                <w:szCs w:val="22"/>
              </w:rPr>
              <w:t xml:space="preserve"> precizēts šādā redakcijā</w:t>
            </w:r>
            <w:r w:rsidRPr="00504F9E">
              <w:rPr>
                <w:sz w:val="22"/>
                <w:szCs w:val="22"/>
              </w:rPr>
              <w:t>:</w:t>
            </w:r>
          </w:p>
          <w:p w:rsidR="00C343E2" w:rsidP="00C343E2" w:rsidRDefault="00C343E2" w14:paraId="499AD7F8" w14:textId="77777777">
            <w:pPr>
              <w:jc w:val="both"/>
              <w:rPr>
                <w:sz w:val="22"/>
                <w:szCs w:val="22"/>
              </w:rPr>
            </w:pPr>
          </w:p>
          <w:p w:rsidRPr="00E36116" w:rsidR="00C343E2" w:rsidP="00C343E2" w:rsidRDefault="00C343E2" w14:paraId="01961D4D" w14:textId="47BB2C46">
            <w:pPr>
              <w:jc w:val="both"/>
              <w:rPr>
                <w:sz w:val="22"/>
                <w:szCs w:val="22"/>
                <w:lang w:eastAsia="en-US"/>
              </w:rPr>
            </w:pPr>
            <w:r w:rsidRPr="00E36116">
              <w:rPr>
                <w:sz w:val="22"/>
                <w:szCs w:val="22"/>
              </w:rPr>
              <w:t>„</w:t>
            </w:r>
            <w:r w:rsidRPr="00504F9E">
              <w:rPr>
                <w:sz w:val="22"/>
                <w:szCs w:val="22"/>
              </w:rPr>
              <w:t xml:space="preserve">[..] </w:t>
            </w:r>
            <w:r w:rsidRPr="00793437">
              <w:rPr>
                <w:b/>
                <w:bCs/>
                <w:sz w:val="22"/>
                <w:szCs w:val="22"/>
                <w:lang w:eastAsia="en-US"/>
              </w:rPr>
              <w:t>2)</w:t>
            </w:r>
            <w:r w:rsidRPr="00E36116">
              <w:rPr>
                <w:sz w:val="22"/>
                <w:szCs w:val="22"/>
                <w:lang w:eastAsia="en-US"/>
              </w:rPr>
              <w:t xml:space="preserve"> </w:t>
            </w:r>
            <w:r w:rsidRPr="00793437">
              <w:rPr>
                <w:b/>
                <w:bCs/>
                <w:sz w:val="22"/>
                <w:szCs w:val="22"/>
                <w:lang w:eastAsia="en-US"/>
              </w:rPr>
              <w:t>Samērīgums ar sabiedrības interesēm.</w:t>
            </w:r>
          </w:p>
          <w:p w:rsidRPr="00E36116" w:rsidR="00C343E2" w:rsidP="00C343E2" w:rsidRDefault="00C343E2" w14:paraId="76EEC852" w14:textId="77777777">
            <w:pPr>
              <w:autoSpaceDE w:val="0"/>
              <w:autoSpaceDN w:val="0"/>
              <w:adjustRightInd w:val="0"/>
              <w:contextualSpacing/>
              <w:jc w:val="both"/>
              <w:rPr>
                <w:sz w:val="22"/>
                <w:szCs w:val="22"/>
                <w:lang w:eastAsia="en-US"/>
              </w:rPr>
            </w:pPr>
            <w:r w:rsidRPr="00E36116">
              <w:rPr>
                <w:sz w:val="22"/>
                <w:szCs w:val="22"/>
                <w:lang w:eastAsia="en-US"/>
              </w:rPr>
              <w:t xml:space="preserve">Atbilstoši autortiesību doktrīnai, likumā paredzot autortiesību ierobežojumus, tiek īstenota viena no būtiskākajām autortiesību funkcijām – tiesību īpašnieku un sabiedrības interešu taisnīga un samērīga sabalansēšana. Turklāt, </w:t>
            </w:r>
            <w:r w:rsidRPr="00E36116">
              <w:rPr>
                <w:sz w:val="22"/>
                <w:szCs w:val="22"/>
                <w:lang w:eastAsia="en-US"/>
              </w:rPr>
              <w:lastRenderedPageBreak/>
              <w:t xml:space="preserve">veidojot likumus, tiek ņemts vērā fakts, ka daudzus darbu lietošanas veidus praktiski nav iespējams izkontrolēt un tādēļ loģiskāk ir leģitimēt likumā dažas praktiski nekontrolējamas darbības, nevis pieļaut situāciju, kad likums nesodīti tiek ignorēts, tādējādi zaudējot savu nozīmi.  (sk. </w:t>
            </w:r>
            <w:proofErr w:type="spellStart"/>
            <w:r w:rsidRPr="00E36116">
              <w:rPr>
                <w:sz w:val="22"/>
                <w:szCs w:val="22"/>
                <w:lang w:eastAsia="en-US"/>
              </w:rPr>
              <w:t>Grudulis</w:t>
            </w:r>
            <w:proofErr w:type="spellEnd"/>
            <w:r w:rsidRPr="00E36116">
              <w:rPr>
                <w:sz w:val="22"/>
                <w:szCs w:val="22"/>
                <w:lang w:eastAsia="en-US"/>
              </w:rPr>
              <w:t xml:space="preserve"> M. Ievads autortiesībās. Rīga: Latvijas Vēstnesis, 2006, 144. – 146.lpp.).</w:t>
            </w:r>
          </w:p>
          <w:p w:rsidRPr="00E36116" w:rsidR="00C343E2" w:rsidP="00C343E2" w:rsidRDefault="00C343E2" w14:paraId="4187D838" w14:textId="77777777">
            <w:pPr>
              <w:autoSpaceDE w:val="0"/>
              <w:autoSpaceDN w:val="0"/>
              <w:adjustRightInd w:val="0"/>
              <w:contextualSpacing/>
              <w:jc w:val="both"/>
              <w:rPr>
                <w:sz w:val="22"/>
                <w:szCs w:val="22"/>
                <w:lang w:eastAsia="en-US"/>
              </w:rPr>
            </w:pPr>
            <w:r w:rsidRPr="00E36116">
              <w:rPr>
                <w:sz w:val="22"/>
                <w:szCs w:val="22"/>
                <w:lang w:eastAsia="en-US"/>
              </w:rPr>
              <w:t xml:space="preserve">Saskaņā ar Direktīvas 2001/29/EK 5.panta 5.punktu Direktīvā paredzētos izņēmumus un ierobežojumus piemēro tikai dažos īpašos gadījumos, kas nav pretrunā ar darba vai blakustiesību objekta parasto izmantošanu un nepamatoti neskar tiesību subjekta likumīgās intereses. Citiem vārdiem, jebkuri ierobežojumi jātulko šauri un šaubu gadījumos jāpieņem, ka autortiesības nav </w:t>
            </w:r>
            <w:r w:rsidRPr="00E36116">
              <w:rPr>
                <w:sz w:val="22"/>
                <w:szCs w:val="22"/>
                <w:lang w:eastAsia="en-US"/>
              </w:rPr>
              <w:lastRenderedPageBreak/>
              <w:t>ierobežotas (sk. arī Autortiesību likuma 18.panta otro un trešo daļu).</w:t>
            </w:r>
          </w:p>
          <w:p w:rsidRPr="00E36116" w:rsidR="00C343E2" w:rsidP="00C343E2" w:rsidRDefault="00C343E2" w14:paraId="137EA70D" w14:textId="77777777">
            <w:pPr>
              <w:autoSpaceDE w:val="0"/>
              <w:autoSpaceDN w:val="0"/>
              <w:adjustRightInd w:val="0"/>
              <w:contextualSpacing/>
              <w:jc w:val="both"/>
              <w:rPr>
                <w:sz w:val="22"/>
                <w:szCs w:val="22"/>
                <w:lang w:eastAsia="en-US"/>
              </w:rPr>
            </w:pPr>
            <w:r w:rsidRPr="00E36116">
              <w:rPr>
                <w:sz w:val="22"/>
                <w:szCs w:val="22"/>
                <w:lang w:eastAsia="en-US"/>
              </w:rPr>
              <w:t xml:space="preserve">Vienlaikus, nosakot nesējus un iekārtas, par kurām ir maksājama nesēja atlīdzība, un attiecīgās atlīdzības lielumu, jāņem vērā, ka ar nesēja atlīdzības palīdzību sabiedrībai uzliktajam ekonomiskajam slogam ir jābūt samērīgam ar sabiedrības ieguvumu no attiecīgā autortiesību ierobežojuma izmantošanas. </w:t>
            </w:r>
          </w:p>
          <w:p w:rsidRPr="00E36116" w:rsidR="00C343E2" w:rsidP="00C343E2" w:rsidRDefault="00C343E2" w14:paraId="7CDB54DE" w14:textId="77777777">
            <w:pPr>
              <w:autoSpaceDE w:val="0"/>
              <w:autoSpaceDN w:val="0"/>
              <w:adjustRightInd w:val="0"/>
              <w:contextualSpacing/>
              <w:jc w:val="both"/>
              <w:rPr>
                <w:sz w:val="22"/>
                <w:szCs w:val="22"/>
                <w:lang w:eastAsia="en-US"/>
              </w:rPr>
            </w:pPr>
            <w:r w:rsidRPr="00E36116">
              <w:rPr>
                <w:sz w:val="22"/>
                <w:szCs w:val="22"/>
                <w:lang w:eastAsia="en-US"/>
              </w:rPr>
              <w:t>Kā norādīts iepriekš, atbilstoši Direktīvas 2001/29/EK preambulas 35.apsvērumam dažos gadījumos, ja tiesību subjekta aizskārums (kaitējums) ir minimāls, pienākuma maksāt taisnīgu atlīdzību var nebūt.</w:t>
            </w:r>
          </w:p>
          <w:p w:rsidRPr="00E36116" w:rsidR="00C343E2" w:rsidP="00C343E2" w:rsidRDefault="00C343E2" w14:paraId="0553BCDE" w14:textId="5A2C3CD4">
            <w:pPr>
              <w:autoSpaceDE w:val="0"/>
              <w:autoSpaceDN w:val="0"/>
              <w:adjustRightInd w:val="0"/>
              <w:contextualSpacing/>
              <w:jc w:val="both"/>
              <w:rPr>
                <w:sz w:val="22"/>
                <w:szCs w:val="22"/>
                <w:lang w:eastAsia="en-US"/>
              </w:rPr>
            </w:pPr>
            <w:r w:rsidRPr="00E36116">
              <w:rPr>
                <w:sz w:val="22"/>
                <w:szCs w:val="22"/>
                <w:lang w:eastAsia="en-US"/>
              </w:rPr>
              <w:t xml:space="preserve">Eiropas Savienības Tiesa 2015.gada 5.marta spriedumā lietā Nr.C-463/12 </w:t>
            </w:r>
            <w:proofErr w:type="spellStart"/>
            <w:r w:rsidRPr="00793437">
              <w:rPr>
                <w:i/>
                <w:iCs/>
                <w:sz w:val="22"/>
                <w:szCs w:val="22"/>
                <w:lang w:eastAsia="en-US"/>
              </w:rPr>
              <w:t>Copydan</w:t>
            </w:r>
            <w:proofErr w:type="spellEnd"/>
            <w:r w:rsidRPr="00793437">
              <w:rPr>
                <w:i/>
                <w:iCs/>
                <w:sz w:val="22"/>
                <w:szCs w:val="22"/>
                <w:lang w:eastAsia="en-US"/>
              </w:rPr>
              <w:t xml:space="preserve"> </w:t>
            </w:r>
            <w:proofErr w:type="spellStart"/>
            <w:r w:rsidRPr="00793437">
              <w:rPr>
                <w:i/>
                <w:iCs/>
                <w:sz w:val="22"/>
                <w:szCs w:val="22"/>
                <w:lang w:eastAsia="en-US"/>
              </w:rPr>
              <w:t>Båndkopi</w:t>
            </w:r>
            <w:proofErr w:type="spellEnd"/>
            <w:r w:rsidRPr="00793437">
              <w:rPr>
                <w:i/>
                <w:iCs/>
                <w:sz w:val="22"/>
                <w:szCs w:val="22"/>
                <w:lang w:eastAsia="en-US"/>
              </w:rPr>
              <w:t xml:space="preserve"> v Nokia </w:t>
            </w:r>
            <w:proofErr w:type="spellStart"/>
            <w:r w:rsidRPr="00793437">
              <w:rPr>
                <w:i/>
                <w:iCs/>
                <w:sz w:val="22"/>
                <w:szCs w:val="22"/>
                <w:lang w:eastAsia="en-US"/>
              </w:rPr>
              <w:t>Danmark</w:t>
            </w:r>
            <w:proofErr w:type="spellEnd"/>
            <w:r w:rsidRPr="00793437">
              <w:rPr>
                <w:i/>
                <w:iCs/>
                <w:sz w:val="22"/>
                <w:szCs w:val="22"/>
                <w:lang w:eastAsia="en-US"/>
              </w:rPr>
              <w:t xml:space="preserve"> A/S</w:t>
            </w:r>
            <w:r w:rsidRPr="00E36116">
              <w:rPr>
                <w:sz w:val="22"/>
                <w:szCs w:val="22"/>
                <w:lang w:eastAsia="en-US"/>
              </w:rPr>
              <w:t xml:space="preserve"> (sk. sprieduma 28.punktu) </w:t>
            </w:r>
            <w:r w:rsidRPr="00E36116">
              <w:rPr>
                <w:sz w:val="22"/>
                <w:szCs w:val="22"/>
                <w:lang w:eastAsia="en-US"/>
              </w:rPr>
              <w:lastRenderedPageBreak/>
              <w:t>precizēja, ka gadījumā, ja tiktu konstatēts, ka praksē kāda datu nesēja lietotāji tikpat kā neveic reproducēšanu savām vajadzībām, šīs funkcijas nodrošināšana atbilstoši Direktīvas 2001/29 preambulas 35.apsvērumam varētu neradīt pienākumu maksāt taisnīgu atlīdzību, ciktāl tiesību subjektiem radītais kaitējums tiktu uzskatīts par minimālu. Tāpat Tiesa atzina, ka valsts kompetencē ir noteikt šāda kaitējuma robežvērtību, ievērojot, ka šīs robežvērtības piemērošanai tostarp jāatbilst vienlīdzīgas attieksmes principam (sk. sprieduma 59. – 62.punktu).</w:t>
            </w:r>
          </w:p>
          <w:p w:rsidRPr="00E36116" w:rsidR="00C343E2" w:rsidP="00C343E2" w:rsidRDefault="00C343E2" w14:paraId="578DCCD5" w14:textId="3CBCC8F5">
            <w:pPr>
              <w:autoSpaceDE w:val="0"/>
              <w:autoSpaceDN w:val="0"/>
              <w:adjustRightInd w:val="0"/>
              <w:contextualSpacing/>
              <w:jc w:val="both"/>
              <w:rPr>
                <w:sz w:val="22"/>
                <w:szCs w:val="22"/>
                <w:lang w:eastAsia="en-US"/>
              </w:rPr>
            </w:pPr>
            <w:r w:rsidRPr="00E36116">
              <w:rPr>
                <w:sz w:val="22"/>
                <w:szCs w:val="22"/>
                <w:lang w:eastAsia="en-US"/>
              </w:rPr>
              <w:t xml:space="preserve">Ņemot vērā citu Eiropas Savienības valstu praksi attiecīgajā jomā, kā arī sabiedrības līdzdalības procesa ietvaros uzklausītos viedokļus, kompensējams kaitējums būtu konstatējams attiecībā uz tādu nesēju un iekārtu </w:t>
            </w:r>
            <w:r w:rsidRPr="00E36116">
              <w:rPr>
                <w:sz w:val="22"/>
                <w:szCs w:val="22"/>
                <w:lang w:eastAsia="en-US"/>
              </w:rPr>
              <w:lastRenderedPageBreak/>
              <w:t xml:space="preserve">izmantošanu, ja tos </w:t>
            </w:r>
            <w:proofErr w:type="spellStart"/>
            <w:r w:rsidRPr="00E36116">
              <w:rPr>
                <w:sz w:val="22"/>
                <w:szCs w:val="22"/>
                <w:lang w:eastAsia="en-US"/>
              </w:rPr>
              <w:t>privātkopēšanai</w:t>
            </w:r>
            <w:proofErr w:type="spellEnd"/>
            <w:r w:rsidRPr="00E36116">
              <w:rPr>
                <w:sz w:val="22"/>
                <w:szCs w:val="22"/>
                <w:lang w:eastAsia="en-US"/>
              </w:rPr>
              <w:t xml:space="preserve"> izmanto vairāk kā 20% no respondentiem, kas veic likumīgi iegūtu ar autortiesībām aizsargātu darbu reproducēšanu personiskai lietošanai, kas ir ~2,8% visiem respondentiem, kas tika aptaujāti 2020.gada </w:t>
            </w:r>
            <w:proofErr w:type="spellStart"/>
            <w:r w:rsidRPr="00E36116">
              <w:rPr>
                <w:sz w:val="22"/>
                <w:szCs w:val="22"/>
                <w:lang w:eastAsia="en-US"/>
              </w:rPr>
              <w:t>privātkopēšanas</w:t>
            </w:r>
            <w:proofErr w:type="spellEnd"/>
            <w:r w:rsidRPr="00E36116">
              <w:rPr>
                <w:sz w:val="22"/>
                <w:szCs w:val="22"/>
                <w:lang w:eastAsia="en-US"/>
              </w:rPr>
              <w:t xml:space="preserve"> pētījuma ietvaros.</w:t>
            </w:r>
            <w:r>
              <w:rPr>
                <w:sz w:val="22"/>
                <w:szCs w:val="22"/>
                <w:lang w:eastAsia="en-US"/>
              </w:rPr>
              <w:t xml:space="preserve"> </w:t>
            </w:r>
            <w:r>
              <w:rPr>
                <w:sz w:val="22"/>
                <w:szCs w:val="22"/>
              </w:rPr>
              <w:t>[..]”</w:t>
            </w:r>
          </w:p>
        </w:tc>
      </w:tr>
      <w:tr w:rsidRPr="00E36116" w:rsidR="00C343E2" w:rsidTr="00E36116" w14:paraId="1FD5F837" w14:textId="77777777">
        <w:tc>
          <w:tcPr>
            <w:tcW w:w="191" w:type="pct"/>
            <w:tcBorders>
              <w:top w:val="single" w:color="000000" w:sz="6" w:space="0"/>
              <w:left w:val="single" w:color="000000" w:sz="6" w:space="0"/>
              <w:bottom w:val="single" w:color="000000" w:sz="6" w:space="0"/>
              <w:right w:val="single" w:color="000000" w:sz="6" w:space="0"/>
            </w:tcBorders>
          </w:tcPr>
          <w:p w:rsidRPr="00E36116" w:rsidR="00C343E2" w:rsidP="00C343E2" w:rsidRDefault="00C343E2" w14:paraId="5819DC7C" w14:textId="2BFD0290">
            <w:pPr>
              <w:pStyle w:val="naisc"/>
              <w:spacing w:before="0" w:after="0"/>
              <w:rPr>
                <w:sz w:val="22"/>
                <w:szCs w:val="22"/>
                <w:lang w:eastAsia="en-US"/>
              </w:rPr>
            </w:pPr>
            <w:r>
              <w:rPr>
                <w:sz w:val="22"/>
                <w:szCs w:val="22"/>
                <w:lang w:eastAsia="en-US"/>
              </w:rPr>
              <w:lastRenderedPageBreak/>
              <w:t>10.</w:t>
            </w:r>
          </w:p>
        </w:tc>
        <w:tc>
          <w:tcPr>
            <w:tcW w:w="862" w:type="pct"/>
            <w:tcBorders>
              <w:top w:val="single" w:color="000000" w:sz="6" w:space="0"/>
              <w:left w:val="single" w:color="000000" w:sz="6" w:space="0"/>
              <w:bottom w:val="single" w:color="000000" w:sz="6" w:space="0"/>
              <w:right w:val="single" w:color="000000" w:sz="6" w:space="0"/>
            </w:tcBorders>
          </w:tcPr>
          <w:p w:rsidRPr="00793437" w:rsidR="00C343E2" w:rsidP="00C343E2" w:rsidRDefault="00C343E2" w14:paraId="2E165761" w14:textId="7CACB950">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Pr>
                <w:sz w:val="22"/>
                <w:szCs w:val="22"/>
              </w:rPr>
              <w:t>rojekta sākotnējās ietekmes novērtējuma ziņojuma (anotācijas) I sadaļas 2.punkts</w:t>
            </w:r>
            <w:r>
              <w:rPr>
                <w:sz w:val="22"/>
                <w:szCs w:val="22"/>
              </w:rPr>
              <w:t xml:space="preserve">: </w:t>
            </w:r>
          </w:p>
          <w:p w:rsidRPr="004C7B82" w:rsidR="00C343E2" w:rsidP="00C343E2" w:rsidRDefault="00C343E2" w14:paraId="2A22EB6C" w14:textId="77777777">
            <w:pPr>
              <w:pStyle w:val="naisc"/>
              <w:spacing w:before="0" w:after="0"/>
              <w:jc w:val="both"/>
              <w:rPr>
                <w:b/>
                <w:bCs/>
                <w:sz w:val="22"/>
                <w:szCs w:val="22"/>
              </w:rPr>
            </w:pPr>
            <w:r>
              <w:rPr>
                <w:sz w:val="22"/>
                <w:szCs w:val="22"/>
              </w:rPr>
              <w:t xml:space="preserve">“[..] </w:t>
            </w:r>
            <w:r w:rsidRPr="004C7B82">
              <w:rPr>
                <w:b/>
                <w:bCs/>
                <w:sz w:val="22"/>
                <w:szCs w:val="22"/>
              </w:rPr>
              <w:t>6) Atlīdzības likmes noteikšana atkarībā no izmantošanas biežuma</w:t>
            </w:r>
          </w:p>
          <w:p w:rsidRPr="004C7B82" w:rsidR="00C343E2" w:rsidP="00C343E2" w:rsidRDefault="00C343E2" w14:paraId="18AE5724" w14:textId="77777777">
            <w:pPr>
              <w:pStyle w:val="naisc"/>
              <w:spacing w:before="0" w:after="0"/>
              <w:jc w:val="both"/>
              <w:rPr>
                <w:sz w:val="22"/>
                <w:szCs w:val="22"/>
              </w:rPr>
            </w:pPr>
            <w:r w:rsidRPr="004C7B82">
              <w:rPr>
                <w:sz w:val="22"/>
                <w:szCs w:val="22"/>
              </w:rPr>
              <w:t xml:space="preserve">Pamatojoties uz Eiropas Savienības tiesu praksi, lai noteiktu maksājamo atlīdzības likmi par nesēju vai iekārtu, jāņem vērā to izmantošanas biežums </w:t>
            </w:r>
            <w:proofErr w:type="spellStart"/>
            <w:r w:rsidRPr="004C7B82">
              <w:rPr>
                <w:sz w:val="22"/>
                <w:szCs w:val="22"/>
              </w:rPr>
              <w:t>privātkopēšanai</w:t>
            </w:r>
            <w:proofErr w:type="spellEnd"/>
            <w:r w:rsidRPr="004C7B82">
              <w:rPr>
                <w:sz w:val="22"/>
                <w:szCs w:val="22"/>
              </w:rPr>
              <w:t xml:space="preserve">. Līdz ar to tiem nesējiem un iekārtām, kurus respondenti izmantojuši visbiežāk, nosakāms augstāks atlīdzības </w:t>
            </w:r>
            <w:r w:rsidRPr="004C7B82">
              <w:rPr>
                <w:sz w:val="22"/>
                <w:szCs w:val="22"/>
              </w:rPr>
              <w:lastRenderedPageBreak/>
              <w:t xml:space="preserve">apmērs un otrādi. Tādējādi, nosakot atlīdzību par viedtālruņiem, jāņem vērā, ka personālos datorus </w:t>
            </w:r>
            <w:proofErr w:type="spellStart"/>
            <w:r w:rsidRPr="004C7B82">
              <w:rPr>
                <w:sz w:val="22"/>
                <w:szCs w:val="22"/>
              </w:rPr>
              <w:t>privātkopēšanai</w:t>
            </w:r>
            <w:proofErr w:type="spellEnd"/>
            <w:r w:rsidRPr="004C7B82">
              <w:rPr>
                <w:sz w:val="22"/>
                <w:szCs w:val="22"/>
              </w:rPr>
              <w:t xml:space="preserve"> izmanto 85% respondentu, bet viedtālruņus – 32%. Savukārt USB zibatmiņas nesēja atlīdzības likmes lielums palielināms, ņemot vērā, ka to izmantošana ir pieaugusi (no 32% līdz 41%), bet likme par ārējo cieto disku nosakāma 4%, ņemot vērā, ka to kopēšanai izmantojuši vismazāk (23%) respondentu.</w:t>
            </w:r>
          </w:p>
          <w:p w:rsidRPr="004C7B82" w:rsidR="00C343E2" w:rsidP="00C343E2" w:rsidRDefault="00C343E2" w14:paraId="7351CFCD" w14:textId="77777777">
            <w:pPr>
              <w:pStyle w:val="naisc"/>
              <w:spacing w:before="0" w:after="0"/>
              <w:jc w:val="both"/>
              <w:rPr>
                <w:sz w:val="22"/>
                <w:szCs w:val="22"/>
              </w:rPr>
            </w:pPr>
            <w:r w:rsidRPr="004C7B82">
              <w:rPr>
                <w:sz w:val="22"/>
                <w:szCs w:val="22"/>
              </w:rPr>
              <w:t xml:space="preserve">Atlīdzības likmes noteikšanai viedtālruņiem papildus veikts arī citu Eiropas Savienības dalībvalstu regulējuma  </w:t>
            </w:r>
            <w:proofErr w:type="spellStart"/>
            <w:r w:rsidRPr="004C7B82">
              <w:rPr>
                <w:sz w:val="22"/>
                <w:szCs w:val="22"/>
              </w:rPr>
              <w:t>izvērtējums</w:t>
            </w:r>
            <w:proofErr w:type="spellEnd"/>
            <w:r w:rsidRPr="004C7B82">
              <w:rPr>
                <w:sz w:val="22"/>
                <w:szCs w:val="22"/>
              </w:rPr>
              <w:t xml:space="preserve">, īpašu uzmanību pievēršot kaimiņvalstīm. Virknē valstu atlīdzības apmērs atkarīgs no viedtālruņa atmiņas ietilpības. Salīdzinājumam aplūkota atlīdzība </w:t>
            </w:r>
            <w:r w:rsidRPr="004C7B82">
              <w:rPr>
                <w:sz w:val="22"/>
                <w:szCs w:val="22"/>
              </w:rPr>
              <w:lastRenderedPageBreak/>
              <w:t xml:space="preserve">viedtālrunim ar 32 GB atmiņu: </w:t>
            </w:r>
          </w:p>
          <w:p w:rsidRPr="004C7B82" w:rsidR="00C343E2" w:rsidP="00C343E2" w:rsidRDefault="00C343E2" w14:paraId="249DCF81" w14:textId="77777777">
            <w:pPr>
              <w:pStyle w:val="naisc"/>
              <w:spacing w:before="0" w:after="0"/>
              <w:jc w:val="both"/>
              <w:rPr>
                <w:sz w:val="22"/>
                <w:szCs w:val="22"/>
              </w:rPr>
            </w:pPr>
            <w:r w:rsidRPr="004C7B82">
              <w:rPr>
                <w:sz w:val="22"/>
                <w:szCs w:val="22"/>
              </w:rPr>
              <w:t xml:space="preserve">Lietuvā – 4,34 </w:t>
            </w:r>
            <w:proofErr w:type="spellStart"/>
            <w:r w:rsidRPr="00C76DBC">
              <w:rPr>
                <w:i/>
                <w:iCs/>
                <w:sz w:val="22"/>
                <w:szCs w:val="22"/>
              </w:rPr>
              <w:t>euro</w:t>
            </w:r>
            <w:proofErr w:type="spellEnd"/>
            <w:r w:rsidRPr="004C7B82">
              <w:rPr>
                <w:sz w:val="22"/>
                <w:szCs w:val="22"/>
              </w:rPr>
              <w:t>;</w:t>
            </w:r>
          </w:p>
          <w:p w:rsidRPr="004C7B82" w:rsidR="00C343E2" w:rsidP="00C343E2" w:rsidRDefault="00C343E2" w14:paraId="552E4E38" w14:textId="77777777">
            <w:pPr>
              <w:pStyle w:val="naisc"/>
              <w:spacing w:before="0" w:after="0"/>
              <w:jc w:val="both"/>
              <w:rPr>
                <w:sz w:val="22"/>
                <w:szCs w:val="22"/>
              </w:rPr>
            </w:pPr>
            <w:r w:rsidRPr="004C7B82">
              <w:rPr>
                <w:sz w:val="22"/>
                <w:szCs w:val="22"/>
              </w:rPr>
              <w:t xml:space="preserve">Igaunijā  – 3 – 8 </w:t>
            </w:r>
            <w:proofErr w:type="spellStart"/>
            <w:r w:rsidRPr="00C76DBC">
              <w:rPr>
                <w:i/>
                <w:iCs/>
                <w:sz w:val="22"/>
                <w:szCs w:val="22"/>
              </w:rPr>
              <w:t>euro</w:t>
            </w:r>
            <w:proofErr w:type="spellEnd"/>
            <w:r w:rsidRPr="004C7B82">
              <w:rPr>
                <w:sz w:val="22"/>
                <w:szCs w:val="22"/>
              </w:rPr>
              <w:t>;</w:t>
            </w:r>
          </w:p>
          <w:p w:rsidRPr="004C7B82" w:rsidR="00C343E2" w:rsidP="00C343E2" w:rsidRDefault="00C343E2" w14:paraId="6C7BA9AF" w14:textId="77777777">
            <w:pPr>
              <w:pStyle w:val="naisc"/>
              <w:spacing w:before="0" w:after="0"/>
              <w:jc w:val="both"/>
              <w:rPr>
                <w:sz w:val="22"/>
                <w:szCs w:val="22"/>
              </w:rPr>
            </w:pPr>
            <w:r w:rsidRPr="004C7B82">
              <w:rPr>
                <w:sz w:val="22"/>
                <w:szCs w:val="22"/>
              </w:rPr>
              <w:t xml:space="preserve">Nīderlandē – 4,70 </w:t>
            </w:r>
            <w:proofErr w:type="spellStart"/>
            <w:r w:rsidRPr="00C76DBC">
              <w:rPr>
                <w:i/>
                <w:iCs/>
                <w:sz w:val="22"/>
                <w:szCs w:val="22"/>
              </w:rPr>
              <w:t>euro</w:t>
            </w:r>
            <w:proofErr w:type="spellEnd"/>
            <w:r w:rsidRPr="004C7B82">
              <w:rPr>
                <w:sz w:val="22"/>
                <w:szCs w:val="22"/>
              </w:rPr>
              <w:t>;</w:t>
            </w:r>
          </w:p>
          <w:p w:rsidRPr="004C7B82" w:rsidR="00C343E2" w:rsidP="00C343E2" w:rsidRDefault="00C343E2" w14:paraId="5F299BA1" w14:textId="77777777">
            <w:pPr>
              <w:pStyle w:val="naisc"/>
              <w:spacing w:before="0" w:after="0"/>
              <w:jc w:val="both"/>
              <w:rPr>
                <w:sz w:val="22"/>
                <w:szCs w:val="22"/>
              </w:rPr>
            </w:pPr>
            <w:r w:rsidRPr="004C7B82">
              <w:rPr>
                <w:sz w:val="22"/>
                <w:szCs w:val="22"/>
              </w:rPr>
              <w:t xml:space="preserve">Čehijā – 1,87 </w:t>
            </w:r>
            <w:proofErr w:type="spellStart"/>
            <w:r w:rsidRPr="00C76DBC">
              <w:rPr>
                <w:i/>
                <w:iCs/>
                <w:sz w:val="22"/>
                <w:szCs w:val="22"/>
              </w:rPr>
              <w:t>euro</w:t>
            </w:r>
            <w:proofErr w:type="spellEnd"/>
            <w:r w:rsidRPr="004C7B82">
              <w:rPr>
                <w:sz w:val="22"/>
                <w:szCs w:val="22"/>
              </w:rPr>
              <w:t>;</w:t>
            </w:r>
          </w:p>
          <w:p w:rsidRPr="004C7B82" w:rsidR="00C343E2" w:rsidP="00C343E2" w:rsidRDefault="00C343E2" w14:paraId="5A444F78" w14:textId="77777777">
            <w:pPr>
              <w:pStyle w:val="naisc"/>
              <w:spacing w:before="0" w:after="0"/>
              <w:jc w:val="both"/>
              <w:rPr>
                <w:sz w:val="22"/>
                <w:szCs w:val="22"/>
              </w:rPr>
            </w:pPr>
            <w:r w:rsidRPr="004C7B82">
              <w:rPr>
                <w:sz w:val="22"/>
                <w:szCs w:val="22"/>
              </w:rPr>
              <w:t xml:space="preserve">Ungārijā – 20,78 </w:t>
            </w:r>
            <w:proofErr w:type="spellStart"/>
            <w:r w:rsidRPr="00C76DBC">
              <w:rPr>
                <w:i/>
                <w:iCs/>
                <w:sz w:val="22"/>
                <w:szCs w:val="22"/>
              </w:rPr>
              <w:t>euro</w:t>
            </w:r>
            <w:proofErr w:type="spellEnd"/>
            <w:r w:rsidRPr="004C7B82">
              <w:rPr>
                <w:sz w:val="22"/>
                <w:szCs w:val="22"/>
              </w:rPr>
              <w:t>;</w:t>
            </w:r>
          </w:p>
          <w:p w:rsidRPr="004C7B82" w:rsidR="00C343E2" w:rsidP="00C343E2" w:rsidRDefault="00C343E2" w14:paraId="09A9A296" w14:textId="77777777">
            <w:pPr>
              <w:pStyle w:val="naisc"/>
              <w:spacing w:before="0" w:after="0"/>
              <w:jc w:val="both"/>
              <w:rPr>
                <w:sz w:val="22"/>
                <w:szCs w:val="22"/>
              </w:rPr>
            </w:pPr>
            <w:r w:rsidRPr="004C7B82">
              <w:rPr>
                <w:sz w:val="22"/>
                <w:szCs w:val="22"/>
              </w:rPr>
              <w:t xml:space="preserve">Horvātijā – 1,35 </w:t>
            </w:r>
            <w:proofErr w:type="spellStart"/>
            <w:r w:rsidRPr="00C76DBC">
              <w:rPr>
                <w:i/>
                <w:iCs/>
                <w:sz w:val="22"/>
                <w:szCs w:val="22"/>
              </w:rPr>
              <w:t>euro</w:t>
            </w:r>
            <w:proofErr w:type="spellEnd"/>
            <w:r w:rsidRPr="004C7B82">
              <w:rPr>
                <w:sz w:val="22"/>
                <w:szCs w:val="22"/>
              </w:rPr>
              <w:t>.</w:t>
            </w:r>
          </w:p>
          <w:p w:rsidRPr="00903684" w:rsidR="00C343E2" w:rsidP="00C343E2" w:rsidRDefault="00C343E2" w14:paraId="732C78DB" w14:textId="4BCF0EDC">
            <w:pPr>
              <w:pStyle w:val="naisc"/>
              <w:spacing w:before="0" w:after="0"/>
              <w:jc w:val="both"/>
              <w:rPr>
                <w:sz w:val="22"/>
                <w:szCs w:val="22"/>
              </w:rPr>
            </w:pPr>
            <w:r w:rsidRPr="004C7B82">
              <w:rPr>
                <w:sz w:val="22"/>
                <w:szCs w:val="22"/>
              </w:rPr>
              <w:t xml:space="preserve">Atbilstoši CISAC 2020.gada </w:t>
            </w:r>
            <w:proofErr w:type="spellStart"/>
            <w:r w:rsidRPr="004C7B82">
              <w:rPr>
                <w:sz w:val="22"/>
                <w:szCs w:val="22"/>
              </w:rPr>
              <w:t>privātkopēšanas</w:t>
            </w:r>
            <w:proofErr w:type="spellEnd"/>
            <w:r w:rsidRPr="004C7B82">
              <w:rPr>
                <w:sz w:val="22"/>
                <w:szCs w:val="22"/>
              </w:rPr>
              <w:t xml:space="preserve"> pētījuma secinājumiem, vidējais atlīdzības apmērs par viedtālruni ar 32</w:t>
            </w:r>
            <w:r>
              <w:rPr>
                <w:sz w:val="22"/>
                <w:szCs w:val="22"/>
              </w:rPr>
              <w:t xml:space="preserve"> </w:t>
            </w:r>
            <w:r w:rsidRPr="004C7B82">
              <w:rPr>
                <w:sz w:val="22"/>
                <w:szCs w:val="22"/>
              </w:rPr>
              <w:t xml:space="preserve">GB atmiņu ir 3,79 </w:t>
            </w:r>
            <w:proofErr w:type="spellStart"/>
            <w:r w:rsidRPr="00C76DBC">
              <w:rPr>
                <w:i/>
                <w:iCs/>
                <w:sz w:val="22"/>
                <w:szCs w:val="22"/>
              </w:rPr>
              <w:t>euro</w:t>
            </w:r>
            <w:proofErr w:type="spellEnd"/>
            <w:r w:rsidRPr="004C7B82">
              <w:rPr>
                <w:sz w:val="22"/>
                <w:szCs w:val="22"/>
              </w:rPr>
              <w:t>.</w:t>
            </w:r>
            <w:r>
              <w:rPr>
                <w:sz w:val="22"/>
                <w:szCs w:val="22"/>
              </w:rPr>
              <w:t xml:space="preserve"> [..]”</w:t>
            </w:r>
          </w:p>
        </w:tc>
        <w:tc>
          <w:tcPr>
            <w:tcW w:w="1221" w:type="pct"/>
            <w:tcBorders>
              <w:top w:val="single" w:color="000000" w:sz="6" w:space="0"/>
              <w:left w:val="single" w:color="000000" w:sz="6" w:space="0"/>
              <w:bottom w:val="single" w:color="000000" w:sz="6" w:space="0"/>
              <w:right w:val="single" w:color="000000" w:sz="6" w:space="0"/>
            </w:tcBorders>
          </w:tcPr>
          <w:p w:rsidRPr="004C7B82" w:rsidR="00C343E2" w:rsidP="00C343E2" w:rsidRDefault="00C343E2" w14:paraId="6179FADE" w14:textId="77777777">
            <w:pPr>
              <w:jc w:val="both"/>
              <w:rPr>
                <w:sz w:val="22"/>
                <w:szCs w:val="22"/>
              </w:rPr>
            </w:pPr>
            <w:r>
              <w:rPr>
                <w:b/>
                <w:sz w:val="22"/>
                <w:szCs w:val="22"/>
              </w:rPr>
              <w:lastRenderedPageBreak/>
              <w:t xml:space="preserve">Ekonomikas </w:t>
            </w:r>
            <w:r w:rsidRPr="00E36116">
              <w:rPr>
                <w:b/>
                <w:sz w:val="22"/>
                <w:szCs w:val="22"/>
              </w:rPr>
              <w:t>ministrija</w:t>
            </w:r>
            <w:r>
              <w:rPr>
                <w:b/>
                <w:sz w:val="22"/>
                <w:szCs w:val="22"/>
              </w:rPr>
              <w:t>:</w:t>
            </w:r>
          </w:p>
          <w:p w:rsidRPr="00E36116" w:rsidR="00C343E2" w:rsidP="00C343E2" w:rsidRDefault="00C343E2" w14:paraId="0C255469" w14:textId="1F99F489">
            <w:pPr>
              <w:pStyle w:val="naiskr"/>
              <w:spacing w:before="0" w:after="0"/>
              <w:jc w:val="both"/>
              <w:rPr>
                <w:b/>
                <w:bCs/>
                <w:sz w:val="22"/>
                <w:szCs w:val="22"/>
              </w:rPr>
            </w:pPr>
            <w:r w:rsidRPr="004C7B82">
              <w:rPr>
                <w:bCs/>
                <w:sz w:val="22"/>
                <w:szCs w:val="22"/>
              </w:rPr>
              <w:t xml:space="preserve">Nodevas aprēķina pieeja – Atbilstoši projekta anotācijai, visu veidu datoru cietajiem diskiem noteikta fiksēta atlīdzība 2,85 </w:t>
            </w:r>
            <w:proofErr w:type="spellStart"/>
            <w:r w:rsidRPr="00C76DBC">
              <w:rPr>
                <w:bCs/>
                <w:i/>
                <w:iCs/>
                <w:sz w:val="22"/>
                <w:szCs w:val="22"/>
              </w:rPr>
              <w:t>euro</w:t>
            </w:r>
            <w:proofErr w:type="spellEnd"/>
            <w:r w:rsidRPr="004C7B82">
              <w:rPr>
                <w:bCs/>
                <w:sz w:val="22"/>
                <w:szCs w:val="22"/>
              </w:rPr>
              <w:t xml:space="preserve"> apmērā par vienību, viedtālruņiem 1,50 </w:t>
            </w:r>
            <w:proofErr w:type="spellStart"/>
            <w:r w:rsidRPr="00C76DBC">
              <w:rPr>
                <w:bCs/>
                <w:i/>
                <w:iCs/>
                <w:sz w:val="22"/>
                <w:szCs w:val="22"/>
              </w:rPr>
              <w:t>euro</w:t>
            </w:r>
            <w:proofErr w:type="spellEnd"/>
            <w:r w:rsidRPr="004C7B82">
              <w:rPr>
                <w:bCs/>
                <w:sz w:val="22"/>
                <w:szCs w:val="22"/>
              </w:rPr>
              <w:t xml:space="preserve"> par vienību, ņemot vērā, ka (pēc </w:t>
            </w:r>
            <w:proofErr w:type="spellStart"/>
            <w:r w:rsidRPr="004C7B82">
              <w:rPr>
                <w:bCs/>
                <w:sz w:val="22"/>
                <w:szCs w:val="22"/>
              </w:rPr>
              <w:t>privātkopēšanas</w:t>
            </w:r>
            <w:proofErr w:type="spellEnd"/>
            <w:r w:rsidRPr="004C7B82">
              <w:rPr>
                <w:bCs/>
                <w:sz w:val="22"/>
                <w:szCs w:val="22"/>
              </w:rPr>
              <w:t xml:space="preserve"> aptaujas datiem) personālos datorus </w:t>
            </w:r>
            <w:proofErr w:type="spellStart"/>
            <w:r w:rsidRPr="004C7B82">
              <w:rPr>
                <w:bCs/>
                <w:sz w:val="22"/>
                <w:szCs w:val="22"/>
              </w:rPr>
              <w:t>privātkopēšanai</w:t>
            </w:r>
            <w:proofErr w:type="spellEnd"/>
            <w:r w:rsidRPr="004C7B82">
              <w:rPr>
                <w:bCs/>
                <w:sz w:val="22"/>
                <w:szCs w:val="22"/>
              </w:rPr>
              <w:t xml:space="preserve"> izmanto 85%, bet viedtālruņus – 32% (kas ir aptuveni divas reizes mazāk, līdz ar to atlīdzība nosakāma aptuveni uz pusi mazāka kā personālajiem datoriem), savukārt citās valstīs vidējais atlīdzības lielums par viedtālruni sasniedz 3,79 </w:t>
            </w:r>
            <w:proofErr w:type="spellStart"/>
            <w:r w:rsidRPr="004C7B82">
              <w:rPr>
                <w:bCs/>
                <w:sz w:val="22"/>
                <w:szCs w:val="22"/>
              </w:rPr>
              <w:t>euro</w:t>
            </w:r>
            <w:proofErr w:type="spellEnd"/>
            <w:r w:rsidRPr="004C7B82">
              <w:rPr>
                <w:bCs/>
                <w:sz w:val="22"/>
                <w:szCs w:val="22"/>
              </w:rPr>
              <w:t xml:space="preserve"> par vienību. Tikmēr USB zibatmiņas atlīdzības likmes lielums palielināts līdz 6%, ņemot vērā, ka to izmantošana ir pieaugusi (no 32% līdz 41%), bet likme par ārējo cieto disku noteikta 4%, ņemot vērā, ka tos </w:t>
            </w:r>
            <w:proofErr w:type="spellStart"/>
            <w:r w:rsidRPr="004C7B82">
              <w:rPr>
                <w:bCs/>
                <w:sz w:val="22"/>
                <w:szCs w:val="22"/>
              </w:rPr>
              <w:t>privātkopēšanai</w:t>
            </w:r>
            <w:proofErr w:type="spellEnd"/>
            <w:r w:rsidRPr="004C7B82">
              <w:rPr>
                <w:bCs/>
                <w:sz w:val="22"/>
                <w:szCs w:val="22"/>
              </w:rPr>
              <w:t xml:space="preserve"> izmantojuši 23% </w:t>
            </w:r>
            <w:r w:rsidRPr="004C7B82">
              <w:rPr>
                <w:bCs/>
                <w:sz w:val="22"/>
                <w:szCs w:val="22"/>
              </w:rPr>
              <w:lastRenderedPageBreak/>
              <w:t xml:space="preserve">respondentu. Anotācijā būtu nepieciešams iekļaut informācija par katras datu nesēju kategorijas nodevas bāzes likmi vai visu kategoriju datu nesēju nodevu bāzes likmju summu, kas nodrošina autortiesību turētājiem radušos zaudējumus pie noteiktiem scenārijiem. Secināms, ka pastāvot saiknei starp </w:t>
            </w:r>
            <w:proofErr w:type="spellStart"/>
            <w:r w:rsidRPr="004C7B82">
              <w:rPr>
                <w:bCs/>
                <w:sz w:val="22"/>
                <w:szCs w:val="22"/>
              </w:rPr>
              <w:t>privātkopēšanas</w:t>
            </w:r>
            <w:proofErr w:type="spellEnd"/>
            <w:r w:rsidRPr="004C7B82">
              <w:rPr>
                <w:bCs/>
                <w:sz w:val="22"/>
                <w:szCs w:val="22"/>
              </w:rPr>
              <w:t xml:space="preserve"> aptaujas rezultātiem un to ietekmei uz aprēķināmās atlīdzības likmes lielumu noteiktām datu nesēju kategorijām, taču vienlaikus nepastāvot skaidriem likmes apmēra robežlielumiem, var rasties situācijā, kad iekasēto nodevu kopapjoms nespēj kompensēt autortiesību turētājiem radušos zaudējumus vai tieši pretēji – ievērojami pārsniedz kompensējamo kompensācijas apjomu. Lūdzam Kultūras ministriju iekļaut anotācijā redzējumu par līdzšinējās kompensācijas mehānisma aprēķināšanas kārtības iespējām nodrošināt līdzsvaru starp autortiesību turētājiem radītajiem zaudējumiem un iekasēto “nesēja nodevas” kopapjomu, nepilnībām, kā arī sniegt redzējumu par potenciāliem uzlabojumiem sistēmas optimizācijas nolūkos.</w:t>
            </w:r>
          </w:p>
        </w:tc>
        <w:tc>
          <w:tcPr>
            <w:tcW w:w="1116" w:type="pct"/>
            <w:tcBorders>
              <w:top w:val="single" w:color="000000" w:sz="6" w:space="0"/>
              <w:left w:val="single" w:color="000000" w:sz="6" w:space="0"/>
              <w:bottom w:val="single" w:color="000000" w:sz="6" w:space="0"/>
              <w:right w:val="single" w:color="000000" w:sz="6" w:space="0"/>
            </w:tcBorders>
          </w:tcPr>
          <w:p w:rsidRPr="002C4155" w:rsidR="00C343E2" w:rsidP="00C343E2" w:rsidRDefault="00C343E2" w14:paraId="283DF455" w14:textId="77777777">
            <w:pPr>
              <w:pStyle w:val="naisc"/>
              <w:spacing w:before="0" w:after="0"/>
              <w:ind w:firstLine="288"/>
              <w:rPr>
                <w:b/>
                <w:sz w:val="22"/>
                <w:szCs w:val="22"/>
                <w:lang w:eastAsia="en-US"/>
              </w:rPr>
            </w:pPr>
            <w:r>
              <w:rPr>
                <w:b/>
                <w:sz w:val="22"/>
                <w:szCs w:val="22"/>
                <w:lang w:eastAsia="en-US"/>
              </w:rPr>
              <w:lastRenderedPageBreak/>
              <w:t>Daļēji ņ</w:t>
            </w:r>
            <w:r w:rsidRPr="002C4155">
              <w:rPr>
                <w:b/>
                <w:sz w:val="22"/>
                <w:szCs w:val="22"/>
                <w:lang w:eastAsia="en-US"/>
              </w:rPr>
              <w:t>emts vērā</w:t>
            </w:r>
          </w:p>
          <w:p w:rsidR="00C343E2" w:rsidP="00C343E2" w:rsidRDefault="00C343E2" w14:paraId="6BD32849" w14:textId="30E3B7B2">
            <w:pPr>
              <w:pStyle w:val="naisc"/>
              <w:spacing w:before="0" w:after="0"/>
              <w:ind w:firstLine="288"/>
              <w:jc w:val="both"/>
              <w:rPr>
                <w:bCs/>
                <w:sz w:val="22"/>
                <w:szCs w:val="22"/>
                <w:lang w:eastAsia="en-US"/>
              </w:rPr>
            </w:pPr>
            <w:r w:rsidRPr="00D018BD">
              <w:rPr>
                <w:bCs/>
                <w:sz w:val="22"/>
                <w:szCs w:val="22"/>
                <w:lang w:eastAsia="en-US"/>
              </w:rPr>
              <w:t xml:space="preserve">Atlīdzības likmes </w:t>
            </w:r>
            <w:r w:rsidR="00E00FBE">
              <w:rPr>
                <w:bCs/>
                <w:sz w:val="22"/>
                <w:szCs w:val="22"/>
                <w:lang w:eastAsia="en-US"/>
              </w:rPr>
              <w:t>izstrādātas</w:t>
            </w:r>
            <w:r>
              <w:rPr>
                <w:bCs/>
                <w:sz w:val="22"/>
                <w:szCs w:val="22"/>
                <w:lang w:eastAsia="en-US"/>
              </w:rPr>
              <w:t xml:space="preserve">, ņemot vērā </w:t>
            </w:r>
            <w:r w:rsidRPr="00D018BD">
              <w:rPr>
                <w:bCs/>
                <w:sz w:val="22"/>
                <w:szCs w:val="22"/>
                <w:lang w:eastAsia="en-US"/>
              </w:rPr>
              <w:t xml:space="preserve">2012.gadā </w:t>
            </w:r>
            <w:r>
              <w:rPr>
                <w:bCs/>
                <w:sz w:val="22"/>
                <w:szCs w:val="22"/>
                <w:lang w:eastAsia="en-US"/>
              </w:rPr>
              <w:t xml:space="preserve">noteiktās likmes, kas savukārt tika </w:t>
            </w:r>
            <w:r w:rsidRPr="00D018BD">
              <w:rPr>
                <w:bCs/>
                <w:sz w:val="22"/>
                <w:szCs w:val="22"/>
                <w:lang w:eastAsia="en-US"/>
              </w:rPr>
              <w:t>noteikta</w:t>
            </w:r>
            <w:r>
              <w:rPr>
                <w:bCs/>
                <w:sz w:val="22"/>
                <w:szCs w:val="22"/>
                <w:lang w:eastAsia="en-US"/>
              </w:rPr>
              <w:t>s</w:t>
            </w:r>
            <w:r w:rsidRPr="00D018BD">
              <w:rPr>
                <w:bCs/>
                <w:sz w:val="22"/>
                <w:szCs w:val="22"/>
                <w:lang w:eastAsia="en-US"/>
              </w:rPr>
              <w:t xml:space="preserve"> kā kompromiss starp </w:t>
            </w:r>
            <w:r>
              <w:rPr>
                <w:bCs/>
                <w:sz w:val="22"/>
                <w:szCs w:val="22"/>
                <w:lang w:eastAsia="en-US"/>
              </w:rPr>
              <w:t xml:space="preserve">abu ieinteresēto </w:t>
            </w:r>
            <w:r w:rsidRPr="00D018BD">
              <w:rPr>
                <w:bCs/>
                <w:sz w:val="22"/>
                <w:szCs w:val="22"/>
                <w:lang w:eastAsia="en-US"/>
              </w:rPr>
              <w:t xml:space="preserve">pušu interesēm. </w:t>
            </w:r>
            <w:r>
              <w:rPr>
                <w:bCs/>
                <w:sz w:val="22"/>
                <w:szCs w:val="22"/>
                <w:lang w:eastAsia="en-US"/>
              </w:rPr>
              <w:t xml:space="preserve">Atbilstoši papildināta </w:t>
            </w:r>
            <w:r>
              <w:rPr>
                <w:sz w:val="22"/>
                <w:szCs w:val="22"/>
              </w:rPr>
              <w:t xml:space="preserve">Ministru kabineta noteikumu </w:t>
            </w:r>
            <w:r>
              <w:rPr>
                <w:bCs/>
                <w:sz w:val="22"/>
                <w:szCs w:val="22"/>
                <w:lang w:eastAsia="en-US"/>
              </w:rPr>
              <w:t>p</w:t>
            </w:r>
            <w:r w:rsidRPr="003329AD">
              <w:rPr>
                <w:bCs/>
                <w:sz w:val="22"/>
                <w:szCs w:val="22"/>
                <w:lang w:eastAsia="en-US"/>
              </w:rPr>
              <w:t>rojekta anotācija.</w:t>
            </w:r>
          </w:p>
          <w:p w:rsidR="00C343E2" w:rsidP="00C343E2" w:rsidRDefault="00C343E2" w14:paraId="1EBD5655" w14:textId="2B0B00E8">
            <w:pPr>
              <w:pStyle w:val="naisc"/>
              <w:spacing w:before="0" w:after="0"/>
              <w:ind w:firstLine="288"/>
              <w:jc w:val="both"/>
              <w:rPr>
                <w:sz w:val="22"/>
                <w:szCs w:val="22"/>
              </w:rPr>
            </w:pPr>
            <w:r>
              <w:rPr>
                <w:bCs/>
                <w:sz w:val="22"/>
                <w:szCs w:val="22"/>
                <w:lang w:eastAsia="en-US"/>
              </w:rPr>
              <w:t>Anotācijā iekļaut</w:t>
            </w:r>
            <w:r w:rsidR="00B10567">
              <w:rPr>
                <w:bCs/>
                <w:sz w:val="22"/>
                <w:szCs w:val="22"/>
                <w:lang w:eastAsia="en-US"/>
              </w:rPr>
              <w:t>as</w:t>
            </w:r>
            <w:r>
              <w:rPr>
                <w:bCs/>
                <w:sz w:val="22"/>
                <w:szCs w:val="22"/>
                <w:lang w:eastAsia="en-US"/>
              </w:rPr>
              <w:t xml:space="preserve"> divas alternatīvas zaudējumu aprēķina metodes. Tiesību īpašnieku izmantotā zaudējumu aprēķina metode par pamatu izmanto </w:t>
            </w:r>
            <w:r w:rsidRPr="00AE7FF7">
              <w:rPr>
                <w:sz w:val="22"/>
                <w:szCs w:val="22"/>
              </w:rPr>
              <w:t>ekonomisk</w:t>
            </w:r>
            <w:r w:rsidR="00B10567">
              <w:rPr>
                <w:sz w:val="22"/>
                <w:szCs w:val="22"/>
              </w:rPr>
              <w:t>i</w:t>
            </w:r>
            <w:r w:rsidRPr="00AE7FF7">
              <w:rPr>
                <w:sz w:val="22"/>
                <w:szCs w:val="22"/>
              </w:rPr>
              <w:t xml:space="preserve"> aktīvo darbspējas vecuma personu skaitu</w:t>
            </w:r>
            <w:r>
              <w:rPr>
                <w:sz w:val="22"/>
                <w:szCs w:val="22"/>
              </w:rPr>
              <w:t xml:space="preserve">, savukārt Igaunijas tiesas </w:t>
            </w:r>
            <w:r w:rsidR="00B10567">
              <w:rPr>
                <w:sz w:val="22"/>
                <w:szCs w:val="22"/>
              </w:rPr>
              <w:t xml:space="preserve">izmantotā </w:t>
            </w:r>
            <w:r>
              <w:rPr>
                <w:sz w:val="22"/>
                <w:szCs w:val="22"/>
              </w:rPr>
              <w:t xml:space="preserve">metode – visu iedzīvotāju kopskaitu. </w:t>
            </w:r>
          </w:p>
          <w:p w:rsidR="00C343E2" w:rsidP="00C343E2" w:rsidRDefault="00C343E2" w14:paraId="60A5BE3D" w14:textId="380505E7">
            <w:pPr>
              <w:pStyle w:val="naisc"/>
              <w:spacing w:before="0" w:after="0"/>
              <w:ind w:firstLine="288"/>
              <w:jc w:val="both"/>
              <w:rPr>
                <w:bCs/>
                <w:sz w:val="22"/>
                <w:szCs w:val="22"/>
                <w:lang w:eastAsia="en-US"/>
              </w:rPr>
            </w:pPr>
            <w:r>
              <w:rPr>
                <w:bCs/>
                <w:sz w:val="22"/>
                <w:szCs w:val="22"/>
                <w:lang w:eastAsia="en-US"/>
              </w:rPr>
              <w:t xml:space="preserve">Anotācija papildināta ar provizorisku nākotnē iekasētās atlīdzības apjoma aprēķinu. Iekasētās atlīdzības apjoms </w:t>
            </w:r>
            <w:r w:rsidRPr="004F5EDA">
              <w:rPr>
                <w:bCs/>
                <w:sz w:val="22"/>
                <w:szCs w:val="22"/>
                <w:lang w:eastAsia="en-US"/>
              </w:rPr>
              <w:lastRenderedPageBreak/>
              <w:t>nesasniedz ne vidējo Eiropas Savienības atlīdzības summu uz vienu iedzīvotāju, ne tiesību īpašnieku aprēķināto zaudējumu summu</w:t>
            </w:r>
            <w:r>
              <w:rPr>
                <w:bCs/>
                <w:sz w:val="22"/>
                <w:szCs w:val="22"/>
                <w:lang w:eastAsia="en-US"/>
              </w:rPr>
              <w:t xml:space="preserve">. Līdz ar to nesēja saraksta grozījumu saturs ne tikai nodrošina  līdzsvaru starp pusēm, bet </w:t>
            </w:r>
            <w:r w:rsidR="00325B8E">
              <w:rPr>
                <w:bCs/>
                <w:sz w:val="22"/>
                <w:szCs w:val="22"/>
                <w:lang w:eastAsia="en-US"/>
              </w:rPr>
              <w:t xml:space="preserve">faktiski </w:t>
            </w:r>
            <w:r>
              <w:rPr>
                <w:bCs/>
                <w:sz w:val="22"/>
                <w:szCs w:val="22"/>
                <w:lang w:eastAsia="en-US"/>
              </w:rPr>
              <w:t xml:space="preserve">ir labvēlīgāks pret nesēju un iekārtu ievedējiem un lietotājiem. </w:t>
            </w:r>
          </w:p>
          <w:p w:rsidRPr="00D81AB0" w:rsidR="00C343E2" w:rsidP="00C343E2" w:rsidRDefault="00B10567" w14:paraId="0F23F486" w14:textId="35812494">
            <w:pPr>
              <w:pStyle w:val="naisc"/>
              <w:spacing w:before="0" w:after="0"/>
              <w:ind w:firstLine="288"/>
              <w:jc w:val="both"/>
              <w:rPr>
                <w:bCs/>
                <w:sz w:val="22"/>
                <w:szCs w:val="22"/>
                <w:lang w:eastAsia="en-US"/>
              </w:rPr>
            </w:pPr>
            <w:r>
              <w:rPr>
                <w:bCs/>
                <w:sz w:val="22"/>
                <w:szCs w:val="22"/>
                <w:lang w:eastAsia="en-US"/>
              </w:rPr>
              <w:t>T</w:t>
            </w:r>
            <w:r w:rsidR="00C343E2">
              <w:rPr>
                <w:bCs/>
                <w:sz w:val="22"/>
                <w:szCs w:val="22"/>
                <w:lang w:eastAsia="en-US"/>
              </w:rPr>
              <w:t>urpmāk veicamās darbības sistēmas optimizācijai</w:t>
            </w:r>
            <w:r>
              <w:rPr>
                <w:bCs/>
                <w:sz w:val="22"/>
                <w:szCs w:val="22"/>
                <w:lang w:eastAsia="en-US"/>
              </w:rPr>
              <w:t xml:space="preserve"> </w:t>
            </w:r>
            <w:r w:rsidR="001503CE">
              <w:rPr>
                <w:bCs/>
                <w:sz w:val="22"/>
                <w:szCs w:val="22"/>
                <w:lang w:eastAsia="en-US"/>
              </w:rPr>
              <w:t xml:space="preserve">šobrīd </w:t>
            </w:r>
            <w:r>
              <w:rPr>
                <w:bCs/>
                <w:sz w:val="22"/>
                <w:szCs w:val="22"/>
                <w:lang w:eastAsia="en-US"/>
              </w:rPr>
              <w:t>nav norādītās</w:t>
            </w:r>
            <w:r w:rsidR="00C343E2">
              <w:rPr>
                <w:bCs/>
                <w:sz w:val="22"/>
                <w:szCs w:val="22"/>
                <w:lang w:eastAsia="en-US"/>
              </w:rPr>
              <w:t xml:space="preserve">, </w:t>
            </w:r>
            <w:r w:rsidR="001503CE">
              <w:rPr>
                <w:bCs/>
                <w:sz w:val="22"/>
                <w:szCs w:val="22"/>
                <w:lang w:eastAsia="en-US"/>
              </w:rPr>
              <w:t>jo sistēma tiek regulāri pārvērtēta</w:t>
            </w:r>
            <w:r>
              <w:rPr>
                <w:bCs/>
                <w:sz w:val="22"/>
                <w:szCs w:val="22"/>
                <w:lang w:eastAsia="en-US"/>
              </w:rPr>
              <w:t xml:space="preserve"> atbilstoši Satversmes tiesa</w:t>
            </w:r>
            <w:r w:rsidR="00325B8E">
              <w:rPr>
                <w:bCs/>
                <w:sz w:val="22"/>
                <w:szCs w:val="22"/>
                <w:lang w:eastAsia="en-US"/>
              </w:rPr>
              <w:t>s</w:t>
            </w:r>
            <w:r>
              <w:rPr>
                <w:bCs/>
                <w:sz w:val="22"/>
                <w:szCs w:val="22"/>
                <w:lang w:eastAsia="en-US"/>
              </w:rPr>
              <w:t xml:space="preserve"> 2012.gada spriedum</w:t>
            </w:r>
            <w:r w:rsidR="001503CE">
              <w:rPr>
                <w:bCs/>
                <w:sz w:val="22"/>
                <w:szCs w:val="22"/>
                <w:lang w:eastAsia="en-US"/>
              </w:rPr>
              <w:t>ā</w:t>
            </w:r>
            <w:r>
              <w:rPr>
                <w:bCs/>
                <w:sz w:val="22"/>
                <w:szCs w:val="22"/>
                <w:lang w:eastAsia="en-US"/>
              </w:rPr>
              <w:t xml:space="preserve"> Ministru kabinetam </w:t>
            </w:r>
            <w:r w:rsidR="001503CE">
              <w:rPr>
                <w:bCs/>
                <w:sz w:val="22"/>
                <w:szCs w:val="22"/>
                <w:lang w:eastAsia="en-US"/>
              </w:rPr>
              <w:t>noteiktajam</w:t>
            </w:r>
            <w:r>
              <w:rPr>
                <w:bCs/>
                <w:sz w:val="22"/>
                <w:szCs w:val="22"/>
                <w:lang w:eastAsia="en-US"/>
              </w:rPr>
              <w:t xml:space="preserve">  pienākum</w:t>
            </w:r>
            <w:r w:rsidR="001503CE">
              <w:rPr>
                <w:bCs/>
                <w:sz w:val="22"/>
                <w:szCs w:val="22"/>
                <w:lang w:eastAsia="en-US"/>
              </w:rPr>
              <w:t>am</w:t>
            </w:r>
            <w:r>
              <w:rPr>
                <w:bCs/>
                <w:sz w:val="22"/>
                <w:szCs w:val="22"/>
                <w:lang w:eastAsia="en-US"/>
              </w:rPr>
              <w:t xml:space="preserve"> </w:t>
            </w:r>
            <w:r w:rsidR="001503CE">
              <w:rPr>
                <w:bCs/>
                <w:sz w:val="22"/>
                <w:szCs w:val="22"/>
                <w:lang w:eastAsia="en-US"/>
              </w:rPr>
              <w:t>(</w:t>
            </w:r>
            <w:r>
              <w:rPr>
                <w:bCs/>
                <w:sz w:val="22"/>
                <w:szCs w:val="22"/>
                <w:lang w:eastAsia="en-US"/>
              </w:rPr>
              <w:t xml:space="preserve">regulāri pārvērtēt </w:t>
            </w:r>
            <w:r w:rsidR="00C343E2">
              <w:rPr>
                <w:bCs/>
                <w:sz w:val="22"/>
                <w:szCs w:val="22"/>
                <w:lang w:eastAsia="en-US"/>
              </w:rPr>
              <w:t>nesēju un iekārtu sarakst</w:t>
            </w:r>
            <w:r>
              <w:rPr>
                <w:bCs/>
                <w:sz w:val="22"/>
                <w:szCs w:val="22"/>
                <w:lang w:eastAsia="en-US"/>
              </w:rPr>
              <w:t>u</w:t>
            </w:r>
            <w:r w:rsidR="00C343E2">
              <w:rPr>
                <w:bCs/>
                <w:sz w:val="22"/>
                <w:szCs w:val="22"/>
                <w:lang w:eastAsia="en-US"/>
              </w:rPr>
              <w:t xml:space="preserve"> </w:t>
            </w:r>
            <w:r w:rsidRPr="00C343E2" w:rsidR="00C343E2">
              <w:rPr>
                <w:bCs/>
                <w:sz w:val="22"/>
                <w:szCs w:val="22"/>
                <w:lang w:eastAsia="en-US"/>
              </w:rPr>
              <w:t>saistībā ar tehnoloģiju attīstības radītajām pārmaiņām</w:t>
            </w:r>
            <w:r w:rsidR="001503CE">
              <w:rPr>
                <w:bCs/>
                <w:sz w:val="22"/>
                <w:szCs w:val="22"/>
                <w:lang w:eastAsia="en-US"/>
              </w:rPr>
              <w:t>)</w:t>
            </w:r>
            <w:r w:rsidRPr="00C343E2" w:rsidR="00C343E2">
              <w:rPr>
                <w:bCs/>
                <w:sz w:val="22"/>
                <w:szCs w:val="22"/>
                <w:lang w:eastAsia="en-US"/>
              </w:rPr>
              <w:t>.</w:t>
            </w:r>
            <w:r w:rsidR="00C343E2">
              <w:rPr>
                <w:bCs/>
                <w:sz w:val="22"/>
                <w:szCs w:val="22"/>
                <w:lang w:eastAsia="en-US"/>
              </w:rPr>
              <w:t xml:space="preserve"> </w:t>
            </w:r>
          </w:p>
        </w:tc>
        <w:tc>
          <w:tcPr>
            <w:tcW w:w="769" w:type="pct"/>
            <w:tcBorders>
              <w:top w:val="single" w:color="auto" w:sz="4" w:space="0"/>
              <w:left w:val="single" w:color="auto" w:sz="4" w:space="0"/>
              <w:bottom w:val="single" w:color="auto" w:sz="4" w:space="0"/>
              <w:right w:val="single" w:color="auto" w:sz="4" w:space="0"/>
            </w:tcBorders>
          </w:tcPr>
          <w:p w:rsidR="00C343E2" w:rsidP="00C343E2" w:rsidRDefault="00C343E2" w14:paraId="38D85225" w14:textId="77777777">
            <w:pPr>
              <w:jc w:val="both"/>
              <w:rPr>
                <w:sz w:val="22"/>
                <w:szCs w:val="22"/>
              </w:rPr>
            </w:pPr>
            <w:r>
              <w:rPr>
                <w:b/>
                <w:sz w:val="22"/>
                <w:szCs w:val="22"/>
              </w:rPr>
              <w:lastRenderedPageBreak/>
              <w:t xml:space="preserve">Ekonomikas </w:t>
            </w:r>
            <w:r w:rsidRPr="00E36116">
              <w:rPr>
                <w:b/>
                <w:sz w:val="22"/>
                <w:szCs w:val="22"/>
              </w:rPr>
              <w:t>ministrija</w:t>
            </w:r>
            <w:r>
              <w:rPr>
                <w:b/>
                <w:sz w:val="22"/>
                <w:szCs w:val="22"/>
              </w:rPr>
              <w:t>:</w:t>
            </w:r>
          </w:p>
          <w:p w:rsidRPr="00793437" w:rsidR="00C343E2" w:rsidP="00C343E2" w:rsidRDefault="00C343E2" w14:paraId="71686AE1" w14:textId="5DD4265D">
            <w:pPr>
              <w:pStyle w:val="naisc"/>
              <w:spacing w:before="0" w:after="0"/>
              <w:jc w:val="both"/>
              <w:rPr>
                <w:sz w:val="22"/>
                <w:szCs w:val="22"/>
              </w:rPr>
            </w:pPr>
            <w:r w:rsidRPr="00AE7FF7">
              <w:rPr>
                <w:sz w:val="22"/>
                <w:szCs w:val="22"/>
              </w:rPr>
              <w:t xml:space="preserve">Nodevas aprēķina pieeja – grozījumu projekta anotācijā tiek atzīmēts, ka “2019.gadā iekasētā nesēja atlīdzības summa Latvijā bija nedaudz virs 550 000 </w:t>
            </w:r>
            <w:proofErr w:type="spellStart"/>
            <w:r w:rsidRPr="00C343E2">
              <w:rPr>
                <w:i/>
                <w:iCs/>
                <w:sz w:val="22"/>
                <w:szCs w:val="22"/>
              </w:rPr>
              <w:t>euro</w:t>
            </w:r>
            <w:proofErr w:type="spellEnd"/>
            <w:r w:rsidRPr="00AE7FF7">
              <w:rPr>
                <w:sz w:val="22"/>
                <w:szCs w:val="22"/>
              </w:rPr>
              <w:t xml:space="preserve">, tādējādi Latvijā pašlaik iekasētā summa atbilst ~ 0,29  </w:t>
            </w:r>
            <w:proofErr w:type="spellStart"/>
            <w:r w:rsidRPr="00C343E2">
              <w:rPr>
                <w:i/>
                <w:iCs/>
                <w:sz w:val="22"/>
                <w:szCs w:val="22"/>
              </w:rPr>
              <w:t>euro</w:t>
            </w:r>
            <w:proofErr w:type="spellEnd"/>
            <w:r w:rsidRPr="00AE7FF7">
              <w:rPr>
                <w:sz w:val="22"/>
                <w:szCs w:val="22"/>
              </w:rPr>
              <w:t xml:space="preserve"> uz iedzīvotāju. [..]” Minētais aprēķins ir veikts par pamatu izmantojot visu Latvijas iedzīvotāju kopskaitu, nevis atsevišķi ekonomisko aktīvo darbspējas vecuma personu skaitu. Tā </w:t>
            </w:r>
            <w:r w:rsidRPr="00AE7FF7">
              <w:rPr>
                <w:sz w:val="22"/>
                <w:szCs w:val="22"/>
              </w:rPr>
              <w:lastRenderedPageBreak/>
              <w:t>rezultātā aprēķins nav precīzs. Anotācijā nav iekļauts redzējums par veikto grozījumu kompensācijas mehānisma aprēķināšanas kārtībā spēju nodrošināt līdzsvaru starp autortiesību turētājiem radītajiem zaudējumiem un prognozēto iekasētās “nesēja nodevas” kopapjomu, kā arī nav norādītas turpmāk veicamās darbības sistēmas optimizācijai, piemēram, bāzes likmes turpmāka diskontēšana.</w:t>
            </w:r>
          </w:p>
        </w:tc>
        <w:tc>
          <w:tcPr>
            <w:tcW w:w="840" w:type="pct"/>
            <w:tcBorders>
              <w:top w:val="single" w:color="auto" w:sz="4" w:space="0"/>
              <w:left w:val="single" w:color="auto" w:sz="4" w:space="0"/>
              <w:bottom w:val="single" w:color="auto" w:sz="4" w:space="0"/>
              <w:right w:val="single" w:color="auto" w:sz="4" w:space="0"/>
            </w:tcBorders>
          </w:tcPr>
          <w:p w:rsidRPr="002C4155" w:rsidR="00C343E2" w:rsidP="00C343E2" w:rsidRDefault="00C343E2" w14:paraId="3F8CB84A" w14:textId="6FD93FAF">
            <w:pPr>
              <w:pStyle w:val="naisc"/>
              <w:spacing w:before="0" w:after="0"/>
              <w:jc w:val="both"/>
              <w:rPr>
                <w:sz w:val="22"/>
                <w:szCs w:val="22"/>
              </w:rPr>
            </w:pPr>
            <w:r w:rsidRPr="002C4155">
              <w:rPr>
                <w:sz w:val="22"/>
                <w:szCs w:val="22"/>
              </w:rPr>
              <w:lastRenderedPageBreak/>
              <w:t>Papildināts Ministru kabineta noteikumu projekta sākotnējās ietekmes novērtējuma ziņojuma (anotācijas) I sadaļas 2.punkts šādā redakcijā:</w:t>
            </w:r>
          </w:p>
          <w:p w:rsidRPr="004C7B82" w:rsidR="00C343E2" w:rsidP="00C343E2" w:rsidRDefault="00C343E2" w14:paraId="1486B6E4" w14:textId="77777777">
            <w:pPr>
              <w:pStyle w:val="naisc"/>
              <w:spacing w:before="0" w:after="0"/>
              <w:jc w:val="both"/>
              <w:rPr>
                <w:b/>
                <w:bCs/>
                <w:sz w:val="22"/>
                <w:szCs w:val="22"/>
              </w:rPr>
            </w:pPr>
            <w:r>
              <w:rPr>
                <w:sz w:val="22"/>
                <w:szCs w:val="22"/>
              </w:rPr>
              <w:t xml:space="preserve">“[..] </w:t>
            </w:r>
            <w:r w:rsidRPr="004C7B82">
              <w:rPr>
                <w:b/>
                <w:bCs/>
                <w:sz w:val="22"/>
                <w:szCs w:val="22"/>
              </w:rPr>
              <w:t>6) Atlīdzības likmes noteikšana atkarībā no izmantošanas biežuma</w:t>
            </w:r>
          </w:p>
          <w:p w:rsidRPr="002C4155" w:rsidR="00C343E2" w:rsidP="00C343E2" w:rsidRDefault="00C343E2" w14:paraId="0F2311A9" w14:textId="77777777">
            <w:pPr>
              <w:pStyle w:val="naisc"/>
              <w:spacing w:before="0" w:after="0"/>
              <w:jc w:val="both"/>
              <w:rPr>
                <w:sz w:val="22"/>
                <w:szCs w:val="22"/>
              </w:rPr>
            </w:pPr>
            <w:r w:rsidRPr="002C4155">
              <w:rPr>
                <w:sz w:val="22"/>
                <w:szCs w:val="22"/>
              </w:rPr>
              <w:t xml:space="preserve">Pamatojoties uz Eiropas Savienības tiesu praksi, lai noteiktu maksājamo atlīdzības likmi par nesēju vai iekārtu, jāņem vērā to izmantošanas biežums </w:t>
            </w:r>
            <w:proofErr w:type="spellStart"/>
            <w:r w:rsidRPr="002C4155">
              <w:rPr>
                <w:sz w:val="22"/>
                <w:szCs w:val="22"/>
              </w:rPr>
              <w:t>privātkopēšanai</w:t>
            </w:r>
            <w:proofErr w:type="spellEnd"/>
            <w:r w:rsidRPr="002C4155">
              <w:rPr>
                <w:sz w:val="22"/>
                <w:szCs w:val="22"/>
              </w:rPr>
              <w:t xml:space="preserve">. Līdz ar to tiem nesējiem un iekārtām, kurus respondenti izmantojuši visbiežāk, nosakāms </w:t>
            </w:r>
            <w:r w:rsidRPr="002C4155">
              <w:rPr>
                <w:sz w:val="22"/>
                <w:szCs w:val="22"/>
              </w:rPr>
              <w:lastRenderedPageBreak/>
              <w:t xml:space="preserve">augstāks atlīdzības apmērs un otrādi. Tādējādi, nosakot atlīdzību par viedtālruņiem, jāņem vērā, ka personālos datorus </w:t>
            </w:r>
            <w:proofErr w:type="spellStart"/>
            <w:r w:rsidRPr="002C4155">
              <w:rPr>
                <w:sz w:val="22"/>
                <w:szCs w:val="22"/>
              </w:rPr>
              <w:t>privātkopēšanai</w:t>
            </w:r>
            <w:proofErr w:type="spellEnd"/>
            <w:r w:rsidRPr="002C4155">
              <w:rPr>
                <w:sz w:val="22"/>
                <w:szCs w:val="22"/>
              </w:rPr>
              <w:t xml:space="preserve"> izmanto 85% respondentu, bet viedtālruņus – 32%. Savukārt USB zibatmiņas nesēja atlīdzības likmes lielums palielināms, ņemot vērā, ka to izmantošana ir pieaugusi (no 32 % līdz 41%), bet likme par ārējo cieto disku nosakāma 4%, ņemot vērā, ka to kopēšanai izmantojuši vismazāk (23%) respondentu.</w:t>
            </w:r>
          </w:p>
          <w:p w:rsidRPr="00903684" w:rsidR="00C343E2" w:rsidP="00C343E2" w:rsidRDefault="00C343E2" w14:paraId="4DD92E67" w14:textId="4F694926">
            <w:pPr>
              <w:pStyle w:val="naisc"/>
              <w:spacing w:before="0" w:after="0"/>
              <w:jc w:val="both"/>
              <w:rPr>
                <w:sz w:val="22"/>
                <w:szCs w:val="22"/>
              </w:rPr>
            </w:pPr>
            <w:r w:rsidRPr="002C4155">
              <w:rPr>
                <w:sz w:val="22"/>
                <w:szCs w:val="22"/>
              </w:rPr>
              <w:t xml:space="preserve">Atlīdzības likmes 2012.gadā tika noteiktas, ņemot vērā citu Eiropas Savienības dalībvalstu, īpaši Lietuvas un Igaunijas, attiecīgās likmes. Nosakot nesēja atlīdzības fiksēto likmi attiecībā uz personālajiem datoriem, 2012.gadā papildus ņemts vērā, ka </w:t>
            </w:r>
            <w:r w:rsidRPr="002C4155">
              <w:rPr>
                <w:sz w:val="22"/>
                <w:szCs w:val="22"/>
              </w:rPr>
              <w:lastRenderedPageBreak/>
              <w:t xml:space="preserve">AKKA/LAA lūdza to noteikt 3 latu apmērā turpretim LETERA - 1 LVL apjomā. Tādējādi uzskatāms, ka likme 2,85 </w:t>
            </w:r>
            <w:proofErr w:type="spellStart"/>
            <w:r w:rsidRPr="002C4155">
              <w:rPr>
                <w:sz w:val="22"/>
                <w:szCs w:val="22"/>
              </w:rPr>
              <w:t>euro</w:t>
            </w:r>
            <w:proofErr w:type="spellEnd"/>
            <w:r w:rsidRPr="002C4155">
              <w:rPr>
                <w:sz w:val="22"/>
                <w:szCs w:val="22"/>
              </w:rPr>
              <w:t xml:space="preserve"> (2 LVL) tika noteikta kā kompromiss starp abu ieinteresēto pušu interesēm. Tā kā atlīdzības likme par personālajiem datoriem netiek mainīta, tā izmantojama par bāzes likmi, nosakot maksājamās atlīdzības lielumu par viedtālruņiem.</w:t>
            </w:r>
            <w:r>
              <w:rPr>
                <w:sz w:val="22"/>
                <w:szCs w:val="22"/>
              </w:rPr>
              <w:t xml:space="preserve"> [..]”</w:t>
            </w:r>
          </w:p>
        </w:tc>
      </w:tr>
      <w:tr w:rsidRPr="00E36116" w:rsidR="00C343E2" w:rsidTr="00E36116" w14:paraId="3DC658CA" w14:textId="77777777">
        <w:tc>
          <w:tcPr>
            <w:tcW w:w="191" w:type="pct"/>
            <w:tcBorders>
              <w:top w:val="single" w:color="000000" w:sz="6" w:space="0"/>
              <w:left w:val="single" w:color="000000" w:sz="6" w:space="0"/>
              <w:bottom w:val="single" w:color="000000" w:sz="6" w:space="0"/>
              <w:right w:val="single" w:color="000000" w:sz="6" w:space="0"/>
            </w:tcBorders>
          </w:tcPr>
          <w:p w:rsidRPr="00E36116" w:rsidR="00C343E2" w:rsidP="00C343E2" w:rsidRDefault="00C343E2" w14:paraId="2FFFA1CE" w14:textId="19F03420">
            <w:pPr>
              <w:pStyle w:val="naisc"/>
              <w:spacing w:before="0" w:after="0"/>
              <w:rPr>
                <w:sz w:val="22"/>
                <w:szCs w:val="22"/>
                <w:lang w:eastAsia="en-US"/>
              </w:rPr>
            </w:pPr>
            <w:r>
              <w:rPr>
                <w:sz w:val="22"/>
                <w:szCs w:val="22"/>
                <w:lang w:eastAsia="en-US"/>
              </w:rPr>
              <w:lastRenderedPageBreak/>
              <w:t>11.</w:t>
            </w:r>
          </w:p>
        </w:tc>
        <w:tc>
          <w:tcPr>
            <w:tcW w:w="862" w:type="pct"/>
            <w:tcBorders>
              <w:top w:val="single" w:color="000000" w:sz="6" w:space="0"/>
              <w:left w:val="single" w:color="000000" w:sz="6" w:space="0"/>
              <w:bottom w:val="single" w:color="000000" w:sz="6" w:space="0"/>
              <w:right w:val="single" w:color="000000" w:sz="6" w:space="0"/>
            </w:tcBorders>
          </w:tcPr>
          <w:p w:rsidRPr="00793437" w:rsidR="00C343E2" w:rsidP="00C343E2" w:rsidRDefault="00C343E2" w14:paraId="6B893734" w14:textId="77777777">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Pr>
                <w:sz w:val="22"/>
                <w:szCs w:val="22"/>
              </w:rPr>
              <w:t>rojekta sākotnējās ietekmes novērtējuma ziņojuma (anotācijas) I sadaļas 2.punkts</w:t>
            </w:r>
            <w:r>
              <w:rPr>
                <w:sz w:val="22"/>
                <w:szCs w:val="22"/>
              </w:rPr>
              <w:t xml:space="preserve">: </w:t>
            </w:r>
          </w:p>
          <w:p w:rsidRPr="004C7B82" w:rsidR="00C343E2" w:rsidP="00C343E2" w:rsidRDefault="00C343E2" w14:paraId="0A17BCCE" w14:textId="77777777">
            <w:pPr>
              <w:pStyle w:val="naisc"/>
              <w:spacing w:before="0" w:after="0"/>
              <w:jc w:val="both"/>
              <w:rPr>
                <w:sz w:val="22"/>
                <w:szCs w:val="22"/>
              </w:rPr>
            </w:pPr>
            <w:r>
              <w:rPr>
                <w:sz w:val="22"/>
                <w:szCs w:val="22"/>
              </w:rPr>
              <w:t xml:space="preserve">“[..] </w:t>
            </w:r>
            <w:r w:rsidRPr="004C7B82">
              <w:rPr>
                <w:sz w:val="22"/>
                <w:szCs w:val="22"/>
              </w:rPr>
              <w:t>1. Administratīvais slogs profesionālajiem lietotājiem.</w:t>
            </w:r>
          </w:p>
          <w:p w:rsidRPr="004C7B82" w:rsidR="00C343E2" w:rsidP="00C343E2" w:rsidRDefault="00C343E2" w14:paraId="4BB2E880" w14:textId="77777777">
            <w:pPr>
              <w:pStyle w:val="naisc"/>
              <w:spacing w:before="0" w:after="0"/>
              <w:jc w:val="both"/>
              <w:rPr>
                <w:sz w:val="22"/>
                <w:szCs w:val="22"/>
              </w:rPr>
            </w:pPr>
            <w:r w:rsidRPr="004C7B82">
              <w:rPr>
                <w:sz w:val="22"/>
                <w:szCs w:val="22"/>
              </w:rPr>
              <w:t xml:space="preserve">Izvērtējot Noteikumus, secināts, ka administratīvais slogs, kas tiek radīts profesionālajiem lietotājiem, ir pārāk liels salīdzinājumā ar nelielo ieguvumu no reģistrēšanās profesionālo lietotāju </w:t>
            </w:r>
            <w:r w:rsidRPr="004C7B82">
              <w:rPr>
                <w:sz w:val="22"/>
                <w:szCs w:val="22"/>
              </w:rPr>
              <w:lastRenderedPageBreak/>
              <w:t xml:space="preserve">reģistrā, tādēļ profesionālajiem lietotājiem trūkst motivācijas kļūt par nesēju atlīdzības sistēmas dalībniekiem, kas noved pie tā, ka iespēja reģistrēties profesionālo lietotāju reģistrā netiek pietiekami plaši izmantota. </w:t>
            </w:r>
          </w:p>
          <w:p w:rsidRPr="00903684" w:rsidR="00C343E2" w:rsidP="00C343E2" w:rsidRDefault="00C343E2" w14:paraId="7CEF1C6C" w14:textId="298E6326">
            <w:pPr>
              <w:pStyle w:val="naisc"/>
              <w:spacing w:before="0" w:after="0"/>
              <w:jc w:val="both"/>
              <w:rPr>
                <w:sz w:val="22"/>
                <w:szCs w:val="22"/>
              </w:rPr>
            </w:pPr>
            <w:r w:rsidRPr="004C7B82">
              <w:rPr>
                <w:sz w:val="22"/>
                <w:szCs w:val="22"/>
              </w:rPr>
              <w:t>Lai šo slogu mazinātu, būtu jāveic izmaiņas profesionālo lietotāju atskaišu iesniegšanas kārtībā, nosakot retāku atskaišu iesniegšanas termiņu, t.i. reizi ceturksnī.</w:t>
            </w:r>
          </w:p>
        </w:tc>
        <w:tc>
          <w:tcPr>
            <w:tcW w:w="1221" w:type="pct"/>
            <w:tcBorders>
              <w:top w:val="single" w:color="000000" w:sz="6" w:space="0"/>
              <w:left w:val="single" w:color="000000" w:sz="6" w:space="0"/>
              <w:bottom w:val="single" w:color="000000" w:sz="6" w:space="0"/>
              <w:right w:val="single" w:color="000000" w:sz="6" w:space="0"/>
            </w:tcBorders>
          </w:tcPr>
          <w:p w:rsidRPr="004C7B82" w:rsidR="00C343E2" w:rsidP="00C343E2" w:rsidRDefault="00C343E2" w14:paraId="567E6AD1" w14:textId="77777777">
            <w:pPr>
              <w:jc w:val="both"/>
              <w:rPr>
                <w:sz w:val="22"/>
                <w:szCs w:val="22"/>
              </w:rPr>
            </w:pPr>
            <w:r>
              <w:rPr>
                <w:b/>
                <w:sz w:val="22"/>
                <w:szCs w:val="22"/>
              </w:rPr>
              <w:lastRenderedPageBreak/>
              <w:t xml:space="preserve">Ekonomikas </w:t>
            </w:r>
            <w:r w:rsidRPr="00E36116">
              <w:rPr>
                <w:b/>
                <w:sz w:val="22"/>
                <w:szCs w:val="22"/>
              </w:rPr>
              <w:t>ministrija</w:t>
            </w:r>
            <w:r>
              <w:rPr>
                <w:b/>
                <w:sz w:val="22"/>
                <w:szCs w:val="22"/>
              </w:rPr>
              <w:t>:</w:t>
            </w:r>
          </w:p>
          <w:p w:rsidR="00C343E2" w:rsidP="00C343E2" w:rsidRDefault="00C343E2" w14:paraId="7C224B19" w14:textId="4AD4AEBD">
            <w:pPr>
              <w:jc w:val="both"/>
              <w:rPr>
                <w:b/>
                <w:sz w:val="22"/>
                <w:szCs w:val="22"/>
              </w:rPr>
            </w:pPr>
            <w:r w:rsidRPr="004C7B82">
              <w:rPr>
                <w:bCs/>
                <w:sz w:val="22"/>
                <w:szCs w:val="22"/>
              </w:rPr>
              <w:t xml:space="preserve">Administratīvais slogs - Noteikumu projekta precizētajā anotācijā ir norādīts, ka pastāvošās atbrīvošanas no nodevas sistēmas radītais “administratīvais slogs profesionālajiem lietotājiem ir pārāk liels salīdzinājumā ar nelielo ieguvumu no reģistrēšanās profesionālo lietotāju reģistrā, tādēļ profesionālajiem lietotājiem trūkst motivācijas kļūt par nesēju atlīdzības sistēmas dalībniekiem, kas noved pie tā, ka iespēja reģistrēties profesionālo lietotāju reģistrā netiek pietiekami plaši izmantota”. Kā risinājums sloga mazināšanai, tiek minēta iespēja mainīt profesionālo lietotāju atskaišu iesniegšanas </w:t>
            </w:r>
            <w:r w:rsidRPr="004C7B82">
              <w:rPr>
                <w:bCs/>
                <w:sz w:val="22"/>
                <w:szCs w:val="22"/>
              </w:rPr>
              <w:lastRenderedPageBreak/>
              <w:t>kārtību, nosakot retāku atskaišu iesniegšanas termiņu – no ikmēneša atskaitēm uz reizi ceturksnī. Vienlaikus anotācijā nav sniegta papildus informācija par administratīvā sloga aprēķināšanas pieeju un aprēķinātā sloga apmēru bāzes situācijā un izmaiņu gadījumā. Papildus norādām, ka nav izskatīti citi alternatīvi risinājumi administratīvā sloga samazināšanai (piemēram, ikgadēja profesionāli lietotu datu nesēju deklarēšana bez komersanta reģistrēšanās lietotāju reģistrā) un pamatojums to neieviešanai. Lūdzam iekļaut anotācijā atbildi uz iebildumā identificētajam nepilnībām.</w:t>
            </w:r>
          </w:p>
        </w:tc>
        <w:tc>
          <w:tcPr>
            <w:tcW w:w="1116" w:type="pct"/>
            <w:tcBorders>
              <w:top w:val="single" w:color="000000" w:sz="6" w:space="0"/>
              <w:left w:val="single" w:color="000000" w:sz="6" w:space="0"/>
              <w:bottom w:val="single" w:color="000000" w:sz="6" w:space="0"/>
              <w:right w:val="single" w:color="000000" w:sz="6" w:space="0"/>
            </w:tcBorders>
          </w:tcPr>
          <w:p w:rsidRPr="002C4155" w:rsidR="00C343E2" w:rsidP="00C343E2" w:rsidRDefault="00C343E2" w14:paraId="4BBA8924" w14:textId="77777777">
            <w:pPr>
              <w:pStyle w:val="naisc"/>
              <w:spacing w:before="0" w:after="0"/>
              <w:ind w:firstLine="288"/>
              <w:rPr>
                <w:b/>
                <w:sz w:val="22"/>
                <w:szCs w:val="22"/>
                <w:lang w:eastAsia="en-US"/>
              </w:rPr>
            </w:pPr>
            <w:r>
              <w:rPr>
                <w:b/>
                <w:sz w:val="22"/>
                <w:szCs w:val="22"/>
                <w:lang w:eastAsia="en-US"/>
              </w:rPr>
              <w:lastRenderedPageBreak/>
              <w:t>Daļēji ņ</w:t>
            </w:r>
            <w:r w:rsidRPr="002C4155">
              <w:rPr>
                <w:b/>
                <w:sz w:val="22"/>
                <w:szCs w:val="22"/>
                <w:lang w:eastAsia="en-US"/>
              </w:rPr>
              <w:t>emts vērā</w:t>
            </w:r>
          </w:p>
          <w:p w:rsidR="00C343E2" w:rsidP="00C343E2" w:rsidRDefault="00C343E2" w14:paraId="7DFD6438" w14:textId="77777777">
            <w:pPr>
              <w:pStyle w:val="naisc"/>
              <w:spacing w:before="0" w:after="0"/>
              <w:ind w:firstLine="288"/>
              <w:jc w:val="both"/>
              <w:rPr>
                <w:bCs/>
                <w:sz w:val="22"/>
                <w:szCs w:val="22"/>
                <w:lang w:eastAsia="en-US"/>
              </w:rPr>
            </w:pPr>
            <w:r w:rsidRPr="002C4155">
              <w:rPr>
                <w:sz w:val="22"/>
                <w:szCs w:val="22"/>
              </w:rPr>
              <w:t xml:space="preserve">Ministru kabineta noteikumu </w:t>
            </w:r>
            <w:r w:rsidRPr="002C4155">
              <w:rPr>
                <w:bCs/>
                <w:sz w:val="22"/>
                <w:szCs w:val="22"/>
                <w:lang w:eastAsia="en-US"/>
              </w:rPr>
              <w:t xml:space="preserve">projekta anotācija papildināta ar informāciju par citu valstu profesionālo lietotāju sistēmām, kā arī Latvijā pastāvošās sistēmas aprakstu un </w:t>
            </w:r>
            <w:proofErr w:type="spellStart"/>
            <w:r w:rsidRPr="002C4155">
              <w:rPr>
                <w:bCs/>
                <w:sz w:val="22"/>
                <w:szCs w:val="22"/>
                <w:lang w:eastAsia="en-US"/>
              </w:rPr>
              <w:t>izvērtējumu</w:t>
            </w:r>
            <w:proofErr w:type="spellEnd"/>
            <w:r w:rsidRPr="002C4155">
              <w:rPr>
                <w:bCs/>
                <w:sz w:val="22"/>
                <w:szCs w:val="22"/>
                <w:lang w:eastAsia="en-US"/>
              </w:rPr>
              <w:t>. Nosakot atskaišu sniegšanas biežumu, jāņem vērā, ka tai jānodrošina funkcionējoša datu salīdzināšanas iespēja, tāpēc retāka atskaišu sniegšanas kārtība nebūtu pamatota.</w:t>
            </w:r>
          </w:p>
          <w:p w:rsidRPr="007C7FC2" w:rsidR="007C7FC2" w:rsidP="007C7FC2" w:rsidRDefault="007C7FC2" w14:paraId="4AA805A1" w14:textId="0DA01F1B">
            <w:pPr>
              <w:pStyle w:val="naisc"/>
              <w:spacing w:before="0" w:after="0"/>
              <w:ind w:firstLine="288"/>
              <w:jc w:val="both"/>
            </w:pPr>
            <w:r w:rsidRPr="007C7FC2">
              <w:t>Anotācija papildināta ar</w:t>
            </w:r>
            <w:r>
              <w:t xml:space="preserve"> </w:t>
            </w:r>
            <w:r w:rsidRPr="00AE7FF7">
              <w:rPr>
                <w:bCs/>
                <w:sz w:val="22"/>
                <w:szCs w:val="22"/>
              </w:rPr>
              <w:t>profesionāl</w:t>
            </w:r>
            <w:r>
              <w:rPr>
                <w:bCs/>
                <w:sz w:val="22"/>
                <w:szCs w:val="22"/>
              </w:rPr>
              <w:t>o</w:t>
            </w:r>
            <w:r w:rsidRPr="00AE7FF7">
              <w:rPr>
                <w:bCs/>
                <w:sz w:val="22"/>
                <w:szCs w:val="22"/>
              </w:rPr>
              <w:t xml:space="preserve"> lietotāju reģistra atskaišu sagatavošanas radītā administratīvā sloga </w:t>
            </w:r>
            <w:r>
              <w:rPr>
                <w:bCs/>
                <w:sz w:val="22"/>
                <w:szCs w:val="22"/>
              </w:rPr>
              <w:t xml:space="preserve">aprēķinu. </w:t>
            </w:r>
            <w:r w:rsidRPr="007C7FC2">
              <w:t xml:space="preserve"> </w:t>
            </w:r>
          </w:p>
        </w:tc>
        <w:tc>
          <w:tcPr>
            <w:tcW w:w="769" w:type="pct"/>
            <w:tcBorders>
              <w:top w:val="single" w:color="auto" w:sz="4" w:space="0"/>
              <w:left w:val="single" w:color="auto" w:sz="4" w:space="0"/>
              <w:bottom w:val="single" w:color="auto" w:sz="4" w:space="0"/>
              <w:right w:val="single" w:color="auto" w:sz="4" w:space="0"/>
            </w:tcBorders>
          </w:tcPr>
          <w:p w:rsidRPr="00AE7FF7" w:rsidR="00C343E2" w:rsidP="00C343E2" w:rsidRDefault="00C343E2" w14:paraId="0A0F3B01" w14:textId="77777777">
            <w:pPr>
              <w:jc w:val="both"/>
              <w:rPr>
                <w:b/>
                <w:sz w:val="22"/>
                <w:szCs w:val="22"/>
              </w:rPr>
            </w:pPr>
            <w:r w:rsidRPr="00AE7FF7">
              <w:rPr>
                <w:b/>
                <w:sz w:val="22"/>
                <w:szCs w:val="22"/>
              </w:rPr>
              <w:t>Ekonomikas ministrija:</w:t>
            </w:r>
          </w:p>
          <w:p w:rsidRPr="00AE7FF7" w:rsidR="00C343E2" w:rsidP="00C343E2" w:rsidRDefault="00C343E2" w14:paraId="2AECBB98" w14:textId="05574120">
            <w:pPr>
              <w:jc w:val="both"/>
              <w:rPr>
                <w:bCs/>
                <w:sz w:val="22"/>
                <w:szCs w:val="22"/>
              </w:rPr>
            </w:pPr>
            <w:r w:rsidRPr="00AE7FF7">
              <w:rPr>
                <w:bCs/>
                <w:sz w:val="22"/>
                <w:szCs w:val="22"/>
              </w:rPr>
              <w:t xml:space="preserve">3) Administratīvais slogs – Atzinumā ir sniegta detalizēta informācija par veikta citu valstu normatīvā regulējuma un Eiropas Savienības tiesas spriedumu analīzi nolūkā mazināt administratīvo slogu. Vienlaikus Ekonomikas ministrijas atzinumā tika pausts iebildums par informācijas nepieejamību par </w:t>
            </w:r>
            <w:r w:rsidRPr="00AE7FF7">
              <w:rPr>
                <w:bCs/>
                <w:sz w:val="22"/>
                <w:szCs w:val="22"/>
              </w:rPr>
              <w:lastRenderedPageBreak/>
              <w:t>profesionāla lietotāju reģistra atskaišu sagatavošanas radītā administratīvā sloga aprēķināšanas pieeju un aprēķinātā sloga apmēru (monetāru) bāzes scenārijā un izmaiņu gadījumā. Lūdzam papildināt grozījumu anotāciju ar minēto informāciju.</w:t>
            </w:r>
          </w:p>
        </w:tc>
        <w:tc>
          <w:tcPr>
            <w:tcW w:w="840" w:type="pct"/>
            <w:tcBorders>
              <w:top w:val="single" w:color="auto" w:sz="4" w:space="0"/>
              <w:left w:val="single" w:color="auto" w:sz="4" w:space="0"/>
              <w:bottom w:val="single" w:color="auto" w:sz="4" w:space="0"/>
              <w:right w:val="single" w:color="auto" w:sz="4" w:space="0"/>
            </w:tcBorders>
          </w:tcPr>
          <w:p w:rsidR="00C343E2" w:rsidP="00C343E2" w:rsidRDefault="00C343E2" w14:paraId="47F02D33" w14:textId="77777777">
            <w:pPr>
              <w:pStyle w:val="naisc"/>
              <w:spacing w:before="0" w:after="0"/>
              <w:jc w:val="both"/>
              <w:rPr>
                <w:sz w:val="22"/>
                <w:szCs w:val="22"/>
              </w:rPr>
            </w:pPr>
            <w:r w:rsidRPr="002C4155">
              <w:rPr>
                <w:sz w:val="22"/>
                <w:szCs w:val="22"/>
              </w:rPr>
              <w:lastRenderedPageBreak/>
              <w:t>Papildināts Ministru kabineta noteikumu projekta sākotnējās ietekmes novērtējuma ziņojuma (anotācijas) I sadaļas 2.punkts šādā redakcijā:</w:t>
            </w:r>
          </w:p>
          <w:p w:rsidRPr="002C4155" w:rsidR="00C343E2" w:rsidP="00C343E2" w:rsidRDefault="00C343E2" w14:paraId="6402E4ED" w14:textId="77777777">
            <w:pPr>
              <w:pStyle w:val="naisc"/>
              <w:spacing w:before="0" w:after="0"/>
              <w:jc w:val="both"/>
              <w:rPr>
                <w:sz w:val="22"/>
                <w:szCs w:val="22"/>
              </w:rPr>
            </w:pPr>
          </w:p>
          <w:p w:rsidRPr="002C4155" w:rsidR="00C343E2" w:rsidP="00C343E2" w:rsidRDefault="00C343E2" w14:paraId="5E154B69" w14:textId="77777777">
            <w:pPr>
              <w:pStyle w:val="naisc"/>
              <w:spacing w:before="0" w:after="0"/>
              <w:jc w:val="both"/>
              <w:rPr>
                <w:sz w:val="22"/>
                <w:szCs w:val="22"/>
              </w:rPr>
            </w:pPr>
            <w:r>
              <w:rPr>
                <w:sz w:val="22"/>
                <w:szCs w:val="22"/>
              </w:rPr>
              <w:t xml:space="preserve">“[..] </w:t>
            </w:r>
            <w:r w:rsidRPr="002C4155">
              <w:rPr>
                <w:sz w:val="22"/>
                <w:szCs w:val="22"/>
              </w:rPr>
              <w:t>1. Administratīvais slogs profesionālajiem lietotājiem.</w:t>
            </w:r>
          </w:p>
          <w:p w:rsidRPr="002C4155" w:rsidR="00C343E2" w:rsidP="00C343E2" w:rsidRDefault="00C343E2" w14:paraId="71FAE9E3" w14:textId="77777777">
            <w:pPr>
              <w:pStyle w:val="naisc"/>
              <w:spacing w:before="0" w:after="0"/>
              <w:jc w:val="both"/>
              <w:rPr>
                <w:sz w:val="22"/>
                <w:szCs w:val="22"/>
              </w:rPr>
            </w:pPr>
            <w:r w:rsidRPr="002C4155">
              <w:rPr>
                <w:sz w:val="22"/>
                <w:szCs w:val="22"/>
              </w:rPr>
              <w:t xml:space="preserve">Izvērtējot Noteikumus, secināts, ka administratīvais slogs, kas tiek radīts profesionālajiem lietotājiem, iespējams, ir pārāk liels salīdzinājumā ar nelielo </w:t>
            </w:r>
            <w:r w:rsidRPr="002C4155">
              <w:rPr>
                <w:sz w:val="22"/>
                <w:szCs w:val="22"/>
              </w:rPr>
              <w:lastRenderedPageBreak/>
              <w:t xml:space="preserve">ieguvumu no reģistrēšanās profesionālo lietotāju reģistrā, tādēļ profesionālajiem lietotājiem trūkst motivācijas kļūt par nesēju atlīdzības sistēmas dalībniekiem, kas noved pie tā, ka iespēja reģistrēties profesionālo lietotāju reģistrā netiek pietiekami plaši izmantota. </w:t>
            </w:r>
          </w:p>
          <w:p w:rsidRPr="002C4155" w:rsidR="00C343E2" w:rsidP="00C343E2" w:rsidRDefault="00C343E2" w14:paraId="41EB9523" w14:textId="77777777">
            <w:pPr>
              <w:pStyle w:val="naisc"/>
              <w:spacing w:before="0" w:after="0"/>
              <w:jc w:val="both"/>
              <w:rPr>
                <w:sz w:val="22"/>
                <w:szCs w:val="22"/>
              </w:rPr>
            </w:pPr>
            <w:r w:rsidRPr="002C4155">
              <w:rPr>
                <w:sz w:val="22"/>
                <w:szCs w:val="22"/>
              </w:rPr>
              <w:t xml:space="preserve">Lai noteiktu iespējas mazināt administratīvo slogu profesionālajiem lietotājiem, veikta citu valstu normatīvā regulējuma un Eiropas Savienības tiesas spriedumu analīze. </w:t>
            </w:r>
          </w:p>
          <w:p w:rsidRPr="002C4155" w:rsidR="00C343E2" w:rsidP="00C343E2" w:rsidRDefault="00C343E2" w14:paraId="05C53A4F" w14:textId="77777777">
            <w:pPr>
              <w:pStyle w:val="naisc"/>
              <w:spacing w:before="0" w:after="0"/>
              <w:jc w:val="both"/>
              <w:rPr>
                <w:sz w:val="22"/>
                <w:szCs w:val="22"/>
              </w:rPr>
            </w:pPr>
            <w:r w:rsidRPr="002C4155">
              <w:rPr>
                <w:sz w:val="22"/>
                <w:szCs w:val="22"/>
              </w:rPr>
              <w:t xml:space="preserve">Citu Eiropas Savienības dalībvalstu regulējuma izpētes rezultātā secināts, ka pastāv vairākas profesionālo lietotāju sistēmas: </w:t>
            </w:r>
          </w:p>
          <w:p w:rsidRPr="002C4155" w:rsidR="00C343E2" w:rsidP="00C343E2" w:rsidRDefault="00C343E2" w14:paraId="7A5A8CF6" w14:textId="77777777">
            <w:pPr>
              <w:pStyle w:val="naisc"/>
              <w:spacing w:before="0" w:after="0"/>
              <w:jc w:val="both"/>
              <w:rPr>
                <w:sz w:val="22"/>
                <w:szCs w:val="22"/>
              </w:rPr>
            </w:pPr>
            <w:r w:rsidRPr="002C4155">
              <w:rPr>
                <w:sz w:val="22"/>
                <w:szCs w:val="22"/>
              </w:rPr>
              <w:t xml:space="preserve">1) Itālijā, Spānijā, Nīderlandē, Dānijā, līdzīgi kā Latvijā, profesionālajiem lietotājiem ir pienākums reģistrēties. Papildus pienākumam reģistrēties </w:t>
            </w:r>
            <w:r w:rsidRPr="002C4155">
              <w:rPr>
                <w:sz w:val="22"/>
                <w:szCs w:val="22"/>
              </w:rPr>
              <w:lastRenderedPageBreak/>
              <w:t>var būt arī citi pienākumi (piemēram, iesniegt līgumu ar attiecīgās iekārtas vai nesēja faktiskajiem lietotājiem, kuros fiksēta saistība to neizmantot personīgām vajadzībām);</w:t>
            </w:r>
          </w:p>
          <w:p w:rsidRPr="002C4155" w:rsidR="00C343E2" w:rsidP="00C343E2" w:rsidRDefault="00C343E2" w14:paraId="7EDEB645" w14:textId="77777777">
            <w:pPr>
              <w:pStyle w:val="naisc"/>
              <w:spacing w:before="0" w:after="0"/>
              <w:jc w:val="both"/>
              <w:rPr>
                <w:sz w:val="22"/>
                <w:szCs w:val="22"/>
              </w:rPr>
            </w:pPr>
            <w:r w:rsidRPr="002C4155">
              <w:rPr>
                <w:sz w:val="22"/>
                <w:szCs w:val="22"/>
              </w:rPr>
              <w:t>2) Beļģijā un Francijā tiek slēgts līgums starp kolektīvā pārvaldījuma organizāciju un profesionālo lietotāju, profesionālajam lietotājam uzliekot pienākumu pierādīt nesēju un iekārtu profesionālo izlietojumu.  Papildus var būt arī citi pienākumi.</w:t>
            </w:r>
          </w:p>
          <w:p w:rsidRPr="002C4155" w:rsidR="00C343E2" w:rsidP="00C343E2" w:rsidRDefault="00C343E2" w14:paraId="41036D7A" w14:textId="77777777">
            <w:pPr>
              <w:pStyle w:val="naisc"/>
              <w:spacing w:before="0" w:after="0"/>
              <w:jc w:val="both"/>
              <w:rPr>
                <w:sz w:val="22"/>
                <w:szCs w:val="22"/>
              </w:rPr>
            </w:pPr>
            <w:r w:rsidRPr="002C4155">
              <w:rPr>
                <w:sz w:val="22"/>
                <w:szCs w:val="22"/>
              </w:rPr>
              <w:t xml:space="preserve">3) Austrijā, Slovēnijā, Portugālē, Lietuvā, Vācijā, Grieķijā atmaksa par profesionālo izlietojumu notiek tikai post </w:t>
            </w:r>
            <w:proofErr w:type="spellStart"/>
            <w:r w:rsidRPr="002C4155">
              <w:rPr>
                <w:sz w:val="22"/>
                <w:szCs w:val="22"/>
              </w:rPr>
              <w:t>factum</w:t>
            </w:r>
            <w:proofErr w:type="spellEnd"/>
            <w:r w:rsidRPr="002C4155">
              <w:rPr>
                <w:sz w:val="22"/>
                <w:szCs w:val="22"/>
              </w:rPr>
              <w:t xml:space="preserve">, profesionālajam lietotājam pierādot, ka izmantojums atbilst “profesionālam”. Pierādīšanas un atlīdzības atprasīšana tiek veikta par katru reizi atsevišķi.  </w:t>
            </w:r>
          </w:p>
          <w:p w:rsidRPr="002C4155" w:rsidR="00C343E2" w:rsidP="00C343E2" w:rsidRDefault="00C343E2" w14:paraId="3B8BB743" w14:textId="77777777">
            <w:pPr>
              <w:pStyle w:val="naisc"/>
              <w:spacing w:before="0" w:after="0"/>
              <w:jc w:val="both"/>
              <w:rPr>
                <w:sz w:val="22"/>
                <w:szCs w:val="22"/>
              </w:rPr>
            </w:pPr>
            <w:r w:rsidRPr="002C4155">
              <w:rPr>
                <w:sz w:val="22"/>
                <w:szCs w:val="22"/>
              </w:rPr>
              <w:lastRenderedPageBreak/>
              <w:t>4) Ungārijā pierādīšanas pienākums un atprasīšana tiek veikta katru reizi atsevišķi. Turklāt nesēja atlīdzības samaksas kontrole notiek, tai skaitā, ar IMEI numuru reģistrēšanu viedtālruņiem un hologrammām, savukārt profesionālajiem lietotājiem pie atmaksas ir jānodod atpakaļ hologrammas, tā pierādot, ka nesēja atlīdzība faktiski bija samaksāta.</w:t>
            </w:r>
          </w:p>
          <w:p w:rsidRPr="002C4155" w:rsidR="00C343E2" w:rsidP="00C343E2" w:rsidRDefault="00C343E2" w14:paraId="7A026C4A" w14:textId="77777777">
            <w:pPr>
              <w:pStyle w:val="naisc"/>
              <w:spacing w:before="0" w:after="0"/>
              <w:jc w:val="both"/>
              <w:rPr>
                <w:sz w:val="22"/>
                <w:szCs w:val="22"/>
              </w:rPr>
            </w:pPr>
            <w:r w:rsidRPr="002C4155">
              <w:rPr>
                <w:sz w:val="22"/>
                <w:szCs w:val="22"/>
              </w:rPr>
              <w:t xml:space="preserve">Tāpat jānorāda, ka pastāv arī valstis (Rumānijā, Polijā, Čehijā), kurās nepastāv izņēmums attiecībā uz profesionālajiem lietotājiem un atmaksa netiek veikta.  </w:t>
            </w:r>
          </w:p>
          <w:p w:rsidRPr="002C4155" w:rsidR="00C343E2" w:rsidP="00C343E2" w:rsidRDefault="00C343E2" w14:paraId="4A0142C0" w14:textId="77777777">
            <w:pPr>
              <w:pStyle w:val="naisc"/>
              <w:spacing w:before="0" w:after="0"/>
              <w:jc w:val="both"/>
              <w:rPr>
                <w:sz w:val="22"/>
                <w:szCs w:val="22"/>
              </w:rPr>
            </w:pPr>
            <w:r w:rsidRPr="002C4155">
              <w:rPr>
                <w:sz w:val="22"/>
                <w:szCs w:val="22"/>
              </w:rPr>
              <w:t xml:space="preserve">Izvērtējot Latvijas profesionālo lietotāju sistēmu, ņemtas vērā Eiropas Savienības Tiesas 2016.gada 22.septembra spriedumā lietā Nr. C-110/15 Nokia Italia/SIAE paustās atziņas, ka Itālijas tā laika sistēma, </w:t>
            </w:r>
            <w:r w:rsidRPr="002C4155">
              <w:rPr>
                <w:sz w:val="22"/>
                <w:szCs w:val="22"/>
              </w:rPr>
              <w:lastRenderedPageBreak/>
              <w:t>kas paredzēja līgumu slēgšanu starp kolektīvā pārvaldījuma organizācijām un tirdzniecības un ražotāju apvienībām, tika atzīta par neatbilstošu. Pēc šī sprieduma Itālijas profesionālo lietotāju sistēma tika aizstāta ar profesionālo lietotāju reģistrācijas sistēmu (līdzīgu Latvijas sistēmai).</w:t>
            </w:r>
          </w:p>
          <w:p w:rsidRPr="002C4155" w:rsidR="00C343E2" w:rsidP="00C343E2" w:rsidRDefault="00C343E2" w14:paraId="2D6AA0EF" w14:textId="77777777">
            <w:pPr>
              <w:pStyle w:val="naisc"/>
              <w:spacing w:before="0" w:after="0"/>
              <w:jc w:val="both"/>
              <w:rPr>
                <w:sz w:val="22"/>
                <w:szCs w:val="22"/>
              </w:rPr>
            </w:pPr>
            <w:r w:rsidRPr="002C4155">
              <w:rPr>
                <w:sz w:val="22"/>
                <w:szCs w:val="22"/>
              </w:rPr>
              <w:t xml:space="preserve">Latvijā ieviestā profesionālo lietotāju reģistrēšanās sistēma paredz divus pienākumus profesionālajiem lietotājiem: </w:t>
            </w:r>
          </w:p>
          <w:p w:rsidRPr="002C4155" w:rsidR="00C343E2" w:rsidP="00C343E2" w:rsidRDefault="00C343E2" w14:paraId="6EACBADA" w14:textId="77777777">
            <w:pPr>
              <w:pStyle w:val="naisc"/>
              <w:spacing w:before="0" w:after="0"/>
              <w:jc w:val="both"/>
              <w:rPr>
                <w:sz w:val="22"/>
                <w:szCs w:val="22"/>
              </w:rPr>
            </w:pPr>
            <w:r w:rsidRPr="002C4155">
              <w:rPr>
                <w:sz w:val="22"/>
                <w:szCs w:val="22"/>
              </w:rPr>
              <w:t xml:space="preserve">1) vienu reizi reģistrēties, nosūtot AKKA/LAA aizpildītu reģistrācijas veidlapu (pieejama: </w:t>
            </w:r>
            <w:hyperlink w:history="1" r:id="rId9">
              <w:r w:rsidRPr="00CE3C7D">
                <w:rPr>
                  <w:rStyle w:val="Hyperlink"/>
                  <w:sz w:val="22"/>
                  <w:szCs w:val="22"/>
                </w:rPr>
                <w:t>http://www.akka-laa.lv/lv/par-akka-laa/tukso-materialo-neseju-atlidziba/ievads-1/</w:t>
              </w:r>
            </w:hyperlink>
            <w:r>
              <w:rPr>
                <w:sz w:val="22"/>
                <w:szCs w:val="22"/>
              </w:rPr>
              <w:t xml:space="preserve"> </w:t>
            </w:r>
            <w:r w:rsidRPr="002C4155">
              <w:rPr>
                <w:sz w:val="22"/>
                <w:szCs w:val="22"/>
              </w:rPr>
              <w:t>);</w:t>
            </w:r>
          </w:p>
          <w:p w:rsidRPr="002C4155" w:rsidR="00C343E2" w:rsidP="00C343E2" w:rsidRDefault="00C343E2" w14:paraId="738928B7" w14:textId="77777777">
            <w:pPr>
              <w:pStyle w:val="naisc"/>
              <w:spacing w:before="0" w:after="0"/>
              <w:jc w:val="both"/>
              <w:rPr>
                <w:sz w:val="22"/>
                <w:szCs w:val="22"/>
              </w:rPr>
            </w:pPr>
            <w:r w:rsidRPr="002C4155">
              <w:rPr>
                <w:sz w:val="22"/>
                <w:szCs w:val="22"/>
              </w:rPr>
              <w:t xml:space="preserve">2) iesniegt AKKA/LAA atskaiti reizi mēnesī par izlietotajiem nesējiem un iekārtām (pieejama: </w:t>
            </w:r>
            <w:hyperlink w:history="1" r:id="rId10">
              <w:r w:rsidRPr="00CE3C7D">
                <w:rPr>
                  <w:rStyle w:val="Hyperlink"/>
                  <w:sz w:val="22"/>
                  <w:szCs w:val="22"/>
                </w:rPr>
                <w:t>http://www.akka-</w:t>
              </w:r>
              <w:r w:rsidRPr="00CE3C7D">
                <w:rPr>
                  <w:rStyle w:val="Hyperlink"/>
                  <w:sz w:val="22"/>
                  <w:szCs w:val="22"/>
                </w:rPr>
                <w:lastRenderedPageBreak/>
                <w:t>laa.lv/lv/par-akka-laa/tukso-materialo-neseju-atlidziba/ievads-1/</w:t>
              </w:r>
            </w:hyperlink>
            <w:r w:rsidRPr="002C4155">
              <w:rPr>
                <w:sz w:val="22"/>
                <w:szCs w:val="22"/>
              </w:rPr>
              <w:t xml:space="preserve">). Aizpildot atskaiti, jānorāda ievedējs vai izgatavotājs, no kā iekārta vai nesējs iegādāta, iekārtas vai nesēja veids, iegādātais skaits, izlietotais skaits (iekārtas tiek izlietotas vienu reizi, tās pirmo reizi nododot lietošanā) un izlietojuma atšifrējums. Atskaite tiek izmantota, lai profesionālo lietotāju datus salīdzinātu ar ievedēju un izgatavotāju sniegto atskaišu datiem. </w:t>
            </w:r>
          </w:p>
          <w:p w:rsidRPr="002C4155" w:rsidR="00C343E2" w:rsidP="00C343E2" w:rsidRDefault="00C343E2" w14:paraId="6FEBE77E" w14:textId="77777777">
            <w:pPr>
              <w:pStyle w:val="naisc"/>
              <w:spacing w:before="0" w:after="0"/>
              <w:jc w:val="both"/>
              <w:rPr>
                <w:sz w:val="22"/>
                <w:szCs w:val="22"/>
              </w:rPr>
            </w:pPr>
            <w:r w:rsidRPr="002C4155">
              <w:rPr>
                <w:sz w:val="22"/>
                <w:szCs w:val="22"/>
              </w:rPr>
              <w:t>Latvijas profesionālo lietotāju sistēma paredz, ka profesionālajam lietotājam nesēja atlīdzība netiek piemērota, ja tas ievedējam vai izgatavotājam norāda, ka ir profesionālais lietotājs. Savukārt ievedējs vai izgatavotājs nesēja atlīdzību par profesionālajiem lietotājiem var atgūt divos veidos:</w:t>
            </w:r>
          </w:p>
          <w:p w:rsidRPr="002C4155" w:rsidR="00C343E2" w:rsidP="00C343E2" w:rsidRDefault="00C343E2" w14:paraId="481CC615" w14:textId="77777777">
            <w:pPr>
              <w:pStyle w:val="naisc"/>
              <w:spacing w:before="0" w:after="0"/>
              <w:jc w:val="both"/>
              <w:rPr>
                <w:sz w:val="22"/>
                <w:szCs w:val="22"/>
              </w:rPr>
            </w:pPr>
            <w:r w:rsidRPr="002C4155">
              <w:rPr>
                <w:sz w:val="22"/>
                <w:szCs w:val="22"/>
              </w:rPr>
              <w:lastRenderedPageBreak/>
              <w:t>1) ja tas pārdod iekārtu vai nesēju tajā pašā mēnesī, kad to ieved vai izgatavo, nesēja atlīdzība netiek maksāta, jo atskaite AKKA/LAA tiek sniegta nākamajā mēnesī līdz 15.datumam;</w:t>
            </w:r>
          </w:p>
          <w:p w:rsidRPr="002C4155" w:rsidR="00C343E2" w:rsidP="00C343E2" w:rsidRDefault="00C343E2" w14:paraId="12E7F078" w14:textId="77777777">
            <w:pPr>
              <w:pStyle w:val="naisc"/>
              <w:spacing w:before="0" w:after="0"/>
              <w:jc w:val="both"/>
              <w:rPr>
                <w:sz w:val="22"/>
                <w:szCs w:val="22"/>
              </w:rPr>
            </w:pPr>
            <w:r w:rsidRPr="002C4155">
              <w:rPr>
                <w:sz w:val="22"/>
                <w:szCs w:val="22"/>
              </w:rPr>
              <w:t xml:space="preserve">2) ja tas pārdod iekārtu vai nesēju citā mēnesī nekā to ieved vai izgatavo, izgatavotājs vai ievedējs saņem atpakaļ no AKKA/LAA samaksāto nesēja atlīdzību. </w:t>
            </w:r>
          </w:p>
          <w:p w:rsidR="00C343E2" w:rsidP="00C343E2" w:rsidRDefault="00C343E2" w14:paraId="0584B511" w14:textId="77777777">
            <w:pPr>
              <w:pStyle w:val="naisc"/>
              <w:spacing w:before="0" w:after="0"/>
              <w:jc w:val="both"/>
              <w:rPr>
                <w:sz w:val="22"/>
                <w:szCs w:val="22"/>
              </w:rPr>
            </w:pPr>
            <w:r w:rsidRPr="002C4155">
              <w:rPr>
                <w:sz w:val="22"/>
                <w:szCs w:val="22"/>
              </w:rPr>
              <w:t xml:space="preserve">Atbilstoši iepriekš minētajam izvērtējamam secināts, ka profesionālajiem lietotājiem uzliktais administratīvais slogs ir neliels, un vienīgais veids, kā šo slogu varētu mazināt, ir, veicot izmaiņas profesionālo lietotāju atskaišu iesniegšanas kārtībā, nosakot retāku atskaišu iesniegšanas termiņu, t.i. reizi ceturksnī. Nosakot atskaišu sniegšanas biežumu, jāņem </w:t>
            </w:r>
            <w:r w:rsidRPr="005D4DBA">
              <w:rPr>
                <w:sz w:val="22"/>
                <w:szCs w:val="22"/>
              </w:rPr>
              <w:t xml:space="preserve">vērā, ka tai </w:t>
            </w:r>
            <w:r w:rsidRPr="005D4DBA">
              <w:rPr>
                <w:sz w:val="22"/>
                <w:szCs w:val="22"/>
              </w:rPr>
              <w:lastRenderedPageBreak/>
              <w:t>jānodrošina funkcionējoša datu salīdzināšanas iespēja, tāpēc retāka atskaišu sniegšanas kārtība nebūtu pamatota.</w:t>
            </w:r>
            <w:r w:rsidRPr="002C4155">
              <w:rPr>
                <w:sz w:val="22"/>
                <w:szCs w:val="22"/>
              </w:rPr>
              <w:t xml:space="preserve">    </w:t>
            </w:r>
          </w:p>
          <w:p w:rsidRPr="002C4155" w:rsidR="00A231A2" w:rsidP="00C343E2" w:rsidRDefault="00A231A2" w14:paraId="56E58258" w14:textId="2DB2923D">
            <w:pPr>
              <w:pStyle w:val="naisc"/>
              <w:spacing w:before="0" w:after="0"/>
              <w:jc w:val="both"/>
              <w:rPr>
                <w:sz w:val="22"/>
                <w:szCs w:val="22"/>
              </w:rPr>
            </w:pPr>
            <w:r w:rsidRPr="00A231A2">
              <w:rPr>
                <w:sz w:val="22"/>
                <w:szCs w:val="22"/>
              </w:rPr>
              <w:t xml:space="preserve">Profesionālo lietotāju reģistra atskaišu sagatavošanas radītā administratīvā sloga (monetārais) apmērs pašlaik ir apmēram 6,8 </w:t>
            </w:r>
            <w:proofErr w:type="spellStart"/>
            <w:r w:rsidRPr="00A231A2">
              <w:rPr>
                <w:sz w:val="22"/>
                <w:szCs w:val="22"/>
              </w:rPr>
              <w:t>euro</w:t>
            </w:r>
            <w:proofErr w:type="spellEnd"/>
            <w:r w:rsidRPr="00A231A2">
              <w:rPr>
                <w:sz w:val="22"/>
                <w:szCs w:val="22"/>
              </w:rPr>
              <w:t xml:space="preserve">/mēnesī jeb 81,6 </w:t>
            </w:r>
            <w:proofErr w:type="spellStart"/>
            <w:r w:rsidRPr="00A231A2">
              <w:rPr>
                <w:sz w:val="22"/>
                <w:szCs w:val="22"/>
              </w:rPr>
              <w:t>euro</w:t>
            </w:r>
            <w:proofErr w:type="spellEnd"/>
            <w:r w:rsidRPr="00A231A2">
              <w:rPr>
                <w:sz w:val="22"/>
                <w:szCs w:val="22"/>
              </w:rPr>
              <w:t xml:space="preserve">/gadā. Aprēķins veikts, pieņemot, ka ikmēneša atskaites sagatavošana vidēji aizņem vienu cilvēkstundu mēnesī, un ņemot vērā, ka vidējā mēneša bruto alga 2020.gadā bija 1100 </w:t>
            </w:r>
            <w:proofErr w:type="spellStart"/>
            <w:r w:rsidRPr="00A231A2">
              <w:rPr>
                <w:sz w:val="22"/>
                <w:szCs w:val="22"/>
              </w:rPr>
              <w:t>euro</w:t>
            </w:r>
            <w:proofErr w:type="spellEnd"/>
            <w:r w:rsidRPr="00A231A2">
              <w:rPr>
                <w:sz w:val="22"/>
                <w:szCs w:val="22"/>
              </w:rPr>
              <w:t xml:space="preserve">. Pēc grozījumiem profesionālo lietotāju reģistra atskaišu sniegšanas kārtībā (paredzot, ka atskaite jāsniedz reizi ceturksnī, nevis reizi mēnesī) administratīvā sloga apmērs samazināsies līdz 27,2 </w:t>
            </w:r>
            <w:proofErr w:type="spellStart"/>
            <w:r w:rsidRPr="00A231A2">
              <w:rPr>
                <w:sz w:val="22"/>
                <w:szCs w:val="22"/>
              </w:rPr>
              <w:t>euro</w:t>
            </w:r>
            <w:proofErr w:type="spellEnd"/>
            <w:r w:rsidRPr="00A231A2">
              <w:rPr>
                <w:sz w:val="22"/>
                <w:szCs w:val="22"/>
              </w:rPr>
              <w:t xml:space="preserve"> gadā.</w:t>
            </w:r>
            <w:r>
              <w:rPr>
                <w:sz w:val="22"/>
                <w:szCs w:val="22"/>
              </w:rPr>
              <w:t xml:space="preserve"> [..]</w:t>
            </w:r>
          </w:p>
        </w:tc>
      </w:tr>
      <w:tr w:rsidRPr="00E36116" w:rsidR="00C343E2" w:rsidTr="00E36116" w14:paraId="1B9ADE1D" w14:textId="77777777">
        <w:tc>
          <w:tcPr>
            <w:tcW w:w="191" w:type="pct"/>
            <w:tcBorders>
              <w:top w:val="single" w:color="000000" w:sz="6" w:space="0"/>
              <w:left w:val="single" w:color="000000" w:sz="6" w:space="0"/>
              <w:bottom w:val="single" w:color="000000" w:sz="6" w:space="0"/>
              <w:right w:val="single" w:color="000000" w:sz="6" w:space="0"/>
            </w:tcBorders>
          </w:tcPr>
          <w:p w:rsidRPr="00E36116" w:rsidR="00C343E2" w:rsidP="00C343E2" w:rsidRDefault="00C343E2" w14:paraId="7089D2AE" w14:textId="7FB7D8F8">
            <w:pPr>
              <w:pStyle w:val="naisc"/>
              <w:spacing w:before="0" w:after="0"/>
              <w:rPr>
                <w:sz w:val="22"/>
                <w:szCs w:val="22"/>
                <w:lang w:eastAsia="en-US"/>
              </w:rPr>
            </w:pPr>
            <w:r>
              <w:rPr>
                <w:sz w:val="22"/>
                <w:szCs w:val="22"/>
                <w:lang w:eastAsia="en-US"/>
              </w:rPr>
              <w:lastRenderedPageBreak/>
              <w:t>12</w:t>
            </w:r>
            <w:r w:rsidRPr="00E36116">
              <w:rPr>
                <w:sz w:val="22"/>
                <w:szCs w:val="22"/>
                <w:lang w:eastAsia="en-US"/>
              </w:rPr>
              <w:t>.</w:t>
            </w:r>
          </w:p>
        </w:tc>
        <w:tc>
          <w:tcPr>
            <w:tcW w:w="862" w:type="pct"/>
            <w:tcBorders>
              <w:top w:val="single" w:color="000000" w:sz="6" w:space="0"/>
              <w:left w:val="single" w:color="000000" w:sz="6" w:space="0"/>
              <w:bottom w:val="single" w:color="000000" w:sz="6" w:space="0"/>
              <w:right w:val="single" w:color="000000" w:sz="6" w:space="0"/>
            </w:tcBorders>
          </w:tcPr>
          <w:p w:rsidRPr="00793437" w:rsidR="00C343E2" w:rsidP="00C343E2" w:rsidRDefault="00C343E2" w14:paraId="44B1EBC3" w14:textId="31763672">
            <w:pPr>
              <w:pStyle w:val="naisc"/>
              <w:spacing w:before="0" w:after="0"/>
              <w:jc w:val="both"/>
              <w:rPr>
                <w:sz w:val="22"/>
                <w:szCs w:val="22"/>
              </w:rPr>
            </w:pPr>
            <w:r w:rsidRPr="00903684">
              <w:rPr>
                <w:sz w:val="22"/>
                <w:szCs w:val="22"/>
              </w:rPr>
              <w:t>Ministru kabineta noteikumu</w:t>
            </w:r>
            <w:r w:rsidRPr="00E36116">
              <w:rPr>
                <w:sz w:val="22"/>
                <w:szCs w:val="22"/>
              </w:rPr>
              <w:t xml:space="preserve"> </w:t>
            </w:r>
            <w:r>
              <w:rPr>
                <w:sz w:val="22"/>
                <w:szCs w:val="22"/>
              </w:rPr>
              <w:t>p</w:t>
            </w:r>
            <w:r w:rsidRPr="00E36116">
              <w:rPr>
                <w:sz w:val="22"/>
                <w:szCs w:val="22"/>
              </w:rPr>
              <w:t>rojekta sākotnējās ietekmes novērt</w:t>
            </w:r>
            <w:r w:rsidRPr="00793437">
              <w:rPr>
                <w:sz w:val="22"/>
                <w:szCs w:val="22"/>
              </w:rPr>
              <w:t xml:space="preserve">ējuma ziņojuma </w:t>
            </w:r>
            <w:r w:rsidRPr="00793437">
              <w:rPr>
                <w:sz w:val="22"/>
                <w:szCs w:val="22"/>
              </w:rPr>
              <w:lastRenderedPageBreak/>
              <w:t>(anotācijas) I sadaļas 2.punkts:</w:t>
            </w:r>
          </w:p>
          <w:p w:rsidR="00C343E2" w:rsidP="00C343E2" w:rsidRDefault="00C343E2" w14:paraId="4DC7CEF1" w14:textId="77777777">
            <w:pPr>
              <w:jc w:val="both"/>
              <w:rPr>
                <w:sz w:val="22"/>
                <w:szCs w:val="22"/>
              </w:rPr>
            </w:pPr>
          </w:p>
          <w:p w:rsidRPr="00793437" w:rsidR="00C343E2" w:rsidP="00C343E2" w:rsidRDefault="00C343E2" w14:paraId="7264638E" w14:textId="6794D7F7">
            <w:pPr>
              <w:jc w:val="both"/>
              <w:rPr>
                <w:sz w:val="22"/>
                <w:szCs w:val="22"/>
              </w:rPr>
            </w:pPr>
            <w:r w:rsidRPr="00E36116">
              <w:rPr>
                <w:sz w:val="22"/>
                <w:szCs w:val="22"/>
              </w:rPr>
              <w:t>„</w:t>
            </w:r>
            <w:r w:rsidRPr="00793437">
              <w:rPr>
                <w:sz w:val="22"/>
                <w:szCs w:val="22"/>
              </w:rPr>
              <w:t xml:space="preserve">[..] Visu veidu datoru cietajiem diskiem noteikta fiksēta atlīdzība 2,85 </w:t>
            </w:r>
            <w:proofErr w:type="spellStart"/>
            <w:r w:rsidRPr="00793437">
              <w:rPr>
                <w:i/>
                <w:sz w:val="22"/>
                <w:szCs w:val="22"/>
              </w:rPr>
              <w:t>euro</w:t>
            </w:r>
            <w:proofErr w:type="spellEnd"/>
            <w:r w:rsidRPr="00793437">
              <w:rPr>
                <w:sz w:val="22"/>
                <w:szCs w:val="22"/>
              </w:rPr>
              <w:t xml:space="preserve"> apmērā par vienību atbilstoši visu veidu personālajiem datoriem noteiktajam atlīdzības lielumam, ņemot vērā, ka datoru cietie diski varētu tikt komplektēti datorā (attiecīgi šajos gadījumos maksa par datoru nebūtu jāmaksā). Nosakot atlīdzību par viedtālruņiem 1,50 </w:t>
            </w:r>
            <w:proofErr w:type="spellStart"/>
            <w:r w:rsidRPr="00793437">
              <w:rPr>
                <w:i/>
                <w:iCs/>
                <w:sz w:val="22"/>
                <w:szCs w:val="22"/>
              </w:rPr>
              <w:t>euro</w:t>
            </w:r>
            <w:proofErr w:type="spellEnd"/>
            <w:r w:rsidRPr="00793437">
              <w:rPr>
                <w:i/>
                <w:iCs/>
                <w:sz w:val="22"/>
                <w:szCs w:val="22"/>
              </w:rPr>
              <w:t xml:space="preserve">, </w:t>
            </w:r>
            <w:r w:rsidRPr="003329AD">
              <w:rPr>
                <w:sz w:val="22"/>
                <w:szCs w:val="22"/>
              </w:rPr>
              <w:t xml:space="preserve">ņemts vērā, ka personālos datorus </w:t>
            </w:r>
            <w:proofErr w:type="spellStart"/>
            <w:r w:rsidRPr="003329AD">
              <w:rPr>
                <w:sz w:val="22"/>
                <w:szCs w:val="22"/>
              </w:rPr>
              <w:t>privātkopēšanai</w:t>
            </w:r>
            <w:proofErr w:type="spellEnd"/>
            <w:r w:rsidRPr="003329AD">
              <w:rPr>
                <w:sz w:val="22"/>
                <w:szCs w:val="22"/>
              </w:rPr>
              <w:t xml:space="preserve"> izmanto 85%, bet viedtālruņus – 32% (k</w:t>
            </w:r>
            <w:r w:rsidRPr="00E36116">
              <w:rPr>
                <w:sz w:val="22"/>
                <w:szCs w:val="22"/>
              </w:rPr>
              <w:t>as ir aptuveni divas reizes mazāk, līdz ar to atlīdzība nosakāma aptuveni uz pusi mazāka kā personālajiem datoriem)</w:t>
            </w:r>
            <w:r w:rsidRPr="00793437">
              <w:rPr>
                <w:sz w:val="22"/>
                <w:szCs w:val="22"/>
              </w:rPr>
              <w:t>.</w:t>
            </w:r>
            <w:r>
              <w:rPr>
                <w:sz w:val="22"/>
                <w:szCs w:val="22"/>
              </w:rPr>
              <w:t xml:space="preserve"> </w:t>
            </w:r>
            <w:r w:rsidRPr="00793437">
              <w:rPr>
                <w:sz w:val="22"/>
                <w:szCs w:val="22"/>
              </w:rPr>
              <w:t>[..]</w:t>
            </w:r>
            <w:r>
              <w:rPr>
                <w:sz w:val="22"/>
                <w:szCs w:val="22"/>
              </w:rPr>
              <w:t>”</w:t>
            </w:r>
          </w:p>
        </w:tc>
        <w:tc>
          <w:tcPr>
            <w:tcW w:w="1221" w:type="pct"/>
            <w:tcBorders>
              <w:top w:val="single" w:color="000000" w:sz="6" w:space="0"/>
              <w:left w:val="single" w:color="000000" w:sz="6" w:space="0"/>
              <w:bottom w:val="single" w:color="000000" w:sz="6" w:space="0"/>
              <w:right w:val="single" w:color="000000" w:sz="6" w:space="0"/>
            </w:tcBorders>
          </w:tcPr>
          <w:p w:rsidRPr="00793437" w:rsidR="00C343E2" w:rsidP="00C343E2" w:rsidRDefault="00C343E2" w14:paraId="24CFA916" w14:textId="51209181">
            <w:pPr>
              <w:pStyle w:val="naiskr"/>
              <w:spacing w:before="0" w:after="0"/>
              <w:jc w:val="both"/>
              <w:rPr>
                <w:rFonts w:eastAsia="Calibri"/>
                <w:b/>
                <w:bCs/>
                <w:sz w:val="22"/>
                <w:szCs w:val="22"/>
                <w:shd w:val="clear" w:color="auto" w:fill="FFFFFF"/>
              </w:rPr>
            </w:pPr>
            <w:r w:rsidRPr="00793437">
              <w:rPr>
                <w:rFonts w:eastAsia="Calibri"/>
                <w:b/>
                <w:bCs/>
                <w:sz w:val="22"/>
                <w:szCs w:val="22"/>
                <w:shd w:val="clear" w:color="auto" w:fill="FFFFFF"/>
              </w:rPr>
              <w:lastRenderedPageBreak/>
              <w:t>LTRK, LETERA, LIKTA, LIA</w:t>
            </w:r>
            <w:r>
              <w:rPr>
                <w:rFonts w:eastAsia="Calibri"/>
                <w:b/>
                <w:bCs/>
                <w:sz w:val="22"/>
                <w:szCs w:val="22"/>
                <w:shd w:val="clear" w:color="auto" w:fill="FFFFFF"/>
              </w:rPr>
              <w:t>:</w:t>
            </w:r>
          </w:p>
          <w:p w:rsidRPr="00793437" w:rsidR="00C343E2" w:rsidP="00C343E2" w:rsidRDefault="00C343E2" w14:paraId="018FF38A" w14:textId="4C3606D7">
            <w:pPr>
              <w:pStyle w:val="naiskr"/>
              <w:spacing w:before="0" w:after="0"/>
              <w:jc w:val="both"/>
              <w:rPr>
                <w:sz w:val="22"/>
                <w:szCs w:val="22"/>
              </w:rPr>
            </w:pPr>
            <w:r w:rsidRPr="00793437">
              <w:rPr>
                <w:rFonts w:eastAsia="Calibri"/>
                <w:sz w:val="22"/>
                <w:szCs w:val="22"/>
                <w:shd w:val="clear" w:color="auto" w:fill="FFFFFF"/>
              </w:rPr>
              <w:t xml:space="preserve">Iebilst pret </w:t>
            </w:r>
            <w:r w:rsidRPr="00793437">
              <w:rPr>
                <w:sz w:val="22"/>
                <w:szCs w:val="22"/>
                <w:shd w:val="clear" w:color="auto" w:fill="FFFFFF"/>
              </w:rPr>
              <w:t>atlīdzības par viedtālruņiem aprēķināšanu. [..]</w:t>
            </w:r>
            <w:r w:rsidRPr="00793437">
              <w:rPr>
                <w:sz w:val="22"/>
                <w:szCs w:val="22"/>
              </w:rPr>
              <w:t xml:space="preserve"> </w:t>
            </w:r>
          </w:p>
          <w:p w:rsidRPr="00E36116" w:rsidR="00C343E2" w:rsidP="00C343E2" w:rsidRDefault="00C343E2" w14:paraId="104C32A7" w14:textId="34E20A05">
            <w:pPr>
              <w:jc w:val="both"/>
              <w:rPr>
                <w:sz w:val="22"/>
                <w:szCs w:val="22"/>
              </w:rPr>
            </w:pPr>
            <w:r w:rsidRPr="00793437">
              <w:rPr>
                <w:sz w:val="22"/>
                <w:szCs w:val="22"/>
              </w:rPr>
              <w:lastRenderedPageBreak/>
              <w:t xml:space="preserve">Norādām, ka, izmantojot Kultūras ministrijas metodiku – noteikt maksu viedtālruņiem tādā pašā proporcijā attiecībā pret maksu datoriem, kāda ir starp datoru lietošanu un viedtālruņu lietošanu, kopumā ir saprotama, bet aprēķins veikts nepareizi. Attiecībā starp 85% un 32% (rādītājs, kas neatbilst reālai situācijai, ņemot vērā 2019.gada Pētījuma rezultātus) ir 85/32=2,65. Piemērojot šo rezultātu – 2,65 – kā attiecību starp maksu par datoriem (2,85 </w:t>
            </w:r>
            <w:proofErr w:type="spellStart"/>
            <w:r w:rsidRPr="003329AD">
              <w:rPr>
                <w:i/>
                <w:iCs/>
                <w:sz w:val="22"/>
                <w:szCs w:val="22"/>
              </w:rPr>
              <w:t>euro</w:t>
            </w:r>
            <w:proofErr w:type="spellEnd"/>
            <w:r w:rsidRPr="003329AD">
              <w:rPr>
                <w:sz w:val="22"/>
                <w:szCs w:val="22"/>
              </w:rPr>
              <w:t xml:space="preserve">) un maksu par viedtālruņiem (x </w:t>
            </w:r>
            <w:proofErr w:type="spellStart"/>
            <w:r w:rsidRPr="003329AD">
              <w:rPr>
                <w:i/>
                <w:iCs/>
                <w:sz w:val="22"/>
                <w:szCs w:val="22"/>
              </w:rPr>
              <w:t>euro</w:t>
            </w:r>
            <w:proofErr w:type="spellEnd"/>
            <w:r w:rsidRPr="003329AD">
              <w:rPr>
                <w:sz w:val="22"/>
                <w:szCs w:val="22"/>
              </w:rPr>
              <w:t xml:space="preserve">) – 2,85/x=2,65, varam aprēķināt maksu par viedtālruņiem: x=2,85/2,65≈1,08 </w:t>
            </w:r>
            <w:proofErr w:type="spellStart"/>
            <w:r w:rsidRPr="003329AD">
              <w:rPr>
                <w:i/>
                <w:iCs/>
                <w:sz w:val="22"/>
                <w:szCs w:val="22"/>
              </w:rPr>
              <w:t>euro</w:t>
            </w:r>
            <w:proofErr w:type="spellEnd"/>
            <w:r w:rsidRPr="003329AD">
              <w:rPr>
                <w:sz w:val="22"/>
                <w:szCs w:val="22"/>
              </w:rPr>
              <w:t>. Savukārt, izmantojot</w:t>
            </w:r>
            <w:r w:rsidRPr="00E36116">
              <w:rPr>
                <w:sz w:val="22"/>
                <w:szCs w:val="22"/>
              </w:rPr>
              <w:t xml:space="preserve"> maksimālo 2019.gada Pētījumā viedtālruņu izmantošanas rādītāju kopēšanai un kopiju glabāšanai – 10,8%, maksas par viedtālruņiem apmērs ir 2,85/(85/10,8)≈0,36 </w:t>
            </w:r>
            <w:proofErr w:type="spellStart"/>
            <w:r w:rsidRPr="00E36116">
              <w:rPr>
                <w:i/>
                <w:iCs/>
                <w:sz w:val="22"/>
                <w:szCs w:val="22"/>
              </w:rPr>
              <w:t>euro</w:t>
            </w:r>
            <w:proofErr w:type="spellEnd"/>
            <w:r w:rsidRPr="00E36116">
              <w:rPr>
                <w:sz w:val="22"/>
                <w:szCs w:val="22"/>
              </w:rPr>
              <w:t xml:space="preserve">. </w:t>
            </w:r>
          </w:p>
        </w:tc>
        <w:tc>
          <w:tcPr>
            <w:tcW w:w="1116" w:type="pct"/>
            <w:tcBorders>
              <w:top w:val="single" w:color="000000" w:sz="6" w:space="0"/>
              <w:left w:val="single" w:color="000000" w:sz="6" w:space="0"/>
              <w:bottom w:val="single" w:color="000000" w:sz="6" w:space="0"/>
              <w:right w:val="single" w:color="000000" w:sz="6" w:space="0"/>
            </w:tcBorders>
          </w:tcPr>
          <w:p w:rsidRPr="00E36116" w:rsidR="00C343E2" w:rsidP="00C343E2" w:rsidRDefault="00C343E2" w14:paraId="5EE90D55" w14:textId="542E1065">
            <w:pPr>
              <w:pStyle w:val="naisc"/>
              <w:spacing w:before="0" w:after="0"/>
              <w:ind w:firstLine="288"/>
              <w:rPr>
                <w:b/>
                <w:sz w:val="22"/>
                <w:szCs w:val="22"/>
                <w:lang w:eastAsia="en-US"/>
              </w:rPr>
            </w:pPr>
            <w:r w:rsidRPr="00E36116">
              <w:rPr>
                <w:b/>
                <w:sz w:val="22"/>
                <w:szCs w:val="22"/>
                <w:lang w:eastAsia="en-US"/>
              </w:rPr>
              <w:lastRenderedPageBreak/>
              <w:t>Nav ņemts vērā</w:t>
            </w:r>
          </w:p>
          <w:p w:rsidRPr="00E36116" w:rsidR="00C343E2" w:rsidP="00C343E2" w:rsidRDefault="00C343E2" w14:paraId="1435A938" w14:textId="0637E197">
            <w:pPr>
              <w:pStyle w:val="naisc"/>
              <w:spacing w:before="0" w:after="0"/>
              <w:jc w:val="both"/>
              <w:rPr>
                <w:bCs/>
                <w:sz w:val="22"/>
                <w:szCs w:val="22"/>
                <w:lang w:eastAsia="en-US"/>
              </w:rPr>
            </w:pPr>
            <w:r w:rsidRPr="00E36116">
              <w:rPr>
                <w:bCs/>
                <w:sz w:val="22"/>
                <w:szCs w:val="22"/>
                <w:lang w:eastAsia="en-US"/>
              </w:rPr>
              <w:t xml:space="preserve">Atlīdzības aprēķins iekļauts </w:t>
            </w:r>
            <w:r>
              <w:rPr>
                <w:sz w:val="22"/>
                <w:szCs w:val="22"/>
              </w:rPr>
              <w:t xml:space="preserve">Ministru kabineta noteikumu </w:t>
            </w:r>
            <w:r>
              <w:rPr>
                <w:bCs/>
                <w:sz w:val="22"/>
                <w:szCs w:val="22"/>
                <w:lang w:eastAsia="en-US"/>
              </w:rPr>
              <w:t>p</w:t>
            </w:r>
            <w:r w:rsidRPr="00E36116">
              <w:rPr>
                <w:bCs/>
                <w:sz w:val="22"/>
                <w:szCs w:val="22"/>
                <w:lang w:eastAsia="en-US"/>
              </w:rPr>
              <w:t xml:space="preserve">rojekta anotācijā. Atlīdzības </w:t>
            </w:r>
            <w:r w:rsidRPr="00E36116">
              <w:rPr>
                <w:bCs/>
                <w:sz w:val="22"/>
                <w:szCs w:val="22"/>
                <w:lang w:eastAsia="en-US"/>
              </w:rPr>
              <w:lastRenderedPageBreak/>
              <w:t xml:space="preserve">likmes noteikšanai viedtālruņiem papildus veikts arī citu Eiropas Savienības dalībvalstu un citu valstu regulējuma attiecībā uz viedtālruņu atlīdzības lielumu </w:t>
            </w:r>
            <w:proofErr w:type="spellStart"/>
            <w:r w:rsidRPr="00E36116">
              <w:rPr>
                <w:bCs/>
                <w:sz w:val="22"/>
                <w:szCs w:val="22"/>
                <w:lang w:eastAsia="en-US"/>
              </w:rPr>
              <w:t>izvērtējums</w:t>
            </w:r>
            <w:proofErr w:type="spellEnd"/>
            <w:r w:rsidRPr="00E36116">
              <w:rPr>
                <w:bCs/>
                <w:sz w:val="22"/>
                <w:szCs w:val="22"/>
                <w:lang w:eastAsia="en-US"/>
              </w:rPr>
              <w:t>. Līdz ar to, nosakot atlīdzību par viedtālruņiem, ņemti vērā vairāki apstākļi, nevis tikai attiecība pret personālo datoru cenu un izmantošanas biežumu.</w:t>
            </w:r>
          </w:p>
          <w:p w:rsidRPr="00793437" w:rsidR="00C343E2" w:rsidP="00C343E2" w:rsidRDefault="00C343E2" w14:paraId="563FF214" w14:textId="69C4F4E2">
            <w:pPr>
              <w:pStyle w:val="naisc"/>
              <w:spacing w:before="0" w:after="0"/>
              <w:jc w:val="both"/>
              <w:rPr>
                <w:bCs/>
                <w:sz w:val="22"/>
                <w:szCs w:val="22"/>
                <w:lang w:eastAsia="en-US"/>
              </w:rPr>
            </w:pPr>
            <w:r w:rsidRPr="00E36116">
              <w:rPr>
                <w:bCs/>
                <w:sz w:val="22"/>
                <w:szCs w:val="22"/>
                <w:lang w:eastAsia="en-US"/>
              </w:rPr>
              <w:t xml:space="preserve">Iebildums nav ņemts vērā, jo nav balstīt uz saraksta izvērtēšanā </w:t>
            </w:r>
            <w:r w:rsidRPr="00793437">
              <w:rPr>
                <w:bCs/>
                <w:sz w:val="22"/>
                <w:szCs w:val="22"/>
                <w:lang w:eastAsia="en-US"/>
              </w:rPr>
              <w:t>piemērotajiem kritērijiem.</w:t>
            </w:r>
          </w:p>
        </w:tc>
        <w:tc>
          <w:tcPr>
            <w:tcW w:w="769" w:type="pct"/>
            <w:tcBorders>
              <w:top w:val="single" w:color="auto" w:sz="4" w:space="0"/>
              <w:left w:val="single" w:color="auto" w:sz="4" w:space="0"/>
              <w:bottom w:val="single" w:color="auto" w:sz="4" w:space="0"/>
              <w:right w:val="single" w:color="auto" w:sz="4" w:space="0"/>
            </w:tcBorders>
          </w:tcPr>
          <w:p w:rsidR="00C343E2" w:rsidP="00C343E2" w:rsidRDefault="00C343E2" w14:paraId="220DA9B0" w14:textId="77777777">
            <w:pPr>
              <w:rPr>
                <w:sz w:val="22"/>
                <w:szCs w:val="22"/>
                <w:lang w:eastAsia="en-US"/>
              </w:rPr>
            </w:pPr>
            <w:r w:rsidRPr="00736354">
              <w:rPr>
                <w:b/>
                <w:bCs/>
                <w:sz w:val="22"/>
                <w:szCs w:val="22"/>
                <w:lang w:eastAsia="en-US"/>
              </w:rPr>
              <w:lastRenderedPageBreak/>
              <w:t>LIKTA</w:t>
            </w:r>
            <w:r>
              <w:rPr>
                <w:b/>
                <w:bCs/>
                <w:sz w:val="22"/>
                <w:szCs w:val="22"/>
                <w:lang w:eastAsia="en-US"/>
              </w:rPr>
              <w:t>, LIA:</w:t>
            </w:r>
          </w:p>
          <w:p w:rsidR="00C343E2" w:rsidP="00C343E2" w:rsidRDefault="00C343E2" w14:paraId="01338934" w14:textId="77777777">
            <w:pPr>
              <w:pStyle w:val="naisc"/>
              <w:spacing w:before="0" w:after="0"/>
              <w:jc w:val="both"/>
              <w:rPr>
                <w:sz w:val="22"/>
                <w:szCs w:val="22"/>
                <w:lang w:eastAsia="en-US"/>
              </w:rPr>
            </w:pPr>
            <w:r>
              <w:rPr>
                <w:sz w:val="22"/>
                <w:szCs w:val="22"/>
                <w:lang w:eastAsia="en-US"/>
              </w:rPr>
              <w:t>U</w:t>
            </w:r>
            <w:r w:rsidRPr="00736354">
              <w:rPr>
                <w:sz w:val="22"/>
                <w:szCs w:val="22"/>
                <w:lang w:eastAsia="en-US"/>
              </w:rPr>
              <w:t xml:space="preserve">ztur iepriekš izteiktos iebildumus </w:t>
            </w:r>
            <w:r w:rsidRPr="00736354">
              <w:rPr>
                <w:sz w:val="22"/>
                <w:szCs w:val="22"/>
                <w:lang w:eastAsia="en-US"/>
              </w:rPr>
              <w:lastRenderedPageBreak/>
              <w:t>un neatbalsta Projekta tālāku virzību.</w:t>
            </w:r>
          </w:p>
          <w:p w:rsidRPr="00793437" w:rsidR="00C343E2" w:rsidP="00C343E2" w:rsidRDefault="00C343E2" w14:paraId="6E36D90E" w14:textId="77777777">
            <w:pPr>
              <w:pStyle w:val="naisc"/>
              <w:spacing w:before="0" w:after="0"/>
              <w:jc w:val="both"/>
              <w:rPr>
                <w:sz w:val="22"/>
                <w:szCs w:val="22"/>
              </w:rPr>
            </w:pPr>
          </w:p>
        </w:tc>
        <w:tc>
          <w:tcPr>
            <w:tcW w:w="840" w:type="pct"/>
            <w:tcBorders>
              <w:top w:val="single" w:color="auto" w:sz="4" w:space="0"/>
              <w:left w:val="single" w:color="auto" w:sz="4" w:space="0"/>
              <w:bottom w:val="single" w:color="auto" w:sz="4" w:space="0"/>
              <w:right w:val="single" w:color="auto" w:sz="4" w:space="0"/>
            </w:tcBorders>
          </w:tcPr>
          <w:p w:rsidRPr="00504F9E" w:rsidR="00C343E2" w:rsidP="00C343E2" w:rsidRDefault="00C343E2" w14:paraId="291BE428" w14:textId="28D60ABD">
            <w:pPr>
              <w:pStyle w:val="naisc"/>
              <w:spacing w:before="0" w:after="0"/>
              <w:jc w:val="both"/>
              <w:rPr>
                <w:sz w:val="22"/>
                <w:szCs w:val="22"/>
              </w:rPr>
            </w:pPr>
            <w:r w:rsidRPr="00903684">
              <w:rPr>
                <w:sz w:val="22"/>
                <w:szCs w:val="22"/>
              </w:rPr>
              <w:lastRenderedPageBreak/>
              <w:t>Ministru kabineta noteikumu</w:t>
            </w:r>
            <w:r w:rsidRPr="00E36116">
              <w:rPr>
                <w:sz w:val="22"/>
                <w:szCs w:val="22"/>
              </w:rPr>
              <w:t xml:space="preserve"> </w:t>
            </w:r>
            <w:r>
              <w:rPr>
                <w:sz w:val="22"/>
                <w:szCs w:val="22"/>
              </w:rPr>
              <w:t>p</w:t>
            </w:r>
            <w:r w:rsidRPr="00E36116">
              <w:rPr>
                <w:sz w:val="22"/>
                <w:szCs w:val="22"/>
              </w:rPr>
              <w:t>rojekta sākotnējās ietekmes novērt</w:t>
            </w:r>
            <w:r w:rsidRPr="00504F9E">
              <w:rPr>
                <w:sz w:val="22"/>
                <w:szCs w:val="22"/>
              </w:rPr>
              <w:t xml:space="preserve">ējuma ziņojuma </w:t>
            </w:r>
            <w:r w:rsidRPr="00504F9E">
              <w:rPr>
                <w:sz w:val="22"/>
                <w:szCs w:val="22"/>
              </w:rPr>
              <w:lastRenderedPageBreak/>
              <w:t>(anotācijas) I sadaļas 2.punkts</w:t>
            </w:r>
            <w:r>
              <w:rPr>
                <w:sz w:val="22"/>
                <w:szCs w:val="22"/>
              </w:rPr>
              <w:t xml:space="preserve"> precizēts šādā redakcijā</w:t>
            </w:r>
            <w:r w:rsidRPr="00504F9E">
              <w:rPr>
                <w:sz w:val="22"/>
                <w:szCs w:val="22"/>
              </w:rPr>
              <w:t>:</w:t>
            </w:r>
          </w:p>
          <w:p w:rsidR="00C343E2" w:rsidP="00C343E2" w:rsidRDefault="00C343E2" w14:paraId="7F1CD0C8" w14:textId="77777777">
            <w:pPr>
              <w:jc w:val="both"/>
              <w:rPr>
                <w:sz w:val="22"/>
                <w:szCs w:val="22"/>
              </w:rPr>
            </w:pPr>
          </w:p>
          <w:p w:rsidRPr="00793437" w:rsidR="00C343E2" w:rsidP="00C343E2" w:rsidRDefault="00C343E2" w14:paraId="4931EE96" w14:textId="1DE79FA0">
            <w:pPr>
              <w:jc w:val="both"/>
              <w:rPr>
                <w:sz w:val="22"/>
                <w:szCs w:val="22"/>
                <w:lang w:eastAsia="en-US"/>
              </w:rPr>
            </w:pPr>
            <w:r w:rsidRPr="00E36116">
              <w:rPr>
                <w:sz w:val="22"/>
                <w:szCs w:val="22"/>
              </w:rPr>
              <w:t>„</w:t>
            </w:r>
            <w:r w:rsidRPr="00504F9E">
              <w:rPr>
                <w:sz w:val="22"/>
                <w:szCs w:val="22"/>
              </w:rPr>
              <w:t xml:space="preserve">[..] </w:t>
            </w:r>
            <w:r w:rsidRPr="00793437">
              <w:rPr>
                <w:sz w:val="22"/>
                <w:szCs w:val="22"/>
                <w:lang w:eastAsia="en-US"/>
              </w:rPr>
              <w:t xml:space="preserve">Visu veidu datoru cietajiem diskiem noteikta fiksēta atlīdzība 2,85 </w:t>
            </w:r>
            <w:proofErr w:type="spellStart"/>
            <w:r w:rsidRPr="00793437">
              <w:rPr>
                <w:i/>
                <w:iCs/>
                <w:sz w:val="22"/>
                <w:szCs w:val="22"/>
                <w:lang w:eastAsia="en-US"/>
              </w:rPr>
              <w:t>euro</w:t>
            </w:r>
            <w:proofErr w:type="spellEnd"/>
            <w:r w:rsidRPr="00793437">
              <w:rPr>
                <w:sz w:val="22"/>
                <w:szCs w:val="22"/>
                <w:lang w:eastAsia="en-US"/>
              </w:rPr>
              <w:t xml:space="preserve"> apmērā par vienību atbilstoši visu veidu personālajiem datoriem noteiktajam atlīdzības lielumam, ņemot vērā, ka datoru cietie diski varētu tikt komplektēti datorā (attiecīgi šajos gadījumos maksa par datoru nebūtu jāmaksā). Nosakot atlīdzību par viedtālruņiem 1,50 </w:t>
            </w:r>
            <w:proofErr w:type="spellStart"/>
            <w:r w:rsidRPr="00793437">
              <w:rPr>
                <w:i/>
                <w:iCs/>
                <w:sz w:val="22"/>
                <w:szCs w:val="22"/>
                <w:lang w:eastAsia="en-US"/>
              </w:rPr>
              <w:t>euro</w:t>
            </w:r>
            <w:proofErr w:type="spellEnd"/>
            <w:r w:rsidRPr="00793437">
              <w:rPr>
                <w:sz w:val="22"/>
                <w:szCs w:val="22"/>
                <w:lang w:eastAsia="en-US"/>
              </w:rPr>
              <w:t xml:space="preserve">, ņemts vērā, ka personālos datorus </w:t>
            </w:r>
            <w:proofErr w:type="spellStart"/>
            <w:r w:rsidRPr="00793437">
              <w:rPr>
                <w:sz w:val="22"/>
                <w:szCs w:val="22"/>
                <w:lang w:eastAsia="en-US"/>
              </w:rPr>
              <w:t>privātkopēšanai</w:t>
            </w:r>
            <w:proofErr w:type="spellEnd"/>
            <w:r w:rsidRPr="00793437">
              <w:rPr>
                <w:sz w:val="22"/>
                <w:szCs w:val="22"/>
                <w:lang w:eastAsia="en-US"/>
              </w:rPr>
              <w:t xml:space="preserve"> izmanto 85%, bet viedtālruņus – 32% (kas ir aptuveni divas reizes mazāk, līdz ar to atlīdzība nosakāma aptuveni uz pusi mazāka kā personālajiem datoriem), kā arī vidējais atlīdzības lielums par viedtālruni citās valstīs, kas ir 3,79 </w:t>
            </w:r>
            <w:proofErr w:type="spellStart"/>
            <w:r w:rsidRPr="00793437">
              <w:rPr>
                <w:i/>
                <w:iCs/>
                <w:sz w:val="22"/>
                <w:szCs w:val="22"/>
                <w:lang w:eastAsia="en-US"/>
              </w:rPr>
              <w:t>euro</w:t>
            </w:r>
            <w:proofErr w:type="spellEnd"/>
            <w:r w:rsidRPr="00793437">
              <w:rPr>
                <w:sz w:val="22"/>
                <w:szCs w:val="22"/>
                <w:lang w:eastAsia="en-US"/>
              </w:rPr>
              <w:t>.</w:t>
            </w:r>
            <w:r>
              <w:rPr>
                <w:sz w:val="22"/>
                <w:szCs w:val="22"/>
                <w:lang w:eastAsia="en-US"/>
              </w:rPr>
              <w:t xml:space="preserve"> </w:t>
            </w:r>
            <w:r w:rsidRPr="00793437">
              <w:rPr>
                <w:sz w:val="22"/>
                <w:szCs w:val="22"/>
              </w:rPr>
              <w:t>[..]</w:t>
            </w:r>
            <w:r>
              <w:rPr>
                <w:sz w:val="22"/>
                <w:szCs w:val="22"/>
              </w:rPr>
              <w:t>”</w:t>
            </w:r>
          </w:p>
        </w:tc>
      </w:tr>
    </w:tbl>
    <w:p w:rsidR="009719B1" w:rsidP="00E36116" w:rsidRDefault="009719B1" w14:paraId="4B1C0EFB" w14:textId="0D4F31B1">
      <w:pPr>
        <w:ind w:left="57" w:right="57"/>
        <w:contextualSpacing/>
        <w:mirrorIndents/>
        <w:rPr>
          <w:b/>
          <w:bCs/>
          <w:sz w:val="22"/>
          <w:szCs w:val="22"/>
        </w:rPr>
      </w:pPr>
    </w:p>
    <w:p w:rsidRPr="00E36116" w:rsidR="00BB3B4E" w:rsidP="00E36116" w:rsidRDefault="00BB3B4E" w14:paraId="32321BFB" w14:textId="77777777">
      <w:pPr>
        <w:ind w:left="57" w:right="57"/>
        <w:contextualSpacing/>
        <w:mirrorIndents/>
        <w:rPr>
          <w:b/>
          <w:bCs/>
          <w:sz w:val="22"/>
          <w:szCs w:val="22"/>
        </w:rPr>
      </w:pPr>
    </w:p>
    <w:p w:rsidRPr="00E36116" w:rsidR="00C01E51" w:rsidP="00E36116" w:rsidRDefault="00734AC4" w14:paraId="771C9EF0" w14:textId="747F1A2C">
      <w:pPr>
        <w:ind w:left="57" w:right="57"/>
        <w:contextualSpacing/>
        <w:mirrorIndents/>
        <w:rPr>
          <w:sz w:val="22"/>
          <w:szCs w:val="22"/>
        </w:rPr>
      </w:pPr>
      <w:r w:rsidRPr="00E36116">
        <w:rPr>
          <w:b/>
          <w:bCs/>
          <w:sz w:val="22"/>
          <w:szCs w:val="22"/>
        </w:rPr>
        <w:lastRenderedPageBreak/>
        <w:t xml:space="preserve">Informācija par </w:t>
      </w:r>
      <w:proofErr w:type="spellStart"/>
      <w:r w:rsidRPr="00E36116">
        <w:rPr>
          <w:b/>
          <w:bCs/>
          <w:sz w:val="22"/>
          <w:szCs w:val="22"/>
        </w:rPr>
        <w:t>starpministriju</w:t>
      </w:r>
      <w:proofErr w:type="spellEnd"/>
      <w:r w:rsidRPr="00E36116">
        <w:rPr>
          <w:b/>
          <w:bCs/>
          <w:sz w:val="22"/>
          <w:szCs w:val="22"/>
        </w:rPr>
        <w:t xml:space="preserve"> (starpinstitūciju) sanāksmi vai elektronisko saskaņošanu</w:t>
      </w:r>
      <w:r w:rsidRPr="00E36116">
        <w:rPr>
          <w:sz w:val="22"/>
          <w:szCs w:val="22"/>
        </w:rPr>
        <w:t> </w:t>
      </w:r>
    </w:p>
    <w:p w:rsidRPr="00793437" w:rsidR="00D724E9" w:rsidP="00E36116" w:rsidRDefault="00D724E9" w14:paraId="200A4FC1" w14:textId="77777777">
      <w:pPr>
        <w:ind w:left="57" w:right="57"/>
        <w:contextualSpacing/>
        <w:mirrorIndents/>
        <w:rPr>
          <w:sz w:val="22"/>
          <w:szCs w:val="22"/>
        </w:rPr>
      </w:pPr>
    </w:p>
    <w:tbl>
      <w:tblPr>
        <w:tblW w:w="14207" w:type="dxa"/>
        <w:tblLook w:val="00A0" w:firstRow="1" w:lastRow="0" w:firstColumn="1" w:lastColumn="0" w:noHBand="0" w:noVBand="0"/>
      </w:tblPr>
      <w:tblGrid>
        <w:gridCol w:w="14207"/>
      </w:tblGrid>
      <w:tr w:rsidRPr="00E36116" w:rsidR="00F64DE4" w:rsidTr="00F64DE4" w14:paraId="5BE4AC2F" w14:textId="77777777">
        <w:tc>
          <w:tcPr>
            <w:tcW w:w="14207" w:type="dxa"/>
            <w:hideMark/>
          </w:tcPr>
          <w:tbl>
            <w:tblPr>
              <w:tblW w:w="13707" w:type="dxa"/>
              <w:tblLook w:val="00A0" w:firstRow="1" w:lastRow="0" w:firstColumn="1" w:lastColumn="0" w:noHBand="0" w:noVBand="0"/>
            </w:tblPr>
            <w:tblGrid>
              <w:gridCol w:w="6487"/>
              <w:gridCol w:w="1651"/>
              <w:gridCol w:w="5569"/>
            </w:tblGrid>
            <w:tr w:rsidRPr="00E36116" w:rsidR="00F64DE4" w:rsidTr="00593EA2" w14:paraId="4EC8938A" w14:textId="77777777">
              <w:tc>
                <w:tcPr>
                  <w:tcW w:w="6487" w:type="dxa"/>
                  <w:hideMark/>
                </w:tcPr>
                <w:p w:rsidRPr="00793437" w:rsidR="00C01E51" w:rsidP="00793437" w:rsidRDefault="00776962" w14:paraId="46A26E9D" w14:textId="77777777">
                  <w:pPr>
                    <w:pStyle w:val="naisf"/>
                    <w:spacing w:before="0" w:after="0"/>
                    <w:ind w:firstLine="0"/>
                    <w:rPr>
                      <w:sz w:val="22"/>
                      <w:szCs w:val="22"/>
                      <w:lang w:eastAsia="en-US"/>
                    </w:rPr>
                  </w:pPr>
                  <w:r w:rsidRPr="00793437">
                    <w:rPr>
                      <w:sz w:val="22"/>
                      <w:szCs w:val="22"/>
                      <w:lang w:eastAsia="en-US"/>
                    </w:rPr>
                    <w:t>Datums</w:t>
                  </w:r>
                </w:p>
              </w:tc>
              <w:tc>
                <w:tcPr>
                  <w:tcW w:w="7220" w:type="dxa"/>
                  <w:gridSpan w:val="2"/>
                  <w:tcBorders>
                    <w:top w:val="nil"/>
                    <w:left w:val="nil"/>
                    <w:bottom w:val="single" w:color="auto" w:sz="4" w:space="0"/>
                    <w:right w:val="nil"/>
                  </w:tcBorders>
                  <w:hideMark/>
                </w:tcPr>
                <w:p w:rsidRPr="00E36116" w:rsidR="00C01E51" w:rsidP="00793437" w:rsidRDefault="00CA182C" w14:paraId="607A4C28" w14:textId="4FFD7C48">
                  <w:pPr>
                    <w:pStyle w:val="NormalWeb"/>
                    <w:spacing w:before="0" w:beforeAutospacing="0" w:after="0" w:afterAutospacing="0"/>
                    <w:rPr>
                      <w:sz w:val="22"/>
                      <w:szCs w:val="22"/>
                      <w:lang w:eastAsia="en-US"/>
                    </w:rPr>
                  </w:pPr>
                  <w:r w:rsidRPr="00793437">
                    <w:rPr>
                      <w:sz w:val="22"/>
                      <w:szCs w:val="22"/>
                      <w:lang w:eastAsia="en-US"/>
                    </w:rPr>
                    <w:t>20</w:t>
                  </w:r>
                  <w:r w:rsidRPr="00793437" w:rsidR="004147E7">
                    <w:rPr>
                      <w:sz w:val="22"/>
                      <w:szCs w:val="22"/>
                      <w:lang w:eastAsia="en-US"/>
                    </w:rPr>
                    <w:t>2</w:t>
                  </w:r>
                  <w:r w:rsidRPr="00793437" w:rsidR="00221F99">
                    <w:rPr>
                      <w:sz w:val="22"/>
                      <w:szCs w:val="22"/>
                      <w:lang w:eastAsia="en-US"/>
                    </w:rPr>
                    <w:t>1</w:t>
                  </w:r>
                  <w:r w:rsidRPr="00793437">
                    <w:rPr>
                      <w:sz w:val="22"/>
                      <w:szCs w:val="22"/>
                      <w:lang w:eastAsia="en-US"/>
                    </w:rPr>
                    <w:t>.</w:t>
                  </w:r>
                  <w:r w:rsidRPr="00793437" w:rsidR="00C44AF6">
                    <w:rPr>
                      <w:sz w:val="22"/>
                      <w:szCs w:val="22"/>
                      <w:lang w:eastAsia="en-US"/>
                    </w:rPr>
                    <w:t xml:space="preserve">gada </w:t>
                  </w:r>
                  <w:r w:rsidR="00502A26">
                    <w:rPr>
                      <w:sz w:val="22"/>
                      <w:szCs w:val="22"/>
                      <w:lang w:eastAsia="en-US"/>
                    </w:rPr>
                    <w:t>1</w:t>
                  </w:r>
                  <w:r w:rsidR="00DB40C1">
                    <w:rPr>
                      <w:sz w:val="22"/>
                      <w:szCs w:val="22"/>
                      <w:lang w:eastAsia="en-US"/>
                    </w:rPr>
                    <w:t>3</w:t>
                  </w:r>
                  <w:r w:rsidRPr="00793437" w:rsidR="0078536D">
                    <w:rPr>
                      <w:sz w:val="22"/>
                      <w:szCs w:val="22"/>
                      <w:lang w:eastAsia="en-US"/>
                    </w:rPr>
                    <w:t>.</w:t>
                  </w:r>
                  <w:r w:rsidRPr="00793437" w:rsidR="00221F99">
                    <w:rPr>
                      <w:sz w:val="22"/>
                      <w:szCs w:val="22"/>
                      <w:lang w:eastAsia="en-US"/>
                    </w:rPr>
                    <w:t>janvārī</w:t>
                  </w:r>
                  <w:r w:rsidR="004E013C">
                    <w:rPr>
                      <w:sz w:val="22"/>
                      <w:szCs w:val="22"/>
                      <w:lang w:eastAsia="en-US"/>
                    </w:rPr>
                    <w:t xml:space="preserve">, </w:t>
                  </w:r>
                  <w:r w:rsidR="004A11DC">
                    <w:rPr>
                      <w:sz w:val="22"/>
                      <w:szCs w:val="22"/>
                      <w:lang w:eastAsia="en-US"/>
                    </w:rPr>
                    <w:t xml:space="preserve">2021.gada </w:t>
                  </w:r>
                  <w:r w:rsidR="004E013C">
                    <w:rPr>
                      <w:sz w:val="22"/>
                      <w:szCs w:val="22"/>
                      <w:lang w:eastAsia="en-US"/>
                    </w:rPr>
                    <w:t>2</w:t>
                  </w:r>
                  <w:r w:rsidR="004A11DC">
                    <w:rPr>
                      <w:sz w:val="22"/>
                      <w:szCs w:val="22"/>
                      <w:lang w:eastAsia="en-US"/>
                    </w:rPr>
                    <w:t>7</w:t>
                  </w:r>
                  <w:r w:rsidR="004E013C">
                    <w:rPr>
                      <w:sz w:val="22"/>
                      <w:szCs w:val="22"/>
                      <w:lang w:eastAsia="en-US"/>
                    </w:rPr>
                    <w:t>.janvārī</w:t>
                  </w:r>
                  <w:r w:rsidRPr="00E36116" w:rsidR="00634F75">
                    <w:rPr>
                      <w:sz w:val="22"/>
                      <w:szCs w:val="22"/>
                      <w:lang w:eastAsia="en-US"/>
                    </w:rPr>
                    <w:t xml:space="preserve"> </w:t>
                  </w:r>
                </w:p>
              </w:tc>
            </w:tr>
            <w:tr w:rsidRPr="00E36116" w:rsidR="00F64DE4" w:rsidTr="00593EA2" w14:paraId="35510DE2" w14:textId="77777777">
              <w:tc>
                <w:tcPr>
                  <w:tcW w:w="6487" w:type="dxa"/>
                </w:tcPr>
                <w:p w:rsidRPr="00E36116" w:rsidR="00C01E51" w:rsidP="00E36116" w:rsidRDefault="00C01E51" w14:paraId="7FD0FC61" w14:textId="77777777">
                  <w:pPr>
                    <w:pStyle w:val="naisf"/>
                    <w:spacing w:before="0" w:after="0"/>
                    <w:rPr>
                      <w:sz w:val="22"/>
                      <w:szCs w:val="22"/>
                      <w:lang w:eastAsia="en-US"/>
                    </w:rPr>
                  </w:pPr>
                </w:p>
              </w:tc>
              <w:tc>
                <w:tcPr>
                  <w:tcW w:w="7220" w:type="dxa"/>
                  <w:gridSpan w:val="2"/>
                  <w:tcBorders>
                    <w:top w:val="single" w:color="auto" w:sz="4" w:space="0"/>
                    <w:left w:val="nil"/>
                    <w:bottom w:val="nil"/>
                    <w:right w:val="nil"/>
                  </w:tcBorders>
                </w:tcPr>
                <w:p w:rsidRPr="00E36116" w:rsidR="00C01E51" w:rsidP="00E36116" w:rsidRDefault="00C01E51" w14:paraId="0F6F20FC" w14:textId="77777777">
                  <w:pPr>
                    <w:pStyle w:val="NormalWeb"/>
                    <w:spacing w:before="0" w:beforeAutospacing="0" w:after="0" w:afterAutospacing="0"/>
                    <w:ind w:firstLine="720"/>
                    <w:rPr>
                      <w:sz w:val="22"/>
                      <w:szCs w:val="22"/>
                      <w:lang w:eastAsia="en-US"/>
                    </w:rPr>
                  </w:pPr>
                </w:p>
              </w:tc>
            </w:tr>
            <w:tr w:rsidRPr="00E36116" w:rsidR="00F64DE4" w:rsidTr="000D4259" w14:paraId="6A5325FB" w14:textId="77777777">
              <w:tc>
                <w:tcPr>
                  <w:tcW w:w="6487" w:type="dxa"/>
                  <w:hideMark/>
                </w:tcPr>
                <w:p w:rsidRPr="00E36116" w:rsidR="00C01E51" w:rsidP="00E36116" w:rsidRDefault="00F64DE4" w14:paraId="018E62A2" w14:textId="77777777">
                  <w:pPr>
                    <w:pStyle w:val="naiskr"/>
                    <w:spacing w:before="0" w:after="0"/>
                    <w:rPr>
                      <w:sz w:val="22"/>
                      <w:szCs w:val="22"/>
                      <w:lang w:eastAsia="en-US"/>
                    </w:rPr>
                  </w:pPr>
                  <w:r w:rsidRPr="00E36116">
                    <w:rPr>
                      <w:sz w:val="22"/>
                      <w:szCs w:val="22"/>
                      <w:lang w:eastAsia="en-US"/>
                    </w:rPr>
                    <w:t>Saskaņošanas dalībnieki</w:t>
                  </w:r>
                </w:p>
              </w:tc>
              <w:tc>
                <w:tcPr>
                  <w:tcW w:w="7220" w:type="dxa"/>
                  <w:gridSpan w:val="2"/>
                  <w:tcBorders>
                    <w:top w:val="nil"/>
                    <w:left w:val="nil"/>
                    <w:bottom w:val="single" w:color="auto" w:sz="4" w:space="0"/>
                    <w:right w:val="nil"/>
                  </w:tcBorders>
                  <w:hideMark/>
                </w:tcPr>
                <w:p w:rsidRPr="00E36116" w:rsidR="00C01E51" w:rsidP="00E36116" w:rsidRDefault="000B3953" w14:paraId="4E6A97EC" w14:textId="5DB77376">
                  <w:pPr>
                    <w:pStyle w:val="NormalWeb"/>
                    <w:spacing w:before="0" w:beforeAutospacing="0" w:after="0" w:afterAutospacing="0"/>
                    <w:jc w:val="both"/>
                    <w:rPr>
                      <w:sz w:val="22"/>
                      <w:szCs w:val="22"/>
                      <w:lang w:eastAsia="en-US"/>
                    </w:rPr>
                  </w:pPr>
                  <w:r w:rsidRPr="00793437">
                    <w:rPr>
                      <w:sz w:val="22"/>
                      <w:szCs w:val="22"/>
                      <w:lang w:eastAsia="en-US"/>
                    </w:rPr>
                    <w:t xml:space="preserve">Tieslietu ministrija, </w:t>
                  </w:r>
                  <w:r w:rsidRPr="00793437" w:rsidR="00395D63">
                    <w:rPr>
                      <w:sz w:val="22"/>
                      <w:szCs w:val="22"/>
                      <w:lang w:eastAsia="en-US"/>
                    </w:rPr>
                    <w:t>Finanšu ministrija</w:t>
                  </w:r>
                  <w:r w:rsidRPr="00793437" w:rsidR="00F20A96">
                    <w:rPr>
                      <w:sz w:val="22"/>
                      <w:szCs w:val="22"/>
                      <w:lang w:eastAsia="en-US"/>
                    </w:rPr>
                    <w:t>,</w:t>
                  </w:r>
                  <w:r w:rsidRPr="00793437" w:rsidR="00395D63">
                    <w:rPr>
                      <w:sz w:val="22"/>
                      <w:szCs w:val="22"/>
                      <w:lang w:eastAsia="en-US"/>
                    </w:rPr>
                    <w:t xml:space="preserve"> </w:t>
                  </w:r>
                  <w:r w:rsidRPr="00793437" w:rsidR="004147E7">
                    <w:rPr>
                      <w:sz w:val="22"/>
                      <w:szCs w:val="22"/>
                      <w:lang w:eastAsia="en-US"/>
                    </w:rPr>
                    <w:t>Ekonomikas</w:t>
                  </w:r>
                  <w:r w:rsidRPr="00793437" w:rsidR="00F26906">
                    <w:rPr>
                      <w:sz w:val="22"/>
                      <w:szCs w:val="22"/>
                      <w:lang w:eastAsia="en-US"/>
                    </w:rPr>
                    <w:t xml:space="preserve"> ministrija, </w:t>
                  </w:r>
                  <w:r w:rsidRPr="00793437" w:rsidR="004147E7">
                    <w:rPr>
                      <w:sz w:val="22"/>
                      <w:szCs w:val="22"/>
                      <w:lang w:eastAsia="en-US"/>
                    </w:rPr>
                    <w:t xml:space="preserve">Vides </w:t>
                  </w:r>
                  <w:r w:rsidRPr="003329AD" w:rsidR="004147E7">
                    <w:rPr>
                      <w:sz w:val="22"/>
                      <w:szCs w:val="22"/>
                      <w:lang w:eastAsia="en-US"/>
                    </w:rPr>
                    <w:t>aizsardzības un reģionālās attīstības ministrija, Latvijas Darba devēju konfederācija</w:t>
                  </w:r>
                  <w:r w:rsidRPr="00E36116" w:rsidR="00221F99">
                    <w:rPr>
                      <w:sz w:val="22"/>
                      <w:szCs w:val="22"/>
                      <w:lang w:eastAsia="en-US"/>
                    </w:rPr>
                    <w:t xml:space="preserve"> (turpmāk – LDDK) Latvijas Tirdzniecības un rūpniecības kamera (turpmāk – LTRK), Latvijas elektrotehnikas un elektronikas rūpniecības asociācija (turpmāk – LETERA), Latvijas Informācijas un Komunikācijas Tehnoloģijas Asociācija (turpmāk – LIKTA), “Latvijas Interneta asociācija” (turpmāk – LIA), </w:t>
                  </w:r>
                  <w:r w:rsidRPr="00E36116" w:rsidR="00292497">
                    <w:rPr>
                      <w:sz w:val="22"/>
                      <w:szCs w:val="22"/>
                      <w:lang w:eastAsia="en-US"/>
                    </w:rPr>
                    <w:t xml:space="preserve">Latvijas datortehnoloģiju asociācija (turpmāk – LDTA), </w:t>
                  </w:r>
                  <w:r w:rsidRPr="00E36116" w:rsidR="00221F99">
                    <w:rPr>
                      <w:sz w:val="22"/>
                      <w:szCs w:val="22"/>
                      <w:lang w:eastAsia="en-US"/>
                    </w:rPr>
                    <w:t xml:space="preserve">biedrība “Autortiesību un komunicēšanās konsultāciju aģentūra/ Latvijas Autoru apvienība”, </w:t>
                  </w:r>
                  <w:r w:rsidRPr="00E36116" w:rsidR="00221F99">
                    <w:rPr>
                      <w:sz w:val="22"/>
                      <w:szCs w:val="22"/>
                    </w:rPr>
                    <w:t>b</w:t>
                  </w:r>
                  <w:r w:rsidRPr="00E36116" w:rsidR="00221F99">
                    <w:rPr>
                      <w:color w:val="000000" w:themeColor="text1"/>
                      <w:sz w:val="22"/>
                      <w:szCs w:val="22"/>
                    </w:rPr>
                    <w:t>iedrība “Latvijas Izpildītāju un producentu apvienība”, b</w:t>
                  </w:r>
                  <w:r w:rsidRPr="00E36116" w:rsidR="00221F99">
                    <w:rPr>
                      <w:sz w:val="22"/>
                      <w:szCs w:val="22"/>
                    </w:rPr>
                    <w:t>iedrība “</w:t>
                  </w:r>
                  <w:proofErr w:type="spellStart"/>
                  <w:r w:rsidRPr="00E36116" w:rsidR="00221F99">
                    <w:rPr>
                      <w:sz w:val="22"/>
                      <w:szCs w:val="22"/>
                    </w:rPr>
                    <w:t>Pašnodarbināto</w:t>
                  </w:r>
                  <w:proofErr w:type="spellEnd"/>
                  <w:r w:rsidRPr="00E36116" w:rsidR="00221F99">
                    <w:rPr>
                      <w:sz w:val="22"/>
                      <w:szCs w:val="22"/>
                    </w:rPr>
                    <w:t xml:space="preserve"> mūziķu biedrība”.</w:t>
                  </w:r>
                </w:p>
              </w:tc>
            </w:tr>
            <w:tr w:rsidRPr="00E36116" w:rsidR="00F64DE4" w:rsidTr="000D4259" w14:paraId="6BD5714D" w14:textId="77777777">
              <w:trPr>
                <w:trHeight w:val="208"/>
              </w:trPr>
              <w:tc>
                <w:tcPr>
                  <w:tcW w:w="6487" w:type="dxa"/>
                </w:tcPr>
                <w:p w:rsidRPr="00E36116" w:rsidR="00C01E51" w:rsidP="00E36116" w:rsidRDefault="00C01E51" w14:paraId="12E4ED0C" w14:textId="77777777">
                  <w:pPr>
                    <w:pStyle w:val="naiskr"/>
                    <w:spacing w:before="0" w:after="0"/>
                    <w:rPr>
                      <w:sz w:val="22"/>
                      <w:szCs w:val="22"/>
                      <w:lang w:eastAsia="en-US"/>
                    </w:rPr>
                  </w:pPr>
                </w:p>
              </w:tc>
              <w:tc>
                <w:tcPr>
                  <w:tcW w:w="1651" w:type="dxa"/>
                </w:tcPr>
                <w:p w:rsidRPr="00E36116" w:rsidR="00C01E51" w:rsidP="00E36116" w:rsidRDefault="00C01E51" w14:paraId="7366972F" w14:textId="77777777">
                  <w:pPr>
                    <w:pStyle w:val="naiskr"/>
                    <w:spacing w:before="0" w:after="0"/>
                    <w:ind w:firstLine="720"/>
                    <w:rPr>
                      <w:sz w:val="22"/>
                      <w:szCs w:val="22"/>
                      <w:lang w:eastAsia="en-US"/>
                    </w:rPr>
                  </w:pPr>
                </w:p>
              </w:tc>
              <w:tc>
                <w:tcPr>
                  <w:tcW w:w="5569" w:type="dxa"/>
                </w:tcPr>
                <w:p w:rsidRPr="00E36116" w:rsidR="00C01E51" w:rsidP="00E36116" w:rsidRDefault="00C01E51" w14:paraId="41C2DE42" w14:textId="77777777">
                  <w:pPr>
                    <w:pStyle w:val="naiskr"/>
                    <w:spacing w:before="0" w:after="0"/>
                    <w:ind w:firstLine="12"/>
                    <w:rPr>
                      <w:sz w:val="22"/>
                      <w:szCs w:val="22"/>
                      <w:lang w:eastAsia="en-US"/>
                    </w:rPr>
                  </w:pPr>
                </w:p>
              </w:tc>
            </w:tr>
            <w:tr w:rsidRPr="00E36116" w:rsidR="00F64DE4" w:rsidTr="000D4259" w14:paraId="0A449B00" w14:textId="77777777">
              <w:trPr>
                <w:trHeight w:val="461"/>
              </w:trPr>
              <w:tc>
                <w:tcPr>
                  <w:tcW w:w="6487" w:type="dxa"/>
                  <w:hideMark/>
                </w:tcPr>
                <w:p w:rsidRPr="00E36116" w:rsidR="00C01E51" w:rsidP="00E36116" w:rsidRDefault="00F64DE4" w14:paraId="76688351" w14:textId="77777777">
                  <w:pPr>
                    <w:pStyle w:val="naiskr"/>
                    <w:spacing w:before="0" w:after="0"/>
                    <w:ind w:right="500"/>
                    <w:rPr>
                      <w:sz w:val="22"/>
                      <w:szCs w:val="22"/>
                      <w:lang w:eastAsia="en-US"/>
                    </w:rPr>
                  </w:pPr>
                  <w:r w:rsidRPr="00E36116">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793437" w:rsidR="00C01E51" w:rsidP="00E36116" w:rsidRDefault="000B3953" w14:paraId="2282AD71" w14:textId="0F199393">
                  <w:pPr>
                    <w:pStyle w:val="naiskr"/>
                    <w:spacing w:before="0" w:after="0"/>
                    <w:ind w:right="500"/>
                    <w:jc w:val="both"/>
                    <w:rPr>
                      <w:sz w:val="22"/>
                      <w:szCs w:val="22"/>
                      <w:lang w:eastAsia="en-US"/>
                    </w:rPr>
                  </w:pPr>
                  <w:r w:rsidRPr="00793437">
                    <w:rPr>
                      <w:sz w:val="22"/>
                      <w:szCs w:val="22"/>
                      <w:lang w:eastAsia="en-US"/>
                    </w:rPr>
                    <w:t>Tieslietu ministrijas</w:t>
                  </w:r>
                  <w:r w:rsidRPr="00793437" w:rsidR="00CA182C">
                    <w:rPr>
                      <w:sz w:val="22"/>
                      <w:szCs w:val="22"/>
                      <w:lang w:eastAsia="en-US"/>
                    </w:rPr>
                    <w:t>,</w:t>
                  </w:r>
                  <w:r w:rsidRPr="00793437" w:rsidR="004E013C">
                    <w:rPr>
                      <w:sz w:val="22"/>
                      <w:szCs w:val="22"/>
                      <w:lang w:eastAsia="en-US"/>
                    </w:rPr>
                    <w:t xml:space="preserve"> Ekonomikas ministrija</w:t>
                  </w:r>
                  <w:r w:rsidR="004E013C">
                    <w:rPr>
                      <w:sz w:val="22"/>
                      <w:szCs w:val="22"/>
                      <w:lang w:eastAsia="en-US"/>
                    </w:rPr>
                    <w:t>s,</w:t>
                  </w:r>
                  <w:r w:rsidRPr="00793437" w:rsidR="00CA182C">
                    <w:rPr>
                      <w:sz w:val="22"/>
                      <w:szCs w:val="22"/>
                      <w:lang w:eastAsia="en-US"/>
                    </w:rPr>
                    <w:t xml:space="preserve"> </w:t>
                  </w:r>
                  <w:r w:rsidRPr="00793437" w:rsidR="00347BFA">
                    <w:rPr>
                      <w:sz w:val="22"/>
                      <w:szCs w:val="22"/>
                      <w:lang w:eastAsia="en-US"/>
                    </w:rPr>
                    <w:t>LDDK, LTRK, LETERA, LIKTA, LIA</w:t>
                  </w:r>
                  <w:r w:rsidRPr="00793437" w:rsidR="0078536D">
                    <w:rPr>
                      <w:sz w:val="22"/>
                      <w:szCs w:val="22"/>
                      <w:lang w:eastAsia="en-US"/>
                    </w:rPr>
                    <w:t>, LDTA</w:t>
                  </w:r>
                </w:p>
              </w:tc>
            </w:tr>
            <w:tr w:rsidRPr="00E36116" w:rsidR="00F64DE4" w:rsidTr="000D4259" w14:paraId="2D0AEEF3" w14:textId="77777777">
              <w:trPr>
                <w:trHeight w:val="224"/>
              </w:trPr>
              <w:tc>
                <w:tcPr>
                  <w:tcW w:w="13707" w:type="dxa"/>
                  <w:gridSpan w:val="3"/>
                </w:tcPr>
                <w:p w:rsidRPr="00E36116" w:rsidR="00C01E51" w:rsidP="00E36116" w:rsidRDefault="00C01E51" w14:paraId="04FB0567" w14:textId="77777777">
                  <w:pPr>
                    <w:pStyle w:val="naisc"/>
                    <w:spacing w:before="0" w:after="0"/>
                    <w:ind w:right="500"/>
                    <w:rPr>
                      <w:sz w:val="22"/>
                      <w:szCs w:val="22"/>
                      <w:lang w:eastAsia="en-US"/>
                    </w:rPr>
                  </w:pPr>
                </w:p>
              </w:tc>
            </w:tr>
            <w:tr w:rsidRPr="00E36116" w:rsidR="00F64DE4" w:rsidTr="00736354" w14:paraId="2E0139B1" w14:textId="77777777">
              <w:trPr>
                <w:trHeight w:val="760"/>
              </w:trPr>
              <w:tc>
                <w:tcPr>
                  <w:tcW w:w="6487" w:type="dxa"/>
                  <w:hideMark/>
                </w:tcPr>
                <w:p w:rsidRPr="00793437" w:rsidR="00C01E51" w:rsidP="00E36116" w:rsidRDefault="00F64DE4" w14:paraId="177DB267" w14:textId="77777777">
                  <w:pPr>
                    <w:pStyle w:val="naiskr"/>
                    <w:spacing w:before="0" w:after="0"/>
                    <w:ind w:right="500"/>
                    <w:rPr>
                      <w:sz w:val="22"/>
                      <w:szCs w:val="22"/>
                      <w:lang w:eastAsia="en-US"/>
                    </w:rPr>
                  </w:pPr>
                  <w:r w:rsidRPr="00E36116">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00BB3B4E" w:rsidP="00BB3B4E" w:rsidRDefault="00BB3B4E" w14:paraId="4060C74D" w14:textId="77777777">
                  <w:pPr>
                    <w:pStyle w:val="naiskr"/>
                    <w:spacing w:before="0" w:after="0"/>
                    <w:ind w:right="500"/>
                    <w:rPr>
                      <w:sz w:val="22"/>
                      <w:szCs w:val="22"/>
                      <w:lang w:eastAsia="en-US"/>
                    </w:rPr>
                  </w:pPr>
                </w:p>
                <w:p w:rsidRPr="003329AD" w:rsidR="00C01E51" w:rsidP="00F27DCA" w:rsidRDefault="00736354" w14:paraId="4C31CFE4" w14:textId="23EFC4E2">
                  <w:pPr>
                    <w:pStyle w:val="naiskr"/>
                    <w:spacing w:before="0" w:after="0"/>
                    <w:ind w:right="500"/>
                    <w:rPr>
                      <w:sz w:val="22"/>
                      <w:szCs w:val="22"/>
                      <w:lang w:eastAsia="en-US"/>
                    </w:rPr>
                  </w:pPr>
                  <w:r w:rsidRPr="00793437">
                    <w:rPr>
                      <w:sz w:val="22"/>
                      <w:szCs w:val="22"/>
                      <w:lang w:eastAsia="en-US"/>
                    </w:rPr>
                    <w:t xml:space="preserve">Vides </w:t>
                  </w:r>
                  <w:r w:rsidRPr="003329AD">
                    <w:rPr>
                      <w:sz w:val="22"/>
                      <w:szCs w:val="22"/>
                      <w:lang w:eastAsia="en-US"/>
                    </w:rPr>
                    <w:t>aizsardzības un reģionālās attīstības ministrija</w:t>
                  </w:r>
                </w:p>
              </w:tc>
            </w:tr>
          </w:tbl>
          <w:p w:rsidRPr="00E36116" w:rsidR="00C01E51" w:rsidP="00E36116" w:rsidRDefault="00F64DE4" w14:paraId="000F094E" w14:textId="77777777">
            <w:pPr>
              <w:pStyle w:val="naiskr"/>
              <w:spacing w:before="0" w:after="0"/>
              <w:ind w:right="500" w:firstLine="720"/>
              <w:rPr>
                <w:sz w:val="22"/>
                <w:szCs w:val="22"/>
                <w:lang w:eastAsia="en-US"/>
              </w:rPr>
            </w:pPr>
            <w:r w:rsidRPr="00E36116">
              <w:rPr>
                <w:sz w:val="22"/>
                <w:szCs w:val="22"/>
                <w:lang w:eastAsia="en-US"/>
              </w:rPr>
              <w:t>  </w:t>
            </w:r>
          </w:p>
        </w:tc>
      </w:tr>
    </w:tbl>
    <w:p w:rsidRPr="00E36116" w:rsidR="006C10D7" w:rsidP="00E36116" w:rsidRDefault="006C10D7" w14:paraId="6EAE5F6A" w14:textId="77777777">
      <w:pPr>
        <w:pStyle w:val="naisnod"/>
        <w:spacing w:before="0" w:after="0"/>
        <w:ind w:left="57" w:right="57"/>
        <w:contextualSpacing/>
        <w:mirrorIndents/>
        <w:jc w:val="left"/>
        <w:rPr>
          <w:sz w:val="22"/>
          <w:szCs w:val="22"/>
        </w:rPr>
      </w:pPr>
    </w:p>
    <w:p w:rsidRPr="00E36116" w:rsidR="00F64DE4" w:rsidP="00E36116" w:rsidRDefault="00F64DE4" w14:paraId="328F52E7" w14:textId="77777777">
      <w:pPr>
        <w:pStyle w:val="naisnod"/>
        <w:spacing w:before="0" w:after="0"/>
        <w:ind w:left="57" w:right="57"/>
        <w:contextualSpacing/>
        <w:mirrorIndents/>
        <w:rPr>
          <w:sz w:val="22"/>
          <w:szCs w:val="22"/>
        </w:rPr>
      </w:pPr>
      <w:r w:rsidRPr="00E36116">
        <w:rPr>
          <w:sz w:val="22"/>
          <w:szCs w:val="22"/>
        </w:rPr>
        <w:t>II. Jautājumi, par kuriem saskaņošanā vienošanās ir panākta</w:t>
      </w:r>
    </w:p>
    <w:p w:rsidRPr="00793437" w:rsidR="00F64DE4" w:rsidP="00E36116" w:rsidRDefault="00F64DE4" w14:paraId="3F6C4940" w14:textId="77777777">
      <w:pPr>
        <w:pStyle w:val="naisnod"/>
        <w:spacing w:before="0" w:after="0"/>
        <w:ind w:left="57" w:right="57"/>
        <w:contextualSpacing/>
        <w:mirrorIndents/>
        <w:jc w:val="left"/>
        <w:rPr>
          <w:b w:val="0"/>
          <w:sz w:val="22"/>
          <w:szCs w:val="22"/>
        </w:rPr>
      </w:pPr>
    </w:p>
    <w:tbl>
      <w:tblPr>
        <w:tblW w:w="5052"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39"/>
        <w:gridCol w:w="3050"/>
        <w:gridCol w:w="4099"/>
        <w:gridCol w:w="3274"/>
        <w:gridCol w:w="3073"/>
      </w:tblGrid>
      <w:tr w:rsidRPr="00E36116" w:rsidR="00F64DE4" w:rsidTr="00793437" w14:paraId="28B823A3" w14:textId="77777777">
        <w:tc>
          <w:tcPr>
            <w:tcW w:w="226" w:type="pct"/>
            <w:tcBorders>
              <w:top w:val="single" w:color="000000" w:sz="6" w:space="0"/>
              <w:left w:val="single" w:color="000000" w:sz="6" w:space="0"/>
              <w:bottom w:val="single" w:color="000000" w:sz="6" w:space="0"/>
              <w:right w:val="single" w:color="000000" w:sz="6" w:space="0"/>
            </w:tcBorders>
            <w:vAlign w:val="center"/>
          </w:tcPr>
          <w:p w:rsidRPr="00793437" w:rsidR="00C01E51" w:rsidP="00E36116" w:rsidRDefault="00C01E51" w14:paraId="3842F437" w14:textId="77777777">
            <w:pPr>
              <w:pStyle w:val="naisc"/>
              <w:spacing w:before="0" w:after="0"/>
              <w:rPr>
                <w:sz w:val="22"/>
                <w:szCs w:val="22"/>
                <w:lang w:eastAsia="en-US"/>
              </w:rPr>
            </w:pPr>
          </w:p>
        </w:tc>
        <w:tc>
          <w:tcPr>
            <w:tcW w:w="1079" w:type="pct"/>
            <w:tcBorders>
              <w:top w:val="single" w:color="000000" w:sz="6" w:space="0"/>
              <w:left w:val="single" w:color="000000" w:sz="6" w:space="0"/>
              <w:bottom w:val="single" w:color="000000" w:sz="6" w:space="0"/>
              <w:right w:val="single" w:color="000000" w:sz="6" w:space="0"/>
            </w:tcBorders>
            <w:vAlign w:val="center"/>
            <w:hideMark/>
          </w:tcPr>
          <w:p w:rsidRPr="00793437" w:rsidR="00C01E51" w:rsidP="00793437" w:rsidRDefault="00776962" w14:paraId="7B9FC542" w14:textId="77777777">
            <w:pPr>
              <w:pStyle w:val="naisc"/>
              <w:spacing w:before="0" w:after="0"/>
              <w:ind w:firstLine="12"/>
              <w:rPr>
                <w:sz w:val="22"/>
                <w:szCs w:val="22"/>
                <w:lang w:eastAsia="en-US"/>
              </w:rPr>
            </w:pPr>
            <w:r w:rsidRPr="00793437">
              <w:rPr>
                <w:sz w:val="22"/>
                <w:szCs w:val="22"/>
                <w:lang w:eastAsia="en-US"/>
              </w:rPr>
              <w:t>Saskaņošanai nosūtītā projekta redakcija (konkrēta punkta (panta) redakcija)</w:t>
            </w:r>
          </w:p>
        </w:tc>
        <w:tc>
          <w:tcPr>
            <w:tcW w:w="1450" w:type="pct"/>
            <w:tcBorders>
              <w:top w:val="single" w:color="000000" w:sz="6" w:space="0"/>
              <w:left w:val="single" w:color="000000" w:sz="6" w:space="0"/>
              <w:bottom w:val="single" w:color="000000" w:sz="6" w:space="0"/>
              <w:right w:val="single" w:color="000000" w:sz="6" w:space="0"/>
            </w:tcBorders>
            <w:vAlign w:val="center"/>
            <w:hideMark/>
          </w:tcPr>
          <w:p w:rsidRPr="00793437" w:rsidR="00C01E51" w:rsidP="00793437" w:rsidRDefault="00776962" w14:paraId="3B5F68AB" w14:textId="77777777">
            <w:pPr>
              <w:pStyle w:val="naisc"/>
              <w:spacing w:before="0" w:after="0"/>
              <w:ind w:right="31"/>
              <w:rPr>
                <w:sz w:val="22"/>
                <w:szCs w:val="22"/>
                <w:lang w:eastAsia="en-US"/>
              </w:rPr>
            </w:pPr>
            <w:r w:rsidRPr="00793437">
              <w:rPr>
                <w:sz w:val="22"/>
                <w:szCs w:val="22"/>
                <w:lang w:eastAsia="en-US"/>
              </w:rPr>
              <w:t>Atzinumā norādītais ministrijas (citas institūcijas) iebildums, kā arī saskaņošanā papildus izteiktais iebildums par projekta konkrēto punktu (pantu)</w:t>
            </w:r>
          </w:p>
        </w:tc>
        <w:tc>
          <w:tcPr>
            <w:tcW w:w="1158" w:type="pct"/>
            <w:tcBorders>
              <w:top w:val="single" w:color="000000" w:sz="6" w:space="0"/>
              <w:left w:val="single" w:color="000000" w:sz="6" w:space="0"/>
              <w:bottom w:val="single" w:color="000000" w:sz="6" w:space="0"/>
              <w:right w:val="single" w:color="000000" w:sz="6" w:space="0"/>
            </w:tcBorders>
            <w:vAlign w:val="center"/>
            <w:hideMark/>
          </w:tcPr>
          <w:p w:rsidRPr="00793437" w:rsidR="00C01E51" w:rsidP="00793437" w:rsidRDefault="00776962" w14:paraId="563F2CFB" w14:textId="77777777">
            <w:pPr>
              <w:pStyle w:val="naisc"/>
              <w:spacing w:before="0" w:after="0"/>
              <w:rPr>
                <w:sz w:val="22"/>
                <w:szCs w:val="22"/>
                <w:lang w:eastAsia="en-US"/>
              </w:rPr>
            </w:pPr>
            <w:r w:rsidRPr="00793437">
              <w:rPr>
                <w:sz w:val="22"/>
                <w:szCs w:val="22"/>
                <w:lang w:eastAsia="en-US"/>
              </w:rPr>
              <w:t>Atbildīgās ministrijas norāde par to, ka iebildums ir ņemts vērā, vai informācija par saskaņošanā panākto alternatīvo risinājumu</w:t>
            </w:r>
          </w:p>
        </w:tc>
        <w:tc>
          <w:tcPr>
            <w:tcW w:w="1087" w:type="pct"/>
            <w:tcBorders>
              <w:top w:val="single" w:color="auto" w:sz="4" w:space="0"/>
              <w:left w:val="single" w:color="auto" w:sz="4" w:space="0"/>
              <w:bottom w:val="single" w:color="auto" w:sz="4" w:space="0"/>
              <w:right w:val="single" w:color="auto" w:sz="4" w:space="0"/>
            </w:tcBorders>
            <w:vAlign w:val="center"/>
            <w:hideMark/>
          </w:tcPr>
          <w:p w:rsidRPr="00793437" w:rsidR="00C01E51" w:rsidP="00793437" w:rsidRDefault="00776962" w14:paraId="50AD7040" w14:textId="77777777">
            <w:pPr>
              <w:pStyle w:val="naisc"/>
              <w:spacing w:before="0" w:after="0"/>
              <w:rPr>
                <w:sz w:val="22"/>
                <w:szCs w:val="22"/>
                <w:lang w:eastAsia="en-US"/>
              </w:rPr>
            </w:pPr>
            <w:r w:rsidRPr="00793437">
              <w:rPr>
                <w:sz w:val="22"/>
                <w:szCs w:val="22"/>
                <w:lang w:eastAsia="en-US"/>
              </w:rPr>
              <w:t>Projekta attiecīgā punkta (panta) galīgā redakcija</w:t>
            </w:r>
          </w:p>
        </w:tc>
      </w:tr>
      <w:tr w:rsidRPr="00E36116" w:rsidR="00F64DE4" w:rsidTr="00793437" w14:paraId="1E6578BF" w14:textId="77777777">
        <w:tc>
          <w:tcPr>
            <w:tcW w:w="226" w:type="pct"/>
            <w:tcBorders>
              <w:top w:val="single" w:color="000000" w:sz="6" w:space="0"/>
              <w:left w:val="single" w:color="000000" w:sz="6" w:space="0"/>
              <w:bottom w:val="single" w:color="000000" w:sz="6" w:space="0"/>
              <w:right w:val="single" w:color="000000" w:sz="6" w:space="0"/>
            </w:tcBorders>
            <w:hideMark/>
          </w:tcPr>
          <w:p w:rsidRPr="00E36116" w:rsidR="00C01E51" w:rsidP="00E36116" w:rsidRDefault="00776962" w14:paraId="3B3BFCA1" w14:textId="77777777">
            <w:pPr>
              <w:pStyle w:val="naisc"/>
              <w:spacing w:before="0" w:after="0"/>
              <w:rPr>
                <w:sz w:val="22"/>
                <w:szCs w:val="22"/>
                <w:lang w:eastAsia="en-US"/>
              </w:rPr>
            </w:pPr>
            <w:r w:rsidRPr="00E36116">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hideMark/>
          </w:tcPr>
          <w:p w:rsidRPr="00793437" w:rsidR="00C01E51" w:rsidP="00E36116" w:rsidRDefault="00776962" w14:paraId="07579338" w14:textId="77777777">
            <w:pPr>
              <w:pStyle w:val="naisc"/>
              <w:spacing w:before="0" w:after="0"/>
              <w:ind w:firstLine="12"/>
              <w:rPr>
                <w:sz w:val="22"/>
                <w:szCs w:val="22"/>
                <w:lang w:eastAsia="en-US"/>
              </w:rPr>
            </w:pPr>
            <w:r w:rsidRPr="00793437">
              <w:rPr>
                <w:sz w:val="22"/>
                <w:szCs w:val="22"/>
                <w:lang w:eastAsia="en-US"/>
              </w:rPr>
              <w:t>2</w:t>
            </w:r>
          </w:p>
        </w:tc>
        <w:tc>
          <w:tcPr>
            <w:tcW w:w="1450" w:type="pct"/>
            <w:tcBorders>
              <w:top w:val="single" w:color="000000" w:sz="6" w:space="0"/>
              <w:left w:val="single" w:color="000000" w:sz="6" w:space="0"/>
              <w:bottom w:val="single" w:color="000000" w:sz="6" w:space="0"/>
              <w:right w:val="single" w:color="000000" w:sz="6" w:space="0"/>
            </w:tcBorders>
            <w:hideMark/>
          </w:tcPr>
          <w:p w:rsidRPr="00793437" w:rsidR="00C01E51" w:rsidP="00E36116" w:rsidRDefault="00776962" w14:paraId="45B77FF2" w14:textId="77777777">
            <w:pPr>
              <w:pStyle w:val="naisc"/>
              <w:spacing w:before="0" w:after="0"/>
              <w:ind w:right="31"/>
              <w:rPr>
                <w:sz w:val="22"/>
                <w:szCs w:val="22"/>
                <w:lang w:eastAsia="en-US"/>
              </w:rPr>
            </w:pPr>
            <w:r w:rsidRPr="00793437">
              <w:rPr>
                <w:sz w:val="22"/>
                <w:szCs w:val="22"/>
                <w:lang w:eastAsia="en-US"/>
              </w:rPr>
              <w:t>3</w:t>
            </w:r>
          </w:p>
        </w:tc>
        <w:tc>
          <w:tcPr>
            <w:tcW w:w="1158" w:type="pct"/>
            <w:tcBorders>
              <w:top w:val="single" w:color="000000" w:sz="6" w:space="0"/>
              <w:left w:val="single" w:color="000000" w:sz="6" w:space="0"/>
              <w:bottom w:val="single" w:color="000000" w:sz="6" w:space="0"/>
              <w:right w:val="single" w:color="000000" w:sz="6" w:space="0"/>
            </w:tcBorders>
            <w:hideMark/>
          </w:tcPr>
          <w:p w:rsidRPr="00793437" w:rsidR="00C01E51" w:rsidP="00793437" w:rsidRDefault="00776962" w14:paraId="2BB42E06" w14:textId="77777777">
            <w:pPr>
              <w:pStyle w:val="naisc"/>
              <w:spacing w:before="0" w:after="0"/>
              <w:rPr>
                <w:sz w:val="22"/>
                <w:szCs w:val="22"/>
                <w:lang w:eastAsia="en-US"/>
              </w:rPr>
            </w:pPr>
            <w:r w:rsidRPr="00793437">
              <w:rPr>
                <w:sz w:val="22"/>
                <w:szCs w:val="22"/>
                <w:lang w:eastAsia="en-US"/>
              </w:rPr>
              <w:t>4</w:t>
            </w:r>
          </w:p>
        </w:tc>
        <w:tc>
          <w:tcPr>
            <w:tcW w:w="1087" w:type="pct"/>
            <w:tcBorders>
              <w:top w:val="single" w:color="auto" w:sz="4" w:space="0"/>
              <w:left w:val="single" w:color="auto" w:sz="4" w:space="0"/>
              <w:bottom w:val="single" w:color="auto" w:sz="4" w:space="0"/>
              <w:right w:val="single" w:color="auto" w:sz="4" w:space="0"/>
            </w:tcBorders>
            <w:hideMark/>
          </w:tcPr>
          <w:p w:rsidRPr="00793437" w:rsidR="00C01E51" w:rsidP="00793437" w:rsidRDefault="00776962" w14:paraId="3A565E1E" w14:textId="77777777">
            <w:pPr>
              <w:jc w:val="center"/>
              <w:rPr>
                <w:sz w:val="22"/>
                <w:szCs w:val="22"/>
                <w:lang w:eastAsia="en-US"/>
              </w:rPr>
            </w:pPr>
            <w:r w:rsidRPr="00793437">
              <w:rPr>
                <w:sz w:val="22"/>
                <w:szCs w:val="22"/>
                <w:lang w:eastAsia="en-US"/>
              </w:rPr>
              <w:t>5</w:t>
            </w:r>
          </w:p>
        </w:tc>
      </w:tr>
      <w:tr w:rsidRPr="00E36116" w:rsidR="00800C86" w:rsidTr="00793437" w14:paraId="3697319D" w14:textId="77777777">
        <w:tc>
          <w:tcPr>
            <w:tcW w:w="226" w:type="pct"/>
            <w:tcBorders>
              <w:top w:val="single" w:color="000000" w:sz="6" w:space="0"/>
              <w:left w:val="single" w:color="000000" w:sz="6" w:space="0"/>
              <w:bottom w:val="single" w:color="000000" w:sz="6" w:space="0"/>
              <w:right w:val="single" w:color="000000" w:sz="6" w:space="0"/>
            </w:tcBorders>
          </w:tcPr>
          <w:p w:rsidRPr="00E36116" w:rsidR="00800C86" w:rsidP="00E36116" w:rsidRDefault="00A3415B" w14:paraId="61674171" w14:textId="004BEE4B">
            <w:pPr>
              <w:pStyle w:val="naisc"/>
              <w:spacing w:before="0" w:after="0"/>
              <w:rPr>
                <w:sz w:val="22"/>
                <w:szCs w:val="22"/>
                <w:lang w:eastAsia="en-US"/>
              </w:rPr>
            </w:pPr>
            <w:r w:rsidRPr="00E36116">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tcPr>
          <w:p w:rsidRPr="00793437" w:rsidR="00800C86" w:rsidP="00CA5C25" w:rsidRDefault="006E0B22" w14:paraId="19CC57D4" w14:textId="04D6D2F6">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sidR="00800C86">
              <w:rPr>
                <w:sz w:val="22"/>
                <w:szCs w:val="22"/>
              </w:rPr>
              <w:t>rojekta 1.3.apakšpunkts:</w:t>
            </w:r>
          </w:p>
          <w:p w:rsidR="00502A26" w:rsidP="00502A26" w:rsidRDefault="00502A26" w14:paraId="09AEC5CE" w14:textId="77777777">
            <w:pPr>
              <w:pStyle w:val="naisc"/>
              <w:spacing w:before="0" w:after="0"/>
              <w:jc w:val="both"/>
              <w:rPr>
                <w:sz w:val="22"/>
                <w:szCs w:val="22"/>
                <w:lang w:eastAsia="en-US"/>
              </w:rPr>
            </w:pPr>
          </w:p>
          <w:p w:rsidRPr="00793437" w:rsidR="00800C86" w:rsidP="00CA5C25" w:rsidRDefault="00BA2893" w14:paraId="39208EAF" w14:textId="4067DB71">
            <w:pPr>
              <w:pStyle w:val="naisc"/>
              <w:spacing w:before="0" w:after="0"/>
              <w:jc w:val="both"/>
              <w:rPr>
                <w:sz w:val="22"/>
                <w:szCs w:val="22"/>
                <w:lang w:eastAsia="en-US"/>
              </w:rPr>
            </w:pPr>
            <w:r w:rsidRPr="00793437">
              <w:rPr>
                <w:sz w:val="22"/>
                <w:szCs w:val="22"/>
                <w:lang w:eastAsia="en-US"/>
              </w:rPr>
              <w:t>„</w:t>
            </w:r>
            <w:r w:rsidRPr="00793437" w:rsidR="00800C86">
              <w:rPr>
                <w:sz w:val="22"/>
                <w:szCs w:val="22"/>
                <w:lang w:eastAsia="en-US"/>
              </w:rPr>
              <w:t>1.3. izteikt 3. un 4. punktu šādā redakcijā:</w:t>
            </w:r>
          </w:p>
          <w:p w:rsidRPr="00793437" w:rsidR="00800C86" w:rsidP="00CA5C25" w:rsidRDefault="00800C86" w14:paraId="310EB39B" w14:textId="77777777">
            <w:pPr>
              <w:pStyle w:val="naisc"/>
              <w:spacing w:before="0" w:after="0"/>
              <w:jc w:val="both"/>
              <w:rPr>
                <w:sz w:val="22"/>
                <w:szCs w:val="22"/>
                <w:lang w:eastAsia="en-US"/>
              </w:rPr>
            </w:pPr>
            <w:r w:rsidRPr="00793437">
              <w:rPr>
                <w:sz w:val="22"/>
                <w:szCs w:val="22"/>
                <w:lang w:eastAsia="en-US"/>
              </w:rPr>
              <w:lastRenderedPageBreak/>
              <w:t>„3. Atlīdzību par tukšajiem materiālajiem nesējiem nosaka un maksā šādā apmērā:</w:t>
            </w:r>
          </w:p>
          <w:p w:rsidRPr="00E36116" w:rsidR="00800C86" w:rsidP="00CA5C25" w:rsidRDefault="00800C86" w14:paraId="1C0D0798" w14:textId="4A95A9B3">
            <w:pPr>
              <w:pStyle w:val="naisc"/>
              <w:spacing w:before="0" w:after="0"/>
              <w:jc w:val="both"/>
              <w:rPr>
                <w:sz w:val="22"/>
                <w:szCs w:val="22"/>
                <w:lang w:eastAsia="en-US"/>
              </w:rPr>
            </w:pPr>
            <w:r w:rsidRPr="003329AD">
              <w:rPr>
                <w:sz w:val="22"/>
                <w:szCs w:val="22"/>
                <w:lang w:eastAsia="en-US"/>
              </w:rPr>
              <w:t>3.1.</w:t>
            </w:r>
            <w:r w:rsidR="00C51AD4">
              <w:rPr>
                <w:sz w:val="22"/>
                <w:szCs w:val="22"/>
                <w:lang w:eastAsia="en-US"/>
              </w:rPr>
              <w:t> </w:t>
            </w:r>
            <w:r w:rsidRPr="003329AD">
              <w:rPr>
                <w:sz w:val="22"/>
                <w:szCs w:val="22"/>
                <w:lang w:eastAsia="en-US"/>
              </w:rPr>
              <w:t>USB zibatmiņai kā procentuālu likmi no pirmās atsavināšanas cena</w:t>
            </w:r>
            <w:r w:rsidRPr="00E36116">
              <w:rPr>
                <w:sz w:val="22"/>
                <w:szCs w:val="22"/>
                <w:lang w:eastAsia="en-US"/>
              </w:rPr>
              <w:t>s Latvijas teritorijā bez pievienotās vērtības nodokļa – 6 %;</w:t>
            </w:r>
          </w:p>
          <w:p w:rsidRPr="00E36116" w:rsidR="00800C86" w:rsidP="00CA5C25" w:rsidRDefault="00800C86" w14:paraId="3AE9143B" w14:textId="6A9C262B">
            <w:pPr>
              <w:pStyle w:val="naisc"/>
              <w:spacing w:before="0" w:after="0"/>
              <w:jc w:val="both"/>
              <w:rPr>
                <w:sz w:val="22"/>
                <w:szCs w:val="22"/>
                <w:lang w:eastAsia="en-US"/>
              </w:rPr>
            </w:pPr>
            <w:r w:rsidRPr="00E36116">
              <w:rPr>
                <w:sz w:val="22"/>
                <w:szCs w:val="22"/>
                <w:lang w:eastAsia="en-US"/>
              </w:rPr>
              <w:t>3.2.</w:t>
            </w:r>
            <w:r w:rsidR="00C51AD4">
              <w:rPr>
                <w:sz w:val="22"/>
                <w:szCs w:val="22"/>
                <w:lang w:eastAsia="en-US"/>
              </w:rPr>
              <w:t> </w:t>
            </w:r>
            <w:r w:rsidRPr="00E36116">
              <w:rPr>
                <w:sz w:val="22"/>
                <w:szCs w:val="22"/>
                <w:lang w:eastAsia="en-US"/>
              </w:rPr>
              <w:t>ārējam cietajam datora diskam kā procentuālu likmi no pirmās atsavināšanas cenas Latvijas teritorijā bez pievienotās vērtības nodokļa – 4 %;</w:t>
            </w:r>
          </w:p>
          <w:p w:rsidRPr="00793437" w:rsidR="00800C86" w:rsidP="00CA5C25" w:rsidRDefault="00800C86" w14:paraId="1AB9F640" w14:textId="77777777">
            <w:pPr>
              <w:pStyle w:val="naisc"/>
              <w:spacing w:before="0" w:after="0"/>
              <w:jc w:val="both"/>
              <w:rPr>
                <w:sz w:val="22"/>
                <w:szCs w:val="22"/>
                <w:lang w:eastAsia="en-US"/>
              </w:rPr>
            </w:pPr>
            <w:r w:rsidRPr="00E36116">
              <w:rPr>
                <w:sz w:val="22"/>
                <w:szCs w:val="22"/>
                <w:lang w:eastAsia="en-US"/>
              </w:rPr>
              <w:t xml:space="preserve">3.3. visu veidu datoru cietajiem diskiem, ieskaitot HDD un SSD diskus, 2,85 </w:t>
            </w:r>
            <w:proofErr w:type="spellStart"/>
            <w:r w:rsidRPr="00793437">
              <w:rPr>
                <w:i/>
                <w:iCs/>
                <w:sz w:val="22"/>
                <w:szCs w:val="22"/>
                <w:lang w:eastAsia="en-US"/>
              </w:rPr>
              <w:t>euro</w:t>
            </w:r>
            <w:proofErr w:type="spellEnd"/>
            <w:r w:rsidRPr="00793437">
              <w:rPr>
                <w:sz w:val="22"/>
                <w:szCs w:val="22"/>
                <w:lang w:eastAsia="en-US"/>
              </w:rPr>
              <w:t xml:space="preserve"> apmērā par vienību.</w:t>
            </w:r>
          </w:p>
          <w:p w:rsidRPr="00793437" w:rsidR="00800C86" w:rsidP="00CA5C25" w:rsidRDefault="00800C86" w14:paraId="12B82F6B" w14:textId="77777777">
            <w:pPr>
              <w:pStyle w:val="naisc"/>
              <w:spacing w:before="0" w:after="0"/>
              <w:jc w:val="both"/>
              <w:rPr>
                <w:sz w:val="22"/>
                <w:szCs w:val="22"/>
                <w:lang w:eastAsia="en-US"/>
              </w:rPr>
            </w:pPr>
            <w:r w:rsidRPr="00793437">
              <w:rPr>
                <w:sz w:val="22"/>
                <w:szCs w:val="22"/>
                <w:lang w:eastAsia="en-US"/>
              </w:rPr>
              <w:t>4. Atlīdzību par reproducēšanai izmantojamām iekārtām maksā šādā apmērā:</w:t>
            </w:r>
          </w:p>
          <w:p w:rsidRPr="00793437" w:rsidR="00800C86" w:rsidP="00CA5C25" w:rsidRDefault="00800C86" w14:paraId="3EFFC8C1" w14:textId="03714047">
            <w:pPr>
              <w:pStyle w:val="naisc"/>
              <w:spacing w:before="0" w:after="0"/>
              <w:jc w:val="both"/>
              <w:rPr>
                <w:sz w:val="22"/>
                <w:szCs w:val="22"/>
                <w:lang w:eastAsia="en-US"/>
              </w:rPr>
            </w:pPr>
            <w:r w:rsidRPr="003329AD">
              <w:rPr>
                <w:sz w:val="22"/>
                <w:szCs w:val="22"/>
                <w:lang w:eastAsia="en-US"/>
              </w:rPr>
              <w:t>4.1.</w:t>
            </w:r>
            <w:r w:rsidR="00C51AD4">
              <w:rPr>
                <w:sz w:val="22"/>
                <w:szCs w:val="22"/>
                <w:lang w:eastAsia="en-US"/>
              </w:rPr>
              <w:t> </w:t>
            </w:r>
            <w:r w:rsidRPr="003329AD">
              <w:rPr>
                <w:sz w:val="22"/>
                <w:szCs w:val="22"/>
                <w:lang w:eastAsia="en-US"/>
              </w:rPr>
              <w:t xml:space="preserve">par visu veidu personālajiem datoriem, ieskaitot portatīvos datorus un planšetdatorus, 2,85 </w:t>
            </w:r>
            <w:proofErr w:type="spellStart"/>
            <w:r w:rsidRPr="00793437">
              <w:rPr>
                <w:i/>
                <w:iCs/>
                <w:sz w:val="22"/>
                <w:szCs w:val="22"/>
                <w:lang w:eastAsia="en-US"/>
              </w:rPr>
              <w:t>euro</w:t>
            </w:r>
            <w:proofErr w:type="spellEnd"/>
            <w:r w:rsidRPr="00793437">
              <w:rPr>
                <w:sz w:val="22"/>
                <w:szCs w:val="22"/>
                <w:lang w:eastAsia="en-US"/>
              </w:rPr>
              <w:t xml:space="preserve"> apmērā par vienību;</w:t>
            </w:r>
          </w:p>
          <w:p w:rsidRPr="00793437" w:rsidR="00800C86" w:rsidP="00CA5C25" w:rsidRDefault="00800C86" w14:paraId="51466404" w14:textId="511F656E">
            <w:pPr>
              <w:pStyle w:val="naisc"/>
              <w:spacing w:before="0" w:after="0"/>
              <w:jc w:val="both"/>
              <w:rPr>
                <w:sz w:val="22"/>
                <w:szCs w:val="22"/>
                <w:lang w:eastAsia="en-US"/>
              </w:rPr>
            </w:pPr>
            <w:r w:rsidRPr="00793437">
              <w:rPr>
                <w:sz w:val="22"/>
                <w:szCs w:val="22"/>
                <w:lang w:eastAsia="en-US"/>
              </w:rPr>
              <w:t xml:space="preserve">4.2. par viedtālruņiem 1,5 </w:t>
            </w:r>
            <w:proofErr w:type="spellStart"/>
            <w:r w:rsidRPr="00793437">
              <w:rPr>
                <w:i/>
                <w:iCs/>
                <w:sz w:val="22"/>
                <w:szCs w:val="22"/>
                <w:lang w:eastAsia="en-US"/>
              </w:rPr>
              <w:t>euro</w:t>
            </w:r>
            <w:proofErr w:type="spellEnd"/>
            <w:r w:rsidRPr="00793437">
              <w:rPr>
                <w:sz w:val="22"/>
                <w:szCs w:val="22"/>
                <w:lang w:eastAsia="en-US"/>
              </w:rPr>
              <w:t xml:space="preserve"> apmērā par vienību.”</w:t>
            </w:r>
            <w:r w:rsidR="00793437">
              <w:rPr>
                <w:sz w:val="22"/>
                <w:szCs w:val="22"/>
                <w:lang w:eastAsia="en-US"/>
              </w:rPr>
              <w:t>”</w:t>
            </w:r>
          </w:p>
        </w:tc>
        <w:tc>
          <w:tcPr>
            <w:tcW w:w="1450" w:type="pct"/>
            <w:tcBorders>
              <w:top w:val="single" w:color="000000" w:sz="6" w:space="0"/>
              <w:left w:val="single" w:color="000000" w:sz="6" w:space="0"/>
              <w:bottom w:val="single" w:color="000000" w:sz="6" w:space="0"/>
              <w:right w:val="single" w:color="000000" w:sz="6" w:space="0"/>
            </w:tcBorders>
          </w:tcPr>
          <w:p w:rsidRPr="00793437" w:rsidR="00800C86" w:rsidP="00CA5C25" w:rsidRDefault="00800C86" w14:paraId="2E474044" w14:textId="6B5A611B">
            <w:pPr>
              <w:jc w:val="both"/>
              <w:rPr>
                <w:b/>
                <w:sz w:val="22"/>
                <w:szCs w:val="22"/>
              </w:rPr>
            </w:pPr>
            <w:r w:rsidRPr="00793437">
              <w:rPr>
                <w:b/>
                <w:sz w:val="22"/>
                <w:szCs w:val="22"/>
              </w:rPr>
              <w:lastRenderedPageBreak/>
              <w:t>Tieslietu ministrija</w:t>
            </w:r>
            <w:r w:rsidR="00D64A39">
              <w:rPr>
                <w:b/>
                <w:sz w:val="22"/>
                <w:szCs w:val="22"/>
              </w:rPr>
              <w:t>:</w:t>
            </w:r>
          </w:p>
          <w:p w:rsidRPr="00E36116" w:rsidR="00800C86" w:rsidP="00CA5C25" w:rsidRDefault="00800C86" w14:paraId="0DD3D4E7" w14:textId="620DD0A8">
            <w:pPr>
              <w:pStyle w:val="naisc"/>
              <w:spacing w:before="0" w:after="0"/>
              <w:ind w:right="31"/>
              <w:jc w:val="both"/>
              <w:rPr>
                <w:sz w:val="22"/>
                <w:szCs w:val="22"/>
                <w:lang w:eastAsia="en-US"/>
              </w:rPr>
            </w:pPr>
            <w:r w:rsidRPr="00793437">
              <w:rPr>
                <w:sz w:val="22"/>
                <w:szCs w:val="22"/>
                <w:lang w:eastAsia="en-US"/>
              </w:rPr>
              <w:t>No Eiropas Parlamenta un Padomes 2001. gada 22. maija Direktīvā 2001/29/EK par dažu autortiesību un blakustiesību aspektu saskaņošanu informācijas sabiedrībā (turpmāk – direktīva Nr. 2001/</w:t>
            </w:r>
            <w:r w:rsidRPr="003329AD">
              <w:rPr>
                <w:sz w:val="22"/>
                <w:szCs w:val="22"/>
                <w:lang w:eastAsia="en-US"/>
              </w:rPr>
              <w:t xml:space="preserve">29/EK) </w:t>
            </w:r>
            <w:r w:rsidRPr="003329AD">
              <w:rPr>
                <w:sz w:val="22"/>
                <w:szCs w:val="22"/>
                <w:lang w:eastAsia="en-US"/>
              </w:rPr>
              <w:lastRenderedPageBreak/>
              <w:t>5. panta 2. punkta "b" apakšpunkta izriet, ka dalībvalstis var paredzēt izņēmumus vai ierobežojumus 2. pantā minētajām re</w:t>
            </w:r>
            <w:r w:rsidRPr="00E36116">
              <w:rPr>
                <w:sz w:val="22"/>
                <w:szCs w:val="22"/>
                <w:lang w:eastAsia="en-US"/>
              </w:rPr>
              <w:t>producēšanas tiesībām tai skaitā reproducēšanas uz jebkura materiāla gadījumā, ko personiskai lietošanai veic privātpersona ar mērķi, kurš ne netieši, ne tieši nav komerciāls, ar nosacījumu, ka tiesību subjekti (autors) saņem taisnīgu atlīdzību, kurā ņemta vērā 6. pantā minēto tehnoloģisko pasākumu piemērošana vai nepiemērošana attiecīgajam darbam vai tiesību objektam. No minētajām normām, kā arī Eiropas Savienības Tiesas judikatūras secināms, ja dalībvalsts ir paredzējusi izņēmumus vai ierobežojumus attiecībā uz autoru reproducēšanas tiesībām, tad attiecīgiem autoriem principā ir maksājama taisnīga atlīdzība.</w:t>
            </w:r>
          </w:p>
          <w:p w:rsidRPr="00E36116" w:rsidR="00800C86" w:rsidP="00CA5C25" w:rsidRDefault="00800C86" w14:paraId="129B5579" w14:textId="3EDFE23E">
            <w:pPr>
              <w:pStyle w:val="naisc"/>
              <w:spacing w:before="0" w:after="0"/>
              <w:ind w:right="31"/>
              <w:jc w:val="both"/>
              <w:rPr>
                <w:sz w:val="22"/>
                <w:szCs w:val="22"/>
                <w:lang w:eastAsia="en-US"/>
              </w:rPr>
            </w:pPr>
            <w:r w:rsidRPr="00E36116">
              <w:rPr>
                <w:sz w:val="22"/>
                <w:szCs w:val="22"/>
                <w:lang w:eastAsia="en-US"/>
              </w:rPr>
              <w:t xml:space="preserve">Proti, kā atzinusi Eiropas Savienības Tiesa, direktīvas Nr. 2001/29/EK 5. panta 2. punkta "b" apakšpunktā paredzētais jēdziens "taisnīga atlīdzība" ir autonoms Savienības tiesību jēdziens, kurš ir jāinterpretē vienveidīgi visās dalībvalstīs, kas paredzējušas izņēmumu saistībā ar kopiju personiskai lietošanai, neatkarīgi no tām piešķirtās iespējas Eiropas Savienības tiesībās un tostarp minētajā direktīvā paredzētajās robežās noteikt taisnīgas atlīdzības maksāšanas veidu, finansējuma mehānismu un iekasēšanu, kā arī tās apjomu. </w:t>
            </w:r>
            <w:r w:rsidRPr="00793437">
              <w:rPr>
                <w:sz w:val="22"/>
                <w:szCs w:val="22"/>
                <w:lang w:eastAsia="en-US"/>
              </w:rPr>
              <w:t xml:space="preserve">Eiropas Savienības Tiesa arī secinājusi, tā kā direktīvā Nr. 2001/29/EK nav paredzēti pietiekami precīzi Eiropas Savienības tiesību kritēriji, lai noteiktu no </w:t>
            </w:r>
            <w:r w:rsidRPr="00793437">
              <w:rPr>
                <w:sz w:val="22"/>
                <w:szCs w:val="22"/>
                <w:lang w:eastAsia="en-US"/>
              </w:rPr>
              <w:lastRenderedPageBreak/>
              <w:t xml:space="preserve">tās izrietošo pienākumu robežas, dalībvalstīm savā teritorijā ir jānosaka atbilstošie kritēriji, lai Eiropas Savienības tiesībās un it īpaši attiecīgajā direktīvā noteiktajās robežās nodrošinātu šīs direktīvas noteikumu ievērošanu. (sal., piem., </w:t>
            </w:r>
            <w:r w:rsidRPr="00CA5C25">
              <w:rPr>
                <w:i/>
                <w:iCs/>
                <w:sz w:val="22"/>
                <w:szCs w:val="22"/>
                <w:lang w:eastAsia="en-US"/>
              </w:rPr>
              <w:t xml:space="preserve">Eiropas Savienības Tiesas 2010. gada 21. oktobra sprieduma lietā Nr. C 467/08, </w:t>
            </w:r>
            <w:proofErr w:type="spellStart"/>
            <w:r w:rsidRPr="00CA5C25">
              <w:rPr>
                <w:i/>
                <w:iCs/>
                <w:sz w:val="22"/>
                <w:szCs w:val="22"/>
                <w:lang w:eastAsia="en-US"/>
              </w:rPr>
              <w:t>Padawan</w:t>
            </w:r>
            <w:proofErr w:type="spellEnd"/>
            <w:r w:rsidRPr="00CA5C25">
              <w:rPr>
                <w:i/>
                <w:iCs/>
                <w:sz w:val="22"/>
                <w:szCs w:val="22"/>
                <w:lang w:eastAsia="en-US"/>
              </w:rPr>
              <w:t xml:space="preserve"> SL, 37. un 39. punktu; Eiropas Savienības Tiesas 2013. gada 11. jūlijā sprieduma lietā Nr. C 521/11 Amazon.com </w:t>
            </w:r>
            <w:proofErr w:type="spellStart"/>
            <w:r w:rsidRPr="00CA5C25">
              <w:rPr>
                <w:i/>
                <w:iCs/>
                <w:sz w:val="22"/>
                <w:szCs w:val="22"/>
                <w:lang w:eastAsia="en-US"/>
              </w:rPr>
              <w:t>International</w:t>
            </w:r>
            <w:proofErr w:type="spellEnd"/>
            <w:r w:rsidRPr="00CA5C25">
              <w:rPr>
                <w:i/>
                <w:iCs/>
                <w:sz w:val="22"/>
                <w:szCs w:val="22"/>
                <w:lang w:eastAsia="en-US"/>
              </w:rPr>
              <w:t xml:space="preserve"> </w:t>
            </w:r>
            <w:proofErr w:type="spellStart"/>
            <w:r w:rsidRPr="00CA5C25">
              <w:rPr>
                <w:i/>
                <w:iCs/>
                <w:sz w:val="22"/>
                <w:szCs w:val="22"/>
                <w:lang w:eastAsia="en-US"/>
              </w:rPr>
              <w:t>Sales</w:t>
            </w:r>
            <w:proofErr w:type="spellEnd"/>
            <w:r w:rsidRPr="00CA5C25">
              <w:rPr>
                <w:i/>
                <w:iCs/>
                <w:sz w:val="22"/>
                <w:szCs w:val="22"/>
                <w:lang w:eastAsia="en-US"/>
              </w:rPr>
              <w:t xml:space="preserve"> 21.punkts</w:t>
            </w:r>
            <w:r w:rsidRPr="00E36116">
              <w:rPr>
                <w:sz w:val="22"/>
                <w:szCs w:val="22"/>
                <w:lang w:eastAsia="en-US"/>
              </w:rPr>
              <w:t>).</w:t>
            </w:r>
          </w:p>
          <w:p w:rsidRPr="00793437" w:rsidR="00800C86" w:rsidP="00CA5C25" w:rsidRDefault="00800C86" w14:paraId="1477D0BC" w14:textId="2F46B624">
            <w:pPr>
              <w:pStyle w:val="naisc"/>
              <w:spacing w:before="0" w:after="0"/>
              <w:ind w:right="31"/>
              <w:jc w:val="both"/>
              <w:rPr>
                <w:sz w:val="22"/>
                <w:szCs w:val="22"/>
                <w:lang w:eastAsia="en-US"/>
              </w:rPr>
            </w:pPr>
            <w:r w:rsidRPr="00E36116">
              <w:rPr>
                <w:sz w:val="22"/>
                <w:szCs w:val="22"/>
                <w:lang w:eastAsia="en-US"/>
              </w:rPr>
              <w:t xml:space="preserve">Ievērojot minēto, secināms, ka, lai atbilstoši pārņemtu attiecīgās direktīvas prasības, dalībvalstīm ir jāparedz direktīvai Nr. 2001/29/EK atbilstoši kritēriji. Līdz ar to nepieciešams izvērtēt un iestrādāt Ministru kabineta 2005. gada 10. maija noteikumos Nr.321 "Noteikumi par tukšo materiālo nesēju un reproducēšanai izmantojamo iekārtu atlīdzības lielumu un tās iekasēšanas, atmaksāšanas, sadales un izmaksas kārtību" (turpmāk – MK noteikumi Nr. 321) minētajai direktīvai atbilstošus un pamatotus kritērijus, pēc kuriem izveidojams to nesēju un iekārtu saraksts, kuri apliekami ar nesēja atlīdzību. </w:t>
            </w:r>
          </w:p>
        </w:tc>
        <w:tc>
          <w:tcPr>
            <w:tcW w:w="1158" w:type="pct"/>
            <w:tcBorders>
              <w:top w:val="single" w:color="000000" w:sz="6" w:space="0"/>
              <w:left w:val="single" w:color="000000" w:sz="6" w:space="0"/>
              <w:bottom w:val="single" w:color="000000" w:sz="6" w:space="0"/>
              <w:right w:val="single" w:color="000000" w:sz="6" w:space="0"/>
            </w:tcBorders>
          </w:tcPr>
          <w:p w:rsidRPr="00793437" w:rsidR="00800C86" w:rsidP="00CA5C25" w:rsidRDefault="00543560" w14:paraId="59733632" w14:textId="5597C384">
            <w:pPr>
              <w:pStyle w:val="naisc"/>
              <w:spacing w:before="0" w:after="0"/>
              <w:ind w:firstLine="288"/>
              <w:rPr>
                <w:b/>
                <w:bCs/>
                <w:sz w:val="22"/>
                <w:szCs w:val="22"/>
                <w:lang w:eastAsia="en-US"/>
              </w:rPr>
            </w:pPr>
            <w:r>
              <w:rPr>
                <w:b/>
                <w:bCs/>
                <w:sz w:val="22"/>
                <w:szCs w:val="22"/>
                <w:lang w:eastAsia="en-US"/>
              </w:rPr>
              <w:lastRenderedPageBreak/>
              <w:t>Ņemts vērā</w:t>
            </w:r>
          </w:p>
          <w:p w:rsidRPr="00E36116" w:rsidR="00800C86" w:rsidP="00CA5C25" w:rsidRDefault="00800C86" w14:paraId="12375CD9" w14:textId="121C07E2">
            <w:pPr>
              <w:pStyle w:val="naisc"/>
              <w:spacing w:before="0" w:after="0"/>
              <w:jc w:val="both"/>
              <w:rPr>
                <w:sz w:val="22"/>
                <w:szCs w:val="22"/>
                <w:lang w:eastAsia="en-US"/>
              </w:rPr>
            </w:pPr>
            <w:r w:rsidRPr="00793437">
              <w:rPr>
                <w:sz w:val="22"/>
                <w:szCs w:val="22"/>
                <w:lang w:eastAsia="en-US"/>
              </w:rPr>
              <w:t xml:space="preserve">Atbilstoši Satversmes tiesas spriedumam </w:t>
            </w:r>
            <w:r w:rsidRPr="00903684" w:rsidR="001D3466">
              <w:rPr>
                <w:sz w:val="22"/>
                <w:szCs w:val="22"/>
              </w:rPr>
              <w:t xml:space="preserve">Ministru kabineta </w:t>
            </w:r>
            <w:r w:rsidR="001D3466">
              <w:rPr>
                <w:sz w:val="22"/>
                <w:szCs w:val="22"/>
                <w:lang w:eastAsia="en-US"/>
              </w:rPr>
              <w:t>n</w:t>
            </w:r>
            <w:r w:rsidRPr="00793437">
              <w:rPr>
                <w:sz w:val="22"/>
                <w:szCs w:val="22"/>
                <w:lang w:eastAsia="en-US"/>
              </w:rPr>
              <w:t xml:space="preserve">oteikumu 3. un 4.punktam ir jānodrošina taisnīga atlīdzība par tiesību subjektu mantisko tiesību </w:t>
            </w:r>
            <w:r w:rsidRPr="00793437">
              <w:rPr>
                <w:sz w:val="22"/>
                <w:szCs w:val="22"/>
                <w:lang w:eastAsia="en-US"/>
              </w:rPr>
              <w:lastRenderedPageBreak/>
              <w:t xml:space="preserve">ierobežojumu. </w:t>
            </w:r>
            <w:r w:rsidRPr="003329AD" w:rsidR="00957CD8">
              <w:rPr>
                <w:sz w:val="22"/>
                <w:szCs w:val="22"/>
                <w:lang w:eastAsia="en-US"/>
              </w:rPr>
              <w:t>M</w:t>
            </w:r>
            <w:r w:rsidR="007162B8">
              <w:rPr>
                <w:sz w:val="22"/>
                <w:szCs w:val="22"/>
                <w:lang w:eastAsia="en-US"/>
              </w:rPr>
              <w:t>inistru kabinetam</w:t>
            </w:r>
            <w:r w:rsidRPr="003329AD">
              <w:rPr>
                <w:sz w:val="22"/>
                <w:szCs w:val="22"/>
                <w:lang w:eastAsia="en-US"/>
              </w:rPr>
              <w:t xml:space="preserve"> ir tiesības un pienākums, balstoties uz skaidri definētiem kritērijiem, iekļaut konkrētus nesējus un </w:t>
            </w:r>
            <w:r w:rsidRPr="00E36116">
              <w:rPr>
                <w:sz w:val="22"/>
                <w:szCs w:val="22"/>
                <w:lang w:eastAsia="en-US"/>
              </w:rPr>
              <w:t xml:space="preserve">iekārtas Noteikumu 3. un 4.punktā. Satversmes tiesa nav noteikusi, ka šādi kritēriji būtu iekļaujami Noteikumos. Šādu uzdevumu </w:t>
            </w:r>
            <w:r w:rsidRPr="00E36116" w:rsidR="00957CD8">
              <w:rPr>
                <w:sz w:val="22"/>
                <w:szCs w:val="22"/>
                <w:lang w:eastAsia="en-US"/>
              </w:rPr>
              <w:t>M</w:t>
            </w:r>
            <w:r w:rsidR="007162B8">
              <w:rPr>
                <w:sz w:val="22"/>
                <w:szCs w:val="22"/>
                <w:lang w:eastAsia="en-US"/>
              </w:rPr>
              <w:t>inistru kabinetam</w:t>
            </w:r>
            <w:r w:rsidRPr="00E36116">
              <w:rPr>
                <w:sz w:val="22"/>
                <w:szCs w:val="22"/>
                <w:lang w:eastAsia="en-US"/>
              </w:rPr>
              <w:t xml:space="preserve"> neparedz arī Autortiesību likuma 34.pants.</w:t>
            </w:r>
          </w:p>
          <w:p w:rsidRPr="00E36116" w:rsidR="00800C86" w:rsidP="00CA5C25" w:rsidRDefault="00800C86" w14:paraId="68739BA9" w14:textId="5867178E">
            <w:pPr>
              <w:pStyle w:val="naisc"/>
              <w:spacing w:before="0" w:after="0"/>
              <w:jc w:val="both"/>
              <w:rPr>
                <w:sz w:val="22"/>
                <w:szCs w:val="22"/>
                <w:lang w:eastAsia="en-US"/>
              </w:rPr>
            </w:pPr>
            <w:r w:rsidRPr="00E36116">
              <w:rPr>
                <w:sz w:val="22"/>
                <w:szCs w:val="22"/>
                <w:lang w:eastAsia="en-US"/>
              </w:rPr>
              <w:t>Papildus jānorāda, ka Direktīvas 2001/29/EK</w:t>
            </w:r>
            <w:r w:rsidRPr="00E36116" w:rsidR="009B6945">
              <w:rPr>
                <w:sz w:val="22"/>
                <w:szCs w:val="22"/>
                <w:lang w:eastAsia="en-US"/>
              </w:rPr>
              <w:t xml:space="preserve"> preambulas</w:t>
            </w:r>
            <w:r w:rsidRPr="00E36116">
              <w:rPr>
                <w:sz w:val="22"/>
                <w:szCs w:val="22"/>
                <w:lang w:eastAsia="en-US"/>
              </w:rPr>
              <w:t xml:space="preserve"> 3</w:t>
            </w:r>
            <w:r w:rsidRPr="00E36116" w:rsidR="00D14C18">
              <w:rPr>
                <w:sz w:val="22"/>
                <w:szCs w:val="22"/>
                <w:lang w:eastAsia="en-US"/>
              </w:rPr>
              <w:t>5</w:t>
            </w:r>
            <w:r w:rsidRPr="00793437">
              <w:rPr>
                <w:sz w:val="22"/>
                <w:szCs w:val="22"/>
                <w:lang w:eastAsia="en-US"/>
              </w:rPr>
              <w:t>.apsvērumā teikts, ka noderīgs kritērijs atlīdzības noteikšanai ir iespējamais kaitējums, ko attiecīgā darbība nodara tiesību subjektiem. Gadījumos, kad tiesību subjekti jau ir saņēmuši samaksu kādā citā veidā, piemēram, kā daļu no maksas par licenci, īpašs vai atsevišķs maksājums var arī nepienākties. Nosakot taisnīgas atlīdzības apjomu, pilnībā būtu jāņem vērā tehnoloģisko aizsardzības pasākumu izmantošanas pakāpe. Dažos gadījumos, ja tiesību subjekta aizskārums ir minimāls, maksājumu saistību var nebūt. Līdz ar to direktīva ne</w:t>
            </w:r>
            <w:r w:rsidRPr="003329AD">
              <w:rPr>
                <w:sz w:val="22"/>
                <w:szCs w:val="22"/>
                <w:lang w:eastAsia="en-US"/>
              </w:rPr>
              <w:t>paredz valstīm saistošus krit</w:t>
            </w:r>
            <w:r w:rsidRPr="00E36116">
              <w:rPr>
                <w:sz w:val="22"/>
                <w:szCs w:val="22"/>
                <w:lang w:eastAsia="en-US"/>
              </w:rPr>
              <w:t>ērijus, bet gan dod tām izvēles brīvību uz kādu kritēriju pamata valsts nosaka taisnīgu atlīdzību tiesību īpašniekiem.</w:t>
            </w:r>
          </w:p>
          <w:p w:rsidRPr="00793437" w:rsidR="00800C86" w:rsidP="00CA5C25" w:rsidRDefault="00800C86" w14:paraId="698D8BC2" w14:textId="2DF7379F">
            <w:pPr>
              <w:pStyle w:val="naisc"/>
              <w:spacing w:before="0" w:after="0"/>
              <w:jc w:val="both"/>
              <w:rPr>
                <w:sz w:val="22"/>
                <w:szCs w:val="22"/>
                <w:lang w:eastAsia="en-US"/>
              </w:rPr>
            </w:pPr>
            <w:r w:rsidRPr="00E36116">
              <w:rPr>
                <w:sz w:val="22"/>
                <w:szCs w:val="22"/>
                <w:lang w:eastAsia="en-US"/>
              </w:rPr>
              <w:lastRenderedPageBreak/>
              <w:t>Lai izpildītu Satversmes tiesas spriedumu, KM 2012.gadā noteica</w:t>
            </w:r>
            <w:r w:rsidRPr="00E36116" w:rsidR="000E6B94">
              <w:rPr>
                <w:sz w:val="22"/>
                <w:szCs w:val="22"/>
                <w:lang w:eastAsia="en-US"/>
              </w:rPr>
              <w:t xml:space="preserve"> avotus,</w:t>
            </w:r>
            <w:r w:rsidRPr="00E36116">
              <w:rPr>
                <w:sz w:val="22"/>
                <w:szCs w:val="22"/>
                <w:lang w:eastAsia="en-US"/>
              </w:rPr>
              <w:t xml:space="preserve"> uz k</w:t>
            </w:r>
            <w:r w:rsidRPr="00E36116" w:rsidR="000E6B94">
              <w:rPr>
                <w:sz w:val="22"/>
                <w:szCs w:val="22"/>
                <w:lang w:eastAsia="en-US"/>
              </w:rPr>
              <w:t>uru</w:t>
            </w:r>
            <w:r w:rsidRPr="00793437">
              <w:rPr>
                <w:sz w:val="22"/>
                <w:szCs w:val="22"/>
                <w:lang w:eastAsia="en-US"/>
              </w:rPr>
              <w:t xml:space="preserve"> pamata izstrādājami nesēju un iekārtu saraksta pārvērtēšanai piemērojamie kritēriji, proti</w:t>
            </w:r>
          </w:p>
          <w:p w:rsidRPr="00793437" w:rsidR="00800C86" w:rsidP="00793437" w:rsidRDefault="00800C86" w14:paraId="76377E1F" w14:textId="6FB18B30">
            <w:pPr>
              <w:pStyle w:val="naisc"/>
              <w:spacing w:before="0" w:after="0"/>
              <w:ind w:firstLine="288"/>
              <w:jc w:val="both"/>
              <w:rPr>
                <w:sz w:val="22"/>
                <w:szCs w:val="22"/>
                <w:lang w:eastAsia="en-US"/>
              </w:rPr>
            </w:pPr>
            <w:r w:rsidRPr="003329AD">
              <w:rPr>
                <w:sz w:val="22"/>
                <w:szCs w:val="22"/>
                <w:lang w:eastAsia="en-US"/>
              </w:rPr>
              <w:t>1.</w:t>
            </w:r>
            <w:r w:rsidRPr="003329AD">
              <w:rPr>
                <w:sz w:val="22"/>
                <w:szCs w:val="22"/>
                <w:lang w:eastAsia="en-US"/>
              </w:rPr>
              <w:tab/>
              <w:t>nesēja atlīdzības regulējuma noteikšanā un interpretēšanā nozīmīg</w:t>
            </w:r>
            <w:r w:rsidRPr="00E36116" w:rsidR="00CE79BE">
              <w:rPr>
                <w:sz w:val="22"/>
                <w:szCs w:val="22"/>
                <w:lang w:eastAsia="en-US"/>
              </w:rPr>
              <w:t>ie</w:t>
            </w:r>
            <w:r w:rsidRPr="00793437">
              <w:rPr>
                <w:sz w:val="22"/>
                <w:szCs w:val="22"/>
                <w:lang w:eastAsia="en-US"/>
              </w:rPr>
              <w:t xml:space="preserve"> normatīv</w:t>
            </w:r>
            <w:r w:rsidRPr="00793437" w:rsidR="00CE79BE">
              <w:rPr>
                <w:sz w:val="22"/>
                <w:szCs w:val="22"/>
                <w:lang w:eastAsia="en-US"/>
              </w:rPr>
              <w:t>ie</w:t>
            </w:r>
            <w:r w:rsidRPr="00793437">
              <w:rPr>
                <w:sz w:val="22"/>
                <w:szCs w:val="22"/>
                <w:lang w:eastAsia="en-US"/>
              </w:rPr>
              <w:t xml:space="preserve"> tiesību akt</w:t>
            </w:r>
            <w:r w:rsidRPr="00793437" w:rsidR="00CE79BE">
              <w:rPr>
                <w:sz w:val="22"/>
                <w:szCs w:val="22"/>
                <w:lang w:eastAsia="en-US"/>
              </w:rPr>
              <w:t>i</w:t>
            </w:r>
            <w:r w:rsidRPr="00793437">
              <w:rPr>
                <w:sz w:val="22"/>
                <w:szCs w:val="22"/>
                <w:lang w:eastAsia="en-US"/>
              </w:rPr>
              <w:t>, tostarp LR Satversme, Direktīva 2001/29/EK, Autortiesību likum</w:t>
            </w:r>
            <w:r w:rsidRPr="00793437" w:rsidR="00CE79BE">
              <w:rPr>
                <w:sz w:val="22"/>
                <w:szCs w:val="22"/>
                <w:lang w:eastAsia="en-US"/>
              </w:rPr>
              <w:t>s</w:t>
            </w:r>
            <w:r w:rsidRPr="00793437">
              <w:rPr>
                <w:sz w:val="22"/>
                <w:szCs w:val="22"/>
                <w:lang w:eastAsia="en-US"/>
              </w:rPr>
              <w:t>;</w:t>
            </w:r>
          </w:p>
          <w:p w:rsidRPr="00793437" w:rsidR="00800C86" w:rsidP="00793437" w:rsidRDefault="00800C86" w14:paraId="49EE53A3" w14:textId="056E59C9">
            <w:pPr>
              <w:pStyle w:val="naisc"/>
              <w:spacing w:before="0" w:after="0"/>
              <w:ind w:firstLine="288"/>
              <w:jc w:val="both"/>
              <w:rPr>
                <w:sz w:val="22"/>
                <w:szCs w:val="22"/>
                <w:lang w:eastAsia="en-US"/>
              </w:rPr>
            </w:pPr>
            <w:r w:rsidRPr="00793437">
              <w:rPr>
                <w:sz w:val="22"/>
                <w:szCs w:val="22"/>
                <w:lang w:eastAsia="en-US"/>
              </w:rPr>
              <w:t>2.</w:t>
            </w:r>
            <w:r w:rsidRPr="00793437">
              <w:rPr>
                <w:sz w:val="22"/>
                <w:szCs w:val="22"/>
                <w:lang w:eastAsia="en-US"/>
              </w:rPr>
              <w:tab/>
              <w:t>ST spriedum</w:t>
            </w:r>
            <w:r w:rsidRPr="00793437" w:rsidR="00CD71C4">
              <w:rPr>
                <w:sz w:val="22"/>
                <w:szCs w:val="22"/>
                <w:lang w:eastAsia="en-US"/>
              </w:rPr>
              <w:t>s</w:t>
            </w:r>
            <w:r w:rsidRPr="00793437">
              <w:rPr>
                <w:sz w:val="22"/>
                <w:szCs w:val="22"/>
                <w:lang w:eastAsia="en-US"/>
              </w:rPr>
              <w:t xml:space="preserve"> un Eiropas Savienības Tiesas spriedumos paust</w:t>
            </w:r>
            <w:r w:rsidRPr="00793437" w:rsidR="00CD71C4">
              <w:rPr>
                <w:sz w:val="22"/>
                <w:szCs w:val="22"/>
                <w:lang w:eastAsia="en-US"/>
              </w:rPr>
              <w:t>ās</w:t>
            </w:r>
            <w:r w:rsidRPr="00793437">
              <w:rPr>
                <w:sz w:val="22"/>
                <w:szCs w:val="22"/>
                <w:lang w:eastAsia="en-US"/>
              </w:rPr>
              <w:t xml:space="preserve"> atziņ</w:t>
            </w:r>
            <w:r w:rsidRPr="00793437" w:rsidR="00CD71C4">
              <w:rPr>
                <w:sz w:val="22"/>
                <w:szCs w:val="22"/>
                <w:lang w:eastAsia="en-US"/>
              </w:rPr>
              <w:t>as</w:t>
            </w:r>
            <w:r w:rsidRPr="00793437">
              <w:rPr>
                <w:sz w:val="22"/>
                <w:szCs w:val="22"/>
                <w:lang w:eastAsia="en-US"/>
              </w:rPr>
              <w:t>;</w:t>
            </w:r>
          </w:p>
          <w:p w:rsidRPr="00793437" w:rsidR="00800C86" w:rsidP="00793437" w:rsidRDefault="00800C86" w14:paraId="570B6F1A" w14:textId="766F8D9A">
            <w:pPr>
              <w:pStyle w:val="naisc"/>
              <w:spacing w:before="0" w:after="0"/>
              <w:ind w:firstLine="288"/>
              <w:jc w:val="both"/>
              <w:rPr>
                <w:sz w:val="22"/>
                <w:szCs w:val="22"/>
                <w:lang w:eastAsia="en-US"/>
              </w:rPr>
            </w:pPr>
            <w:r w:rsidRPr="00793437">
              <w:rPr>
                <w:sz w:val="22"/>
                <w:szCs w:val="22"/>
                <w:lang w:eastAsia="en-US"/>
              </w:rPr>
              <w:t>3.</w:t>
            </w:r>
            <w:r w:rsidRPr="00793437">
              <w:rPr>
                <w:sz w:val="22"/>
                <w:szCs w:val="22"/>
                <w:lang w:eastAsia="en-US"/>
              </w:rPr>
              <w:tab/>
              <w:t>sabiedrības līdzdalības procesa ietvaros uzklausīt</w:t>
            </w:r>
            <w:r w:rsidRPr="00793437" w:rsidR="00B707F5">
              <w:rPr>
                <w:sz w:val="22"/>
                <w:szCs w:val="22"/>
                <w:lang w:eastAsia="en-US"/>
              </w:rPr>
              <w:t>ie</w:t>
            </w:r>
            <w:r w:rsidRPr="00793437">
              <w:rPr>
                <w:sz w:val="22"/>
                <w:szCs w:val="22"/>
                <w:lang w:eastAsia="en-US"/>
              </w:rPr>
              <w:t xml:space="preserve"> viedokļi;</w:t>
            </w:r>
          </w:p>
          <w:p w:rsidRPr="00793437" w:rsidR="00800C86" w:rsidP="00793437" w:rsidRDefault="00800C86" w14:paraId="6CB21EF2" w14:textId="28B624F2">
            <w:pPr>
              <w:pStyle w:val="naisc"/>
              <w:spacing w:before="0" w:after="0"/>
              <w:ind w:firstLine="288"/>
              <w:jc w:val="both"/>
              <w:rPr>
                <w:sz w:val="22"/>
                <w:szCs w:val="22"/>
                <w:lang w:eastAsia="en-US"/>
              </w:rPr>
            </w:pPr>
            <w:r w:rsidRPr="00793437">
              <w:rPr>
                <w:sz w:val="22"/>
                <w:szCs w:val="22"/>
                <w:lang w:eastAsia="en-US"/>
              </w:rPr>
              <w:t>4.</w:t>
            </w:r>
            <w:r w:rsidRPr="00793437">
              <w:rPr>
                <w:sz w:val="22"/>
                <w:szCs w:val="22"/>
                <w:lang w:eastAsia="en-US"/>
              </w:rPr>
              <w:tab/>
              <w:t>nesēja atlīdzības normatīvi tiesisk</w:t>
            </w:r>
            <w:r w:rsidRPr="00793437" w:rsidR="005847B2">
              <w:rPr>
                <w:sz w:val="22"/>
                <w:szCs w:val="22"/>
                <w:lang w:eastAsia="en-US"/>
              </w:rPr>
              <w:t>ais</w:t>
            </w:r>
            <w:r w:rsidRPr="00793437">
              <w:rPr>
                <w:sz w:val="22"/>
                <w:szCs w:val="22"/>
                <w:lang w:eastAsia="en-US"/>
              </w:rPr>
              <w:t xml:space="preserve"> regulējum</w:t>
            </w:r>
            <w:r w:rsidRPr="00793437" w:rsidR="005847B2">
              <w:rPr>
                <w:sz w:val="22"/>
                <w:szCs w:val="22"/>
                <w:lang w:eastAsia="en-US"/>
              </w:rPr>
              <w:t>s</w:t>
            </w:r>
            <w:r w:rsidRPr="00793437">
              <w:rPr>
                <w:sz w:val="22"/>
                <w:szCs w:val="22"/>
                <w:lang w:eastAsia="en-US"/>
              </w:rPr>
              <w:t xml:space="preserve"> Eiropas Savienības dalībvalstīs, tostarp Lietuvā un Igaunijā;</w:t>
            </w:r>
          </w:p>
          <w:p w:rsidRPr="00793437" w:rsidR="00800C86" w:rsidP="00793437" w:rsidRDefault="00800C86" w14:paraId="309F219B" w14:textId="47633A24">
            <w:pPr>
              <w:pStyle w:val="naisc"/>
              <w:spacing w:before="0" w:after="0"/>
              <w:ind w:firstLine="288"/>
              <w:jc w:val="both"/>
              <w:rPr>
                <w:sz w:val="22"/>
                <w:szCs w:val="22"/>
                <w:lang w:eastAsia="en-US"/>
              </w:rPr>
            </w:pPr>
            <w:r w:rsidRPr="00793437">
              <w:rPr>
                <w:sz w:val="22"/>
                <w:szCs w:val="22"/>
                <w:lang w:eastAsia="en-US"/>
              </w:rPr>
              <w:t>5.</w:t>
            </w:r>
            <w:r w:rsidRPr="00793437">
              <w:rPr>
                <w:sz w:val="22"/>
                <w:szCs w:val="22"/>
                <w:lang w:eastAsia="en-US"/>
              </w:rPr>
              <w:tab/>
              <w:t>autortiesību doktrīnas atziņ</w:t>
            </w:r>
            <w:r w:rsidRPr="00793437" w:rsidR="005847B2">
              <w:rPr>
                <w:sz w:val="22"/>
                <w:szCs w:val="22"/>
                <w:lang w:eastAsia="en-US"/>
              </w:rPr>
              <w:t>as</w:t>
            </w:r>
            <w:r w:rsidRPr="00793437">
              <w:rPr>
                <w:sz w:val="22"/>
                <w:szCs w:val="22"/>
                <w:lang w:eastAsia="en-US"/>
              </w:rPr>
              <w:t>.</w:t>
            </w:r>
          </w:p>
          <w:p w:rsidRPr="00793437" w:rsidR="00800C86" w:rsidP="00CA5C25" w:rsidRDefault="00B327F4" w14:paraId="538F899F" w14:textId="05FF941B">
            <w:pPr>
              <w:pStyle w:val="naisc"/>
              <w:spacing w:before="0" w:after="0"/>
              <w:jc w:val="both"/>
              <w:rPr>
                <w:sz w:val="22"/>
                <w:szCs w:val="22"/>
                <w:lang w:eastAsia="en-US"/>
              </w:rPr>
            </w:pPr>
            <w:r w:rsidRPr="00793437">
              <w:rPr>
                <w:sz w:val="22"/>
                <w:szCs w:val="22"/>
                <w:lang w:eastAsia="en-US"/>
              </w:rPr>
              <w:t>Minētie kritēriji pārvērtējami</w:t>
            </w:r>
            <w:r w:rsidRPr="00793437" w:rsidR="00441D3D">
              <w:rPr>
                <w:sz w:val="22"/>
                <w:szCs w:val="22"/>
                <w:lang w:eastAsia="en-US"/>
              </w:rPr>
              <w:t xml:space="preserve"> un aktualizējami</w:t>
            </w:r>
            <w:r w:rsidRPr="00793437">
              <w:rPr>
                <w:sz w:val="22"/>
                <w:szCs w:val="22"/>
                <w:lang w:eastAsia="en-US"/>
              </w:rPr>
              <w:t xml:space="preserve"> katru reizi pirms nesēju un iekārtu saraksta pārvērtēšanas.</w:t>
            </w:r>
          </w:p>
        </w:tc>
        <w:tc>
          <w:tcPr>
            <w:tcW w:w="1087" w:type="pct"/>
            <w:tcBorders>
              <w:top w:val="single" w:color="auto" w:sz="4" w:space="0"/>
              <w:left w:val="single" w:color="auto" w:sz="4" w:space="0"/>
              <w:bottom w:val="single" w:color="auto" w:sz="4" w:space="0"/>
              <w:right w:val="single" w:color="auto" w:sz="4" w:space="0"/>
            </w:tcBorders>
          </w:tcPr>
          <w:p w:rsidRPr="00793437" w:rsidR="00800C86" w:rsidP="00CA5C25" w:rsidRDefault="006E0B22" w14:paraId="32C940B3" w14:textId="38E18A67">
            <w:pPr>
              <w:jc w:val="both"/>
              <w:rPr>
                <w:sz w:val="22"/>
                <w:szCs w:val="22"/>
              </w:rPr>
            </w:pPr>
            <w:r w:rsidRPr="00903684">
              <w:rPr>
                <w:sz w:val="22"/>
                <w:szCs w:val="22"/>
              </w:rPr>
              <w:lastRenderedPageBreak/>
              <w:t>Ministru kabineta noteikumu</w:t>
            </w:r>
            <w:r w:rsidRPr="00793437">
              <w:rPr>
                <w:sz w:val="22"/>
                <w:szCs w:val="22"/>
              </w:rPr>
              <w:t xml:space="preserve"> </w:t>
            </w:r>
            <w:r>
              <w:rPr>
                <w:sz w:val="22"/>
                <w:szCs w:val="22"/>
              </w:rPr>
              <w:t>p</w:t>
            </w:r>
            <w:r w:rsidRPr="00793437" w:rsidR="00800C86">
              <w:rPr>
                <w:sz w:val="22"/>
                <w:szCs w:val="22"/>
              </w:rPr>
              <w:t>rojekta 1.3.apakšpunkts:</w:t>
            </w:r>
          </w:p>
          <w:p w:rsidR="00502A26" w:rsidP="00502A26" w:rsidRDefault="00502A26" w14:paraId="0E28A6E7" w14:textId="77777777">
            <w:pPr>
              <w:pStyle w:val="naisc"/>
              <w:spacing w:before="0" w:after="0"/>
              <w:jc w:val="both"/>
              <w:rPr>
                <w:sz w:val="22"/>
                <w:szCs w:val="22"/>
                <w:lang w:eastAsia="en-US"/>
              </w:rPr>
            </w:pPr>
          </w:p>
          <w:p w:rsidRPr="00793437" w:rsidR="00800C86" w:rsidP="00CA5C25" w:rsidRDefault="00BA2893" w14:paraId="6DC3DC3B" w14:textId="3F876CE8">
            <w:pPr>
              <w:pStyle w:val="naisc"/>
              <w:spacing w:before="0" w:after="0"/>
              <w:jc w:val="both"/>
              <w:rPr>
                <w:sz w:val="22"/>
                <w:szCs w:val="22"/>
                <w:lang w:eastAsia="en-US"/>
              </w:rPr>
            </w:pPr>
            <w:r w:rsidRPr="00793437">
              <w:rPr>
                <w:sz w:val="22"/>
                <w:szCs w:val="22"/>
                <w:lang w:eastAsia="en-US"/>
              </w:rPr>
              <w:t>„</w:t>
            </w:r>
            <w:r w:rsidRPr="00793437" w:rsidR="00800C86">
              <w:rPr>
                <w:sz w:val="22"/>
                <w:szCs w:val="22"/>
                <w:lang w:eastAsia="en-US"/>
              </w:rPr>
              <w:t>1.3. izteikt 3. un 4. punktu šādā redakcijā:</w:t>
            </w:r>
          </w:p>
          <w:p w:rsidRPr="00793437" w:rsidR="00800C86" w:rsidP="00CA5C25" w:rsidRDefault="00800C86" w14:paraId="0DE4AF09" w14:textId="2ABB928D">
            <w:pPr>
              <w:pStyle w:val="naisc"/>
              <w:spacing w:before="0" w:after="0"/>
              <w:jc w:val="both"/>
              <w:rPr>
                <w:sz w:val="22"/>
                <w:szCs w:val="22"/>
                <w:lang w:eastAsia="en-US"/>
              </w:rPr>
            </w:pPr>
            <w:r w:rsidRPr="00793437">
              <w:rPr>
                <w:sz w:val="22"/>
                <w:szCs w:val="22"/>
                <w:lang w:eastAsia="en-US"/>
              </w:rPr>
              <w:lastRenderedPageBreak/>
              <w:t>„3.</w:t>
            </w:r>
            <w:r w:rsidR="00C51AD4">
              <w:rPr>
                <w:sz w:val="22"/>
                <w:szCs w:val="22"/>
                <w:lang w:eastAsia="en-US"/>
              </w:rPr>
              <w:t> </w:t>
            </w:r>
            <w:r w:rsidRPr="00793437">
              <w:rPr>
                <w:sz w:val="22"/>
                <w:szCs w:val="22"/>
                <w:lang w:eastAsia="en-US"/>
              </w:rPr>
              <w:t>Atlīdzību par tukšajiem materiālajiem nesējiem nosaka un maksā šādā apmērā:</w:t>
            </w:r>
          </w:p>
          <w:p w:rsidRPr="00E36116" w:rsidR="00800C86" w:rsidP="00CA5C25" w:rsidRDefault="00800C86" w14:paraId="191B9974" w14:textId="78F1EBE2">
            <w:pPr>
              <w:pStyle w:val="naisc"/>
              <w:spacing w:before="0" w:after="0"/>
              <w:jc w:val="both"/>
              <w:rPr>
                <w:sz w:val="22"/>
                <w:szCs w:val="22"/>
                <w:lang w:eastAsia="en-US"/>
              </w:rPr>
            </w:pPr>
            <w:r w:rsidRPr="003329AD">
              <w:rPr>
                <w:sz w:val="22"/>
                <w:szCs w:val="22"/>
                <w:lang w:eastAsia="en-US"/>
              </w:rPr>
              <w:t>3.1.</w:t>
            </w:r>
            <w:r w:rsidR="00C51AD4">
              <w:rPr>
                <w:sz w:val="22"/>
                <w:szCs w:val="22"/>
                <w:lang w:eastAsia="en-US"/>
              </w:rPr>
              <w:t> </w:t>
            </w:r>
            <w:r w:rsidRPr="003329AD">
              <w:rPr>
                <w:sz w:val="22"/>
                <w:szCs w:val="22"/>
                <w:lang w:eastAsia="en-US"/>
              </w:rPr>
              <w:t>USB zibatmiņai kā procentuālu lik</w:t>
            </w:r>
            <w:r w:rsidRPr="00E36116">
              <w:rPr>
                <w:sz w:val="22"/>
                <w:szCs w:val="22"/>
                <w:lang w:eastAsia="en-US"/>
              </w:rPr>
              <w:t>mi no pirmās atsavināšanas cenas Latvijas teritorijā bez pievienotās vērtības nodokļa – 6 %;</w:t>
            </w:r>
          </w:p>
          <w:p w:rsidRPr="00E36116" w:rsidR="00800C86" w:rsidP="00CA5C25" w:rsidRDefault="00800C86" w14:paraId="52DABEEC" w14:textId="73F333EF">
            <w:pPr>
              <w:pStyle w:val="naisc"/>
              <w:spacing w:before="0" w:after="0"/>
              <w:jc w:val="both"/>
              <w:rPr>
                <w:sz w:val="22"/>
                <w:szCs w:val="22"/>
                <w:lang w:eastAsia="en-US"/>
              </w:rPr>
            </w:pPr>
            <w:r w:rsidRPr="00E36116">
              <w:rPr>
                <w:sz w:val="22"/>
                <w:szCs w:val="22"/>
                <w:lang w:eastAsia="en-US"/>
              </w:rPr>
              <w:t>3.2.</w:t>
            </w:r>
            <w:r w:rsidR="00C51AD4">
              <w:rPr>
                <w:sz w:val="22"/>
                <w:szCs w:val="22"/>
                <w:lang w:eastAsia="en-US"/>
              </w:rPr>
              <w:t> </w:t>
            </w:r>
            <w:r w:rsidRPr="00E36116">
              <w:rPr>
                <w:sz w:val="22"/>
                <w:szCs w:val="22"/>
                <w:lang w:eastAsia="en-US"/>
              </w:rPr>
              <w:t>ārējam cietajam datora diskam kā procentuālu likmi no pirmās atsavināšanas cenas Latvijas teritorijā bez pievienotās vērtības nodokļa – 4 %;</w:t>
            </w:r>
          </w:p>
          <w:p w:rsidRPr="00793437" w:rsidR="00800C86" w:rsidP="00CA5C25" w:rsidRDefault="00800C86" w14:paraId="2CDB3E06" w14:textId="77777777">
            <w:pPr>
              <w:pStyle w:val="naisc"/>
              <w:spacing w:before="0" w:after="0"/>
              <w:jc w:val="both"/>
              <w:rPr>
                <w:sz w:val="22"/>
                <w:szCs w:val="22"/>
                <w:lang w:eastAsia="en-US"/>
              </w:rPr>
            </w:pPr>
            <w:r w:rsidRPr="00E36116">
              <w:rPr>
                <w:sz w:val="22"/>
                <w:szCs w:val="22"/>
                <w:lang w:eastAsia="en-US"/>
              </w:rPr>
              <w:t xml:space="preserve">3.3. visu veidu datoru cietajiem diskiem, ieskaitot HDD un SSD diskus, 2,85 </w:t>
            </w:r>
            <w:proofErr w:type="spellStart"/>
            <w:r w:rsidRPr="00793437">
              <w:rPr>
                <w:i/>
                <w:iCs/>
                <w:sz w:val="22"/>
                <w:szCs w:val="22"/>
                <w:lang w:eastAsia="en-US"/>
              </w:rPr>
              <w:t>euro</w:t>
            </w:r>
            <w:proofErr w:type="spellEnd"/>
            <w:r w:rsidRPr="00793437">
              <w:rPr>
                <w:sz w:val="22"/>
                <w:szCs w:val="22"/>
                <w:lang w:eastAsia="en-US"/>
              </w:rPr>
              <w:t xml:space="preserve"> apmērā par vienību.</w:t>
            </w:r>
          </w:p>
          <w:p w:rsidRPr="00793437" w:rsidR="00800C86" w:rsidP="00CA5C25" w:rsidRDefault="00800C86" w14:paraId="4FC0E7A3" w14:textId="77777777">
            <w:pPr>
              <w:pStyle w:val="naisc"/>
              <w:spacing w:before="0" w:after="0"/>
              <w:jc w:val="both"/>
              <w:rPr>
                <w:sz w:val="22"/>
                <w:szCs w:val="22"/>
                <w:lang w:eastAsia="en-US"/>
              </w:rPr>
            </w:pPr>
            <w:r w:rsidRPr="00793437">
              <w:rPr>
                <w:sz w:val="22"/>
                <w:szCs w:val="22"/>
                <w:lang w:eastAsia="en-US"/>
              </w:rPr>
              <w:t>4. Atlīdzību par reproducēšanai izmantojamām iekārtām maksā šādā apmērā:</w:t>
            </w:r>
          </w:p>
          <w:p w:rsidRPr="00793437" w:rsidR="00800C86" w:rsidP="00CA5C25" w:rsidRDefault="00800C86" w14:paraId="368328C3" w14:textId="4969D1CE">
            <w:pPr>
              <w:pStyle w:val="naisc"/>
              <w:spacing w:before="0" w:after="0"/>
              <w:jc w:val="both"/>
              <w:rPr>
                <w:sz w:val="22"/>
                <w:szCs w:val="22"/>
                <w:lang w:eastAsia="en-US"/>
              </w:rPr>
            </w:pPr>
            <w:r w:rsidRPr="003329AD">
              <w:rPr>
                <w:sz w:val="22"/>
                <w:szCs w:val="22"/>
                <w:lang w:eastAsia="en-US"/>
              </w:rPr>
              <w:t>4.1.</w:t>
            </w:r>
            <w:r w:rsidR="00122102">
              <w:rPr>
                <w:sz w:val="22"/>
                <w:szCs w:val="22"/>
                <w:lang w:eastAsia="en-US"/>
              </w:rPr>
              <w:t> </w:t>
            </w:r>
            <w:r w:rsidRPr="003329AD">
              <w:rPr>
                <w:sz w:val="22"/>
                <w:szCs w:val="22"/>
                <w:lang w:eastAsia="en-US"/>
              </w:rPr>
              <w:t xml:space="preserve">par visu veidu personālajiem datoriem, ieskaitot portatīvos datorus un planšetdatorus, 2,85 </w:t>
            </w:r>
            <w:proofErr w:type="spellStart"/>
            <w:r w:rsidRPr="00793437">
              <w:rPr>
                <w:i/>
                <w:iCs/>
                <w:sz w:val="22"/>
                <w:szCs w:val="22"/>
                <w:lang w:eastAsia="en-US"/>
              </w:rPr>
              <w:t>euro</w:t>
            </w:r>
            <w:proofErr w:type="spellEnd"/>
            <w:r w:rsidRPr="00793437">
              <w:rPr>
                <w:sz w:val="22"/>
                <w:szCs w:val="22"/>
                <w:lang w:eastAsia="en-US"/>
              </w:rPr>
              <w:t xml:space="preserve"> apmērā par vienību;</w:t>
            </w:r>
          </w:p>
          <w:p w:rsidRPr="00793437" w:rsidR="00800C86" w:rsidP="00CA5C25" w:rsidRDefault="00800C86" w14:paraId="449F83FC" w14:textId="058DF16D">
            <w:pPr>
              <w:rPr>
                <w:sz w:val="22"/>
                <w:szCs w:val="22"/>
                <w:lang w:eastAsia="en-US"/>
              </w:rPr>
            </w:pPr>
            <w:r w:rsidRPr="00793437">
              <w:rPr>
                <w:sz w:val="22"/>
                <w:szCs w:val="22"/>
                <w:lang w:eastAsia="en-US"/>
              </w:rPr>
              <w:t xml:space="preserve">4.2. par viedtālruņiem 1,5 </w:t>
            </w:r>
            <w:proofErr w:type="spellStart"/>
            <w:r w:rsidRPr="00793437">
              <w:rPr>
                <w:i/>
                <w:iCs/>
                <w:sz w:val="22"/>
                <w:szCs w:val="22"/>
                <w:lang w:eastAsia="en-US"/>
              </w:rPr>
              <w:t>euro</w:t>
            </w:r>
            <w:proofErr w:type="spellEnd"/>
            <w:r w:rsidRPr="00793437">
              <w:rPr>
                <w:sz w:val="22"/>
                <w:szCs w:val="22"/>
                <w:lang w:eastAsia="en-US"/>
              </w:rPr>
              <w:t xml:space="preserve"> apmērā par vienību.”</w:t>
            </w:r>
            <w:r w:rsidR="00793437">
              <w:rPr>
                <w:sz w:val="22"/>
                <w:szCs w:val="22"/>
                <w:lang w:eastAsia="en-US"/>
              </w:rPr>
              <w:t>”</w:t>
            </w:r>
          </w:p>
        </w:tc>
      </w:tr>
      <w:tr w:rsidRPr="00E36116" w:rsidR="00800C86" w:rsidTr="00793437" w14:paraId="32AD9F6B" w14:textId="77777777">
        <w:tc>
          <w:tcPr>
            <w:tcW w:w="226" w:type="pct"/>
            <w:tcBorders>
              <w:top w:val="single" w:color="000000" w:sz="6" w:space="0"/>
              <w:left w:val="single" w:color="000000" w:sz="6" w:space="0"/>
              <w:bottom w:val="single" w:color="000000" w:sz="6" w:space="0"/>
              <w:right w:val="single" w:color="000000" w:sz="6" w:space="0"/>
            </w:tcBorders>
          </w:tcPr>
          <w:p w:rsidRPr="00E36116" w:rsidR="00800C86" w:rsidP="00E36116" w:rsidRDefault="00A3415B" w14:paraId="0F1C5633" w14:textId="599E3D9C">
            <w:pPr>
              <w:pStyle w:val="naisc"/>
              <w:spacing w:before="0" w:after="0"/>
              <w:rPr>
                <w:sz w:val="22"/>
                <w:szCs w:val="22"/>
                <w:lang w:eastAsia="en-US"/>
              </w:rPr>
            </w:pPr>
            <w:r w:rsidRPr="00E36116">
              <w:rPr>
                <w:sz w:val="22"/>
                <w:szCs w:val="22"/>
                <w:lang w:eastAsia="en-US"/>
              </w:rPr>
              <w:lastRenderedPageBreak/>
              <w:t>2.</w:t>
            </w:r>
          </w:p>
        </w:tc>
        <w:tc>
          <w:tcPr>
            <w:tcW w:w="1079" w:type="pct"/>
            <w:tcBorders>
              <w:top w:val="single" w:color="000000" w:sz="6" w:space="0"/>
              <w:left w:val="single" w:color="000000" w:sz="6" w:space="0"/>
              <w:bottom w:val="single" w:color="000000" w:sz="6" w:space="0"/>
              <w:right w:val="single" w:color="000000" w:sz="6" w:space="0"/>
            </w:tcBorders>
          </w:tcPr>
          <w:p w:rsidRPr="00793437" w:rsidR="00800C86" w:rsidP="00CA5C25" w:rsidRDefault="00BA2893" w14:paraId="0BA62825" w14:textId="7BA29749">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sidR="00800C86">
              <w:rPr>
                <w:sz w:val="22"/>
                <w:szCs w:val="22"/>
              </w:rPr>
              <w:t>rojekta 1.4.apakšpunkts:</w:t>
            </w:r>
          </w:p>
          <w:p w:rsidR="00BA2893" w:rsidP="00BA2893" w:rsidRDefault="00BA2893" w14:paraId="56381000" w14:textId="77777777">
            <w:pPr>
              <w:jc w:val="both"/>
              <w:rPr>
                <w:sz w:val="22"/>
                <w:szCs w:val="22"/>
              </w:rPr>
            </w:pPr>
          </w:p>
          <w:p w:rsidRPr="00793437" w:rsidR="00800C86" w:rsidP="00CA5C25" w:rsidRDefault="00BA2893" w14:paraId="6AA6E615" w14:textId="2792C85A">
            <w:pPr>
              <w:jc w:val="both"/>
              <w:rPr>
                <w:sz w:val="22"/>
                <w:szCs w:val="22"/>
              </w:rPr>
            </w:pPr>
            <w:r w:rsidRPr="00793437">
              <w:rPr>
                <w:sz w:val="22"/>
                <w:szCs w:val="22"/>
              </w:rPr>
              <w:t>„</w:t>
            </w:r>
            <w:r w:rsidRPr="00793437" w:rsidR="00800C86">
              <w:rPr>
                <w:sz w:val="22"/>
                <w:szCs w:val="22"/>
              </w:rPr>
              <w:t>1.4. papildināt noteikumus ar 5.</w:t>
            </w:r>
            <w:r w:rsidRPr="00793437" w:rsidR="00800C86">
              <w:rPr>
                <w:sz w:val="22"/>
                <w:szCs w:val="22"/>
                <w:vertAlign w:val="superscript"/>
              </w:rPr>
              <w:t>1</w:t>
            </w:r>
            <w:r w:rsidRPr="00793437" w:rsidR="00800C86">
              <w:rPr>
                <w:sz w:val="22"/>
                <w:szCs w:val="22"/>
              </w:rPr>
              <w:t xml:space="preserve"> un 5.</w:t>
            </w:r>
            <w:r w:rsidRPr="00793437" w:rsidR="00800C86">
              <w:rPr>
                <w:sz w:val="22"/>
                <w:szCs w:val="22"/>
                <w:vertAlign w:val="superscript"/>
              </w:rPr>
              <w:t>2</w:t>
            </w:r>
            <w:r w:rsidRPr="00793437" w:rsidR="00800C86">
              <w:rPr>
                <w:sz w:val="22"/>
                <w:szCs w:val="22"/>
              </w:rPr>
              <w:t xml:space="preserve"> punktu šādā redakcijā:</w:t>
            </w:r>
          </w:p>
          <w:p w:rsidRPr="00E36116" w:rsidR="00800C86" w:rsidP="00CA5C25" w:rsidRDefault="00800C86" w14:paraId="1FD59962" w14:textId="77777777">
            <w:pPr>
              <w:jc w:val="both"/>
              <w:rPr>
                <w:sz w:val="22"/>
                <w:szCs w:val="22"/>
                <w:vertAlign w:val="superscript"/>
              </w:rPr>
            </w:pPr>
            <w:r w:rsidRPr="00793437">
              <w:rPr>
                <w:sz w:val="22"/>
                <w:szCs w:val="22"/>
              </w:rPr>
              <w:t>„5.</w:t>
            </w:r>
            <w:r w:rsidRPr="00793437">
              <w:rPr>
                <w:sz w:val="22"/>
                <w:szCs w:val="22"/>
                <w:vertAlign w:val="superscript"/>
              </w:rPr>
              <w:t xml:space="preserve">1 </w:t>
            </w:r>
            <w:r w:rsidRPr="00793437">
              <w:rPr>
                <w:sz w:val="22"/>
                <w:szCs w:val="22"/>
              </w:rPr>
              <w:t xml:space="preserve">Organizācija ir tiesīga izslēgt personu no maksātāju </w:t>
            </w:r>
            <w:r w:rsidRPr="00793437">
              <w:rPr>
                <w:sz w:val="22"/>
                <w:szCs w:val="22"/>
              </w:rPr>
              <w:lastRenderedPageBreak/>
              <w:t>reģistra, par to paziņojot</w:t>
            </w:r>
            <w:r w:rsidRPr="00E36116">
              <w:rPr>
                <w:sz w:val="22"/>
                <w:szCs w:val="22"/>
              </w:rPr>
              <w:t xml:space="preserve"> adresātam, ja:</w:t>
            </w:r>
          </w:p>
          <w:p w:rsidRPr="00E36116" w:rsidR="00800C86" w:rsidP="00CA5C25" w:rsidRDefault="00800C86" w14:paraId="13BFEF27" w14:textId="77777777">
            <w:pPr>
              <w:jc w:val="both"/>
              <w:rPr>
                <w:sz w:val="22"/>
                <w:szCs w:val="22"/>
              </w:rPr>
            </w:pPr>
            <w:r w:rsidRPr="00E36116">
              <w:rPr>
                <w:sz w:val="22"/>
                <w:szCs w:val="22"/>
              </w:rPr>
              <w:t>5.</w:t>
            </w:r>
            <w:r w:rsidRPr="00E36116">
              <w:rPr>
                <w:sz w:val="22"/>
                <w:szCs w:val="22"/>
                <w:vertAlign w:val="superscript"/>
              </w:rPr>
              <w:t>1</w:t>
            </w:r>
            <w:r w:rsidRPr="00E36116">
              <w:rPr>
                <w:sz w:val="22"/>
                <w:szCs w:val="22"/>
              </w:rPr>
              <w:t>.1. tā noteiktā termiņā nesniedz šo noteikumu 6.punktā minēto informāciju;</w:t>
            </w:r>
          </w:p>
          <w:p w:rsidRPr="00E36116" w:rsidR="00800C86" w:rsidP="00CA5C25" w:rsidRDefault="00800C86" w14:paraId="6035FCB5" w14:textId="04C1A412">
            <w:pPr>
              <w:jc w:val="both"/>
              <w:rPr>
                <w:sz w:val="22"/>
                <w:szCs w:val="22"/>
              </w:rPr>
            </w:pPr>
            <w:r w:rsidRPr="00E36116">
              <w:rPr>
                <w:sz w:val="22"/>
                <w:szCs w:val="22"/>
              </w:rPr>
              <w:t>5.</w:t>
            </w:r>
            <w:r w:rsidRPr="00E36116">
              <w:rPr>
                <w:sz w:val="22"/>
                <w:szCs w:val="22"/>
                <w:vertAlign w:val="superscript"/>
              </w:rPr>
              <w:t>1</w:t>
            </w:r>
            <w:r w:rsidRPr="00E36116">
              <w:rPr>
                <w:sz w:val="22"/>
                <w:szCs w:val="22"/>
              </w:rPr>
              <w:t>.2. tā nepilda šo noteikumu 26.punktā noteiktos pienākumus.</w:t>
            </w:r>
          </w:p>
          <w:p w:rsidRPr="00E36116" w:rsidR="00800C86" w:rsidP="00CA5C25" w:rsidRDefault="00800C86" w14:paraId="122C8F30" w14:textId="77777777">
            <w:pPr>
              <w:jc w:val="both"/>
              <w:rPr>
                <w:sz w:val="22"/>
                <w:szCs w:val="22"/>
              </w:rPr>
            </w:pPr>
          </w:p>
          <w:p w:rsidRPr="00793437" w:rsidR="00800C86" w:rsidP="00CA5C25" w:rsidRDefault="00800C86" w14:paraId="4D23AB82" w14:textId="0AAA8B46">
            <w:pPr>
              <w:jc w:val="both"/>
              <w:rPr>
                <w:sz w:val="22"/>
                <w:szCs w:val="22"/>
              </w:rPr>
            </w:pPr>
            <w:r w:rsidRPr="00E36116">
              <w:rPr>
                <w:sz w:val="22"/>
                <w:szCs w:val="22"/>
              </w:rPr>
              <w:t>5.</w:t>
            </w:r>
            <w:r w:rsidRPr="00E36116">
              <w:rPr>
                <w:sz w:val="22"/>
                <w:szCs w:val="22"/>
                <w:vertAlign w:val="superscript"/>
              </w:rPr>
              <w:t>2</w:t>
            </w:r>
            <w:r w:rsidRPr="00E36116">
              <w:rPr>
                <w:sz w:val="22"/>
                <w:szCs w:val="22"/>
              </w:rPr>
              <w:t xml:space="preserve"> Persona, kas izslēgta no maksātāju reģistra, var apstrīdēt organizācijas lēmumu Kultūras ministrijā mēneša laikā pēc lēmuma paziņošanas.”</w:t>
            </w:r>
            <w:r w:rsidR="00793437">
              <w:rPr>
                <w:sz w:val="22"/>
                <w:szCs w:val="22"/>
              </w:rPr>
              <w:t>”</w:t>
            </w:r>
          </w:p>
        </w:tc>
        <w:tc>
          <w:tcPr>
            <w:tcW w:w="1450" w:type="pct"/>
            <w:tcBorders>
              <w:top w:val="single" w:color="000000" w:sz="6" w:space="0"/>
              <w:left w:val="single" w:color="000000" w:sz="6" w:space="0"/>
              <w:bottom w:val="single" w:color="000000" w:sz="6" w:space="0"/>
              <w:right w:val="single" w:color="000000" w:sz="6" w:space="0"/>
            </w:tcBorders>
          </w:tcPr>
          <w:p w:rsidRPr="00793437" w:rsidR="00800C86" w:rsidP="00CA5C25" w:rsidRDefault="00800C86" w14:paraId="22D9D467" w14:textId="451CEFD9">
            <w:pPr>
              <w:rPr>
                <w:b/>
                <w:sz w:val="22"/>
                <w:szCs w:val="22"/>
              </w:rPr>
            </w:pPr>
            <w:r w:rsidRPr="00793437">
              <w:rPr>
                <w:b/>
                <w:sz w:val="22"/>
                <w:szCs w:val="22"/>
              </w:rPr>
              <w:lastRenderedPageBreak/>
              <w:t>Tieslietu ministrija</w:t>
            </w:r>
            <w:r w:rsidR="00D64A39">
              <w:rPr>
                <w:b/>
                <w:sz w:val="22"/>
                <w:szCs w:val="22"/>
              </w:rPr>
              <w:t>:</w:t>
            </w:r>
          </w:p>
          <w:p w:rsidRPr="00E36116" w:rsidR="00800C86" w:rsidP="00CA5C25" w:rsidRDefault="00800C86" w14:paraId="6C7770EB" w14:textId="022A38CB">
            <w:pPr>
              <w:jc w:val="both"/>
              <w:rPr>
                <w:sz w:val="22"/>
                <w:szCs w:val="22"/>
                <w:lang w:eastAsia="en-US"/>
              </w:rPr>
            </w:pPr>
            <w:r w:rsidRPr="00793437">
              <w:rPr>
                <w:bCs/>
                <w:sz w:val="22"/>
                <w:szCs w:val="22"/>
              </w:rPr>
              <w:t>Projekta 1.4. apakšpunkts paredz papildināt MK noteikumus Nr. 321 ar 5.</w:t>
            </w:r>
            <w:r w:rsidRPr="00793437">
              <w:rPr>
                <w:bCs/>
                <w:sz w:val="22"/>
                <w:szCs w:val="22"/>
                <w:vertAlign w:val="superscript"/>
              </w:rPr>
              <w:t>1</w:t>
            </w:r>
            <w:r w:rsidRPr="00793437">
              <w:rPr>
                <w:bCs/>
                <w:sz w:val="22"/>
                <w:szCs w:val="22"/>
              </w:rPr>
              <w:t xml:space="preserve"> punktu, nosakot, ka o</w:t>
            </w:r>
            <w:r w:rsidRPr="00E36116">
              <w:rPr>
                <w:sz w:val="22"/>
                <w:szCs w:val="22"/>
              </w:rPr>
              <w:t xml:space="preserve">rganizācija ir tiesīga izslēgt </w:t>
            </w:r>
            <w:r w:rsidRPr="00E36116">
              <w:rPr>
                <w:sz w:val="22"/>
                <w:szCs w:val="22"/>
                <w:u w:val="single"/>
              </w:rPr>
              <w:t>personu</w:t>
            </w:r>
            <w:r w:rsidRPr="00E36116">
              <w:rPr>
                <w:sz w:val="22"/>
                <w:szCs w:val="22"/>
              </w:rPr>
              <w:t xml:space="preserve"> no maksātāju reģistra, par to paziņojot adresātam, ja tā noteiktā termiņā nesniedz šo noteikumu 6. punktā minēto informāciju vai tā nepilda šo noteikumu 26. </w:t>
            </w:r>
            <w:r w:rsidRPr="00E36116">
              <w:rPr>
                <w:sz w:val="22"/>
                <w:szCs w:val="22"/>
              </w:rPr>
              <w:lastRenderedPageBreak/>
              <w:t>punktā noteiktos pienākumus.</w:t>
            </w:r>
            <w:r w:rsidRPr="00E36116">
              <w:rPr>
                <w:sz w:val="22"/>
                <w:szCs w:val="22"/>
                <w:vertAlign w:val="superscript"/>
              </w:rPr>
              <w:t xml:space="preserve"> </w:t>
            </w:r>
            <w:r w:rsidRPr="00E36116">
              <w:rPr>
                <w:sz w:val="22"/>
                <w:szCs w:val="22"/>
              </w:rPr>
              <w:t>Norādām, ka atbilstoši MK noteikumu Nr. 321 5. punktam tiek lietots termins "izgatavotājs" un "ievedējs", nevis "persona". Ievērojot minēto, līdzam precizēt projekta 1.4.apakšpunktā lietoto terminoloģiju.</w:t>
            </w:r>
          </w:p>
        </w:tc>
        <w:tc>
          <w:tcPr>
            <w:tcW w:w="1158" w:type="pct"/>
            <w:tcBorders>
              <w:top w:val="single" w:color="000000" w:sz="6" w:space="0"/>
              <w:left w:val="single" w:color="000000" w:sz="6" w:space="0"/>
              <w:bottom w:val="single" w:color="000000" w:sz="6" w:space="0"/>
              <w:right w:val="single" w:color="000000" w:sz="6" w:space="0"/>
            </w:tcBorders>
          </w:tcPr>
          <w:p w:rsidRPr="00E36116" w:rsidR="00800C86" w:rsidRDefault="00800C86" w14:paraId="3D33C748" w14:textId="28D178DF">
            <w:pPr>
              <w:pStyle w:val="naisc"/>
              <w:spacing w:before="0" w:after="0"/>
              <w:ind w:firstLine="288"/>
              <w:rPr>
                <w:sz w:val="22"/>
                <w:szCs w:val="22"/>
                <w:lang w:eastAsia="en-US"/>
              </w:rPr>
            </w:pPr>
            <w:r w:rsidRPr="00E36116">
              <w:rPr>
                <w:b/>
                <w:sz w:val="22"/>
                <w:szCs w:val="22"/>
                <w:lang w:eastAsia="en-US"/>
              </w:rPr>
              <w:lastRenderedPageBreak/>
              <w:t>Ņemts vērā</w:t>
            </w:r>
          </w:p>
        </w:tc>
        <w:tc>
          <w:tcPr>
            <w:tcW w:w="1087" w:type="pct"/>
            <w:tcBorders>
              <w:top w:val="single" w:color="auto" w:sz="4" w:space="0"/>
              <w:left w:val="single" w:color="auto" w:sz="4" w:space="0"/>
              <w:bottom w:val="single" w:color="auto" w:sz="4" w:space="0"/>
              <w:right w:val="single" w:color="auto" w:sz="4" w:space="0"/>
            </w:tcBorders>
          </w:tcPr>
          <w:p w:rsidRPr="00E36116" w:rsidR="00800C86" w:rsidP="00CA5C25" w:rsidRDefault="00246C37" w14:paraId="3B4E3BE2" w14:textId="0716D48A">
            <w:pPr>
              <w:jc w:val="both"/>
              <w:rPr>
                <w:sz w:val="22"/>
                <w:szCs w:val="22"/>
                <w:lang w:eastAsia="en-US"/>
              </w:rPr>
            </w:pPr>
            <w:r w:rsidRPr="00E36116">
              <w:rPr>
                <w:sz w:val="22"/>
                <w:szCs w:val="22"/>
                <w:lang w:eastAsia="en-US"/>
              </w:rPr>
              <w:t xml:space="preserve">Precizēts </w:t>
            </w:r>
            <w:r w:rsidRPr="00903684" w:rsidR="00BA2893">
              <w:rPr>
                <w:sz w:val="22"/>
                <w:szCs w:val="22"/>
              </w:rPr>
              <w:t>Ministru kabineta noteikumu</w:t>
            </w:r>
            <w:r w:rsidRPr="00793437" w:rsidR="00BA2893">
              <w:rPr>
                <w:sz w:val="22"/>
                <w:szCs w:val="22"/>
              </w:rPr>
              <w:t xml:space="preserve"> </w:t>
            </w:r>
            <w:r w:rsidR="00BA2893">
              <w:rPr>
                <w:sz w:val="22"/>
                <w:szCs w:val="22"/>
                <w:lang w:eastAsia="en-US"/>
              </w:rPr>
              <w:t>p</w:t>
            </w:r>
            <w:r w:rsidRPr="00E36116" w:rsidR="00800C86">
              <w:rPr>
                <w:sz w:val="22"/>
                <w:szCs w:val="22"/>
                <w:lang w:eastAsia="en-US"/>
              </w:rPr>
              <w:t>rojekta 1.4.apakšpunkts šādā redakcijā:</w:t>
            </w:r>
          </w:p>
          <w:p w:rsidR="00BA2893" w:rsidP="00BA2893" w:rsidRDefault="00BA2893" w14:paraId="7F5B902F" w14:textId="77777777">
            <w:pPr>
              <w:jc w:val="both"/>
              <w:rPr>
                <w:sz w:val="22"/>
                <w:szCs w:val="22"/>
                <w:lang w:eastAsia="en-US"/>
              </w:rPr>
            </w:pPr>
          </w:p>
          <w:p w:rsidRPr="00E36116" w:rsidR="00800C86" w:rsidP="00CA5C25" w:rsidRDefault="00BA2893" w14:paraId="00ABDE5F" w14:textId="11E46E3A">
            <w:pPr>
              <w:jc w:val="both"/>
              <w:rPr>
                <w:sz w:val="22"/>
                <w:szCs w:val="22"/>
              </w:rPr>
            </w:pPr>
            <w:r w:rsidRPr="00793437">
              <w:rPr>
                <w:sz w:val="22"/>
                <w:szCs w:val="22"/>
              </w:rPr>
              <w:t>„</w:t>
            </w:r>
            <w:r w:rsidRPr="00E36116" w:rsidR="00800C86">
              <w:rPr>
                <w:sz w:val="22"/>
                <w:szCs w:val="22"/>
              </w:rPr>
              <w:t>1.4. papildināt noteikumus ar 5.</w:t>
            </w:r>
            <w:r w:rsidRPr="00E36116" w:rsidR="00800C86">
              <w:rPr>
                <w:sz w:val="22"/>
                <w:szCs w:val="22"/>
                <w:vertAlign w:val="superscript"/>
              </w:rPr>
              <w:t>1</w:t>
            </w:r>
            <w:r w:rsidRPr="00E36116" w:rsidR="00800C86">
              <w:rPr>
                <w:sz w:val="22"/>
                <w:szCs w:val="22"/>
              </w:rPr>
              <w:t xml:space="preserve"> un 5.</w:t>
            </w:r>
            <w:r w:rsidRPr="00E36116" w:rsidR="00800C86">
              <w:rPr>
                <w:sz w:val="22"/>
                <w:szCs w:val="22"/>
                <w:vertAlign w:val="superscript"/>
              </w:rPr>
              <w:t>2</w:t>
            </w:r>
            <w:r w:rsidRPr="00E36116" w:rsidR="00800C86">
              <w:rPr>
                <w:sz w:val="22"/>
                <w:szCs w:val="22"/>
              </w:rPr>
              <w:t xml:space="preserve"> punktu šādā redakcijā:</w:t>
            </w:r>
          </w:p>
          <w:p w:rsidRPr="00E36116" w:rsidR="00800C86" w:rsidP="00CA5C25" w:rsidRDefault="00800C86" w14:paraId="5C7EA2F3" w14:textId="77777777">
            <w:pPr>
              <w:jc w:val="both"/>
              <w:rPr>
                <w:sz w:val="22"/>
                <w:szCs w:val="22"/>
                <w:vertAlign w:val="superscript"/>
              </w:rPr>
            </w:pPr>
            <w:r w:rsidRPr="00E36116">
              <w:rPr>
                <w:sz w:val="22"/>
                <w:szCs w:val="22"/>
              </w:rPr>
              <w:t>„5.</w:t>
            </w:r>
            <w:r w:rsidRPr="00E36116">
              <w:rPr>
                <w:sz w:val="22"/>
                <w:szCs w:val="22"/>
                <w:vertAlign w:val="superscript"/>
              </w:rPr>
              <w:t xml:space="preserve">1 </w:t>
            </w:r>
            <w:r w:rsidRPr="00E36116">
              <w:rPr>
                <w:sz w:val="22"/>
                <w:szCs w:val="22"/>
              </w:rPr>
              <w:t xml:space="preserve">Organizācija ir tiesīga izslēgt izgatavotāju vai ievedēju </w:t>
            </w:r>
            <w:r w:rsidRPr="00E36116">
              <w:rPr>
                <w:sz w:val="22"/>
                <w:szCs w:val="22"/>
              </w:rPr>
              <w:lastRenderedPageBreak/>
              <w:t>no maksātāju reģistra, par to paziņojot adresātam, ja:</w:t>
            </w:r>
          </w:p>
          <w:p w:rsidRPr="00E36116" w:rsidR="00800C86" w:rsidP="00CA5C25" w:rsidRDefault="00800C86" w14:paraId="679CB3A0" w14:textId="77777777">
            <w:pPr>
              <w:jc w:val="both"/>
              <w:rPr>
                <w:sz w:val="22"/>
                <w:szCs w:val="22"/>
              </w:rPr>
            </w:pPr>
            <w:r w:rsidRPr="00E36116">
              <w:rPr>
                <w:sz w:val="22"/>
                <w:szCs w:val="22"/>
              </w:rPr>
              <w:t>5.</w:t>
            </w:r>
            <w:r w:rsidRPr="00E36116">
              <w:rPr>
                <w:sz w:val="22"/>
                <w:szCs w:val="22"/>
                <w:vertAlign w:val="superscript"/>
              </w:rPr>
              <w:t>1</w:t>
            </w:r>
            <w:r w:rsidRPr="00E36116">
              <w:rPr>
                <w:sz w:val="22"/>
                <w:szCs w:val="22"/>
              </w:rPr>
              <w:t>.1. tas noteiktā termiņā nesniedz šo noteikumu 6.punktā minēto informāciju;</w:t>
            </w:r>
          </w:p>
          <w:p w:rsidRPr="00E36116" w:rsidR="00800C86" w:rsidP="00CA5C25" w:rsidRDefault="00800C86" w14:paraId="41A4D0D6" w14:textId="4B58F442">
            <w:pPr>
              <w:jc w:val="both"/>
              <w:rPr>
                <w:sz w:val="22"/>
                <w:szCs w:val="22"/>
              </w:rPr>
            </w:pPr>
            <w:r w:rsidRPr="00E36116">
              <w:rPr>
                <w:sz w:val="22"/>
                <w:szCs w:val="22"/>
              </w:rPr>
              <w:t>5.</w:t>
            </w:r>
            <w:r w:rsidRPr="00E36116">
              <w:rPr>
                <w:sz w:val="22"/>
                <w:szCs w:val="22"/>
                <w:vertAlign w:val="superscript"/>
              </w:rPr>
              <w:t>1</w:t>
            </w:r>
            <w:r w:rsidRPr="00E36116">
              <w:rPr>
                <w:sz w:val="22"/>
                <w:szCs w:val="22"/>
              </w:rPr>
              <w:t>.2. tas nepilda šo noteikumu 26.punktā noteiktos pienākumus.</w:t>
            </w:r>
          </w:p>
          <w:p w:rsidRPr="00E36116" w:rsidR="00800C86" w:rsidP="00CA5C25" w:rsidRDefault="00800C86" w14:paraId="2E9F5D52" w14:textId="77777777">
            <w:pPr>
              <w:jc w:val="both"/>
              <w:rPr>
                <w:sz w:val="22"/>
                <w:szCs w:val="22"/>
              </w:rPr>
            </w:pPr>
          </w:p>
          <w:p w:rsidRPr="00793437" w:rsidR="00800C86" w:rsidP="00CA5C25" w:rsidRDefault="00800C86" w14:paraId="0670DBD1" w14:textId="55658C94">
            <w:pPr>
              <w:jc w:val="both"/>
              <w:rPr>
                <w:sz w:val="22"/>
                <w:szCs w:val="22"/>
              </w:rPr>
            </w:pPr>
            <w:r w:rsidRPr="00E36116">
              <w:rPr>
                <w:sz w:val="22"/>
                <w:szCs w:val="22"/>
              </w:rPr>
              <w:t>5.</w:t>
            </w:r>
            <w:r w:rsidRPr="00E36116">
              <w:rPr>
                <w:sz w:val="22"/>
                <w:szCs w:val="22"/>
                <w:vertAlign w:val="superscript"/>
              </w:rPr>
              <w:t>2</w:t>
            </w:r>
            <w:r w:rsidRPr="00E36116">
              <w:rPr>
                <w:sz w:val="22"/>
                <w:szCs w:val="22"/>
              </w:rPr>
              <w:t xml:space="preserve"> </w:t>
            </w:r>
            <w:r w:rsidRPr="00E36116" w:rsidR="00045E90">
              <w:rPr>
                <w:sz w:val="22"/>
                <w:szCs w:val="22"/>
              </w:rPr>
              <w:t>Izgatavotājs vai ievedējs, kas izslēgts no maksātāju reģistra, var iesniegt ziņojumu par organizācijas darbību Kultūras ministrijā mēneša laikā pēc informācijas par izslēgšanu no maksātāju reģistra paziņošanas</w:t>
            </w:r>
            <w:r w:rsidRPr="00E36116">
              <w:rPr>
                <w:sz w:val="22"/>
                <w:szCs w:val="22"/>
              </w:rPr>
              <w:t>.”</w:t>
            </w:r>
            <w:r w:rsidR="00793437">
              <w:rPr>
                <w:sz w:val="22"/>
                <w:szCs w:val="22"/>
              </w:rPr>
              <w:t>”</w:t>
            </w:r>
          </w:p>
        </w:tc>
      </w:tr>
      <w:tr w:rsidRPr="00E36116" w:rsidR="00800C86" w:rsidTr="00793437" w14:paraId="7ADA8DB2" w14:textId="77777777">
        <w:tc>
          <w:tcPr>
            <w:tcW w:w="226" w:type="pct"/>
            <w:tcBorders>
              <w:top w:val="single" w:color="000000" w:sz="6" w:space="0"/>
              <w:left w:val="single" w:color="000000" w:sz="6" w:space="0"/>
              <w:bottom w:val="single" w:color="000000" w:sz="6" w:space="0"/>
              <w:right w:val="single" w:color="000000" w:sz="6" w:space="0"/>
            </w:tcBorders>
          </w:tcPr>
          <w:p w:rsidRPr="00E36116" w:rsidR="00800C86" w:rsidP="00E36116" w:rsidRDefault="00A3415B" w14:paraId="38194C2A" w14:textId="0A6EB2CD">
            <w:pPr>
              <w:pStyle w:val="naisc"/>
              <w:spacing w:before="0" w:after="0"/>
              <w:rPr>
                <w:sz w:val="22"/>
                <w:szCs w:val="22"/>
                <w:lang w:eastAsia="en-US"/>
              </w:rPr>
            </w:pPr>
            <w:r w:rsidRPr="00E36116">
              <w:rPr>
                <w:sz w:val="22"/>
                <w:szCs w:val="22"/>
                <w:lang w:eastAsia="en-US"/>
              </w:rPr>
              <w:lastRenderedPageBreak/>
              <w:t>3.</w:t>
            </w:r>
          </w:p>
        </w:tc>
        <w:tc>
          <w:tcPr>
            <w:tcW w:w="1079" w:type="pct"/>
            <w:tcBorders>
              <w:top w:val="single" w:color="000000" w:sz="6" w:space="0"/>
              <w:left w:val="single" w:color="000000" w:sz="6" w:space="0"/>
              <w:bottom w:val="single" w:color="000000" w:sz="6" w:space="0"/>
              <w:right w:val="single" w:color="000000" w:sz="6" w:space="0"/>
            </w:tcBorders>
          </w:tcPr>
          <w:p w:rsidRPr="00793437" w:rsidR="00800C86" w:rsidP="00CA5C25" w:rsidRDefault="00BA2893" w14:paraId="45466FE1" w14:textId="0365747A">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E36116" w:rsidR="00800C86">
              <w:rPr>
                <w:sz w:val="22"/>
                <w:szCs w:val="22"/>
              </w:rPr>
              <w:t>rojekta 1.4.apakšpunkts (Noteikumu 5.</w:t>
            </w:r>
            <w:r w:rsidRPr="00793437" w:rsidR="00800C86">
              <w:rPr>
                <w:sz w:val="22"/>
                <w:szCs w:val="22"/>
                <w:vertAlign w:val="superscript"/>
              </w:rPr>
              <w:t xml:space="preserve">2 </w:t>
            </w:r>
            <w:r w:rsidRPr="00793437" w:rsidR="00800C86">
              <w:rPr>
                <w:sz w:val="22"/>
                <w:szCs w:val="22"/>
              </w:rPr>
              <w:t>punkts</w:t>
            </w:r>
            <w:r>
              <w:rPr>
                <w:sz w:val="22"/>
                <w:szCs w:val="22"/>
              </w:rPr>
              <w:t>)</w:t>
            </w:r>
            <w:r w:rsidRPr="00793437" w:rsidR="00800C86">
              <w:rPr>
                <w:sz w:val="22"/>
                <w:szCs w:val="22"/>
              </w:rPr>
              <w:t>:</w:t>
            </w:r>
          </w:p>
          <w:p w:rsidR="00BA2893" w:rsidP="00BA2893" w:rsidRDefault="00BA2893" w14:paraId="561379B0" w14:textId="77777777">
            <w:pPr>
              <w:jc w:val="both"/>
              <w:rPr>
                <w:sz w:val="22"/>
                <w:szCs w:val="22"/>
              </w:rPr>
            </w:pPr>
          </w:p>
          <w:p w:rsidRPr="00793437" w:rsidR="00800C86" w:rsidP="00CA5C25" w:rsidRDefault="00D15686" w14:paraId="3D8BC957" w14:textId="663211C8">
            <w:pPr>
              <w:jc w:val="both"/>
              <w:rPr>
                <w:sz w:val="22"/>
                <w:szCs w:val="22"/>
              </w:rPr>
            </w:pPr>
            <w:r w:rsidRPr="00793437">
              <w:rPr>
                <w:sz w:val="22"/>
                <w:szCs w:val="22"/>
              </w:rPr>
              <w:t>„</w:t>
            </w:r>
            <w:r>
              <w:rPr>
                <w:sz w:val="22"/>
                <w:szCs w:val="22"/>
              </w:rPr>
              <w:t>1.4.</w:t>
            </w:r>
            <w:r w:rsidRPr="00793437" w:rsidDel="00D15686">
              <w:rPr>
                <w:sz w:val="22"/>
                <w:szCs w:val="22"/>
              </w:rPr>
              <w:t xml:space="preserve"> </w:t>
            </w:r>
            <w:r w:rsidRPr="00793437" w:rsidR="00800C86">
              <w:rPr>
                <w:sz w:val="22"/>
                <w:szCs w:val="22"/>
              </w:rPr>
              <w:t>5.</w:t>
            </w:r>
            <w:r w:rsidRPr="00793437" w:rsidR="00800C86">
              <w:rPr>
                <w:sz w:val="22"/>
                <w:szCs w:val="22"/>
                <w:vertAlign w:val="superscript"/>
              </w:rPr>
              <w:t>2</w:t>
            </w:r>
            <w:r w:rsidRPr="00793437" w:rsidR="00800C86">
              <w:rPr>
                <w:sz w:val="22"/>
                <w:szCs w:val="22"/>
              </w:rPr>
              <w:t xml:space="preserve"> Persona, kas izslēgta no maksātāju reģistra, var apstrīdēt organizācijas lēmumu Kultūras ministrijā mēneša laikā pēc lēmuma paziņošanas.”</w:t>
            </w:r>
          </w:p>
        </w:tc>
        <w:tc>
          <w:tcPr>
            <w:tcW w:w="1450" w:type="pct"/>
            <w:tcBorders>
              <w:top w:val="single" w:color="000000" w:sz="6" w:space="0"/>
              <w:left w:val="single" w:color="000000" w:sz="6" w:space="0"/>
              <w:bottom w:val="single" w:color="000000" w:sz="6" w:space="0"/>
              <w:right w:val="single" w:color="000000" w:sz="6" w:space="0"/>
            </w:tcBorders>
          </w:tcPr>
          <w:p w:rsidRPr="00793437" w:rsidR="00800C86" w:rsidP="00CA5C25" w:rsidRDefault="00800C86" w14:paraId="00FBA44E" w14:textId="6CFD37B2">
            <w:pPr>
              <w:rPr>
                <w:b/>
                <w:sz w:val="22"/>
                <w:szCs w:val="22"/>
              </w:rPr>
            </w:pPr>
            <w:r w:rsidRPr="00793437">
              <w:rPr>
                <w:b/>
                <w:sz w:val="22"/>
                <w:szCs w:val="22"/>
              </w:rPr>
              <w:t>Tieslietu ministrija</w:t>
            </w:r>
            <w:r w:rsidR="00D64A39">
              <w:rPr>
                <w:b/>
                <w:sz w:val="22"/>
                <w:szCs w:val="22"/>
              </w:rPr>
              <w:t>:</w:t>
            </w:r>
          </w:p>
          <w:p w:rsidRPr="00E36116" w:rsidR="00800C86" w:rsidP="00CA5C25" w:rsidRDefault="00800C86" w14:paraId="36B7DF87" w14:textId="50DAEFDE">
            <w:pPr>
              <w:jc w:val="both"/>
              <w:rPr>
                <w:b/>
                <w:sz w:val="22"/>
                <w:szCs w:val="22"/>
              </w:rPr>
            </w:pPr>
            <w:r w:rsidRPr="00793437">
              <w:rPr>
                <w:bCs/>
                <w:sz w:val="22"/>
                <w:szCs w:val="22"/>
              </w:rPr>
              <w:t>Atbilstoši projekta 1.4. apakšpunktam, kas p</w:t>
            </w:r>
            <w:r w:rsidRPr="00E36116">
              <w:rPr>
                <w:bCs/>
                <w:sz w:val="22"/>
                <w:szCs w:val="22"/>
              </w:rPr>
              <w:t>aredz papildināt MK noteikumus Nr. 321 ar 5.</w:t>
            </w:r>
            <w:r w:rsidRPr="00E36116">
              <w:rPr>
                <w:bCs/>
                <w:sz w:val="22"/>
                <w:szCs w:val="22"/>
                <w:vertAlign w:val="superscript"/>
              </w:rPr>
              <w:t>2</w:t>
            </w:r>
            <w:r w:rsidRPr="00E36116">
              <w:rPr>
                <w:bCs/>
                <w:sz w:val="22"/>
                <w:szCs w:val="22"/>
              </w:rPr>
              <w:t xml:space="preserve"> punktu, p</w:t>
            </w:r>
            <w:r w:rsidRPr="00E36116">
              <w:rPr>
                <w:sz w:val="22"/>
                <w:szCs w:val="22"/>
              </w:rPr>
              <w:t>ersona, kas izslēgta no maksātāju reģistra, var apstrīdēt organizācijas lēmumu Kultūras ministrijā mēneša laikā pēc lēmuma paziņošanas. Lūdzam papildināt projekta anotāciju ar skaidrojumu par organizācijas tiesībām izdot administratīvo aktu, kā arī norādīt normatīvo aktu, kurā šādas tiesības ir paredzētas.</w:t>
            </w:r>
          </w:p>
        </w:tc>
        <w:tc>
          <w:tcPr>
            <w:tcW w:w="1158" w:type="pct"/>
            <w:tcBorders>
              <w:top w:val="single" w:color="000000" w:sz="6" w:space="0"/>
              <w:left w:val="single" w:color="000000" w:sz="6" w:space="0"/>
              <w:bottom w:val="single" w:color="000000" w:sz="6" w:space="0"/>
              <w:right w:val="single" w:color="000000" w:sz="6" w:space="0"/>
            </w:tcBorders>
          </w:tcPr>
          <w:p w:rsidRPr="00E36116" w:rsidR="00800C86" w:rsidP="00793437" w:rsidRDefault="00800C86" w14:paraId="7A3105F1" w14:textId="77777777">
            <w:pPr>
              <w:pStyle w:val="naisc"/>
              <w:spacing w:before="0" w:after="0"/>
              <w:ind w:firstLine="288"/>
              <w:rPr>
                <w:b/>
                <w:sz w:val="22"/>
                <w:szCs w:val="22"/>
              </w:rPr>
            </w:pPr>
            <w:r w:rsidRPr="00E36116">
              <w:rPr>
                <w:b/>
                <w:sz w:val="22"/>
                <w:szCs w:val="22"/>
              </w:rPr>
              <w:t>Ņemts vērā</w:t>
            </w:r>
          </w:p>
          <w:p w:rsidRPr="00793437" w:rsidR="00800C86" w:rsidP="00CA5C25" w:rsidRDefault="000A4176" w14:paraId="47071E7A" w14:textId="29E11EF8">
            <w:pPr>
              <w:pStyle w:val="naisc"/>
              <w:spacing w:before="0" w:after="0"/>
              <w:jc w:val="both"/>
              <w:rPr>
                <w:b/>
                <w:sz w:val="22"/>
                <w:szCs w:val="22"/>
                <w:lang w:eastAsia="en-US"/>
              </w:rPr>
            </w:pPr>
            <w:r w:rsidRPr="00E36116">
              <w:rPr>
                <w:bCs/>
                <w:sz w:val="22"/>
                <w:szCs w:val="22"/>
              </w:rPr>
              <w:t>Kolektīvā</w:t>
            </w:r>
            <w:r w:rsidR="00675991">
              <w:rPr>
                <w:bCs/>
                <w:sz w:val="22"/>
                <w:szCs w:val="22"/>
              </w:rPr>
              <w:t xml:space="preserve"> </w:t>
            </w:r>
            <w:r w:rsidRPr="00E36116">
              <w:rPr>
                <w:bCs/>
                <w:sz w:val="22"/>
                <w:szCs w:val="22"/>
              </w:rPr>
              <w:t>pārvaldījuma o</w:t>
            </w:r>
            <w:r w:rsidRPr="00793437" w:rsidR="00800C86">
              <w:rPr>
                <w:bCs/>
                <w:sz w:val="22"/>
                <w:szCs w:val="22"/>
              </w:rPr>
              <w:t>rganizācija</w:t>
            </w:r>
            <w:r w:rsidRPr="00793437">
              <w:rPr>
                <w:bCs/>
                <w:sz w:val="22"/>
                <w:szCs w:val="22"/>
              </w:rPr>
              <w:t>s</w:t>
            </w:r>
            <w:r w:rsidRPr="00793437" w:rsidR="00800C86">
              <w:rPr>
                <w:bCs/>
                <w:sz w:val="22"/>
                <w:szCs w:val="22"/>
              </w:rPr>
              <w:t xml:space="preserve"> neizdod administratīvo</w:t>
            </w:r>
            <w:r w:rsidRPr="00793437">
              <w:rPr>
                <w:bCs/>
                <w:sz w:val="22"/>
                <w:szCs w:val="22"/>
              </w:rPr>
              <w:t>s</w:t>
            </w:r>
            <w:r w:rsidRPr="00793437" w:rsidR="00800C86">
              <w:rPr>
                <w:bCs/>
                <w:sz w:val="22"/>
                <w:szCs w:val="22"/>
              </w:rPr>
              <w:t xml:space="preserve"> aktu</w:t>
            </w:r>
            <w:r w:rsidRPr="00793437">
              <w:rPr>
                <w:bCs/>
                <w:sz w:val="22"/>
                <w:szCs w:val="22"/>
              </w:rPr>
              <w:t>s</w:t>
            </w:r>
            <w:r w:rsidRPr="00793437" w:rsidR="00800C86">
              <w:rPr>
                <w:bCs/>
                <w:sz w:val="22"/>
                <w:szCs w:val="22"/>
              </w:rPr>
              <w:t xml:space="preserve">. </w:t>
            </w:r>
            <w:r w:rsidRPr="00793437" w:rsidR="0032413F">
              <w:rPr>
                <w:bCs/>
                <w:sz w:val="22"/>
                <w:szCs w:val="22"/>
              </w:rPr>
              <w:t xml:space="preserve">Persona ir tiesīga iesniegt </w:t>
            </w:r>
            <w:r w:rsidRPr="00793437" w:rsidR="00800C86">
              <w:rPr>
                <w:bCs/>
                <w:sz w:val="22"/>
                <w:szCs w:val="22"/>
              </w:rPr>
              <w:t>Kultūras ministrij</w:t>
            </w:r>
            <w:r w:rsidRPr="00793437" w:rsidR="0032413F">
              <w:rPr>
                <w:bCs/>
                <w:sz w:val="22"/>
                <w:szCs w:val="22"/>
              </w:rPr>
              <w:t>ā</w:t>
            </w:r>
            <w:r w:rsidRPr="00793437" w:rsidR="00800C86">
              <w:rPr>
                <w:bCs/>
                <w:sz w:val="22"/>
                <w:szCs w:val="22"/>
              </w:rPr>
              <w:t xml:space="preserve"> </w:t>
            </w:r>
            <w:r w:rsidRPr="00793437" w:rsidR="00045E90">
              <w:rPr>
                <w:bCs/>
                <w:sz w:val="22"/>
                <w:szCs w:val="22"/>
              </w:rPr>
              <w:t xml:space="preserve">ziņojumu </w:t>
            </w:r>
            <w:r w:rsidRPr="00793437" w:rsidR="00800C86">
              <w:rPr>
                <w:bCs/>
                <w:sz w:val="22"/>
                <w:szCs w:val="22"/>
              </w:rPr>
              <w:t xml:space="preserve">par organizācijas </w:t>
            </w:r>
            <w:r w:rsidRPr="00793437" w:rsidR="00045E90">
              <w:rPr>
                <w:bCs/>
                <w:sz w:val="22"/>
                <w:szCs w:val="22"/>
              </w:rPr>
              <w:t>darbību</w:t>
            </w:r>
            <w:r w:rsidRPr="00793437" w:rsidR="00800C86">
              <w:rPr>
                <w:bCs/>
                <w:sz w:val="22"/>
                <w:szCs w:val="22"/>
              </w:rPr>
              <w:t xml:space="preserve">, izslēdzot personu no maksātāju reģistra. </w:t>
            </w:r>
            <w:r w:rsidRPr="00793437" w:rsidR="0095252D">
              <w:rPr>
                <w:bCs/>
                <w:sz w:val="22"/>
                <w:szCs w:val="22"/>
              </w:rPr>
              <w:t>Normā izmantotā</w:t>
            </w:r>
            <w:r w:rsidRPr="00793437" w:rsidR="00045E90">
              <w:rPr>
                <w:bCs/>
                <w:sz w:val="22"/>
                <w:szCs w:val="22"/>
              </w:rPr>
              <w:t xml:space="preserve"> terminoloģija precizēta atbilstoši Autortiesību kolektīvā pārvaldījuma likuma 67.panta</w:t>
            </w:r>
            <w:r w:rsidRPr="00793437" w:rsidR="00E15E32">
              <w:rPr>
                <w:bCs/>
                <w:sz w:val="22"/>
                <w:szCs w:val="22"/>
              </w:rPr>
              <w:t>m</w:t>
            </w:r>
            <w:r w:rsidRPr="00793437" w:rsidR="00045E90">
              <w:rPr>
                <w:bCs/>
                <w:sz w:val="22"/>
                <w:szCs w:val="22"/>
              </w:rPr>
              <w:t>.</w:t>
            </w:r>
          </w:p>
        </w:tc>
        <w:tc>
          <w:tcPr>
            <w:tcW w:w="1087" w:type="pct"/>
            <w:tcBorders>
              <w:top w:val="single" w:color="auto" w:sz="4" w:space="0"/>
              <w:left w:val="single" w:color="auto" w:sz="4" w:space="0"/>
              <w:bottom w:val="single" w:color="auto" w:sz="4" w:space="0"/>
              <w:right w:val="single" w:color="auto" w:sz="4" w:space="0"/>
            </w:tcBorders>
          </w:tcPr>
          <w:p w:rsidRPr="00793437" w:rsidR="00800C86" w:rsidP="00CA5C25" w:rsidRDefault="00800C86" w14:paraId="5C3D995F" w14:textId="3C6DC67E">
            <w:pPr>
              <w:jc w:val="both"/>
              <w:rPr>
                <w:bCs/>
                <w:sz w:val="22"/>
                <w:szCs w:val="22"/>
              </w:rPr>
            </w:pPr>
            <w:r w:rsidRPr="00793437">
              <w:rPr>
                <w:sz w:val="22"/>
                <w:szCs w:val="22"/>
              </w:rPr>
              <w:t xml:space="preserve">Precizēts </w:t>
            </w:r>
            <w:r w:rsidRPr="00903684" w:rsidR="00BA2893">
              <w:rPr>
                <w:sz w:val="22"/>
                <w:szCs w:val="22"/>
              </w:rPr>
              <w:t>Ministru kabineta noteikumu</w:t>
            </w:r>
            <w:r w:rsidRPr="00793437" w:rsidR="00BA2893">
              <w:rPr>
                <w:sz w:val="22"/>
                <w:szCs w:val="22"/>
              </w:rPr>
              <w:t xml:space="preserve"> </w:t>
            </w:r>
            <w:r w:rsidR="00BA2893">
              <w:rPr>
                <w:sz w:val="22"/>
                <w:szCs w:val="22"/>
              </w:rPr>
              <w:t>p</w:t>
            </w:r>
            <w:r w:rsidRPr="00793437">
              <w:rPr>
                <w:sz w:val="22"/>
                <w:szCs w:val="22"/>
              </w:rPr>
              <w:t xml:space="preserve">rojekta </w:t>
            </w:r>
            <w:r w:rsidRPr="00793437">
              <w:rPr>
                <w:bCs/>
                <w:sz w:val="22"/>
                <w:szCs w:val="22"/>
              </w:rPr>
              <w:t>1.4.apakšpunkts (Noteikumus 5.</w:t>
            </w:r>
            <w:r w:rsidRPr="00793437">
              <w:rPr>
                <w:bCs/>
                <w:sz w:val="22"/>
                <w:szCs w:val="22"/>
                <w:vertAlign w:val="superscript"/>
              </w:rPr>
              <w:t>2</w:t>
            </w:r>
            <w:r w:rsidRPr="00793437">
              <w:rPr>
                <w:bCs/>
                <w:sz w:val="22"/>
                <w:szCs w:val="22"/>
              </w:rPr>
              <w:t xml:space="preserve"> punkts) šādā redakcijā:</w:t>
            </w:r>
          </w:p>
          <w:p w:rsidR="00BA2893" w:rsidP="00BA2893" w:rsidRDefault="00BA2893" w14:paraId="4230C081" w14:textId="77777777">
            <w:pPr>
              <w:jc w:val="both"/>
              <w:rPr>
                <w:sz w:val="22"/>
                <w:szCs w:val="22"/>
              </w:rPr>
            </w:pPr>
          </w:p>
          <w:p w:rsidR="00122102" w:rsidP="00D15686" w:rsidRDefault="00D15686" w14:paraId="3FBB82B3" w14:textId="77777777">
            <w:pPr>
              <w:jc w:val="both"/>
              <w:rPr>
                <w:sz w:val="22"/>
                <w:szCs w:val="22"/>
              </w:rPr>
            </w:pPr>
            <w:r w:rsidRPr="00793437">
              <w:rPr>
                <w:sz w:val="22"/>
                <w:szCs w:val="22"/>
              </w:rPr>
              <w:t>„</w:t>
            </w:r>
            <w:r>
              <w:rPr>
                <w:sz w:val="22"/>
                <w:szCs w:val="22"/>
              </w:rPr>
              <w:t>1.4.</w:t>
            </w:r>
            <w:r w:rsidRPr="00E36116" w:rsidR="00122102">
              <w:rPr>
                <w:sz w:val="22"/>
                <w:szCs w:val="22"/>
              </w:rPr>
              <w:t xml:space="preserve"> papildināt noteikumus ar 5.</w:t>
            </w:r>
            <w:r w:rsidRPr="00E36116" w:rsidR="00122102">
              <w:rPr>
                <w:sz w:val="22"/>
                <w:szCs w:val="22"/>
                <w:vertAlign w:val="superscript"/>
              </w:rPr>
              <w:t>1</w:t>
            </w:r>
            <w:r w:rsidRPr="00E36116" w:rsidR="00122102">
              <w:rPr>
                <w:sz w:val="22"/>
                <w:szCs w:val="22"/>
              </w:rPr>
              <w:t xml:space="preserve"> un 5.</w:t>
            </w:r>
            <w:r w:rsidRPr="00E36116" w:rsidR="00122102">
              <w:rPr>
                <w:sz w:val="22"/>
                <w:szCs w:val="22"/>
                <w:vertAlign w:val="superscript"/>
              </w:rPr>
              <w:t>2</w:t>
            </w:r>
            <w:r w:rsidRPr="00E36116" w:rsidR="00122102">
              <w:rPr>
                <w:sz w:val="22"/>
                <w:szCs w:val="22"/>
              </w:rPr>
              <w:t xml:space="preserve"> punktu šādā redakcijā:</w:t>
            </w:r>
          </w:p>
          <w:p w:rsidR="00122102" w:rsidP="00D15686" w:rsidRDefault="00122102" w14:paraId="486657D3" w14:textId="66C04B75">
            <w:pPr>
              <w:jc w:val="both"/>
              <w:rPr>
                <w:sz w:val="22"/>
                <w:szCs w:val="22"/>
              </w:rPr>
            </w:pPr>
            <w:r>
              <w:rPr>
                <w:sz w:val="22"/>
                <w:szCs w:val="22"/>
              </w:rPr>
              <w:t>[..]</w:t>
            </w:r>
          </w:p>
          <w:p w:rsidRPr="00E36116" w:rsidR="00800C86" w:rsidP="00CA5C25" w:rsidRDefault="00800C86" w14:paraId="7728FF64" w14:textId="5A64A4AA">
            <w:pPr>
              <w:jc w:val="both"/>
              <w:rPr>
                <w:bCs/>
                <w:sz w:val="22"/>
                <w:szCs w:val="22"/>
              </w:rPr>
            </w:pPr>
            <w:r w:rsidRPr="00793437">
              <w:rPr>
                <w:sz w:val="22"/>
                <w:szCs w:val="22"/>
              </w:rPr>
              <w:t>5.</w:t>
            </w:r>
            <w:r w:rsidRPr="00793437">
              <w:rPr>
                <w:sz w:val="22"/>
                <w:szCs w:val="22"/>
                <w:vertAlign w:val="superscript"/>
              </w:rPr>
              <w:t>2</w:t>
            </w:r>
            <w:r w:rsidRPr="00793437">
              <w:rPr>
                <w:sz w:val="22"/>
                <w:szCs w:val="22"/>
              </w:rPr>
              <w:t xml:space="preserve"> </w:t>
            </w:r>
            <w:r w:rsidRPr="00793437" w:rsidR="00045E90">
              <w:rPr>
                <w:sz w:val="22"/>
                <w:szCs w:val="22"/>
              </w:rPr>
              <w:t>Izgatavotājs vai ievedējs, kas izslēgts no maksātāju reģi</w:t>
            </w:r>
            <w:r w:rsidRPr="00E36116" w:rsidR="00045E90">
              <w:rPr>
                <w:sz w:val="22"/>
                <w:szCs w:val="22"/>
              </w:rPr>
              <w:t>stra, var iesniegt ziņojumu par organizācijas darbību Kultūras ministrijā mēneša laikā pēc informācijas par izslēgšanu no maksātāju reģistra paziņošanas.”</w:t>
            </w:r>
          </w:p>
        </w:tc>
      </w:tr>
      <w:tr w:rsidRPr="00E36116" w:rsidR="00800C86" w:rsidTr="00793437" w14:paraId="743A834E" w14:textId="77777777">
        <w:tc>
          <w:tcPr>
            <w:tcW w:w="226" w:type="pct"/>
            <w:tcBorders>
              <w:top w:val="single" w:color="000000" w:sz="6" w:space="0"/>
              <w:left w:val="single" w:color="000000" w:sz="6" w:space="0"/>
              <w:bottom w:val="single" w:color="000000" w:sz="6" w:space="0"/>
              <w:right w:val="single" w:color="000000" w:sz="6" w:space="0"/>
            </w:tcBorders>
          </w:tcPr>
          <w:p w:rsidRPr="00E36116" w:rsidR="00800C86" w:rsidP="00E36116" w:rsidRDefault="00A3415B" w14:paraId="69018FD9" w14:textId="249FD7C7">
            <w:pPr>
              <w:pStyle w:val="naisc"/>
              <w:spacing w:before="0" w:after="0"/>
              <w:rPr>
                <w:sz w:val="22"/>
                <w:szCs w:val="22"/>
                <w:lang w:eastAsia="en-US"/>
              </w:rPr>
            </w:pPr>
            <w:r w:rsidRPr="00E36116">
              <w:rPr>
                <w:sz w:val="22"/>
                <w:szCs w:val="22"/>
                <w:lang w:eastAsia="en-US"/>
              </w:rPr>
              <w:t>4.</w:t>
            </w:r>
          </w:p>
        </w:tc>
        <w:tc>
          <w:tcPr>
            <w:tcW w:w="1079" w:type="pct"/>
            <w:tcBorders>
              <w:top w:val="single" w:color="000000" w:sz="6" w:space="0"/>
              <w:left w:val="single" w:color="000000" w:sz="6" w:space="0"/>
              <w:bottom w:val="single" w:color="000000" w:sz="6" w:space="0"/>
              <w:right w:val="single" w:color="000000" w:sz="6" w:space="0"/>
            </w:tcBorders>
          </w:tcPr>
          <w:p w:rsidRPr="00E36116" w:rsidR="00800C86" w:rsidP="00CA5C25" w:rsidRDefault="00D15686" w14:paraId="7E94435C" w14:textId="620E063E">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E36116" w:rsidR="00800C86">
              <w:rPr>
                <w:sz w:val="22"/>
                <w:szCs w:val="22"/>
              </w:rPr>
              <w:t>rojekta 1.5.apakšpunkts:</w:t>
            </w:r>
          </w:p>
          <w:p w:rsidR="00D15686" w:rsidP="00D15686" w:rsidRDefault="00D15686" w14:paraId="674AF5DC" w14:textId="77777777">
            <w:pPr>
              <w:jc w:val="both"/>
              <w:rPr>
                <w:sz w:val="22"/>
                <w:szCs w:val="22"/>
              </w:rPr>
            </w:pPr>
          </w:p>
          <w:p w:rsidRPr="00793437" w:rsidR="00800C86" w:rsidP="00CA5C25" w:rsidRDefault="00A86E19" w14:paraId="02598280" w14:textId="4F12555C">
            <w:pPr>
              <w:jc w:val="both"/>
              <w:rPr>
                <w:sz w:val="22"/>
                <w:szCs w:val="22"/>
              </w:rPr>
            </w:pPr>
            <w:r w:rsidRPr="00793437">
              <w:rPr>
                <w:sz w:val="22"/>
                <w:szCs w:val="22"/>
              </w:rPr>
              <w:lastRenderedPageBreak/>
              <w:t>„</w:t>
            </w:r>
            <w:r w:rsidRPr="00793437" w:rsidR="00800C86">
              <w:rPr>
                <w:sz w:val="22"/>
                <w:szCs w:val="22"/>
              </w:rPr>
              <w:t>1.5. papildināt noteikumus ar 8.</w:t>
            </w:r>
            <w:r w:rsidRPr="00793437" w:rsidR="00800C86">
              <w:rPr>
                <w:sz w:val="22"/>
                <w:szCs w:val="22"/>
                <w:vertAlign w:val="superscript"/>
              </w:rPr>
              <w:t>1</w:t>
            </w:r>
            <w:r w:rsidRPr="00793437" w:rsidR="00800C86">
              <w:rPr>
                <w:sz w:val="22"/>
                <w:szCs w:val="22"/>
              </w:rPr>
              <w:t xml:space="preserve"> punktu šādā redakcijā:</w:t>
            </w:r>
          </w:p>
          <w:p w:rsidRPr="00793437" w:rsidR="00800C86" w:rsidP="00CA5C25" w:rsidRDefault="00A86E19" w14:paraId="7BF871D0" w14:textId="71696C84">
            <w:pPr>
              <w:jc w:val="both"/>
              <w:rPr>
                <w:sz w:val="22"/>
                <w:szCs w:val="22"/>
              </w:rPr>
            </w:pPr>
            <w:r w:rsidRPr="00793437">
              <w:rPr>
                <w:sz w:val="22"/>
                <w:szCs w:val="22"/>
              </w:rPr>
              <w:t>„</w:t>
            </w:r>
            <w:r w:rsidRPr="00793437" w:rsidR="00800C86">
              <w:rPr>
                <w:sz w:val="22"/>
                <w:szCs w:val="22"/>
              </w:rPr>
              <w:t>8.</w:t>
            </w:r>
            <w:r w:rsidRPr="00793437" w:rsidR="00800C86">
              <w:rPr>
                <w:sz w:val="22"/>
                <w:szCs w:val="22"/>
                <w:vertAlign w:val="superscript"/>
              </w:rPr>
              <w:t>1</w:t>
            </w:r>
            <w:r w:rsidRPr="00793437" w:rsidR="00800C86">
              <w:rPr>
                <w:sz w:val="22"/>
                <w:szCs w:val="22"/>
              </w:rPr>
              <w:t xml:space="preserve"> Ja izgatavotājs, tajā skaitā komersants, kas komplektē datorus Latvijā,</w:t>
            </w:r>
            <w:r w:rsidRPr="00793437" w:rsidDel="00D3082E" w:rsidR="00800C86">
              <w:rPr>
                <w:sz w:val="22"/>
                <w:szCs w:val="22"/>
              </w:rPr>
              <w:t xml:space="preserve"> </w:t>
            </w:r>
            <w:r w:rsidRPr="00793437" w:rsidR="00800C86">
              <w:rPr>
                <w:sz w:val="22"/>
                <w:szCs w:val="22"/>
              </w:rPr>
              <w:t>datoru komplektēšanai izmanto datoru cietos diskus, par kuriem atlīdzība ir samaksāta saskaņā ar šo noteikumu 3.2.apakšpunktu, atlīdzība par reproducēšanai izmantojamām iekārtām saskaņā ar šo noteikumu 4.punktu nav jāmaksā.”</w:t>
            </w:r>
            <w:r w:rsidR="00793437">
              <w:rPr>
                <w:sz w:val="22"/>
                <w:szCs w:val="22"/>
              </w:rPr>
              <w:t>”</w:t>
            </w:r>
          </w:p>
        </w:tc>
        <w:tc>
          <w:tcPr>
            <w:tcW w:w="1450" w:type="pct"/>
            <w:tcBorders>
              <w:top w:val="single" w:color="000000" w:sz="6" w:space="0"/>
              <w:left w:val="single" w:color="000000" w:sz="6" w:space="0"/>
              <w:bottom w:val="single" w:color="000000" w:sz="6" w:space="0"/>
              <w:right w:val="single" w:color="000000" w:sz="6" w:space="0"/>
            </w:tcBorders>
          </w:tcPr>
          <w:p w:rsidRPr="00793437" w:rsidR="00800C86" w:rsidP="00CA5C25" w:rsidRDefault="00800C86" w14:paraId="38FB6C01" w14:textId="494EA757">
            <w:pPr>
              <w:ind w:right="12"/>
              <w:jc w:val="both"/>
              <w:rPr>
                <w:b/>
                <w:bCs/>
                <w:sz w:val="22"/>
                <w:szCs w:val="22"/>
              </w:rPr>
            </w:pPr>
            <w:r w:rsidRPr="00793437">
              <w:rPr>
                <w:b/>
                <w:bCs/>
                <w:sz w:val="22"/>
                <w:szCs w:val="22"/>
              </w:rPr>
              <w:lastRenderedPageBreak/>
              <w:t>Tieslietu ministrija</w:t>
            </w:r>
            <w:r w:rsidR="00D64A39">
              <w:rPr>
                <w:b/>
                <w:bCs/>
                <w:sz w:val="22"/>
                <w:szCs w:val="22"/>
              </w:rPr>
              <w:t>:</w:t>
            </w:r>
          </w:p>
          <w:p w:rsidRPr="00E36116" w:rsidR="00800C86" w:rsidP="00CA5C25" w:rsidRDefault="00800C86" w14:paraId="05332DAE" w14:textId="206B3B4E">
            <w:pPr>
              <w:ind w:right="12"/>
              <w:jc w:val="both"/>
              <w:rPr>
                <w:sz w:val="22"/>
                <w:szCs w:val="22"/>
              </w:rPr>
            </w:pPr>
            <w:r w:rsidRPr="00793437">
              <w:rPr>
                <w:sz w:val="22"/>
                <w:szCs w:val="22"/>
              </w:rPr>
              <w:t>Saskaņā ar noteikumu projekta 1.5. apakšpunktu, kas paredz papildināt MK noteikumus Nr. 321 ar 8.</w:t>
            </w:r>
            <w:r w:rsidRPr="00793437">
              <w:rPr>
                <w:sz w:val="22"/>
                <w:szCs w:val="22"/>
                <w:vertAlign w:val="superscript"/>
              </w:rPr>
              <w:t>1</w:t>
            </w:r>
            <w:r w:rsidRPr="00793437">
              <w:rPr>
                <w:sz w:val="22"/>
                <w:szCs w:val="22"/>
              </w:rPr>
              <w:t xml:space="preserve"> punktu, ja </w:t>
            </w:r>
            <w:r w:rsidRPr="00793437">
              <w:rPr>
                <w:sz w:val="22"/>
                <w:szCs w:val="22"/>
              </w:rPr>
              <w:lastRenderedPageBreak/>
              <w:t>izgatavotājs, tajā skaitā komersants, kas komplektē datorus Latvijā,</w:t>
            </w:r>
            <w:r w:rsidRPr="00793437" w:rsidDel="00D3082E">
              <w:rPr>
                <w:sz w:val="22"/>
                <w:szCs w:val="22"/>
              </w:rPr>
              <w:t xml:space="preserve"> </w:t>
            </w:r>
            <w:r w:rsidRPr="00793437">
              <w:rPr>
                <w:sz w:val="22"/>
                <w:szCs w:val="22"/>
              </w:rPr>
              <w:t xml:space="preserve">datoru komplektēšanai izmanto datoru cietos diskus, par kuriem atlīdzība ir samaksāta saskaņā ar šo noteikumu 3.2. apakšpunktu, atlīdzība par reproducēšanai izmantojamām iekārtām saskaņā ar šo noteikumu 4. punktu nav jāmaksā. Projekta anotācijā ir norādīts, ka nesēju un iekārtu </w:t>
            </w:r>
            <w:r w:rsidRPr="003329AD">
              <w:rPr>
                <w:sz w:val="22"/>
                <w:szCs w:val="22"/>
              </w:rPr>
              <w:t>saraksta pārvērtēšanā abi saraksti (noteikumu 3. un 4.punkts) ir skatāmi kopsakarā, lai novērstu nesēju un iekārtu dubultas apl</w:t>
            </w:r>
            <w:r w:rsidRPr="00E36116">
              <w:rPr>
                <w:sz w:val="22"/>
                <w:szCs w:val="22"/>
              </w:rPr>
              <w:t>ikšanas risku. Norādām, ka 3.2. apakšpunkts (projekta 1.3. apakšpunkts) nosaka atlīdzības apmēru ārējam cietajam datora diskam, bet 3.3. apakšpunkts (projekta 1.3. apakšpunkts) visu veidu datoru cietajiem diskiem, ieskaitot HDD un SSD diskus. Savukārt 4.1. apakšpunkts (projekta 1.3. apakšpunkts) nosaka atlīdzības apmēru par visu veidu personālajiem datoriem, ieskaitot portatīvos datorus un planšetdatorus. Ievērojot minēto, lūdzam papildināt projekta anotāciju ar skaidrojumu, vai gadījumā, ja atlīdzība būs samaksāta saskaņā ar 3.3. apakšpunktu, atlīdzība būs jāmaksā arī atbilstoši 4.1. apakšpunktam, tādējādi nenovēršot iekārtu dubultas aplikšanas risku.</w:t>
            </w:r>
          </w:p>
        </w:tc>
        <w:tc>
          <w:tcPr>
            <w:tcW w:w="1158" w:type="pct"/>
            <w:tcBorders>
              <w:top w:val="single" w:color="000000" w:sz="6" w:space="0"/>
              <w:left w:val="single" w:color="000000" w:sz="6" w:space="0"/>
              <w:bottom w:val="single" w:color="000000" w:sz="6" w:space="0"/>
              <w:right w:val="single" w:color="000000" w:sz="6" w:space="0"/>
            </w:tcBorders>
          </w:tcPr>
          <w:p w:rsidRPr="00E36116" w:rsidR="00800C86" w:rsidP="00793437" w:rsidRDefault="00800C86" w14:paraId="12FAE63B" w14:textId="77777777">
            <w:pPr>
              <w:pStyle w:val="naisc"/>
              <w:spacing w:before="0" w:after="0"/>
              <w:ind w:firstLine="288"/>
              <w:rPr>
                <w:b/>
                <w:sz w:val="22"/>
                <w:szCs w:val="22"/>
                <w:lang w:eastAsia="en-US"/>
              </w:rPr>
            </w:pPr>
            <w:r w:rsidRPr="00E36116">
              <w:rPr>
                <w:b/>
                <w:sz w:val="22"/>
                <w:szCs w:val="22"/>
                <w:lang w:eastAsia="en-US"/>
              </w:rPr>
              <w:lastRenderedPageBreak/>
              <w:t>Ņemts vērā</w:t>
            </w:r>
          </w:p>
          <w:p w:rsidRPr="00E36116" w:rsidR="00800C86" w:rsidP="00CA5C25" w:rsidRDefault="00C021C8" w14:paraId="176C1C18" w14:textId="691A8960">
            <w:pPr>
              <w:pStyle w:val="naisc"/>
              <w:spacing w:before="0" w:after="0"/>
              <w:jc w:val="both"/>
              <w:rPr>
                <w:sz w:val="22"/>
                <w:szCs w:val="22"/>
              </w:rPr>
            </w:pPr>
            <w:r>
              <w:rPr>
                <w:sz w:val="22"/>
                <w:szCs w:val="22"/>
              </w:rPr>
              <w:t>Ministru kabineta noteikumu p</w:t>
            </w:r>
            <w:r w:rsidRPr="00E36116" w:rsidR="00800C86">
              <w:rPr>
                <w:sz w:val="22"/>
                <w:szCs w:val="22"/>
              </w:rPr>
              <w:t xml:space="preserve">rojekta 1.5.apakšpunkts, kas paredz papildināt Noteikumus ar </w:t>
            </w:r>
            <w:r w:rsidRPr="00E36116" w:rsidR="00800C86">
              <w:rPr>
                <w:sz w:val="22"/>
                <w:szCs w:val="22"/>
              </w:rPr>
              <w:lastRenderedPageBreak/>
              <w:t>8.</w:t>
            </w:r>
            <w:r w:rsidRPr="00E36116" w:rsidR="00800C86">
              <w:rPr>
                <w:sz w:val="22"/>
                <w:szCs w:val="22"/>
                <w:vertAlign w:val="superscript"/>
              </w:rPr>
              <w:t>1</w:t>
            </w:r>
            <w:r w:rsidRPr="00E36116" w:rsidR="00800C86">
              <w:rPr>
                <w:sz w:val="22"/>
                <w:szCs w:val="22"/>
              </w:rPr>
              <w:t xml:space="preserve"> punktu, attiecināms tikai uz Noteikumu 3.3.apakšpunktu, kas paredz </w:t>
            </w:r>
            <w:r w:rsidRPr="00E36116" w:rsidR="00800C86">
              <w:rPr>
                <w:bCs/>
                <w:sz w:val="22"/>
                <w:szCs w:val="22"/>
                <w:lang w:eastAsia="en-US"/>
              </w:rPr>
              <w:t xml:space="preserve">visu veidu datoru cieto disku iekļaušanu sarakstā, ņemot vērā, ka šādi diski ir iebūvējami datorā. </w:t>
            </w:r>
            <w:r>
              <w:rPr>
                <w:sz w:val="22"/>
                <w:szCs w:val="22"/>
              </w:rPr>
              <w:t xml:space="preserve">Ministru kabineta noteikumu </w:t>
            </w:r>
            <w:r>
              <w:rPr>
                <w:bCs/>
                <w:sz w:val="22"/>
                <w:szCs w:val="22"/>
                <w:lang w:eastAsia="en-US"/>
              </w:rPr>
              <w:t>p</w:t>
            </w:r>
            <w:r w:rsidRPr="00E36116" w:rsidR="00800C86">
              <w:rPr>
                <w:bCs/>
                <w:sz w:val="22"/>
                <w:szCs w:val="22"/>
                <w:lang w:eastAsia="en-US"/>
              </w:rPr>
              <w:t>rojekts atbilstoši precizēts.</w:t>
            </w:r>
          </w:p>
        </w:tc>
        <w:tc>
          <w:tcPr>
            <w:tcW w:w="1087" w:type="pct"/>
            <w:tcBorders>
              <w:top w:val="single" w:color="auto" w:sz="4" w:space="0"/>
              <w:left w:val="single" w:color="auto" w:sz="4" w:space="0"/>
              <w:bottom w:val="single" w:color="auto" w:sz="4" w:space="0"/>
              <w:right w:val="single" w:color="auto" w:sz="4" w:space="0"/>
            </w:tcBorders>
          </w:tcPr>
          <w:p w:rsidRPr="00E36116" w:rsidR="00800C86" w:rsidP="00CA5C25" w:rsidRDefault="00246C37" w14:paraId="517E6C1B" w14:textId="3A151100">
            <w:pPr>
              <w:jc w:val="both"/>
              <w:rPr>
                <w:sz w:val="22"/>
                <w:szCs w:val="22"/>
                <w:lang w:eastAsia="en-US"/>
              </w:rPr>
            </w:pPr>
            <w:r w:rsidRPr="00E36116">
              <w:rPr>
                <w:sz w:val="22"/>
                <w:szCs w:val="22"/>
                <w:lang w:eastAsia="en-US"/>
              </w:rPr>
              <w:lastRenderedPageBreak/>
              <w:t xml:space="preserve">Precizēts </w:t>
            </w:r>
            <w:r w:rsidRPr="00903684" w:rsidR="00D15686">
              <w:rPr>
                <w:sz w:val="22"/>
                <w:szCs w:val="22"/>
              </w:rPr>
              <w:t>Ministru kabineta noteikumu</w:t>
            </w:r>
            <w:r w:rsidRPr="00793437" w:rsidR="00D15686">
              <w:rPr>
                <w:sz w:val="22"/>
                <w:szCs w:val="22"/>
              </w:rPr>
              <w:t xml:space="preserve"> </w:t>
            </w:r>
            <w:r w:rsidR="00D15686">
              <w:rPr>
                <w:sz w:val="22"/>
                <w:szCs w:val="22"/>
                <w:lang w:eastAsia="en-US"/>
              </w:rPr>
              <w:t>p</w:t>
            </w:r>
            <w:r w:rsidRPr="00E36116" w:rsidR="00800C86">
              <w:rPr>
                <w:sz w:val="22"/>
                <w:szCs w:val="22"/>
                <w:lang w:eastAsia="en-US"/>
              </w:rPr>
              <w:t>rojekta 1.5.apakšpunkts</w:t>
            </w:r>
            <w:r w:rsidRPr="00E36116">
              <w:rPr>
                <w:sz w:val="22"/>
                <w:szCs w:val="22"/>
                <w:lang w:eastAsia="en-US"/>
              </w:rPr>
              <w:t xml:space="preserve"> </w:t>
            </w:r>
            <w:r w:rsidRPr="00E36116">
              <w:rPr>
                <w:bCs/>
                <w:sz w:val="22"/>
                <w:szCs w:val="22"/>
              </w:rPr>
              <w:t>šādā redakcijā</w:t>
            </w:r>
            <w:r w:rsidRPr="00E36116" w:rsidR="00800C86">
              <w:rPr>
                <w:sz w:val="22"/>
                <w:szCs w:val="22"/>
                <w:lang w:eastAsia="en-US"/>
              </w:rPr>
              <w:t>:</w:t>
            </w:r>
          </w:p>
          <w:p w:rsidR="00D15686" w:rsidP="00D15686" w:rsidRDefault="00D15686" w14:paraId="3E8A6372" w14:textId="77777777">
            <w:pPr>
              <w:jc w:val="both"/>
              <w:rPr>
                <w:sz w:val="22"/>
                <w:szCs w:val="22"/>
              </w:rPr>
            </w:pPr>
          </w:p>
          <w:p w:rsidRPr="00793437" w:rsidR="00800C86" w:rsidP="00CA5C25" w:rsidRDefault="00A86E19" w14:paraId="0C4C4C24" w14:textId="553A00C5">
            <w:pPr>
              <w:jc w:val="both"/>
              <w:rPr>
                <w:sz w:val="22"/>
                <w:szCs w:val="22"/>
              </w:rPr>
            </w:pPr>
            <w:r w:rsidRPr="00793437">
              <w:rPr>
                <w:sz w:val="22"/>
                <w:szCs w:val="22"/>
              </w:rPr>
              <w:lastRenderedPageBreak/>
              <w:t>„</w:t>
            </w:r>
            <w:r w:rsidRPr="00793437" w:rsidR="00800C86">
              <w:rPr>
                <w:sz w:val="22"/>
                <w:szCs w:val="22"/>
              </w:rPr>
              <w:t>1.5. papildināt noteikumus ar 8.</w:t>
            </w:r>
            <w:r w:rsidRPr="00793437" w:rsidR="00800C86">
              <w:rPr>
                <w:sz w:val="22"/>
                <w:szCs w:val="22"/>
                <w:vertAlign w:val="superscript"/>
              </w:rPr>
              <w:t>1</w:t>
            </w:r>
            <w:r w:rsidRPr="00793437" w:rsidR="00800C86">
              <w:rPr>
                <w:sz w:val="22"/>
                <w:szCs w:val="22"/>
              </w:rPr>
              <w:t xml:space="preserve"> punktu šādā redakcijā:</w:t>
            </w:r>
          </w:p>
          <w:p w:rsidRPr="00793437" w:rsidR="00800C86" w:rsidP="00CA5C25" w:rsidRDefault="00800C86" w14:paraId="297E7AD2" w14:textId="2D3C6241">
            <w:pPr>
              <w:jc w:val="both"/>
              <w:rPr>
                <w:sz w:val="22"/>
                <w:szCs w:val="22"/>
                <w:lang w:eastAsia="en-US"/>
              </w:rPr>
            </w:pPr>
            <w:r w:rsidRPr="00793437">
              <w:rPr>
                <w:sz w:val="22"/>
                <w:szCs w:val="22"/>
              </w:rPr>
              <w:t>„8.</w:t>
            </w:r>
            <w:r w:rsidRPr="00793437">
              <w:rPr>
                <w:sz w:val="22"/>
                <w:szCs w:val="22"/>
                <w:vertAlign w:val="superscript"/>
              </w:rPr>
              <w:t>1</w:t>
            </w:r>
            <w:r w:rsidRPr="00793437">
              <w:rPr>
                <w:sz w:val="22"/>
                <w:szCs w:val="22"/>
              </w:rPr>
              <w:t xml:space="preserve"> Ja izgatavotājs, tajā skaitā komersants, kas komplektē datorus Latvijā,</w:t>
            </w:r>
            <w:r w:rsidRPr="00793437" w:rsidDel="00D3082E">
              <w:rPr>
                <w:sz w:val="22"/>
                <w:szCs w:val="22"/>
              </w:rPr>
              <w:t xml:space="preserve"> </w:t>
            </w:r>
            <w:r w:rsidRPr="00793437">
              <w:rPr>
                <w:sz w:val="22"/>
                <w:szCs w:val="22"/>
              </w:rPr>
              <w:t>datoru komplektēšanai izmanto datoru cietos diskus, par kuriem atlīdzība ir samaksāta saskaņā ar šo noteikumu 3.3.apakšpunktu, atlīdzība par reproducēšanai izmantojamām iekārtām saskaņā ar šo noteikumu 4.punktu nav jāmaksā.”</w:t>
            </w:r>
            <w:r w:rsidR="00793437">
              <w:rPr>
                <w:sz w:val="22"/>
                <w:szCs w:val="22"/>
              </w:rPr>
              <w:t>”</w:t>
            </w:r>
          </w:p>
        </w:tc>
      </w:tr>
      <w:tr w:rsidRPr="00E36116" w:rsidR="00800C86" w:rsidTr="00793437" w14:paraId="3BCA4239" w14:textId="77777777">
        <w:tc>
          <w:tcPr>
            <w:tcW w:w="226" w:type="pct"/>
            <w:tcBorders>
              <w:top w:val="single" w:color="000000" w:sz="6" w:space="0"/>
              <w:left w:val="single" w:color="000000" w:sz="6" w:space="0"/>
              <w:bottom w:val="single" w:color="000000" w:sz="6" w:space="0"/>
              <w:right w:val="single" w:color="000000" w:sz="6" w:space="0"/>
            </w:tcBorders>
            <w:hideMark/>
          </w:tcPr>
          <w:p w:rsidRPr="00E36116" w:rsidR="00800C86" w:rsidP="00E36116" w:rsidRDefault="00A3415B" w14:paraId="35D5F4AE" w14:textId="798F0974">
            <w:pPr>
              <w:pStyle w:val="naisc"/>
              <w:spacing w:before="0" w:after="0"/>
              <w:rPr>
                <w:sz w:val="22"/>
                <w:szCs w:val="22"/>
                <w:lang w:eastAsia="en-US"/>
              </w:rPr>
            </w:pPr>
            <w:r w:rsidRPr="00E36116">
              <w:rPr>
                <w:sz w:val="22"/>
                <w:szCs w:val="22"/>
                <w:lang w:eastAsia="en-US"/>
              </w:rPr>
              <w:lastRenderedPageBreak/>
              <w:t>5.</w:t>
            </w:r>
          </w:p>
        </w:tc>
        <w:tc>
          <w:tcPr>
            <w:tcW w:w="1079" w:type="pct"/>
            <w:tcBorders>
              <w:top w:val="single" w:color="000000" w:sz="6" w:space="0"/>
              <w:left w:val="single" w:color="000000" w:sz="6" w:space="0"/>
              <w:bottom w:val="single" w:color="000000" w:sz="6" w:space="0"/>
              <w:right w:val="single" w:color="000000" w:sz="6" w:space="0"/>
            </w:tcBorders>
          </w:tcPr>
          <w:p w:rsidR="00A86E19" w:rsidP="00A86E19" w:rsidRDefault="00A86E19" w14:paraId="49C4A7DD" w14:textId="0092258B">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E36116" w:rsidR="00800C86">
              <w:rPr>
                <w:sz w:val="22"/>
                <w:szCs w:val="22"/>
              </w:rPr>
              <w:t>rojekta sākotnējās ietekmes novērtējuma ziņojuma (anotāc</w:t>
            </w:r>
            <w:r w:rsidRPr="00793437" w:rsidR="00800C86">
              <w:rPr>
                <w:sz w:val="22"/>
                <w:szCs w:val="22"/>
              </w:rPr>
              <w:t>ijas) I sadaļas 2.punkts</w:t>
            </w:r>
            <w:r>
              <w:rPr>
                <w:sz w:val="22"/>
                <w:szCs w:val="22"/>
              </w:rPr>
              <w:t>:</w:t>
            </w:r>
          </w:p>
          <w:p w:rsidR="00A86E19" w:rsidP="00A86E19" w:rsidRDefault="00A86E19" w14:paraId="03467D48" w14:textId="77777777">
            <w:pPr>
              <w:pStyle w:val="naisc"/>
              <w:spacing w:before="0" w:after="0"/>
              <w:jc w:val="both"/>
            </w:pPr>
          </w:p>
          <w:p w:rsidRPr="00793437" w:rsidR="00793437" w:rsidP="00CA5C25" w:rsidRDefault="00675991" w14:paraId="5459D6BA" w14:textId="35E10E20">
            <w:pPr>
              <w:pStyle w:val="naisc"/>
              <w:spacing w:before="0" w:after="0"/>
              <w:jc w:val="both"/>
              <w:rPr>
                <w:lang w:eastAsia="en-US"/>
              </w:rPr>
            </w:pPr>
            <w:r w:rsidRPr="00793437">
              <w:rPr>
                <w:sz w:val="22"/>
                <w:szCs w:val="22"/>
              </w:rPr>
              <w:t>„</w:t>
            </w:r>
            <w:r>
              <w:rPr>
                <w:sz w:val="22"/>
                <w:szCs w:val="22"/>
              </w:rPr>
              <w:t xml:space="preserve">[..] </w:t>
            </w:r>
            <w:r w:rsidRPr="00793437" w:rsidR="00800C86">
              <w:rPr>
                <w:sz w:val="22"/>
                <w:szCs w:val="22"/>
              </w:rPr>
              <w:t xml:space="preserve">Nesēju un iekārtu saraksta pārvērtēšanai Kultūras </w:t>
            </w:r>
            <w:r w:rsidRPr="00793437" w:rsidR="00800C86">
              <w:rPr>
                <w:sz w:val="22"/>
                <w:szCs w:val="22"/>
              </w:rPr>
              <w:lastRenderedPageBreak/>
              <w:t>ministrija piemēroja turpmāk norādītos kritērijus</w:t>
            </w:r>
            <w:r w:rsidR="00793437">
              <w:rPr>
                <w:sz w:val="22"/>
                <w:szCs w:val="22"/>
              </w:rPr>
              <w:t>:</w:t>
            </w:r>
            <w:r>
              <w:rPr>
                <w:sz w:val="22"/>
                <w:szCs w:val="22"/>
              </w:rPr>
              <w:t xml:space="preserve"> [..]</w:t>
            </w:r>
            <w:r w:rsidR="00793437">
              <w:rPr>
                <w:sz w:val="22"/>
                <w:szCs w:val="22"/>
              </w:rPr>
              <w:t>”</w:t>
            </w:r>
          </w:p>
        </w:tc>
        <w:tc>
          <w:tcPr>
            <w:tcW w:w="1450" w:type="pct"/>
            <w:tcBorders>
              <w:top w:val="single" w:color="000000" w:sz="6" w:space="0"/>
              <w:left w:val="single" w:color="000000" w:sz="6" w:space="0"/>
              <w:bottom w:val="single" w:color="000000" w:sz="6" w:space="0"/>
              <w:right w:val="single" w:color="000000" w:sz="6" w:space="0"/>
            </w:tcBorders>
          </w:tcPr>
          <w:p w:rsidRPr="00793437" w:rsidR="00800C86" w:rsidP="00CA5C25" w:rsidRDefault="00800C86" w14:paraId="0E9AA27F" w14:textId="02B4FEED">
            <w:pPr>
              <w:pStyle w:val="naiskr"/>
              <w:spacing w:before="0" w:after="0"/>
              <w:jc w:val="both"/>
              <w:rPr>
                <w:b/>
                <w:bCs/>
                <w:sz w:val="22"/>
                <w:szCs w:val="22"/>
              </w:rPr>
            </w:pPr>
            <w:r w:rsidRPr="00793437">
              <w:rPr>
                <w:b/>
                <w:bCs/>
                <w:sz w:val="22"/>
                <w:szCs w:val="22"/>
              </w:rPr>
              <w:lastRenderedPageBreak/>
              <w:t>Tieslietu ministrija</w:t>
            </w:r>
            <w:r w:rsidR="00A86E19">
              <w:rPr>
                <w:b/>
                <w:bCs/>
                <w:sz w:val="22"/>
                <w:szCs w:val="22"/>
              </w:rPr>
              <w:t>:</w:t>
            </w:r>
          </w:p>
          <w:p w:rsidRPr="00E36116" w:rsidR="00800C86" w:rsidP="00CA5C25" w:rsidRDefault="00800C86" w14:paraId="065299C9" w14:textId="77777777">
            <w:pPr>
              <w:jc w:val="both"/>
              <w:rPr>
                <w:sz w:val="22"/>
                <w:szCs w:val="22"/>
              </w:rPr>
            </w:pPr>
            <w:r w:rsidRPr="00793437">
              <w:rPr>
                <w:sz w:val="22"/>
                <w:szCs w:val="22"/>
              </w:rPr>
              <w:t>No projekta un tā anotācijas nav gūstama pārliecība par to, vai, izstrādājot (pārskatot) nesēju u</w:t>
            </w:r>
            <w:r w:rsidRPr="003329AD">
              <w:rPr>
                <w:sz w:val="22"/>
                <w:szCs w:val="22"/>
              </w:rPr>
              <w:t xml:space="preserve">n iekārtu sarakstu, kuri apliekami ar nesēja atlīdzību, ievēroti visi </w:t>
            </w:r>
            <w:r w:rsidRPr="00E36116">
              <w:rPr>
                <w:sz w:val="22"/>
                <w:szCs w:val="22"/>
              </w:rPr>
              <w:t>direktīvas Nr. 2001/29/EK nosacījumi un attiecīgi – par izstrādātā saraksta pamatotību un tiesiskumu.</w:t>
            </w:r>
          </w:p>
          <w:p w:rsidRPr="00E36116" w:rsidR="00800C86" w:rsidP="00CA5C25" w:rsidRDefault="00800C86" w14:paraId="29E274D6" w14:textId="77777777">
            <w:pPr>
              <w:jc w:val="both"/>
              <w:rPr>
                <w:sz w:val="22"/>
                <w:szCs w:val="22"/>
              </w:rPr>
            </w:pPr>
            <w:r w:rsidRPr="00E36116">
              <w:rPr>
                <w:sz w:val="22"/>
                <w:szCs w:val="22"/>
              </w:rPr>
              <w:lastRenderedPageBreak/>
              <w:t xml:space="preserve">Tai skaitā norādām, ka Eiropas Savienības Tiesa ir atzinusi, ka attiecībā uz kritērija par autora ciesto zaudējumu nozīmi taisnīgas atlīdzības aprēķināšanā no Direktīvas 2001/29/EK preambulas 35. un 38. apsvēruma izriet, ka minētās taisnīgās atlīdzības mērķis ir sniegt "pienācīgu atlīdzību" autoriem par viņu aizsargāto darbu izmantošanu bez atļaujas. Lai noteiktu šīs atlīdzības apmēru, kā "lietderīgs kritērijs" ir jāizmanto "iespējamais kaitējums", kas autoram radies attiecīgās reproducēšanas rezultātā, un "minimāls kaitējums" tomēr nevar būt pamats atlīdzības maksāšanai (sk. </w:t>
            </w:r>
            <w:r w:rsidRPr="00CA5C25">
              <w:rPr>
                <w:i/>
                <w:iCs/>
                <w:sz w:val="22"/>
                <w:szCs w:val="22"/>
              </w:rPr>
              <w:t>Eiropas Savienības Tiesas 2010. gada 21. oktobra sprieduma lietā Nr. C</w:t>
            </w:r>
            <w:r w:rsidRPr="00CA5C25">
              <w:rPr>
                <w:i/>
                <w:iCs/>
                <w:sz w:val="22"/>
                <w:szCs w:val="22"/>
              </w:rPr>
              <w:noBreakHyphen/>
              <w:t xml:space="preserve">467/08 </w:t>
            </w:r>
            <w:proofErr w:type="spellStart"/>
            <w:r w:rsidRPr="00CA5C25">
              <w:rPr>
                <w:i/>
                <w:iCs/>
                <w:sz w:val="22"/>
                <w:szCs w:val="22"/>
              </w:rPr>
              <w:t>Padawan</w:t>
            </w:r>
            <w:proofErr w:type="spellEnd"/>
            <w:r w:rsidRPr="00CA5C25">
              <w:rPr>
                <w:i/>
                <w:iCs/>
                <w:sz w:val="22"/>
                <w:szCs w:val="22"/>
              </w:rPr>
              <w:t xml:space="preserve"> SL 39., 50. punktu</w:t>
            </w:r>
            <w:r w:rsidRPr="00E36116">
              <w:rPr>
                <w:sz w:val="22"/>
                <w:szCs w:val="22"/>
              </w:rPr>
              <w:t xml:space="preserve">). Arī direktīvas Nr. 2001/29/EK preambulas 31. apsvērumā ir noteikts, ka ir jāsaglabā "taisnīgs līdzsvars" starp autoru, kas ir taisnīgas atlīdzības saņēmēji, tiesībām un interesēm, no vienas puses, un aizsargātu tiesību objektu izmantotāju tiesībām un interesēm, no otras puses. Kā secinājusi Eiropas Savienības Tiesa, minētās direktīvas 5. panta 2. punkta "b" apakšpunkts ir interpretējams tādējādi, ka rodamais attiecīgo personu interešu "taisnīgais līdzsvars" nozīmē, ka taisnīgā atlīdzība ir jāaprēķina, obligāti pamatojoties uz kritēriju par kaitējumu aizsargāto darbu autoriem, kas radīts, ieviešot izņēmumu saistībā ar kopiju personiskai lietošanai (sk. </w:t>
            </w:r>
            <w:r w:rsidRPr="00CA5C25">
              <w:rPr>
                <w:i/>
                <w:iCs/>
                <w:sz w:val="22"/>
                <w:szCs w:val="22"/>
              </w:rPr>
              <w:t xml:space="preserve">Eiropas Savienības Tiesas 2010. gada 21. oktobra </w:t>
            </w:r>
            <w:r w:rsidRPr="00CA5C25">
              <w:rPr>
                <w:i/>
                <w:iCs/>
                <w:sz w:val="22"/>
                <w:szCs w:val="22"/>
              </w:rPr>
              <w:lastRenderedPageBreak/>
              <w:t>sprieduma lietā Nr. C</w:t>
            </w:r>
            <w:r w:rsidRPr="00CA5C25">
              <w:rPr>
                <w:i/>
                <w:iCs/>
                <w:sz w:val="22"/>
                <w:szCs w:val="22"/>
              </w:rPr>
              <w:noBreakHyphen/>
              <w:t xml:space="preserve">467/08 </w:t>
            </w:r>
            <w:proofErr w:type="spellStart"/>
            <w:r w:rsidRPr="00CA5C25">
              <w:rPr>
                <w:i/>
                <w:iCs/>
                <w:sz w:val="22"/>
                <w:szCs w:val="22"/>
              </w:rPr>
              <w:t>Padawan</w:t>
            </w:r>
            <w:proofErr w:type="spellEnd"/>
            <w:r w:rsidRPr="00CA5C25">
              <w:rPr>
                <w:i/>
                <w:iCs/>
                <w:sz w:val="22"/>
                <w:szCs w:val="22"/>
              </w:rPr>
              <w:t xml:space="preserve"> SL 42. punktu</w:t>
            </w:r>
            <w:r w:rsidRPr="00E36116">
              <w:rPr>
                <w:sz w:val="22"/>
                <w:szCs w:val="22"/>
              </w:rPr>
              <w:t>).</w:t>
            </w:r>
          </w:p>
          <w:p w:rsidRPr="00E36116" w:rsidR="00800C86" w:rsidP="00CA5C25" w:rsidRDefault="00800C86" w14:paraId="6FA8EDC9" w14:textId="291D68E8">
            <w:pPr>
              <w:jc w:val="both"/>
              <w:rPr>
                <w:sz w:val="22"/>
                <w:szCs w:val="22"/>
              </w:rPr>
            </w:pPr>
            <w:r w:rsidRPr="00E36116">
              <w:rPr>
                <w:sz w:val="22"/>
                <w:szCs w:val="22"/>
              </w:rPr>
              <w:t xml:space="preserve">Tomēr uzskatām, ka ir pamats apšaubīt, ka ar projektu tiek nodrošināts taisnīgs līdzsvars starp autoru, kas ir taisnīgas atlīdzības saņēmēji, tiesībām un interesēm, no vienas puses, un aizsargātu tiesību objektu izmantotāju tiesībām un interesēm. Projektā ietvertie kritēriji nesēju un iekārtu sarakstu, kuri apliekami ar nesēja atlīdzību, precizēšanai pamatā skaidroti vispārīgi (jo īpaši sk. kritēriju – samērīgums ar sabiedrības interesēm) un vairākos gadījumos būtībā sniegts atreferējums, kas ticis vērtēts bez konkrētām atsaucēm uz avotiem. Tāpat nav skaidrs, vai un ciktāl projekta izstrādē ir tikuši vērtēti citi nozīmīgi kritēriji, piemēram, tehnoloģisko aizsardzības pasākumu izmantošanas pakāpe, kas izriet no direktīvas Nr. 2001/29/EK 5. panta 2. punkta "b" apakšpunkta, un autoru iespējas citos veidos gūt mantisku labumu no reproducēšanas, kas iepriekš ņemts vērā, izdarot grozījumus MK noteikumos Nr. 321. Kā arī nav nepārprotami skaidrs, vai un ciktāl iespējamo kaitējumu autoram saistībā ar darba reprodukciju ietekmē tehnoloģiju attīstība, piemēram, dažādu straumēšanas platformu, datu mākoņu un citu tehnoloģisku risinājumu izplatība, tai skaitā vai šo risinājumu ietvaros lietotās iekārtas nekvalificējas kā reproducēšanas iekārtas, ierīces un datu nesēji atbilstoši direktīvai Nr. 2001/29/EK un attiecīgi – vai šīs iekārtas pamatotos gadījumos nebūtu </w:t>
            </w:r>
            <w:r w:rsidRPr="00E36116">
              <w:rPr>
                <w:sz w:val="22"/>
                <w:szCs w:val="22"/>
              </w:rPr>
              <w:lastRenderedPageBreak/>
              <w:t>iekļaujamas nesēju un iekārtu sarakstā. Uzskatām, ka no dzīvē gūtajiem novērojumiem attiecīgie risinājumi mūsdienās ir ļoti aktuāli un plaši izmantoti, tādēļ nepieciešams vērtēt arī to, vai šo risinājumu izmantošanas izplatības noteikšanai ir atbilstoši paļauties vienīgi uz veiktām aptaujām, uz ko saistībā ar datu mākoņiem norādīts projekta anotācijā. Ievērojot minēto, nepieciešams atbilstoši papildināt projekta anotācijā ietverto informāciju un nepieciešamības gadījumā precizēt projektu.</w:t>
            </w:r>
          </w:p>
          <w:p w:rsidRPr="00E36116" w:rsidR="00800C86" w:rsidP="00CA5C25" w:rsidRDefault="00800C86" w14:paraId="03062B17" w14:textId="77777777">
            <w:pPr>
              <w:pStyle w:val="naiskr"/>
              <w:spacing w:before="0" w:after="0"/>
              <w:jc w:val="both"/>
              <w:rPr>
                <w:sz w:val="22"/>
                <w:szCs w:val="22"/>
              </w:rPr>
            </w:pPr>
          </w:p>
          <w:p w:rsidRPr="00E36116" w:rsidR="00800C86" w:rsidP="00CA5C25" w:rsidRDefault="00800C86" w14:paraId="7E149091" w14:textId="6E62A9DC">
            <w:pPr>
              <w:pStyle w:val="naiskr"/>
              <w:spacing w:before="0" w:after="0"/>
              <w:jc w:val="both"/>
              <w:rPr>
                <w:b/>
                <w:bCs/>
                <w:sz w:val="22"/>
                <w:szCs w:val="22"/>
              </w:rPr>
            </w:pPr>
            <w:r w:rsidRPr="00E36116">
              <w:rPr>
                <w:b/>
                <w:bCs/>
                <w:sz w:val="22"/>
                <w:szCs w:val="22"/>
              </w:rPr>
              <w:t>Tieslietu ministrija</w:t>
            </w:r>
            <w:r w:rsidR="00A86E19">
              <w:rPr>
                <w:b/>
                <w:bCs/>
                <w:sz w:val="22"/>
                <w:szCs w:val="22"/>
              </w:rPr>
              <w:t>:</w:t>
            </w:r>
          </w:p>
          <w:p w:rsidRPr="00E36116" w:rsidR="00800C86" w:rsidP="00CA5C25" w:rsidRDefault="00800C86" w14:paraId="360870F7" w14:textId="15E7BBEB">
            <w:pPr>
              <w:pStyle w:val="naisc"/>
              <w:spacing w:before="0" w:after="0"/>
              <w:ind w:right="31"/>
              <w:jc w:val="both"/>
              <w:rPr>
                <w:sz w:val="22"/>
                <w:szCs w:val="22"/>
              </w:rPr>
            </w:pPr>
            <w:r w:rsidRPr="00E36116">
              <w:rPr>
                <w:sz w:val="22"/>
                <w:szCs w:val="22"/>
              </w:rPr>
              <w:t xml:space="preserve">Kā ir norādījusi Satversmes tiesa, "Ministru kabinetam ir tiesības un pienākums izvērtēt nepieciešamību iekļaut konkrētus nesējus un iekārtas MK noteikumos Nr. 321, tomēr šādām darbībām ir jābalstās uz skaidri definētiem kritērijiem, ciktāl tie atbilst Autortiesību likuma 34. pantā ietvertā deleģējuma mērķiem. Šādā kārtībā Ministru kabinetam jānodrošina līdzsvars starp sabiedrības interesēm un autortiesību subjektu mantiskajām tiesībām. Eiropas Savienības Tiesa ir atzinusi, ka tādi kritēriji kā samērīgums ar sabiedrības interesēm, autoru iespējas citos veidos gūt mantisku labumu no reproducēšanas, tehnoloģisko aizsardzības pasākumu izmantošanas pakāpe un tiesību aizskāruma smaguma pakāpe var tikt izmantoti, vērtējot nepieciešamību piemērot nesēja atlīdzību konkrētiem nesējiem un iekārtām un nosakot nesēja atlīdzības apmēru. Ņemot </w:t>
            </w:r>
            <w:r w:rsidRPr="00E36116">
              <w:rPr>
                <w:sz w:val="22"/>
                <w:szCs w:val="22"/>
              </w:rPr>
              <w:lastRenderedPageBreak/>
              <w:t xml:space="preserve">vērā minētos vai jebkurus citus skaidri definētus kritērijus, kuru piemērošanu Ministru kabinets atzīst par tiesiski pamatotu, tas var izdarīt </w:t>
            </w:r>
            <w:proofErr w:type="spellStart"/>
            <w:r w:rsidRPr="00E36116">
              <w:rPr>
                <w:sz w:val="22"/>
                <w:szCs w:val="22"/>
              </w:rPr>
              <w:t>tiesībpolitisku</w:t>
            </w:r>
            <w:proofErr w:type="spellEnd"/>
            <w:r w:rsidRPr="00E36116">
              <w:rPr>
                <w:sz w:val="22"/>
                <w:szCs w:val="22"/>
              </w:rPr>
              <w:t xml:space="preserve"> izšķiršanos par konkrētu nesēju un iekārtu iekļaušanu apstrīdētajās normās. Tādējādi Ministru kabinetam ir jānodrošina Autortiesību likuma 34. pantam atbilstošu nesēju un iekārtu saraksta ietveršanu apstrīdētajās normās". Projekta anotācijā ir norādīts, ka Kultūras ministrija nesēju un iekārtu saraksta pārvērtēšanai piemēroja tādus kritērijus kā tiesību subjektu tiesību aizskāruma smaguma pakāpe; samērīgums ar sabiedrības interesēm; dubultas aplikšanas nepieļaujamība; atlīdzības likmes noteikšana atkarībā no izmantošanas biežuma. Lai arī kritēriji ir skaidri, tomēr projekta anotācijā tie nav vērtēti pēc būtības, bet vispārīgi, kā arī nav vērtēta nepieciešamība MK noteikumos Nr. 321 iekļaut citus nesējus un iekārtas, kā arī autoru iespējas citos veidos gūt mantisku labumu no reproducēšanas. Ievērojot minēto, lūdzam papildināt ar atbilstošu informāciju projekta anotāciju.</w:t>
            </w:r>
          </w:p>
        </w:tc>
        <w:tc>
          <w:tcPr>
            <w:tcW w:w="1158" w:type="pct"/>
            <w:tcBorders>
              <w:top w:val="single" w:color="000000" w:sz="6" w:space="0"/>
              <w:left w:val="single" w:color="000000" w:sz="6" w:space="0"/>
              <w:bottom w:val="single" w:color="000000" w:sz="6" w:space="0"/>
              <w:right w:val="single" w:color="000000" w:sz="6" w:space="0"/>
            </w:tcBorders>
            <w:hideMark/>
          </w:tcPr>
          <w:p w:rsidRPr="00E36116" w:rsidR="00800C86" w:rsidP="003329AD" w:rsidRDefault="00DB40C1" w14:paraId="7CE2889F" w14:textId="6ADD2CF8">
            <w:pPr>
              <w:pStyle w:val="naisc"/>
              <w:spacing w:before="0" w:after="0"/>
              <w:ind w:firstLine="288"/>
              <w:rPr>
                <w:b/>
                <w:sz w:val="22"/>
                <w:szCs w:val="22"/>
                <w:lang w:eastAsia="en-US"/>
              </w:rPr>
            </w:pPr>
            <w:r>
              <w:rPr>
                <w:b/>
                <w:sz w:val="22"/>
                <w:szCs w:val="22"/>
                <w:lang w:eastAsia="en-US"/>
              </w:rPr>
              <w:lastRenderedPageBreak/>
              <w:t>Ņemts vērā</w:t>
            </w:r>
          </w:p>
          <w:p w:rsidRPr="003329AD" w:rsidR="00800C86" w:rsidP="00CA5C25" w:rsidRDefault="00A86E19" w14:paraId="320131B9" w14:textId="7907BE36">
            <w:pPr>
              <w:pStyle w:val="naisc"/>
              <w:spacing w:before="0" w:after="0"/>
              <w:jc w:val="both"/>
              <w:rPr>
                <w:sz w:val="22"/>
                <w:szCs w:val="22"/>
                <w:lang w:eastAsia="en-US"/>
              </w:rPr>
            </w:pPr>
            <w:r w:rsidRPr="00903684">
              <w:rPr>
                <w:sz w:val="22"/>
                <w:szCs w:val="22"/>
              </w:rPr>
              <w:t>Ministru kabineta noteikumu</w:t>
            </w:r>
            <w:r w:rsidRPr="00793437">
              <w:rPr>
                <w:sz w:val="22"/>
                <w:szCs w:val="22"/>
              </w:rPr>
              <w:t xml:space="preserve"> </w:t>
            </w:r>
            <w:r>
              <w:rPr>
                <w:sz w:val="22"/>
                <w:szCs w:val="22"/>
              </w:rPr>
              <w:t>p</w:t>
            </w:r>
            <w:r w:rsidRPr="00E36116">
              <w:rPr>
                <w:sz w:val="22"/>
                <w:szCs w:val="22"/>
              </w:rPr>
              <w:t>rojekta sākotnējās ietekmes novērtējuma ziņojuma (anotāc</w:t>
            </w:r>
            <w:r w:rsidRPr="00793437">
              <w:rPr>
                <w:sz w:val="22"/>
                <w:szCs w:val="22"/>
              </w:rPr>
              <w:t xml:space="preserve">ijas) </w:t>
            </w:r>
            <w:r w:rsidRPr="00E36116" w:rsidR="00800C86">
              <w:rPr>
                <w:bCs/>
                <w:sz w:val="22"/>
                <w:szCs w:val="22"/>
                <w:lang w:eastAsia="en-US"/>
              </w:rPr>
              <w:t>I sadaļas 2.punkts papildināts ar detalizētāku kritēriju skaidrojumu,</w:t>
            </w:r>
            <w:r w:rsidRPr="00793437" w:rsidR="00800C86">
              <w:rPr>
                <w:bCs/>
                <w:sz w:val="22"/>
                <w:szCs w:val="22"/>
                <w:lang w:eastAsia="en-US"/>
              </w:rPr>
              <w:t xml:space="preserve"> skaidrojumu par tehnoloģisko aizsardzības pasākumu </w:t>
            </w:r>
            <w:r w:rsidRPr="00793437" w:rsidR="00800C86">
              <w:rPr>
                <w:bCs/>
                <w:sz w:val="22"/>
                <w:szCs w:val="22"/>
                <w:lang w:eastAsia="en-US"/>
              </w:rPr>
              <w:lastRenderedPageBreak/>
              <w:t>izmantošanu, kā arī autoru iespējām citos veidos gūt mantisku labumu no reproducēšanas.</w:t>
            </w:r>
          </w:p>
        </w:tc>
        <w:tc>
          <w:tcPr>
            <w:tcW w:w="1087" w:type="pct"/>
            <w:tcBorders>
              <w:top w:val="single" w:color="auto" w:sz="4" w:space="0"/>
              <w:left w:val="single" w:color="auto" w:sz="4" w:space="0"/>
              <w:bottom w:val="single" w:color="auto" w:sz="4" w:space="0"/>
              <w:right w:val="single" w:color="auto" w:sz="4" w:space="0"/>
            </w:tcBorders>
            <w:hideMark/>
          </w:tcPr>
          <w:p w:rsidR="00A86E19" w:rsidP="00A86E19" w:rsidRDefault="00800C86" w14:paraId="48FBE579" w14:textId="391927F0">
            <w:pPr>
              <w:pStyle w:val="naisc"/>
              <w:spacing w:before="0" w:after="0"/>
              <w:jc w:val="both"/>
              <w:rPr>
                <w:sz w:val="22"/>
                <w:szCs w:val="22"/>
              </w:rPr>
            </w:pPr>
            <w:r w:rsidRPr="00E36116">
              <w:rPr>
                <w:sz w:val="22"/>
                <w:szCs w:val="22"/>
              </w:rPr>
              <w:lastRenderedPageBreak/>
              <w:t>Precizēt</w:t>
            </w:r>
            <w:r w:rsidRPr="00E36116" w:rsidR="00246C37">
              <w:rPr>
                <w:sz w:val="22"/>
                <w:szCs w:val="22"/>
              </w:rPr>
              <w:t>s</w:t>
            </w:r>
            <w:r w:rsidRPr="00E36116">
              <w:rPr>
                <w:sz w:val="22"/>
                <w:szCs w:val="22"/>
              </w:rPr>
              <w:t xml:space="preserve"> </w:t>
            </w:r>
            <w:r w:rsidRPr="00903684" w:rsidR="00A86E19">
              <w:rPr>
                <w:sz w:val="22"/>
                <w:szCs w:val="22"/>
              </w:rPr>
              <w:t>Ministru kabineta noteikumu</w:t>
            </w:r>
            <w:r w:rsidRPr="00793437" w:rsidR="00A86E19">
              <w:rPr>
                <w:sz w:val="22"/>
                <w:szCs w:val="22"/>
              </w:rPr>
              <w:t xml:space="preserve"> </w:t>
            </w:r>
            <w:r w:rsidR="00A86E19">
              <w:rPr>
                <w:sz w:val="22"/>
                <w:szCs w:val="22"/>
              </w:rPr>
              <w:t>p</w:t>
            </w:r>
            <w:r w:rsidRPr="00E36116">
              <w:rPr>
                <w:sz w:val="22"/>
                <w:szCs w:val="22"/>
              </w:rPr>
              <w:t>rojekta sākotnējās ietekmes novērtējuma ziņojuma (anotācijas) I sadaļas 2.punkts</w:t>
            </w:r>
            <w:r w:rsidR="00A86E19">
              <w:rPr>
                <w:sz w:val="22"/>
                <w:szCs w:val="22"/>
              </w:rPr>
              <w:t>:</w:t>
            </w:r>
          </w:p>
          <w:p w:rsidR="00A86E19" w:rsidP="00A86E19" w:rsidRDefault="00A86E19" w14:paraId="3027588A" w14:textId="77777777">
            <w:pPr>
              <w:pStyle w:val="naisc"/>
              <w:spacing w:before="0" w:after="0"/>
              <w:jc w:val="both"/>
              <w:rPr>
                <w:sz w:val="22"/>
                <w:szCs w:val="22"/>
              </w:rPr>
            </w:pPr>
          </w:p>
          <w:p w:rsidRPr="00E36116" w:rsidR="00800C86" w:rsidP="00CA5C25" w:rsidRDefault="00675991" w14:paraId="398844F5" w14:textId="18D7FFDC">
            <w:pPr>
              <w:pStyle w:val="naisc"/>
              <w:spacing w:before="0" w:after="0"/>
              <w:jc w:val="both"/>
              <w:rPr>
                <w:sz w:val="22"/>
                <w:szCs w:val="22"/>
                <w:lang w:eastAsia="en-US"/>
              </w:rPr>
            </w:pPr>
            <w:r w:rsidRPr="00793437">
              <w:rPr>
                <w:sz w:val="22"/>
                <w:szCs w:val="22"/>
              </w:rPr>
              <w:t>„</w:t>
            </w:r>
            <w:r>
              <w:rPr>
                <w:sz w:val="22"/>
                <w:szCs w:val="22"/>
              </w:rPr>
              <w:t xml:space="preserve">[..] </w:t>
            </w:r>
            <w:r w:rsidRPr="00E36116" w:rsidR="00800C86">
              <w:rPr>
                <w:sz w:val="22"/>
                <w:szCs w:val="22"/>
              </w:rPr>
              <w:t xml:space="preserve">Nesēju un iekārtu saraksta pārvērtēšanai Kultūras ministrija </w:t>
            </w:r>
            <w:r w:rsidRPr="00E36116" w:rsidR="00800C86">
              <w:rPr>
                <w:sz w:val="22"/>
                <w:szCs w:val="22"/>
              </w:rPr>
              <w:lastRenderedPageBreak/>
              <w:t>piemēroja turpmāk norādītos kritērijus:</w:t>
            </w:r>
            <w:r>
              <w:rPr>
                <w:sz w:val="22"/>
                <w:szCs w:val="22"/>
              </w:rPr>
              <w:t xml:space="preserve"> [..]</w:t>
            </w:r>
            <w:r w:rsidRPr="00E36116" w:rsidR="00800C86">
              <w:rPr>
                <w:sz w:val="22"/>
                <w:szCs w:val="22"/>
              </w:rPr>
              <w:t>”</w:t>
            </w:r>
          </w:p>
        </w:tc>
      </w:tr>
      <w:tr w:rsidRPr="00E36116" w:rsidR="00800C86" w:rsidTr="00793437" w14:paraId="6D233DEA" w14:textId="77777777">
        <w:tc>
          <w:tcPr>
            <w:tcW w:w="226" w:type="pct"/>
            <w:tcBorders>
              <w:top w:val="single" w:color="000000" w:sz="6" w:space="0"/>
              <w:left w:val="single" w:color="000000" w:sz="6" w:space="0"/>
              <w:bottom w:val="single" w:color="000000" w:sz="6" w:space="0"/>
              <w:right w:val="single" w:color="000000" w:sz="6" w:space="0"/>
            </w:tcBorders>
          </w:tcPr>
          <w:p w:rsidRPr="00E36116" w:rsidR="00800C86" w:rsidP="00E36116" w:rsidRDefault="00A3415B" w14:paraId="68F07F78" w14:textId="39692F4E">
            <w:pPr>
              <w:pStyle w:val="naisc"/>
              <w:spacing w:before="0" w:after="0"/>
              <w:rPr>
                <w:sz w:val="22"/>
                <w:szCs w:val="22"/>
                <w:lang w:eastAsia="en-US"/>
              </w:rPr>
            </w:pPr>
            <w:r w:rsidRPr="00E36116">
              <w:rPr>
                <w:sz w:val="22"/>
                <w:szCs w:val="22"/>
                <w:lang w:eastAsia="en-US"/>
              </w:rPr>
              <w:lastRenderedPageBreak/>
              <w:t>6.</w:t>
            </w:r>
          </w:p>
        </w:tc>
        <w:tc>
          <w:tcPr>
            <w:tcW w:w="1079" w:type="pct"/>
            <w:tcBorders>
              <w:top w:val="single" w:color="000000" w:sz="6" w:space="0"/>
              <w:left w:val="single" w:color="000000" w:sz="6" w:space="0"/>
              <w:bottom w:val="single" w:color="000000" w:sz="6" w:space="0"/>
              <w:right w:val="single" w:color="000000" w:sz="6" w:space="0"/>
            </w:tcBorders>
          </w:tcPr>
          <w:p w:rsidRPr="00793437" w:rsidR="00800C86" w:rsidP="00CA5C25" w:rsidRDefault="00FC2BFF" w14:paraId="77692BD1" w14:textId="317F585D">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sidR="00800C86">
              <w:rPr>
                <w:sz w:val="22"/>
                <w:szCs w:val="22"/>
              </w:rPr>
              <w:t>rojekta sākotnējās ietekmes novērtējuma ziņojuma (anotācijas) I sadaļas 2.punkts:</w:t>
            </w:r>
          </w:p>
          <w:p w:rsidR="00A86E19" w:rsidP="00A86E19" w:rsidRDefault="00A86E19" w14:paraId="2E68BA04" w14:textId="77777777">
            <w:pPr>
              <w:jc w:val="both"/>
              <w:rPr>
                <w:sz w:val="22"/>
                <w:szCs w:val="22"/>
              </w:rPr>
            </w:pPr>
          </w:p>
          <w:p w:rsidRPr="00793437" w:rsidR="00800C86" w:rsidP="00CA5C25" w:rsidRDefault="009F1155" w14:paraId="6D5716A0" w14:textId="5A996F0B">
            <w:pPr>
              <w:jc w:val="both"/>
              <w:rPr>
                <w:sz w:val="22"/>
                <w:szCs w:val="22"/>
              </w:rPr>
            </w:pPr>
            <w:r w:rsidRPr="00793437">
              <w:rPr>
                <w:sz w:val="22"/>
                <w:szCs w:val="22"/>
              </w:rPr>
              <w:t>„</w:t>
            </w:r>
            <w:r w:rsidRPr="00793437" w:rsidR="00800C86">
              <w:rPr>
                <w:sz w:val="22"/>
                <w:szCs w:val="22"/>
              </w:rPr>
              <w:t>[..]</w:t>
            </w:r>
            <w:r w:rsidR="00FC2BFF">
              <w:rPr>
                <w:sz w:val="22"/>
                <w:szCs w:val="22"/>
              </w:rPr>
              <w:t xml:space="preserve"> </w:t>
            </w:r>
            <w:r w:rsidRPr="00793437" w:rsidR="00800C86">
              <w:rPr>
                <w:sz w:val="22"/>
                <w:szCs w:val="22"/>
              </w:rPr>
              <w:t>Lai nodrošinātu, ka datoru cietie diski netiek aplikti dubultā, Projekta 1.5.apakšpunkts paredz papildināt Noteikumus ar 8.</w:t>
            </w:r>
            <w:r w:rsidRPr="00793437" w:rsidR="00800C86">
              <w:rPr>
                <w:sz w:val="22"/>
                <w:szCs w:val="22"/>
                <w:vertAlign w:val="superscript"/>
              </w:rPr>
              <w:t>1</w:t>
            </w:r>
            <w:r w:rsidRPr="003329AD" w:rsidR="00800C86">
              <w:rPr>
                <w:sz w:val="22"/>
                <w:szCs w:val="22"/>
              </w:rPr>
              <w:t xml:space="preserve"> </w:t>
            </w:r>
            <w:r w:rsidRPr="003329AD" w:rsidR="00800C86">
              <w:rPr>
                <w:sz w:val="22"/>
                <w:szCs w:val="22"/>
              </w:rPr>
              <w:lastRenderedPageBreak/>
              <w:t>punktu, kas paredz, ka izgatavotājam, tajā skaitā komersantam, kas komplek</w:t>
            </w:r>
            <w:r w:rsidRPr="00E36116" w:rsidR="00800C86">
              <w:rPr>
                <w:sz w:val="22"/>
                <w:szCs w:val="22"/>
              </w:rPr>
              <w:t>tē datorus Latvijā, ja tas datoru komplektēšanai izmanto datoru cietos diskus, par kuriem atlīdzība ir jau samaksāta, atlīdzība par reproducēšanai izmantojamām iekārtām nav jāmaksā.</w:t>
            </w:r>
            <w:r w:rsidR="00FC2BFF">
              <w:rPr>
                <w:sz w:val="22"/>
                <w:szCs w:val="22"/>
              </w:rPr>
              <w:t xml:space="preserve"> </w:t>
            </w:r>
            <w:r w:rsidRPr="00793437" w:rsidR="0064509A">
              <w:rPr>
                <w:sz w:val="22"/>
                <w:szCs w:val="22"/>
              </w:rPr>
              <w:t>[..]</w:t>
            </w:r>
            <w:r w:rsidR="00FC2BFF">
              <w:rPr>
                <w:sz w:val="22"/>
                <w:szCs w:val="22"/>
              </w:rPr>
              <w:t>”</w:t>
            </w:r>
          </w:p>
        </w:tc>
        <w:tc>
          <w:tcPr>
            <w:tcW w:w="1450" w:type="pct"/>
            <w:tcBorders>
              <w:top w:val="single" w:color="000000" w:sz="6" w:space="0"/>
              <w:left w:val="single" w:color="000000" w:sz="6" w:space="0"/>
              <w:bottom w:val="single" w:color="000000" w:sz="6" w:space="0"/>
              <w:right w:val="single" w:color="000000" w:sz="6" w:space="0"/>
            </w:tcBorders>
          </w:tcPr>
          <w:p w:rsidRPr="003329AD" w:rsidR="00800C86" w:rsidP="00CA5C25" w:rsidRDefault="00800C86" w14:paraId="075515DF" w14:textId="5A1B53D5">
            <w:pPr>
              <w:jc w:val="both"/>
              <w:rPr>
                <w:b/>
                <w:bCs/>
                <w:sz w:val="22"/>
                <w:szCs w:val="22"/>
              </w:rPr>
            </w:pPr>
            <w:r w:rsidRPr="003329AD">
              <w:rPr>
                <w:b/>
                <w:bCs/>
                <w:sz w:val="22"/>
                <w:szCs w:val="22"/>
              </w:rPr>
              <w:lastRenderedPageBreak/>
              <w:t>Tieslietu ministrija</w:t>
            </w:r>
            <w:r w:rsidR="00A86E19">
              <w:rPr>
                <w:b/>
                <w:bCs/>
                <w:sz w:val="22"/>
                <w:szCs w:val="22"/>
              </w:rPr>
              <w:t>:</w:t>
            </w:r>
          </w:p>
          <w:p w:rsidRPr="00E36116" w:rsidR="00800C86" w:rsidP="00CA5C25" w:rsidRDefault="00800C86" w14:paraId="410BF7E1" w14:textId="1BE04F76">
            <w:pPr>
              <w:pStyle w:val="naiskr"/>
              <w:spacing w:before="0" w:after="0"/>
              <w:jc w:val="both"/>
              <w:rPr>
                <w:sz w:val="22"/>
                <w:szCs w:val="22"/>
              </w:rPr>
            </w:pPr>
            <w:r w:rsidRPr="00E36116">
              <w:rPr>
                <w:sz w:val="22"/>
                <w:szCs w:val="22"/>
              </w:rPr>
              <w:t xml:space="preserve">Projekta anotācijā norādīts, ka ar projekta 1.3. apakšpunktā ietverto MK noteikumu Nr. 321 3.3. apakšpunktu paredzēts papildināt tukšo materiālu nesēju sarakstu ar visu veidu datoru cietajiem diskiem. Tāpat norādīts, ka iepriekšējā nesēju un iekārtu saraksta pārvērtēšanas laikā tika noteikts, ka nesēja atlīdzība būtu maksājama tikai par datoriem. Datoru cietie diski netika iekļauti </w:t>
            </w:r>
            <w:r w:rsidRPr="00E36116">
              <w:rPr>
                <w:sz w:val="22"/>
                <w:szCs w:val="22"/>
              </w:rPr>
              <w:lastRenderedPageBreak/>
              <w:t xml:space="preserve">sarakstā, lai novērstu dubultas aplikšanas risku. Saistībā ar minēto vēršam uzmanību, ka nav saprotams, kā atbilstoši projekta 1.5. apakšpunktā ietvertajam regulējumam paredzēts novērst dubultas aplikšanas risku, kas bijis iemesls iepriekš datoru cietos diskus neiekļaut attiecīgajā sarakstā. Attiecīgi lūdzam papildināt projekta anotāciju ar atbilstošu skaidrojumu, norādot arī to, vai 1.5. apakšpunktā ietvertais risinājums nav pārmērīgi apgrūtinošs izgatavotājiem. Norādām, ka salīdzinājumam attiecībā uz tiesībām uz samaksātās nodevas atmaksāšanu Eiropas Savienības Tiesa ir atzinusi, ka direktīvas Nr. 2001/29/EK 5. panta 2. punkta "b" apakšpunktam nav pretrunā dalībvalsts tiesiskais regulējums, kurā vienādi tiek piemērota nodeva par kopēšanu privātai lietošanai, pirmo reizi tās teritorijā tirdzniecības nolūkā par atlīdzību laižot tirgū datu nesējus, ko var izmantot reproducēšanai, vienlaikus paredzot tiesības uz to nodevu atmaksāšanu, kas samaksātas gadījumā, kad šo nesēju galīgā lietošana neietilpst šajā tiesību normā uzskaitītajos gadījumos, ja ar praktiskajām grūtībām ir attaisnojama šāda taisnīgās atlīdzības finansēšanas sistēma un, ja šīs tiesības uz atmaksāšanu ir efektīvas un nepadara samaksātās nodevas atmaksāšanu pārmērīgi sarežģītu (sk. </w:t>
            </w:r>
            <w:r w:rsidRPr="00CA5C25">
              <w:rPr>
                <w:i/>
                <w:iCs/>
                <w:sz w:val="22"/>
                <w:szCs w:val="22"/>
              </w:rPr>
              <w:t xml:space="preserve">Eiropas Savienības Tiesas 2013. gada 11. jūlija spriedumu lietā Nr. C-521/11, Amazon.com </w:t>
            </w:r>
            <w:proofErr w:type="spellStart"/>
            <w:r w:rsidRPr="00CA5C25">
              <w:rPr>
                <w:i/>
                <w:iCs/>
                <w:sz w:val="22"/>
                <w:szCs w:val="22"/>
              </w:rPr>
              <w:t>International</w:t>
            </w:r>
            <w:proofErr w:type="spellEnd"/>
            <w:r w:rsidRPr="00CA5C25">
              <w:rPr>
                <w:i/>
                <w:iCs/>
                <w:sz w:val="22"/>
                <w:szCs w:val="22"/>
              </w:rPr>
              <w:t xml:space="preserve"> </w:t>
            </w:r>
            <w:proofErr w:type="spellStart"/>
            <w:r w:rsidRPr="00CA5C25">
              <w:rPr>
                <w:i/>
                <w:iCs/>
                <w:sz w:val="22"/>
                <w:szCs w:val="22"/>
              </w:rPr>
              <w:t>Sales</w:t>
            </w:r>
            <w:proofErr w:type="spellEnd"/>
            <w:r w:rsidRPr="00CA5C25">
              <w:rPr>
                <w:i/>
                <w:iCs/>
                <w:sz w:val="22"/>
                <w:szCs w:val="22"/>
              </w:rPr>
              <w:t xml:space="preserve"> </w:t>
            </w:r>
            <w:proofErr w:type="spellStart"/>
            <w:r w:rsidRPr="00CA5C25">
              <w:rPr>
                <w:i/>
                <w:iCs/>
                <w:sz w:val="22"/>
                <w:szCs w:val="22"/>
              </w:rPr>
              <w:t>Inc</w:t>
            </w:r>
            <w:proofErr w:type="spellEnd"/>
            <w:r w:rsidRPr="00CA5C25">
              <w:rPr>
                <w:i/>
                <w:iCs/>
                <w:sz w:val="22"/>
                <w:szCs w:val="22"/>
              </w:rPr>
              <w:t>.</w:t>
            </w:r>
            <w:r w:rsidRPr="00E36116">
              <w:rPr>
                <w:sz w:val="22"/>
                <w:szCs w:val="22"/>
              </w:rPr>
              <w:t xml:space="preserve">). Ja attiecīgu skaidrojumu nav </w:t>
            </w:r>
            <w:r w:rsidRPr="00E36116">
              <w:rPr>
                <w:sz w:val="22"/>
                <w:szCs w:val="22"/>
              </w:rPr>
              <w:lastRenderedPageBreak/>
              <w:t>iespējams sniegt, lūdzam atbilstoši precizēt projektu.</w:t>
            </w:r>
          </w:p>
        </w:tc>
        <w:tc>
          <w:tcPr>
            <w:tcW w:w="1158" w:type="pct"/>
            <w:tcBorders>
              <w:top w:val="single" w:color="000000" w:sz="6" w:space="0"/>
              <w:left w:val="single" w:color="000000" w:sz="6" w:space="0"/>
              <w:bottom w:val="single" w:color="000000" w:sz="6" w:space="0"/>
              <w:right w:val="single" w:color="000000" w:sz="6" w:space="0"/>
            </w:tcBorders>
          </w:tcPr>
          <w:p w:rsidRPr="00E36116" w:rsidR="00800C86" w:rsidP="00CA5C25" w:rsidRDefault="00C021C8" w14:paraId="0A4719B3" w14:textId="4B45EB7C">
            <w:pPr>
              <w:pStyle w:val="naisc"/>
              <w:spacing w:before="0" w:after="0"/>
              <w:ind w:firstLine="288"/>
              <w:rPr>
                <w:b/>
                <w:sz w:val="22"/>
                <w:szCs w:val="22"/>
                <w:lang w:eastAsia="en-US"/>
              </w:rPr>
            </w:pPr>
            <w:r>
              <w:rPr>
                <w:b/>
                <w:sz w:val="22"/>
                <w:szCs w:val="22"/>
                <w:lang w:eastAsia="en-US"/>
              </w:rPr>
              <w:lastRenderedPageBreak/>
              <w:t>Ņemts vērā</w:t>
            </w:r>
          </w:p>
          <w:p w:rsidRPr="00E36116" w:rsidR="00A76EA4" w:rsidP="00CA5C25" w:rsidRDefault="00C021C8" w14:paraId="219E1FFF" w14:textId="30772AED">
            <w:pPr>
              <w:pStyle w:val="naisc"/>
              <w:spacing w:before="0" w:after="0"/>
              <w:jc w:val="both"/>
              <w:rPr>
                <w:bCs/>
                <w:sz w:val="22"/>
                <w:szCs w:val="22"/>
                <w:lang w:eastAsia="en-US"/>
              </w:rPr>
            </w:pPr>
            <w:r>
              <w:rPr>
                <w:sz w:val="22"/>
                <w:szCs w:val="22"/>
              </w:rPr>
              <w:t xml:space="preserve">Ministru kabineta noteikumu projektā </w:t>
            </w:r>
            <w:r w:rsidRPr="00E36116" w:rsidR="00A76EA4">
              <w:rPr>
                <w:sz w:val="22"/>
                <w:szCs w:val="22"/>
              </w:rPr>
              <w:t>tiek paredzēts jauns mehānisms, kas novērš dubultās aplikšanas risku, proti, atlīdzība par datoru nebūs jāmaksā, ja tā komplektēšanai Latvijā tiek izmantots datora cietais disks, par kuru nesēja atlīdzība jau ir samaksāta.</w:t>
            </w:r>
          </w:p>
          <w:p w:rsidRPr="00E36116" w:rsidR="00800C86" w:rsidP="00CA5C25" w:rsidRDefault="00A76EA4" w14:paraId="66E5D99B" w14:textId="77777777">
            <w:pPr>
              <w:pStyle w:val="naisc"/>
              <w:spacing w:before="0" w:after="0"/>
              <w:jc w:val="both"/>
              <w:rPr>
                <w:bCs/>
                <w:sz w:val="22"/>
                <w:szCs w:val="22"/>
                <w:lang w:eastAsia="en-US"/>
              </w:rPr>
            </w:pPr>
            <w:r w:rsidRPr="00E36116">
              <w:rPr>
                <w:bCs/>
                <w:sz w:val="22"/>
                <w:szCs w:val="22"/>
                <w:lang w:eastAsia="en-US"/>
              </w:rPr>
              <w:lastRenderedPageBreak/>
              <w:t>Ņemot vērā, ka minēta</w:t>
            </w:r>
            <w:r w:rsidRPr="00E36116" w:rsidR="00E03E98">
              <w:rPr>
                <w:bCs/>
                <w:sz w:val="22"/>
                <w:szCs w:val="22"/>
                <w:lang w:eastAsia="en-US"/>
              </w:rPr>
              <w:t xml:space="preserve">is mehānisms neuzliek lielāku administratīvo slogu kā, piemēram, gadījumos, kad nesēji vai iekārtas tiek izvesti no Latvijas, tad nav pamata uzskatīt, ka šāds risinājums būtu pārmērīgi apgrūtinošs izgatavotājiem. </w:t>
            </w:r>
          </w:p>
          <w:p w:rsidRPr="00E36116" w:rsidR="00E03E98" w:rsidP="00CA5C25" w:rsidRDefault="00E03E98" w14:paraId="0331410B" w14:textId="32C9D190">
            <w:pPr>
              <w:pStyle w:val="naisc"/>
              <w:spacing w:before="0" w:after="0"/>
              <w:jc w:val="both"/>
              <w:rPr>
                <w:bCs/>
                <w:sz w:val="22"/>
                <w:szCs w:val="22"/>
                <w:lang w:eastAsia="en-US"/>
              </w:rPr>
            </w:pPr>
            <w:r w:rsidRPr="00E36116">
              <w:rPr>
                <w:bCs/>
                <w:sz w:val="22"/>
                <w:szCs w:val="22"/>
                <w:lang w:eastAsia="en-US"/>
              </w:rPr>
              <w:t xml:space="preserve">Papildus norādāms, ka gadījumos, kad </w:t>
            </w:r>
            <w:r w:rsidRPr="00E36116" w:rsidR="00F961E3">
              <w:rPr>
                <w:bCs/>
                <w:sz w:val="22"/>
                <w:szCs w:val="22"/>
                <w:lang w:eastAsia="en-US"/>
              </w:rPr>
              <w:t>datora pārdevējs (komplektētājs)</w:t>
            </w:r>
            <w:r w:rsidRPr="00793437">
              <w:rPr>
                <w:bCs/>
                <w:sz w:val="22"/>
                <w:szCs w:val="22"/>
                <w:lang w:eastAsia="en-US"/>
              </w:rPr>
              <w:t xml:space="preserve"> nevarēs pierādīt, ka nesēja atlīdzība par cieto disku samaksāta, tas var izmantot Autortiesību likuma 34.panta sestajā daļā minētās tiesības regresa kārtībā vērsties pret personu, kas a</w:t>
            </w:r>
            <w:r w:rsidRPr="003329AD">
              <w:rPr>
                <w:bCs/>
                <w:sz w:val="22"/>
                <w:szCs w:val="22"/>
                <w:lang w:eastAsia="en-US"/>
              </w:rPr>
              <w:t xml:space="preserve">ttiecīgo nesēju ievedusi Latvijā. </w:t>
            </w:r>
          </w:p>
        </w:tc>
        <w:tc>
          <w:tcPr>
            <w:tcW w:w="1087" w:type="pct"/>
            <w:tcBorders>
              <w:top w:val="single" w:color="auto" w:sz="4" w:space="0"/>
              <w:left w:val="single" w:color="auto" w:sz="4" w:space="0"/>
              <w:bottom w:val="single" w:color="auto" w:sz="4" w:space="0"/>
              <w:right w:val="single" w:color="auto" w:sz="4" w:space="0"/>
            </w:tcBorders>
          </w:tcPr>
          <w:p w:rsidRPr="00E36116" w:rsidR="00A76EA4" w:rsidP="00CA5C25" w:rsidRDefault="00FC2BFF" w14:paraId="4D8942CF" w14:textId="66B69C7D">
            <w:pPr>
              <w:pStyle w:val="naisc"/>
              <w:spacing w:before="0" w:after="0"/>
              <w:jc w:val="both"/>
              <w:rPr>
                <w:sz w:val="22"/>
                <w:szCs w:val="22"/>
              </w:rPr>
            </w:pPr>
            <w:r w:rsidRPr="00903684">
              <w:rPr>
                <w:sz w:val="22"/>
                <w:szCs w:val="22"/>
              </w:rPr>
              <w:lastRenderedPageBreak/>
              <w:t>Ministru kabineta noteikumu</w:t>
            </w:r>
            <w:r w:rsidRPr="00793437">
              <w:rPr>
                <w:sz w:val="22"/>
                <w:szCs w:val="22"/>
              </w:rPr>
              <w:t xml:space="preserve"> </w:t>
            </w:r>
            <w:r>
              <w:rPr>
                <w:sz w:val="22"/>
                <w:szCs w:val="22"/>
              </w:rPr>
              <w:t>p</w:t>
            </w:r>
            <w:r w:rsidRPr="00E36116" w:rsidR="00A76EA4">
              <w:rPr>
                <w:sz w:val="22"/>
                <w:szCs w:val="22"/>
              </w:rPr>
              <w:t>rojekta sākotnējās ietekmes novērtējuma ziņojuma (anotācijas) I sadaļas 2.punkts:</w:t>
            </w:r>
          </w:p>
          <w:p w:rsidR="00FC2BFF" w:rsidP="00FC2BFF" w:rsidRDefault="00FC2BFF" w14:paraId="0239624E" w14:textId="77777777">
            <w:pPr>
              <w:jc w:val="both"/>
              <w:rPr>
                <w:sz w:val="22"/>
                <w:szCs w:val="22"/>
              </w:rPr>
            </w:pPr>
          </w:p>
          <w:p w:rsidRPr="00793437" w:rsidR="00800C86" w:rsidP="00CA5C25" w:rsidRDefault="009F1155" w14:paraId="1398EF5B" w14:textId="34A25780">
            <w:pPr>
              <w:jc w:val="both"/>
              <w:rPr>
                <w:sz w:val="22"/>
                <w:szCs w:val="22"/>
              </w:rPr>
            </w:pPr>
            <w:r w:rsidRPr="00793437">
              <w:rPr>
                <w:sz w:val="22"/>
                <w:szCs w:val="22"/>
              </w:rPr>
              <w:t>„</w:t>
            </w:r>
            <w:r w:rsidRPr="00E36116" w:rsidR="00A76EA4">
              <w:rPr>
                <w:sz w:val="22"/>
                <w:szCs w:val="22"/>
              </w:rPr>
              <w:t>[..]</w:t>
            </w:r>
            <w:r w:rsidR="00FC2BFF">
              <w:rPr>
                <w:sz w:val="22"/>
                <w:szCs w:val="22"/>
              </w:rPr>
              <w:t xml:space="preserve"> </w:t>
            </w:r>
            <w:r w:rsidRPr="00793437" w:rsidR="00A76EA4">
              <w:rPr>
                <w:sz w:val="22"/>
                <w:szCs w:val="22"/>
              </w:rPr>
              <w:t>Lai nodrošinātu, ka datoru cietie diski netiek aplikti dubultā, Projekta 1.5.apakšpunkts paredz papildināt Noteikumus ar 8.</w:t>
            </w:r>
            <w:r w:rsidRPr="00793437" w:rsidR="00A76EA4">
              <w:rPr>
                <w:sz w:val="22"/>
                <w:szCs w:val="22"/>
                <w:vertAlign w:val="superscript"/>
              </w:rPr>
              <w:t>1</w:t>
            </w:r>
            <w:r w:rsidRPr="00793437" w:rsidR="00A76EA4">
              <w:rPr>
                <w:sz w:val="22"/>
                <w:szCs w:val="22"/>
              </w:rPr>
              <w:t xml:space="preserve"> </w:t>
            </w:r>
            <w:r w:rsidRPr="00793437" w:rsidR="00A76EA4">
              <w:rPr>
                <w:sz w:val="22"/>
                <w:szCs w:val="22"/>
              </w:rPr>
              <w:lastRenderedPageBreak/>
              <w:t xml:space="preserve">punktu, </w:t>
            </w:r>
            <w:r w:rsidRPr="003329AD" w:rsidR="00A76EA4">
              <w:rPr>
                <w:sz w:val="22"/>
                <w:szCs w:val="22"/>
              </w:rPr>
              <w:t>kas paredz, ka izgatavotājam, tajā skaitā komersantam, kas komplektē d</w:t>
            </w:r>
            <w:r w:rsidRPr="00E36116" w:rsidR="00A76EA4">
              <w:rPr>
                <w:sz w:val="22"/>
                <w:szCs w:val="22"/>
              </w:rPr>
              <w:t>atorus Latvijā, ja tas datoru komplektēšanai izmanto datoru cietos diskus, par kuriem atlīdzība ir jau samaksāta, atlīdzība par reproducēšanai izmantojamām iekārtām nav jāmaksā.</w:t>
            </w:r>
            <w:r w:rsidR="00675991">
              <w:rPr>
                <w:sz w:val="22"/>
                <w:szCs w:val="22"/>
              </w:rPr>
              <w:t xml:space="preserve"> </w:t>
            </w:r>
            <w:r w:rsidRPr="00793437" w:rsidR="0064509A">
              <w:rPr>
                <w:sz w:val="22"/>
                <w:szCs w:val="22"/>
              </w:rPr>
              <w:t>[..]</w:t>
            </w:r>
            <w:r w:rsidR="00675991">
              <w:rPr>
                <w:sz w:val="22"/>
                <w:szCs w:val="22"/>
              </w:rPr>
              <w:t>”</w:t>
            </w:r>
          </w:p>
        </w:tc>
      </w:tr>
      <w:tr w:rsidRPr="00E36116" w:rsidR="00E03E98" w:rsidTr="00793437" w14:paraId="080EB8AC" w14:textId="77777777">
        <w:tc>
          <w:tcPr>
            <w:tcW w:w="226" w:type="pct"/>
            <w:tcBorders>
              <w:top w:val="single" w:color="000000" w:sz="6" w:space="0"/>
              <w:left w:val="single" w:color="000000" w:sz="6" w:space="0"/>
              <w:bottom w:val="single" w:color="000000" w:sz="6" w:space="0"/>
              <w:right w:val="single" w:color="000000" w:sz="6" w:space="0"/>
            </w:tcBorders>
          </w:tcPr>
          <w:p w:rsidRPr="00E36116" w:rsidR="00E03E98" w:rsidP="00E36116" w:rsidRDefault="00A3415B" w14:paraId="125DCEC4" w14:textId="5FDA4606">
            <w:pPr>
              <w:pStyle w:val="naisc"/>
              <w:spacing w:before="0" w:after="0"/>
              <w:rPr>
                <w:sz w:val="22"/>
                <w:szCs w:val="22"/>
                <w:lang w:eastAsia="en-US"/>
              </w:rPr>
            </w:pPr>
            <w:r w:rsidRPr="00E36116">
              <w:rPr>
                <w:sz w:val="22"/>
                <w:szCs w:val="22"/>
                <w:lang w:eastAsia="en-US"/>
              </w:rPr>
              <w:lastRenderedPageBreak/>
              <w:t>7.</w:t>
            </w:r>
          </w:p>
        </w:tc>
        <w:tc>
          <w:tcPr>
            <w:tcW w:w="1079" w:type="pct"/>
            <w:tcBorders>
              <w:top w:val="single" w:color="000000" w:sz="6" w:space="0"/>
              <w:left w:val="single" w:color="000000" w:sz="6" w:space="0"/>
              <w:bottom w:val="single" w:color="000000" w:sz="6" w:space="0"/>
              <w:right w:val="single" w:color="000000" w:sz="6" w:space="0"/>
            </w:tcBorders>
          </w:tcPr>
          <w:p w:rsidRPr="00793437" w:rsidR="00E03E98" w:rsidP="00CA5C25" w:rsidRDefault="00AC5798" w14:paraId="6838CB38" w14:textId="530397E0">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sidR="00E03E98">
              <w:rPr>
                <w:sz w:val="22"/>
                <w:szCs w:val="22"/>
              </w:rPr>
              <w:t>rojekta sākotnējās ietekmes novērtējuma ziņojuma (anotācijas) I sadaļas 2.punkts:</w:t>
            </w:r>
          </w:p>
          <w:p w:rsidR="00D41DCF" w:rsidP="00D41DCF" w:rsidRDefault="00D41DCF" w14:paraId="47FC6CCA" w14:textId="77777777">
            <w:pPr>
              <w:jc w:val="both"/>
              <w:rPr>
                <w:sz w:val="22"/>
                <w:szCs w:val="22"/>
              </w:rPr>
            </w:pPr>
          </w:p>
          <w:p w:rsidRPr="00E36116" w:rsidR="0064509A" w:rsidP="00CA5C25" w:rsidRDefault="00CC2FAA" w14:paraId="1C99A812" w14:textId="5C1ABDE9">
            <w:pPr>
              <w:jc w:val="both"/>
              <w:rPr>
                <w:sz w:val="22"/>
                <w:szCs w:val="22"/>
              </w:rPr>
            </w:pPr>
            <w:r w:rsidRPr="00793437">
              <w:rPr>
                <w:sz w:val="22"/>
                <w:szCs w:val="22"/>
              </w:rPr>
              <w:t>„</w:t>
            </w:r>
            <w:r w:rsidRPr="00793437" w:rsidR="00E03E98">
              <w:rPr>
                <w:sz w:val="22"/>
                <w:szCs w:val="22"/>
              </w:rPr>
              <w:t>[..]</w:t>
            </w:r>
            <w:r w:rsidRPr="00793437" w:rsidR="0064509A">
              <w:rPr>
                <w:sz w:val="22"/>
                <w:szCs w:val="22"/>
              </w:rPr>
              <w:t xml:space="preserve"> Projekta 1.3.apakšpunkts paredz grozīt Noteikumu 3. un 4.punktu, no tā svītrojot CD un DVD diskus, ņemot vērā, ka to izmantošana ir samazinājusies līdz 3%, palielinot atlīdzības lielumu USB zibatmiņām un papildinot sar</w:t>
            </w:r>
            <w:r w:rsidRPr="003329AD" w:rsidR="0064509A">
              <w:rPr>
                <w:sz w:val="22"/>
                <w:szCs w:val="22"/>
              </w:rPr>
              <w:t>akstu ar visu veidu datoru cietajiem diskiem (tai skaitā, HDD, SSD diski), ārējiem cietajiem datora diskiem un viedtālruņiem.</w:t>
            </w:r>
          </w:p>
          <w:p w:rsidRPr="00793437" w:rsidR="00E03E98" w:rsidP="00CA5C25" w:rsidRDefault="0064509A" w14:paraId="33D1EB4D" w14:textId="5CB0D41C">
            <w:pPr>
              <w:ind w:firstLine="288"/>
              <w:jc w:val="both"/>
              <w:rPr>
                <w:sz w:val="22"/>
                <w:szCs w:val="22"/>
                <w:highlight w:val="yellow"/>
              </w:rPr>
            </w:pPr>
            <w:r w:rsidRPr="00E36116">
              <w:rPr>
                <w:sz w:val="22"/>
                <w:szCs w:val="22"/>
              </w:rPr>
              <w:t xml:space="preserve">Visu veidu datoru cietajiem diskiem noteikta fiksēta atlīdzība 2,85 </w:t>
            </w:r>
            <w:proofErr w:type="spellStart"/>
            <w:r w:rsidRPr="00793437">
              <w:rPr>
                <w:i/>
                <w:iCs/>
                <w:sz w:val="22"/>
                <w:szCs w:val="22"/>
              </w:rPr>
              <w:t>euro</w:t>
            </w:r>
            <w:proofErr w:type="spellEnd"/>
            <w:r w:rsidRPr="00793437">
              <w:rPr>
                <w:sz w:val="22"/>
                <w:szCs w:val="22"/>
              </w:rPr>
              <w:t xml:space="preserve"> apmērā par vienību atbilstoši visu veidu personālajiem datoriem noteiktajam atlīdzības lielumam, ņemot vērā, ka datoru cietie diski varētu tikt komplektēti datorā (attiecīgi šajos gadījumos maksa par datoru nebūtu jāmaksā). Nosakot atlīdzību par viedtālruņiem 1,50 </w:t>
            </w:r>
            <w:proofErr w:type="spellStart"/>
            <w:r w:rsidRPr="00793437">
              <w:rPr>
                <w:i/>
                <w:iCs/>
                <w:sz w:val="22"/>
                <w:szCs w:val="22"/>
              </w:rPr>
              <w:t>euro</w:t>
            </w:r>
            <w:proofErr w:type="spellEnd"/>
            <w:r w:rsidRPr="00793437">
              <w:rPr>
                <w:sz w:val="22"/>
                <w:szCs w:val="22"/>
              </w:rPr>
              <w:t xml:space="preserve">, ņemts vērā, ka personālos datorus </w:t>
            </w:r>
            <w:proofErr w:type="spellStart"/>
            <w:r w:rsidRPr="00793437">
              <w:rPr>
                <w:sz w:val="22"/>
                <w:szCs w:val="22"/>
              </w:rPr>
              <w:t>privātkopēšanai</w:t>
            </w:r>
            <w:proofErr w:type="spellEnd"/>
            <w:r w:rsidRPr="00793437">
              <w:rPr>
                <w:sz w:val="22"/>
                <w:szCs w:val="22"/>
              </w:rPr>
              <w:t xml:space="preserve"> izmanto 85%, bet viedtālruņus – 32% (kas ir aptuveni divas reizes mazāk, </w:t>
            </w:r>
            <w:r w:rsidRPr="00793437">
              <w:rPr>
                <w:sz w:val="22"/>
                <w:szCs w:val="22"/>
              </w:rPr>
              <w:lastRenderedPageBreak/>
              <w:t xml:space="preserve">līdz ar to atlīdzība nosakāma aptuveni uz pusi mazāka kā personālajiem datoriem). Savukārt USB zibatmiņas nesēja atlīdzības likmes lielums palielināts līdz 6%, ņemot vērā, ka to izmantošana ir pieaugusi (no 32% līdz 41%), bet likme par ārējo cieto disku noteikta 4%, ņemot vērā, </w:t>
            </w:r>
            <w:r w:rsidRPr="00AA1749">
              <w:rPr>
                <w:sz w:val="22"/>
                <w:szCs w:val="22"/>
              </w:rPr>
              <w:t xml:space="preserve">ka tos </w:t>
            </w:r>
            <w:proofErr w:type="spellStart"/>
            <w:r w:rsidRPr="00AA1749">
              <w:rPr>
                <w:sz w:val="22"/>
                <w:szCs w:val="22"/>
              </w:rPr>
              <w:t>privātkopēšanai</w:t>
            </w:r>
            <w:proofErr w:type="spellEnd"/>
            <w:r w:rsidRPr="00AA1749">
              <w:rPr>
                <w:sz w:val="22"/>
                <w:szCs w:val="22"/>
              </w:rPr>
              <w:t xml:space="preserve"> izmantojuši 23% respondentu</w:t>
            </w:r>
            <w:r w:rsidRPr="00AA1749" w:rsidR="00E03E98">
              <w:rPr>
                <w:sz w:val="22"/>
                <w:szCs w:val="22"/>
              </w:rPr>
              <w:t>.</w:t>
            </w:r>
            <w:r w:rsidRPr="00AA1749" w:rsidR="00AA1749">
              <w:rPr>
                <w:sz w:val="22"/>
                <w:szCs w:val="22"/>
              </w:rPr>
              <w:t xml:space="preserve"> </w:t>
            </w:r>
            <w:r w:rsidRPr="00AA1749" w:rsidR="00E03E98">
              <w:rPr>
                <w:sz w:val="22"/>
                <w:szCs w:val="22"/>
              </w:rPr>
              <w:t>[..]</w:t>
            </w:r>
            <w:r w:rsidRPr="00CA5C25" w:rsidR="00AA1749">
              <w:rPr>
                <w:sz w:val="22"/>
                <w:szCs w:val="22"/>
              </w:rPr>
              <w:t>”</w:t>
            </w:r>
          </w:p>
        </w:tc>
        <w:tc>
          <w:tcPr>
            <w:tcW w:w="1450" w:type="pct"/>
            <w:tcBorders>
              <w:top w:val="single" w:color="000000" w:sz="6" w:space="0"/>
              <w:left w:val="single" w:color="000000" w:sz="6" w:space="0"/>
              <w:bottom w:val="single" w:color="000000" w:sz="6" w:space="0"/>
              <w:right w:val="single" w:color="000000" w:sz="6" w:space="0"/>
            </w:tcBorders>
          </w:tcPr>
          <w:p w:rsidRPr="003329AD" w:rsidR="00E03E98" w:rsidP="00CA5C25" w:rsidRDefault="00E03E98" w14:paraId="5BFE9925" w14:textId="6A4065CA">
            <w:pPr>
              <w:jc w:val="both"/>
              <w:rPr>
                <w:b/>
                <w:bCs/>
                <w:sz w:val="22"/>
                <w:szCs w:val="22"/>
              </w:rPr>
            </w:pPr>
            <w:r w:rsidRPr="003329AD">
              <w:rPr>
                <w:b/>
                <w:bCs/>
                <w:sz w:val="22"/>
                <w:szCs w:val="22"/>
              </w:rPr>
              <w:lastRenderedPageBreak/>
              <w:t>Tieslietu ministrija</w:t>
            </w:r>
            <w:r w:rsidR="00534F53">
              <w:rPr>
                <w:b/>
                <w:bCs/>
                <w:sz w:val="22"/>
                <w:szCs w:val="22"/>
              </w:rPr>
              <w:t>:</w:t>
            </w:r>
          </w:p>
          <w:p w:rsidRPr="00E36116" w:rsidR="00E03E98" w:rsidP="00CA5C25" w:rsidRDefault="00E03E98" w14:paraId="173CC85C" w14:textId="1E1D1014">
            <w:pPr>
              <w:jc w:val="both"/>
              <w:rPr>
                <w:sz w:val="22"/>
                <w:szCs w:val="22"/>
              </w:rPr>
            </w:pPr>
            <w:r w:rsidRPr="003329AD">
              <w:rPr>
                <w:sz w:val="22"/>
                <w:szCs w:val="22"/>
              </w:rPr>
              <w:t>Paužam bažas, ka no projekta un tā anotācijas nav gūstama pārliecība par projekta 1.3. apakšpunktā ietvertā MK noteikumu Nr. 321 3.2. un 3.3. apakšpunkta regulējuma, no kura izriet, ka paredzētas atšķirīgas atlīdzības par ārējiem cietajam datora diskiem un</w:t>
            </w:r>
            <w:r w:rsidRPr="00210677">
              <w:rPr>
                <w:sz w:val="22"/>
                <w:szCs w:val="22"/>
              </w:rPr>
              <w:t xml:space="preserve"> visu veidu datoru ci</w:t>
            </w:r>
            <w:r w:rsidRPr="00E36116">
              <w:rPr>
                <w:sz w:val="22"/>
                <w:szCs w:val="22"/>
              </w:rPr>
              <w:t xml:space="preserve">etajiem diskiem, atbilstību tiesiskās vienlīdzības principam, ņemot vērā arī to, ka nav saprotams, procentuāli, cik liela daļa datoru cietie diski varētu tikt komplektēti datoros. Kā atzīts Eiropas Savienības Tiesas judikatūrā, direktīvas Nr. 2001/29/EK 5. pantā paredzētie izņēmumi ir jāpiemēro, ievērojot vienlīdzīgas attieksmes principu. Dalībvalstis nevar paredzēt sīki izstrādātus taisnīgas atlīdzības noteikumus, kas radītu nepamatotu nevienlīdzīgu attieksmi starp dažādām tādu saimnieciskās darbības subjektu kategorijām, kuri tirgo ar privātās kopēšanas izņēmumu salīdzināmas preces, vai starp dažādām aizsargāto tiesību objektu lietotāju kategorijām (sk. Eiropas Savienības Tiesas 2015. gada 5. marta spriedumu lietā Nr. C 463/12, </w:t>
            </w:r>
            <w:proofErr w:type="spellStart"/>
            <w:r w:rsidRPr="003329AD">
              <w:rPr>
                <w:i/>
                <w:iCs/>
                <w:sz w:val="22"/>
                <w:szCs w:val="22"/>
              </w:rPr>
              <w:t>Copydan</w:t>
            </w:r>
            <w:proofErr w:type="spellEnd"/>
            <w:r w:rsidRPr="003329AD">
              <w:rPr>
                <w:i/>
                <w:iCs/>
                <w:sz w:val="22"/>
                <w:szCs w:val="22"/>
              </w:rPr>
              <w:t xml:space="preserve"> </w:t>
            </w:r>
            <w:proofErr w:type="spellStart"/>
            <w:r w:rsidRPr="003329AD">
              <w:rPr>
                <w:i/>
                <w:iCs/>
                <w:sz w:val="22"/>
                <w:szCs w:val="22"/>
              </w:rPr>
              <w:t>Båndkopi</w:t>
            </w:r>
            <w:proofErr w:type="spellEnd"/>
            <w:r w:rsidRPr="003329AD">
              <w:rPr>
                <w:sz w:val="22"/>
                <w:szCs w:val="22"/>
              </w:rPr>
              <w:t>, 31.–33. punktu). Ievērojot minēto lūdzam sniegt atbilstošu skaidrojumu par minēto, nepieciešamības gadījumā precizējot projektu.</w:t>
            </w:r>
          </w:p>
        </w:tc>
        <w:tc>
          <w:tcPr>
            <w:tcW w:w="1158" w:type="pct"/>
            <w:tcBorders>
              <w:top w:val="single" w:color="000000" w:sz="6" w:space="0"/>
              <w:left w:val="single" w:color="000000" w:sz="6" w:space="0"/>
              <w:bottom w:val="single" w:color="000000" w:sz="6" w:space="0"/>
              <w:right w:val="single" w:color="000000" w:sz="6" w:space="0"/>
            </w:tcBorders>
          </w:tcPr>
          <w:p w:rsidRPr="00E36116" w:rsidR="00E03E98" w:rsidP="00CA5C25" w:rsidRDefault="00C021C8" w14:paraId="70561BA6" w14:textId="06C61350">
            <w:pPr>
              <w:pStyle w:val="naisc"/>
              <w:spacing w:before="0" w:after="0"/>
              <w:ind w:firstLine="288"/>
              <w:rPr>
                <w:b/>
                <w:sz w:val="22"/>
                <w:szCs w:val="22"/>
                <w:lang w:eastAsia="en-US"/>
              </w:rPr>
            </w:pPr>
            <w:r>
              <w:rPr>
                <w:b/>
                <w:sz w:val="22"/>
                <w:szCs w:val="22"/>
                <w:lang w:eastAsia="en-US"/>
              </w:rPr>
              <w:t>Ņemts vērā</w:t>
            </w:r>
          </w:p>
          <w:p w:rsidRPr="003329AD" w:rsidR="00E03E98" w:rsidP="00CA5C25" w:rsidRDefault="00E03E98" w14:paraId="11DF2DAB" w14:textId="5680896B">
            <w:pPr>
              <w:pStyle w:val="naisc"/>
              <w:spacing w:before="0" w:after="0"/>
              <w:jc w:val="both"/>
              <w:rPr>
                <w:bCs/>
                <w:sz w:val="22"/>
                <w:szCs w:val="22"/>
                <w:lang w:eastAsia="en-US"/>
              </w:rPr>
            </w:pPr>
            <w:r w:rsidRPr="00E36116">
              <w:rPr>
                <w:bCs/>
                <w:sz w:val="22"/>
                <w:szCs w:val="22"/>
                <w:lang w:eastAsia="en-US"/>
              </w:rPr>
              <w:t xml:space="preserve">Ņemot vērā, ka ārējie cietie diski nevar tikt komplektēti datoros, bet gan tie izmantojami līdzīgi kā USB zibatmiņas, </w:t>
            </w:r>
            <w:r w:rsidRPr="00E36116" w:rsidR="006A6598">
              <w:rPr>
                <w:bCs/>
                <w:sz w:val="22"/>
                <w:szCs w:val="22"/>
                <w:lang w:eastAsia="en-US"/>
              </w:rPr>
              <w:t>ārējiem cietajiem diskiem</w:t>
            </w:r>
            <w:r w:rsidRPr="00793437">
              <w:rPr>
                <w:bCs/>
                <w:sz w:val="22"/>
                <w:szCs w:val="22"/>
                <w:lang w:eastAsia="en-US"/>
              </w:rPr>
              <w:t xml:space="preserve"> noteikta atšķirīga atlīdzība</w:t>
            </w:r>
            <w:r w:rsidRPr="00793437" w:rsidR="00902BEF">
              <w:rPr>
                <w:bCs/>
                <w:sz w:val="22"/>
                <w:szCs w:val="22"/>
                <w:lang w:eastAsia="en-US"/>
              </w:rPr>
              <w:t xml:space="preserve"> nekā</w:t>
            </w:r>
            <w:r w:rsidRPr="00793437">
              <w:rPr>
                <w:bCs/>
                <w:sz w:val="22"/>
                <w:szCs w:val="22"/>
                <w:lang w:eastAsia="en-US"/>
              </w:rPr>
              <w:t xml:space="preserve"> datoru cietajiem diskiem.</w:t>
            </w:r>
          </w:p>
        </w:tc>
        <w:tc>
          <w:tcPr>
            <w:tcW w:w="1087" w:type="pct"/>
            <w:tcBorders>
              <w:top w:val="single" w:color="auto" w:sz="4" w:space="0"/>
              <w:left w:val="single" w:color="auto" w:sz="4" w:space="0"/>
              <w:bottom w:val="single" w:color="auto" w:sz="4" w:space="0"/>
              <w:right w:val="single" w:color="auto" w:sz="4" w:space="0"/>
            </w:tcBorders>
          </w:tcPr>
          <w:p w:rsidRPr="00E36116" w:rsidR="00E03E98" w:rsidP="00CA5C25" w:rsidRDefault="00AC5798" w14:paraId="73CF320D" w14:textId="1C24ACA8">
            <w:pPr>
              <w:pStyle w:val="naisc"/>
              <w:spacing w:before="0" w:after="0"/>
              <w:jc w:val="both"/>
              <w:rPr>
                <w:bCs/>
                <w:sz w:val="22"/>
                <w:szCs w:val="22"/>
                <w:lang w:eastAsia="en-US"/>
              </w:rPr>
            </w:pPr>
            <w:r w:rsidRPr="00903684">
              <w:rPr>
                <w:sz w:val="22"/>
                <w:szCs w:val="22"/>
              </w:rPr>
              <w:t>Ministru kabineta noteikumu</w:t>
            </w:r>
            <w:r w:rsidRPr="00793437">
              <w:rPr>
                <w:sz w:val="22"/>
                <w:szCs w:val="22"/>
              </w:rPr>
              <w:t xml:space="preserve"> </w:t>
            </w:r>
            <w:r>
              <w:rPr>
                <w:bCs/>
                <w:sz w:val="22"/>
                <w:szCs w:val="22"/>
                <w:lang w:eastAsia="en-US"/>
              </w:rPr>
              <w:t>p</w:t>
            </w:r>
            <w:r w:rsidRPr="003329AD" w:rsidR="00E03E98">
              <w:rPr>
                <w:bCs/>
                <w:sz w:val="22"/>
                <w:szCs w:val="22"/>
                <w:lang w:eastAsia="en-US"/>
              </w:rPr>
              <w:t>rojekta sākotnējās ietekmes novērtējuma ziņojuma (anotācijas) I sadaļas 2.punkts:</w:t>
            </w:r>
          </w:p>
          <w:p w:rsidR="00AC5798" w:rsidP="00AC5798" w:rsidRDefault="00AC5798" w14:paraId="7240D07A" w14:textId="77777777">
            <w:pPr>
              <w:jc w:val="both"/>
              <w:rPr>
                <w:bCs/>
                <w:sz w:val="22"/>
                <w:szCs w:val="22"/>
                <w:lang w:eastAsia="en-US"/>
              </w:rPr>
            </w:pPr>
          </w:p>
          <w:p w:rsidRPr="00E36116" w:rsidR="0064509A" w:rsidP="00CA5C25" w:rsidRDefault="00CC2FAA" w14:paraId="1491BBCC" w14:textId="1B5EE58F">
            <w:pPr>
              <w:jc w:val="both"/>
              <w:rPr>
                <w:bCs/>
                <w:sz w:val="22"/>
                <w:szCs w:val="22"/>
                <w:lang w:eastAsia="en-US"/>
              </w:rPr>
            </w:pPr>
            <w:r w:rsidRPr="00793437">
              <w:rPr>
                <w:sz w:val="22"/>
                <w:szCs w:val="22"/>
              </w:rPr>
              <w:t>„</w:t>
            </w:r>
            <w:r w:rsidRPr="00E36116" w:rsidR="00E03E98">
              <w:rPr>
                <w:bCs/>
                <w:sz w:val="22"/>
                <w:szCs w:val="22"/>
                <w:lang w:eastAsia="en-US"/>
              </w:rPr>
              <w:t>[..]</w:t>
            </w:r>
            <w:r w:rsidR="00AC5798">
              <w:rPr>
                <w:bCs/>
                <w:sz w:val="22"/>
                <w:szCs w:val="22"/>
                <w:lang w:eastAsia="en-US"/>
              </w:rPr>
              <w:t xml:space="preserve"> </w:t>
            </w:r>
            <w:r w:rsidRPr="00793437" w:rsidR="0064509A">
              <w:rPr>
                <w:bCs/>
                <w:sz w:val="22"/>
                <w:szCs w:val="22"/>
                <w:lang w:eastAsia="en-US"/>
              </w:rPr>
              <w:t>Projekta 1.3.apakšpunkts paredz grozīt Noteikumu 3.</w:t>
            </w:r>
            <w:r w:rsidRPr="003329AD" w:rsidR="0064509A">
              <w:rPr>
                <w:bCs/>
                <w:sz w:val="22"/>
                <w:szCs w:val="22"/>
                <w:lang w:eastAsia="en-US"/>
              </w:rPr>
              <w:t xml:space="preserve"> un 4.punktu, no tā s</w:t>
            </w:r>
            <w:r w:rsidRPr="00E36116" w:rsidR="0064509A">
              <w:rPr>
                <w:bCs/>
                <w:sz w:val="22"/>
                <w:szCs w:val="22"/>
                <w:lang w:eastAsia="en-US"/>
              </w:rPr>
              <w:t>vītrojot CD un DVD diskus, ņemot vērā, ka to izmantošana ir samazinājusies līdz 3%, palielinot atlīdzības lielumu USB zibatmiņām un papildinot sarakstu ar visu veidu datoru cietajiem diskiem (tai skaitā, HDD, SSD diski), ārējiem cietajiem datora diskiem un viedtālruņiem.</w:t>
            </w:r>
          </w:p>
          <w:p w:rsidRPr="00793437" w:rsidR="0064509A" w:rsidP="00793437" w:rsidRDefault="0064509A" w14:paraId="35DE4AEA" w14:textId="77777777">
            <w:pPr>
              <w:ind w:firstLine="288"/>
              <w:jc w:val="both"/>
              <w:rPr>
                <w:bCs/>
                <w:sz w:val="22"/>
                <w:szCs w:val="22"/>
                <w:lang w:eastAsia="en-US"/>
              </w:rPr>
            </w:pPr>
            <w:r w:rsidRPr="00E36116">
              <w:rPr>
                <w:bCs/>
                <w:sz w:val="22"/>
                <w:szCs w:val="22"/>
                <w:lang w:eastAsia="en-US"/>
              </w:rPr>
              <w:t xml:space="preserve">Visu veidu datoru cietajiem diskiem noteikta fiksēta atlīdzība 2,85 </w:t>
            </w:r>
            <w:proofErr w:type="spellStart"/>
            <w:r w:rsidRPr="00793437">
              <w:rPr>
                <w:bCs/>
                <w:i/>
                <w:iCs/>
                <w:sz w:val="22"/>
                <w:szCs w:val="22"/>
                <w:lang w:eastAsia="en-US"/>
              </w:rPr>
              <w:t>euro</w:t>
            </w:r>
            <w:proofErr w:type="spellEnd"/>
            <w:r w:rsidRPr="00793437">
              <w:rPr>
                <w:bCs/>
                <w:sz w:val="22"/>
                <w:szCs w:val="22"/>
                <w:lang w:eastAsia="en-US"/>
              </w:rPr>
              <w:t xml:space="preserve"> apmērā par vienību atbilstoši visu veidu personālajiem datoriem noteiktajam atlīdzības lielumam, ņemot vērā, ka datoru cietie diski varētu tikt komplektēti datorā (attiecīgi šajos gadījumos maksa par datoru nebūtu jāmaksā). Nosakot atlīdzību par viedtālruņiem 1,50 </w:t>
            </w:r>
            <w:proofErr w:type="spellStart"/>
            <w:r w:rsidRPr="00793437">
              <w:rPr>
                <w:bCs/>
                <w:i/>
                <w:iCs/>
                <w:sz w:val="22"/>
                <w:szCs w:val="22"/>
                <w:lang w:eastAsia="en-US"/>
              </w:rPr>
              <w:t>euro</w:t>
            </w:r>
            <w:proofErr w:type="spellEnd"/>
            <w:r w:rsidRPr="00793437">
              <w:rPr>
                <w:bCs/>
                <w:sz w:val="22"/>
                <w:szCs w:val="22"/>
                <w:lang w:eastAsia="en-US"/>
              </w:rPr>
              <w:t xml:space="preserve">, ņemts vērā, ka personālos datorus </w:t>
            </w:r>
            <w:proofErr w:type="spellStart"/>
            <w:r w:rsidRPr="00793437">
              <w:rPr>
                <w:bCs/>
                <w:sz w:val="22"/>
                <w:szCs w:val="22"/>
                <w:lang w:eastAsia="en-US"/>
              </w:rPr>
              <w:t>privātkopēšanai</w:t>
            </w:r>
            <w:proofErr w:type="spellEnd"/>
            <w:r w:rsidRPr="00793437">
              <w:rPr>
                <w:bCs/>
                <w:sz w:val="22"/>
                <w:szCs w:val="22"/>
                <w:lang w:eastAsia="en-US"/>
              </w:rPr>
              <w:t xml:space="preserve"> izmanto 85%, bet viedtālruņus – 32% (kas ir aptuveni divas reizes mazāk, līdz ar to atlīdzība nosakāma </w:t>
            </w:r>
            <w:r w:rsidRPr="00793437">
              <w:rPr>
                <w:bCs/>
                <w:sz w:val="22"/>
                <w:szCs w:val="22"/>
                <w:lang w:eastAsia="en-US"/>
              </w:rPr>
              <w:lastRenderedPageBreak/>
              <w:t xml:space="preserve">aptuveni uz pusi mazāka kā personālajiem datoriem), kā arī vidējais atlīdzības lielums par viedtālruni citās valstīs, kas ir 3,79 </w:t>
            </w:r>
            <w:proofErr w:type="spellStart"/>
            <w:r w:rsidRPr="00793437">
              <w:rPr>
                <w:bCs/>
                <w:i/>
                <w:iCs/>
                <w:sz w:val="22"/>
                <w:szCs w:val="22"/>
                <w:lang w:eastAsia="en-US"/>
              </w:rPr>
              <w:t>euro</w:t>
            </w:r>
            <w:proofErr w:type="spellEnd"/>
            <w:r w:rsidRPr="00793437">
              <w:rPr>
                <w:bCs/>
                <w:sz w:val="22"/>
                <w:szCs w:val="22"/>
                <w:lang w:eastAsia="en-US"/>
              </w:rPr>
              <w:t>.</w:t>
            </w:r>
          </w:p>
          <w:p w:rsidRPr="00793437" w:rsidR="00E03E98" w:rsidRDefault="0064509A" w14:paraId="39E7AE19" w14:textId="70F2FAA3">
            <w:pPr>
              <w:ind w:firstLine="288"/>
              <w:jc w:val="both"/>
              <w:rPr>
                <w:bCs/>
                <w:sz w:val="22"/>
                <w:szCs w:val="22"/>
                <w:lang w:eastAsia="en-US"/>
              </w:rPr>
            </w:pPr>
            <w:r w:rsidRPr="00793437">
              <w:rPr>
                <w:bCs/>
                <w:sz w:val="22"/>
                <w:szCs w:val="22"/>
                <w:lang w:eastAsia="en-US"/>
              </w:rPr>
              <w:t>Savukārt USB zibatmiņas atlīdzības likmes lielums palielināts līdz 6%, ņemot vērā, ka to izmantošana ir pieaugusi (no 3</w:t>
            </w:r>
            <w:r w:rsidRPr="003329AD">
              <w:rPr>
                <w:bCs/>
                <w:sz w:val="22"/>
                <w:szCs w:val="22"/>
                <w:lang w:eastAsia="en-US"/>
              </w:rPr>
              <w:t xml:space="preserve">2% līdz 41%), bet likme par ārējo cieto disku noteikta 4%, ņemot vērā, ka tos </w:t>
            </w:r>
            <w:proofErr w:type="spellStart"/>
            <w:r w:rsidRPr="003329AD">
              <w:rPr>
                <w:bCs/>
                <w:sz w:val="22"/>
                <w:szCs w:val="22"/>
                <w:lang w:eastAsia="en-US"/>
              </w:rPr>
              <w:t>privātkopē</w:t>
            </w:r>
            <w:r w:rsidRPr="00E36116">
              <w:rPr>
                <w:bCs/>
                <w:sz w:val="22"/>
                <w:szCs w:val="22"/>
                <w:lang w:eastAsia="en-US"/>
              </w:rPr>
              <w:t>šanai</w:t>
            </w:r>
            <w:proofErr w:type="spellEnd"/>
            <w:r w:rsidRPr="00E36116">
              <w:rPr>
                <w:bCs/>
                <w:sz w:val="22"/>
                <w:szCs w:val="22"/>
                <w:lang w:eastAsia="en-US"/>
              </w:rPr>
              <w:t xml:space="preserve"> izmantojuši 23% respondentu.</w:t>
            </w:r>
            <w:r w:rsidR="009155E0">
              <w:rPr>
                <w:bCs/>
                <w:sz w:val="22"/>
                <w:szCs w:val="22"/>
                <w:lang w:eastAsia="en-US"/>
              </w:rPr>
              <w:t xml:space="preserve"> </w:t>
            </w:r>
            <w:r w:rsidRPr="00793437" w:rsidR="00E03E98">
              <w:rPr>
                <w:bCs/>
                <w:sz w:val="22"/>
                <w:szCs w:val="22"/>
                <w:lang w:eastAsia="en-US"/>
              </w:rPr>
              <w:t>[..]</w:t>
            </w:r>
            <w:r w:rsidR="009155E0">
              <w:rPr>
                <w:bCs/>
                <w:sz w:val="22"/>
                <w:szCs w:val="22"/>
                <w:lang w:eastAsia="en-US"/>
              </w:rPr>
              <w:t>”</w:t>
            </w:r>
          </w:p>
        </w:tc>
      </w:tr>
      <w:tr w:rsidRPr="00E36116" w:rsidR="00E03E98" w:rsidTr="00793437" w14:paraId="1CEE3B8F" w14:textId="77777777">
        <w:tc>
          <w:tcPr>
            <w:tcW w:w="226" w:type="pct"/>
            <w:tcBorders>
              <w:top w:val="single" w:color="000000" w:sz="6" w:space="0"/>
              <w:left w:val="single" w:color="000000" w:sz="6" w:space="0"/>
              <w:bottom w:val="single" w:color="000000" w:sz="6" w:space="0"/>
              <w:right w:val="single" w:color="000000" w:sz="6" w:space="0"/>
            </w:tcBorders>
          </w:tcPr>
          <w:p w:rsidRPr="00E36116" w:rsidR="00E03E98" w:rsidP="00E36116" w:rsidRDefault="00A3415B" w14:paraId="1B0436CD" w14:textId="1DBD6EEB">
            <w:pPr>
              <w:pStyle w:val="naisc"/>
              <w:spacing w:before="0" w:after="0"/>
              <w:rPr>
                <w:sz w:val="22"/>
                <w:szCs w:val="22"/>
                <w:lang w:eastAsia="en-US"/>
              </w:rPr>
            </w:pPr>
            <w:r w:rsidRPr="00E36116">
              <w:rPr>
                <w:sz w:val="22"/>
                <w:szCs w:val="22"/>
                <w:lang w:eastAsia="en-US"/>
              </w:rPr>
              <w:lastRenderedPageBreak/>
              <w:t>8.</w:t>
            </w:r>
          </w:p>
        </w:tc>
        <w:tc>
          <w:tcPr>
            <w:tcW w:w="1079" w:type="pct"/>
            <w:tcBorders>
              <w:top w:val="single" w:color="000000" w:sz="6" w:space="0"/>
              <w:left w:val="single" w:color="000000" w:sz="6" w:space="0"/>
              <w:bottom w:val="single" w:color="000000" w:sz="6" w:space="0"/>
              <w:right w:val="single" w:color="000000" w:sz="6" w:space="0"/>
            </w:tcBorders>
          </w:tcPr>
          <w:p w:rsidRPr="00793437" w:rsidR="00E03E98" w:rsidP="00CA5C25" w:rsidRDefault="00BB70F1" w14:paraId="034D9C4F" w14:textId="34862053">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sidR="00E03E98">
              <w:rPr>
                <w:sz w:val="22"/>
                <w:szCs w:val="22"/>
              </w:rPr>
              <w:t>rojekta sākotnējās ietekmes novērtējuma ziņojuma (anotācijas) I sadaļas 2.punkts:</w:t>
            </w:r>
          </w:p>
          <w:p w:rsidR="00BB70F1" w:rsidP="00BB70F1" w:rsidRDefault="00BB70F1" w14:paraId="7EE10960" w14:textId="77777777">
            <w:pPr>
              <w:jc w:val="both"/>
              <w:rPr>
                <w:sz w:val="22"/>
                <w:szCs w:val="22"/>
              </w:rPr>
            </w:pPr>
          </w:p>
          <w:p w:rsidRPr="00E36116" w:rsidR="00E03E98" w:rsidP="00CA5C25" w:rsidRDefault="006C2F08" w14:paraId="7FDDFE18" w14:textId="53BDAE42">
            <w:pPr>
              <w:jc w:val="both"/>
              <w:rPr>
                <w:b/>
                <w:sz w:val="22"/>
                <w:szCs w:val="22"/>
              </w:rPr>
            </w:pPr>
            <w:r w:rsidRPr="00793437">
              <w:rPr>
                <w:sz w:val="22"/>
                <w:szCs w:val="22"/>
              </w:rPr>
              <w:t>„</w:t>
            </w:r>
            <w:r w:rsidRPr="00793437" w:rsidR="00E03E98">
              <w:rPr>
                <w:sz w:val="22"/>
                <w:szCs w:val="22"/>
              </w:rPr>
              <w:t>[..]</w:t>
            </w:r>
            <w:r w:rsidR="00BB70F1">
              <w:rPr>
                <w:sz w:val="22"/>
                <w:szCs w:val="22"/>
              </w:rPr>
              <w:t> </w:t>
            </w:r>
            <w:r w:rsidRPr="00793437" w:rsidR="00E03E98">
              <w:rPr>
                <w:b/>
                <w:sz w:val="22"/>
                <w:szCs w:val="22"/>
              </w:rPr>
              <w:t>2) Samērīgums ar sabiedrības inte</w:t>
            </w:r>
            <w:r w:rsidRPr="00E36116" w:rsidR="00E03E98">
              <w:rPr>
                <w:b/>
                <w:sz w:val="22"/>
                <w:szCs w:val="22"/>
              </w:rPr>
              <w:t>resēm</w:t>
            </w:r>
            <w:r w:rsidRPr="00E36116" w:rsidR="00E03E98">
              <w:rPr>
                <w:sz w:val="22"/>
                <w:szCs w:val="22"/>
              </w:rPr>
              <w:t>.</w:t>
            </w:r>
          </w:p>
          <w:p w:rsidRPr="00E36116" w:rsidR="00E03E98" w:rsidP="00CA5C25" w:rsidRDefault="00E03E98" w14:paraId="0269EB70" w14:textId="77777777">
            <w:pPr>
              <w:pStyle w:val="naiskr"/>
              <w:spacing w:before="0" w:after="0"/>
              <w:ind w:left="115"/>
              <w:jc w:val="both"/>
              <w:rPr>
                <w:iCs/>
                <w:sz w:val="22"/>
                <w:szCs w:val="22"/>
              </w:rPr>
            </w:pPr>
            <w:r w:rsidRPr="00E36116">
              <w:rPr>
                <w:sz w:val="22"/>
                <w:szCs w:val="22"/>
              </w:rPr>
              <w:t xml:space="preserve">Nosakot nesējus un iekārtas, par kurām ir maksājama nesēja atlīdzība, un attiecīgās atlīdzības lielumu, jāņem vērā, ka ar nesēja atlīdzības palīdzību sabiedrībai uzliktajam ekonomiskajam slogam ir jābūt samērīgam ar sabiedrības ieguvumu no attiecīgā autortiesību ierobežojuma izmantošanas. </w:t>
            </w:r>
            <w:r w:rsidRPr="00E36116">
              <w:rPr>
                <w:iCs/>
                <w:sz w:val="22"/>
                <w:szCs w:val="22"/>
              </w:rPr>
              <w:t xml:space="preserve">Valsts kompetencē ir noteikt šāda kaitējuma robežvērtību, ievērojot, ka šīs robežvērtības piemērošanai tostarp jāatbilst </w:t>
            </w:r>
            <w:r w:rsidRPr="00E36116">
              <w:rPr>
                <w:iCs/>
                <w:sz w:val="22"/>
                <w:szCs w:val="22"/>
              </w:rPr>
              <w:lastRenderedPageBreak/>
              <w:t>vienlīdzīgas attieksmes principam.</w:t>
            </w:r>
          </w:p>
          <w:p w:rsidRPr="00E36116" w:rsidR="00E03E98" w:rsidP="00CA5C25" w:rsidRDefault="00E03E98" w14:paraId="0BB7108C" w14:textId="7194FFEB">
            <w:pPr>
              <w:pStyle w:val="naiskr"/>
              <w:spacing w:before="0" w:after="0"/>
              <w:ind w:left="115" w:firstLine="288"/>
              <w:jc w:val="both"/>
              <w:rPr>
                <w:iCs/>
                <w:sz w:val="22"/>
                <w:szCs w:val="22"/>
              </w:rPr>
            </w:pPr>
            <w:r w:rsidRPr="00E36116">
              <w:rPr>
                <w:iCs/>
                <w:sz w:val="22"/>
                <w:szCs w:val="22"/>
              </w:rPr>
              <w:t xml:space="preserve">Ņemot vērā Eiropas Savienības tiesas atziņas un citu valstu praksi attiecīgajā jomā, minimāls kaitējums būtu konstatējams attiecībā uz tādu </w:t>
            </w:r>
            <w:r w:rsidRPr="00E36116">
              <w:rPr>
                <w:sz w:val="22"/>
                <w:szCs w:val="22"/>
              </w:rPr>
              <w:t xml:space="preserve">nesēju un iekārtu izmantošanu, ja tos </w:t>
            </w:r>
            <w:proofErr w:type="spellStart"/>
            <w:r w:rsidRPr="00E36116">
              <w:rPr>
                <w:sz w:val="22"/>
                <w:szCs w:val="22"/>
              </w:rPr>
              <w:t>privātkopēšanai</w:t>
            </w:r>
            <w:proofErr w:type="spellEnd"/>
            <w:r w:rsidRPr="00E36116">
              <w:rPr>
                <w:sz w:val="22"/>
                <w:szCs w:val="22"/>
              </w:rPr>
              <w:t xml:space="preserve"> izmanto mazāk nekā 20% no respondentiem, kas veic likumīgi iegūtu ar autortiesībām aizsargātu darbu reproducēšanu personiskai lietošanai.</w:t>
            </w:r>
            <w:r w:rsidR="006C2F08">
              <w:rPr>
                <w:sz w:val="22"/>
                <w:szCs w:val="22"/>
              </w:rPr>
              <w:t xml:space="preserve"> </w:t>
            </w:r>
            <w:r w:rsidRPr="00E36116">
              <w:rPr>
                <w:iCs/>
                <w:sz w:val="22"/>
                <w:szCs w:val="22"/>
              </w:rPr>
              <w:t>[..]</w:t>
            </w:r>
            <w:r w:rsidR="006C2F08">
              <w:rPr>
                <w:iCs/>
                <w:sz w:val="22"/>
                <w:szCs w:val="22"/>
              </w:rPr>
              <w:t>”</w:t>
            </w:r>
          </w:p>
        </w:tc>
        <w:tc>
          <w:tcPr>
            <w:tcW w:w="1450" w:type="pct"/>
            <w:tcBorders>
              <w:top w:val="single" w:color="000000" w:sz="6" w:space="0"/>
              <w:left w:val="single" w:color="000000" w:sz="6" w:space="0"/>
              <w:bottom w:val="single" w:color="000000" w:sz="6" w:space="0"/>
              <w:right w:val="single" w:color="000000" w:sz="6" w:space="0"/>
            </w:tcBorders>
          </w:tcPr>
          <w:p w:rsidRPr="00E36116" w:rsidR="00E03E98" w:rsidP="00CA5C25" w:rsidRDefault="00E03E98" w14:paraId="5728411C" w14:textId="683F94E8">
            <w:pPr>
              <w:jc w:val="both"/>
              <w:rPr>
                <w:b/>
                <w:bCs/>
                <w:sz w:val="22"/>
                <w:szCs w:val="22"/>
              </w:rPr>
            </w:pPr>
            <w:r w:rsidRPr="00E36116">
              <w:rPr>
                <w:b/>
                <w:bCs/>
                <w:sz w:val="22"/>
                <w:szCs w:val="22"/>
              </w:rPr>
              <w:lastRenderedPageBreak/>
              <w:t>Tieslietu ministrija</w:t>
            </w:r>
            <w:r w:rsidR="00534F53">
              <w:rPr>
                <w:b/>
                <w:bCs/>
                <w:sz w:val="22"/>
                <w:szCs w:val="22"/>
              </w:rPr>
              <w:t>:</w:t>
            </w:r>
          </w:p>
          <w:p w:rsidRPr="00E36116" w:rsidR="00E03E98" w:rsidP="00CA5C25" w:rsidRDefault="00E03E98" w14:paraId="09027592" w14:textId="49B245B0">
            <w:pPr>
              <w:jc w:val="both"/>
              <w:rPr>
                <w:sz w:val="22"/>
                <w:szCs w:val="22"/>
              </w:rPr>
            </w:pPr>
            <w:r w:rsidRPr="00E36116">
              <w:rPr>
                <w:sz w:val="22"/>
                <w:szCs w:val="22"/>
              </w:rPr>
              <w:t xml:space="preserve">Projekta anotācijā norādīts, ka, ņemot vērā Eiropas Savienības Tiesas atziņas un citu valstu praksi attiecīgajā jomā, minimāls kaitējums būtu konstatējams attiecībā uz tādu nesēju un iekārtu izmantošanu, ja tos </w:t>
            </w:r>
            <w:proofErr w:type="spellStart"/>
            <w:r w:rsidRPr="00E36116">
              <w:rPr>
                <w:sz w:val="22"/>
                <w:szCs w:val="22"/>
              </w:rPr>
              <w:t>privātkopēšanai</w:t>
            </w:r>
            <w:proofErr w:type="spellEnd"/>
            <w:r w:rsidRPr="00E36116">
              <w:rPr>
                <w:sz w:val="22"/>
                <w:szCs w:val="22"/>
              </w:rPr>
              <w:t xml:space="preserve"> izmanto mazāk nekā 20 % no respondentiem, kas veic likumīgi iegūtu ar autortiesībām aizsargātu darbu reproducēšanu personiskai lietošanai. Saistībā ar minēto vēršam uzmanību, ka </w:t>
            </w:r>
            <w:proofErr w:type="spellStart"/>
            <w:r w:rsidRPr="00E36116">
              <w:rPr>
                <w:sz w:val="22"/>
                <w:szCs w:val="22"/>
              </w:rPr>
              <w:t>pirmšķietami</w:t>
            </w:r>
            <w:proofErr w:type="spellEnd"/>
            <w:r w:rsidRPr="00E36116">
              <w:rPr>
                <w:sz w:val="22"/>
                <w:szCs w:val="22"/>
              </w:rPr>
              <w:t xml:space="preserve"> Eiropas Savienības Tiesas judikatūrā nav atrodamas attiecīgas atziņas par konkrētu procentuālo slieksni, atbilstoši kuram kaitējums kvalificējas kā minimāls. Attiecīgi lūdzam papildināt projekta anotāciju ar konkrētām Eiropas Savienības Tiesas atziņām (ar atsaucēm uz spriedumu (-</w:t>
            </w:r>
            <w:proofErr w:type="spellStart"/>
            <w:r w:rsidRPr="00E36116">
              <w:rPr>
                <w:sz w:val="22"/>
                <w:szCs w:val="22"/>
              </w:rPr>
              <w:t>iem</w:t>
            </w:r>
            <w:proofErr w:type="spellEnd"/>
            <w:r w:rsidRPr="00E36116">
              <w:rPr>
                <w:sz w:val="22"/>
                <w:szCs w:val="22"/>
              </w:rPr>
              <w:t xml:space="preserve">)) par minimālo kaitējumu un atbilstošu skaidrojumu, kā šīs atziņas pamato konkrētu tukšo materiālu nesēju un reproducēšanai izmantojamo iekārtu neiekļaušanu sarakstā. </w:t>
            </w:r>
            <w:r w:rsidRPr="00E36116">
              <w:rPr>
                <w:sz w:val="22"/>
                <w:szCs w:val="22"/>
              </w:rPr>
              <w:lastRenderedPageBreak/>
              <w:t>Nepieciešamības gadījumā lūdzam atbilstoši precizēt projektu.</w:t>
            </w:r>
          </w:p>
        </w:tc>
        <w:tc>
          <w:tcPr>
            <w:tcW w:w="1158" w:type="pct"/>
            <w:tcBorders>
              <w:top w:val="single" w:color="000000" w:sz="6" w:space="0"/>
              <w:left w:val="single" w:color="000000" w:sz="6" w:space="0"/>
              <w:bottom w:val="single" w:color="000000" w:sz="6" w:space="0"/>
              <w:right w:val="single" w:color="000000" w:sz="6" w:space="0"/>
            </w:tcBorders>
          </w:tcPr>
          <w:p w:rsidRPr="00E36116" w:rsidR="00E03E98" w:rsidP="00CA5C25" w:rsidRDefault="00C021C8" w14:paraId="365B7030" w14:textId="7C2AC8E3">
            <w:pPr>
              <w:pStyle w:val="naisc"/>
              <w:spacing w:before="0" w:after="0"/>
              <w:ind w:firstLine="288"/>
              <w:rPr>
                <w:b/>
                <w:sz w:val="22"/>
                <w:szCs w:val="22"/>
                <w:lang w:eastAsia="en-US"/>
              </w:rPr>
            </w:pPr>
            <w:r>
              <w:rPr>
                <w:b/>
                <w:sz w:val="22"/>
                <w:szCs w:val="22"/>
                <w:lang w:eastAsia="en-US"/>
              </w:rPr>
              <w:lastRenderedPageBreak/>
              <w:t>Ņemts vērā</w:t>
            </w:r>
          </w:p>
          <w:p w:rsidRPr="00793437" w:rsidR="00E03E98" w:rsidP="00CA5C25" w:rsidRDefault="00246C37" w14:paraId="78935EDA" w14:textId="759666B9">
            <w:pPr>
              <w:pStyle w:val="naisc"/>
              <w:spacing w:before="0" w:after="0"/>
              <w:jc w:val="both"/>
              <w:rPr>
                <w:sz w:val="22"/>
                <w:szCs w:val="22"/>
              </w:rPr>
            </w:pPr>
            <w:r w:rsidRPr="00E36116">
              <w:rPr>
                <w:sz w:val="22"/>
                <w:szCs w:val="22"/>
              </w:rPr>
              <w:t xml:space="preserve">Eiropas Savienības </w:t>
            </w:r>
            <w:r w:rsidRPr="00E36116" w:rsidR="003910AF">
              <w:rPr>
                <w:sz w:val="22"/>
                <w:szCs w:val="22"/>
              </w:rPr>
              <w:t>T</w:t>
            </w:r>
            <w:r w:rsidRPr="00793437">
              <w:rPr>
                <w:sz w:val="22"/>
                <w:szCs w:val="22"/>
              </w:rPr>
              <w:t xml:space="preserve">iesa nav noteikusi konkrētu procentuālu </w:t>
            </w:r>
            <w:r w:rsidRPr="00793437" w:rsidR="006738A4">
              <w:rPr>
                <w:sz w:val="22"/>
                <w:szCs w:val="22"/>
              </w:rPr>
              <w:t>robežvērtību (</w:t>
            </w:r>
            <w:r w:rsidRPr="00793437">
              <w:rPr>
                <w:sz w:val="22"/>
                <w:szCs w:val="22"/>
              </w:rPr>
              <w:t>slieksni</w:t>
            </w:r>
            <w:r w:rsidRPr="00793437" w:rsidR="006738A4">
              <w:rPr>
                <w:sz w:val="22"/>
                <w:szCs w:val="22"/>
              </w:rPr>
              <w:t>)</w:t>
            </w:r>
            <w:r w:rsidRPr="00793437">
              <w:rPr>
                <w:sz w:val="22"/>
                <w:szCs w:val="22"/>
              </w:rPr>
              <w:t>, atbilstoši kura</w:t>
            </w:r>
            <w:r w:rsidRPr="003329AD" w:rsidR="00456DA7">
              <w:rPr>
                <w:sz w:val="22"/>
                <w:szCs w:val="22"/>
              </w:rPr>
              <w:t>i</w:t>
            </w:r>
            <w:r w:rsidRPr="00793437">
              <w:rPr>
                <w:sz w:val="22"/>
                <w:szCs w:val="22"/>
              </w:rPr>
              <w:t xml:space="preserve"> kaitējums kvalificēja</w:t>
            </w:r>
            <w:r w:rsidRPr="00793437" w:rsidR="003910AF">
              <w:rPr>
                <w:sz w:val="22"/>
                <w:szCs w:val="22"/>
              </w:rPr>
              <w:t>m</w:t>
            </w:r>
            <w:r w:rsidRPr="00793437">
              <w:rPr>
                <w:sz w:val="22"/>
                <w:szCs w:val="22"/>
              </w:rPr>
              <w:t xml:space="preserve">s kā minimāls. Šādas tiesības ir attiecīgajai dalībvalstij. </w:t>
            </w:r>
          </w:p>
          <w:p w:rsidRPr="00E36116" w:rsidR="0044436B" w:rsidP="00CA5C25" w:rsidRDefault="00B66891" w14:paraId="66143C57" w14:textId="1069A9AC">
            <w:pPr>
              <w:pStyle w:val="naisc"/>
              <w:spacing w:before="0" w:after="0"/>
              <w:jc w:val="both"/>
              <w:rPr>
                <w:sz w:val="22"/>
                <w:szCs w:val="22"/>
              </w:rPr>
            </w:pPr>
            <w:r w:rsidRPr="00793437">
              <w:rPr>
                <w:sz w:val="22"/>
                <w:szCs w:val="22"/>
              </w:rPr>
              <w:t xml:space="preserve">Vienlaikus </w:t>
            </w:r>
            <w:r w:rsidRPr="00793437" w:rsidR="0044436B">
              <w:rPr>
                <w:sz w:val="22"/>
                <w:szCs w:val="22"/>
              </w:rPr>
              <w:t xml:space="preserve">Eiropas Savienības Tiesa 2015.gada 5.marta spriedumā lietā Nr.C-463/12 </w:t>
            </w:r>
            <w:proofErr w:type="spellStart"/>
            <w:r w:rsidRPr="003329AD" w:rsidR="0044436B">
              <w:rPr>
                <w:i/>
                <w:iCs/>
                <w:sz w:val="22"/>
                <w:szCs w:val="22"/>
              </w:rPr>
              <w:t>Copydan</w:t>
            </w:r>
            <w:proofErr w:type="spellEnd"/>
            <w:r w:rsidRPr="003329AD" w:rsidR="0044436B">
              <w:rPr>
                <w:i/>
                <w:iCs/>
                <w:sz w:val="22"/>
                <w:szCs w:val="22"/>
              </w:rPr>
              <w:t xml:space="preserve"> </w:t>
            </w:r>
            <w:proofErr w:type="spellStart"/>
            <w:r w:rsidRPr="003329AD" w:rsidR="0044436B">
              <w:rPr>
                <w:i/>
                <w:iCs/>
                <w:sz w:val="22"/>
                <w:szCs w:val="22"/>
              </w:rPr>
              <w:t>Båndkopi</w:t>
            </w:r>
            <w:proofErr w:type="spellEnd"/>
            <w:r w:rsidRPr="003329AD" w:rsidR="0044436B">
              <w:rPr>
                <w:i/>
                <w:iCs/>
                <w:sz w:val="22"/>
                <w:szCs w:val="22"/>
              </w:rPr>
              <w:t xml:space="preserve"> v Nokia </w:t>
            </w:r>
            <w:proofErr w:type="spellStart"/>
            <w:r w:rsidRPr="003329AD" w:rsidR="0044436B">
              <w:rPr>
                <w:i/>
                <w:iCs/>
                <w:sz w:val="22"/>
                <w:szCs w:val="22"/>
              </w:rPr>
              <w:t>Danmark</w:t>
            </w:r>
            <w:proofErr w:type="spellEnd"/>
            <w:r w:rsidRPr="003329AD" w:rsidR="0044436B">
              <w:rPr>
                <w:i/>
                <w:iCs/>
                <w:sz w:val="22"/>
                <w:szCs w:val="22"/>
              </w:rPr>
              <w:t xml:space="preserve"> A/S</w:t>
            </w:r>
            <w:r w:rsidRPr="00793437" w:rsidR="0044436B">
              <w:rPr>
                <w:sz w:val="22"/>
                <w:szCs w:val="22"/>
              </w:rPr>
              <w:t xml:space="preserve"> (sk. sprieduma 28.punktu</w:t>
            </w:r>
            <w:r w:rsidRPr="00E36116" w:rsidR="0044436B">
              <w:rPr>
                <w:sz w:val="22"/>
                <w:szCs w:val="22"/>
              </w:rPr>
              <w:t xml:space="preserve">) precizēja, ka gadījumā, ja tiktu konstatēts, ka praksē kāda datu </w:t>
            </w:r>
            <w:r w:rsidRPr="00793437" w:rsidR="0044436B">
              <w:rPr>
                <w:sz w:val="22"/>
                <w:szCs w:val="22"/>
              </w:rPr>
              <w:t>nesēja lietotāji tikpat kā neveic reproducēšanu savām vajadzībām, šīs funkcijas nodrošināšana atbilstoši Direktīvas 2001/29 preambulas 35.apsvēr</w:t>
            </w:r>
            <w:r w:rsidRPr="00E36116" w:rsidR="0044436B">
              <w:rPr>
                <w:sz w:val="22"/>
                <w:szCs w:val="22"/>
              </w:rPr>
              <w:t xml:space="preserve">umam varētu neradīt pienākumu maksāt taisnīgu atlīdzību, ciktāl tiesību subjektiem </w:t>
            </w:r>
            <w:r w:rsidRPr="00E36116" w:rsidR="0044436B">
              <w:rPr>
                <w:sz w:val="22"/>
                <w:szCs w:val="22"/>
              </w:rPr>
              <w:lastRenderedPageBreak/>
              <w:t xml:space="preserve">radītais kaitējums tiktu uzskatīts par minimālu. </w:t>
            </w:r>
          </w:p>
          <w:p w:rsidRPr="003329AD" w:rsidR="0044436B" w:rsidP="00CA5C25" w:rsidRDefault="0044436B" w14:paraId="315BC57A" w14:textId="77777777">
            <w:pPr>
              <w:pStyle w:val="naisc"/>
              <w:spacing w:before="0" w:after="0"/>
              <w:jc w:val="both"/>
              <w:rPr>
                <w:sz w:val="22"/>
                <w:szCs w:val="22"/>
              </w:rPr>
            </w:pPr>
            <w:r w:rsidRPr="00E36116">
              <w:rPr>
                <w:sz w:val="22"/>
                <w:szCs w:val="22"/>
              </w:rPr>
              <w:t xml:space="preserve">Pamatojoties uz iepriekšminēto, secināms, ka “minimālā kaitējuma” robežvērtība varētu attiekties uz gadījumiem, kad tiek konstatēts, ka kāds nesējs vai iekārta tikpat kā netiek izmantots </w:t>
            </w:r>
            <w:proofErr w:type="spellStart"/>
            <w:r w:rsidRPr="00E36116">
              <w:rPr>
                <w:sz w:val="22"/>
                <w:szCs w:val="22"/>
              </w:rPr>
              <w:t>privātkopēšanai</w:t>
            </w:r>
            <w:proofErr w:type="spellEnd"/>
            <w:r w:rsidRPr="00E36116">
              <w:rPr>
                <w:sz w:val="22"/>
                <w:szCs w:val="22"/>
              </w:rPr>
              <w:t>.</w:t>
            </w:r>
          </w:p>
          <w:p w:rsidRPr="00E36116" w:rsidR="00246C37" w:rsidP="00CA5C25" w:rsidRDefault="00246C37" w14:paraId="3E652A0C" w14:textId="409EF30B">
            <w:pPr>
              <w:pStyle w:val="naisc"/>
              <w:spacing w:before="0" w:after="0"/>
              <w:jc w:val="both"/>
              <w:rPr>
                <w:bCs/>
                <w:sz w:val="22"/>
                <w:szCs w:val="22"/>
                <w:lang w:eastAsia="en-US"/>
              </w:rPr>
            </w:pPr>
            <w:r w:rsidRPr="00E36116">
              <w:rPr>
                <w:bCs/>
                <w:sz w:val="22"/>
                <w:szCs w:val="22"/>
                <w:lang w:eastAsia="en-US"/>
              </w:rPr>
              <w:t>Attiecīgo atlīdzināmā kaitējuma slieksni K</w:t>
            </w:r>
            <w:r w:rsidR="00C021C8">
              <w:rPr>
                <w:bCs/>
                <w:sz w:val="22"/>
                <w:szCs w:val="22"/>
                <w:lang w:eastAsia="en-US"/>
              </w:rPr>
              <w:t>ultūras ministrija</w:t>
            </w:r>
            <w:r w:rsidRPr="00E36116">
              <w:rPr>
                <w:bCs/>
                <w:sz w:val="22"/>
                <w:szCs w:val="22"/>
                <w:lang w:eastAsia="en-US"/>
              </w:rPr>
              <w:t xml:space="preserve"> noteikusi</w:t>
            </w:r>
            <w:r w:rsidRPr="00E36116" w:rsidR="0044436B">
              <w:rPr>
                <w:bCs/>
                <w:sz w:val="22"/>
                <w:szCs w:val="22"/>
                <w:lang w:eastAsia="en-US"/>
              </w:rPr>
              <w:t>,</w:t>
            </w:r>
            <w:r w:rsidRPr="00E36116">
              <w:rPr>
                <w:bCs/>
                <w:sz w:val="22"/>
                <w:szCs w:val="22"/>
                <w:lang w:eastAsia="en-US"/>
              </w:rPr>
              <w:t xml:space="preserve"> </w:t>
            </w:r>
            <w:r w:rsidRPr="00E36116">
              <w:rPr>
                <w:bCs/>
                <w:sz w:val="22"/>
                <w:szCs w:val="22"/>
              </w:rPr>
              <w:t xml:space="preserve">ņemot vērā </w:t>
            </w:r>
            <w:r w:rsidRPr="00E36116" w:rsidR="0044436B">
              <w:rPr>
                <w:bCs/>
                <w:sz w:val="22"/>
                <w:szCs w:val="22"/>
              </w:rPr>
              <w:t xml:space="preserve">arī </w:t>
            </w:r>
            <w:r w:rsidRPr="00E36116">
              <w:rPr>
                <w:bCs/>
                <w:sz w:val="22"/>
                <w:szCs w:val="22"/>
              </w:rPr>
              <w:t>citu Eiropas Savienības valstu praksi attiecīgajā jomā, kā arī sabiedrības līdzdalības procesa ietvaros uzklausītos viedokļus.</w:t>
            </w:r>
          </w:p>
        </w:tc>
        <w:tc>
          <w:tcPr>
            <w:tcW w:w="1087" w:type="pct"/>
            <w:tcBorders>
              <w:top w:val="single" w:color="auto" w:sz="4" w:space="0"/>
              <w:left w:val="single" w:color="auto" w:sz="4" w:space="0"/>
              <w:bottom w:val="single" w:color="auto" w:sz="4" w:space="0"/>
              <w:right w:val="single" w:color="auto" w:sz="4" w:space="0"/>
            </w:tcBorders>
          </w:tcPr>
          <w:p w:rsidR="00246C37" w:rsidP="00CA5C25" w:rsidRDefault="00246C37" w14:paraId="5A905D05" w14:textId="5BCAAD76">
            <w:pPr>
              <w:pStyle w:val="naisc"/>
              <w:spacing w:before="0" w:after="0"/>
              <w:jc w:val="both"/>
              <w:rPr>
                <w:sz w:val="22"/>
                <w:szCs w:val="22"/>
              </w:rPr>
            </w:pPr>
            <w:r w:rsidRPr="00E36116">
              <w:rPr>
                <w:sz w:val="22"/>
                <w:szCs w:val="22"/>
              </w:rPr>
              <w:lastRenderedPageBreak/>
              <w:t xml:space="preserve">Precizēts </w:t>
            </w:r>
            <w:r w:rsidRPr="00903684" w:rsidR="00A37AE6">
              <w:rPr>
                <w:sz w:val="22"/>
                <w:szCs w:val="22"/>
              </w:rPr>
              <w:t>Ministru kabineta noteikumu</w:t>
            </w:r>
            <w:r w:rsidRPr="00793437" w:rsidR="00A37AE6">
              <w:rPr>
                <w:sz w:val="22"/>
                <w:szCs w:val="22"/>
              </w:rPr>
              <w:t xml:space="preserve"> </w:t>
            </w:r>
            <w:r w:rsidR="00A37AE6">
              <w:rPr>
                <w:sz w:val="22"/>
                <w:szCs w:val="22"/>
              </w:rPr>
              <w:t>p</w:t>
            </w:r>
            <w:r w:rsidRPr="00E36116">
              <w:rPr>
                <w:sz w:val="22"/>
                <w:szCs w:val="22"/>
              </w:rPr>
              <w:t>rojekta sākotnējās ietekmes novērtējuma ziņojuma (anotācijas) I sadaļas 2.punkts šādā redakcijā:</w:t>
            </w:r>
          </w:p>
          <w:p w:rsidRPr="00E36116" w:rsidR="00BB3B4E" w:rsidP="00CA5C25" w:rsidRDefault="00BB3B4E" w14:paraId="096D7591" w14:textId="77777777">
            <w:pPr>
              <w:pStyle w:val="naisc"/>
              <w:spacing w:before="0" w:after="0"/>
              <w:jc w:val="both"/>
              <w:rPr>
                <w:sz w:val="22"/>
                <w:szCs w:val="22"/>
              </w:rPr>
            </w:pPr>
          </w:p>
          <w:p w:rsidRPr="00793437" w:rsidR="00793437" w:rsidP="00CA5C25" w:rsidRDefault="006C2F08" w14:paraId="708B9FAA" w14:textId="781DBCBE">
            <w:pPr>
              <w:jc w:val="both"/>
              <w:rPr>
                <w:b/>
                <w:bCs/>
                <w:sz w:val="22"/>
                <w:szCs w:val="22"/>
              </w:rPr>
            </w:pPr>
            <w:r w:rsidRPr="00793437">
              <w:rPr>
                <w:sz w:val="22"/>
                <w:szCs w:val="22"/>
              </w:rPr>
              <w:t>„</w:t>
            </w:r>
            <w:r w:rsidRPr="00E36116" w:rsidR="00246C37">
              <w:rPr>
                <w:sz w:val="22"/>
                <w:szCs w:val="22"/>
              </w:rPr>
              <w:t>[..]</w:t>
            </w:r>
            <w:r w:rsidR="00A37AE6">
              <w:rPr>
                <w:sz w:val="22"/>
                <w:szCs w:val="22"/>
              </w:rPr>
              <w:t> </w:t>
            </w:r>
            <w:r w:rsidRPr="00793437" w:rsidR="00246C37">
              <w:rPr>
                <w:b/>
                <w:bCs/>
                <w:sz w:val="22"/>
                <w:szCs w:val="22"/>
              </w:rPr>
              <w:t>2) Samērīgums ar sabiedrības interesēm.</w:t>
            </w:r>
          </w:p>
          <w:p w:rsidRPr="00E36116" w:rsidR="00C6544C" w:rsidP="00793437" w:rsidRDefault="00C6544C" w14:paraId="008DE1A4" w14:textId="77777777">
            <w:pPr>
              <w:ind w:firstLine="288"/>
              <w:jc w:val="both"/>
              <w:rPr>
                <w:sz w:val="22"/>
                <w:szCs w:val="22"/>
              </w:rPr>
            </w:pPr>
            <w:r w:rsidRPr="00793437">
              <w:rPr>
                <w:sz w:val="22"/>
                <w:szCs w:val="22"/>
              </w:rPr>
              <w:t>Atbilstoši autortiesību doktrīnai, likumā paredzot autortiesību ierobežojumus, tiek īstenota viena no būtiskākajām autortiesību funkcijām – tiesību īpašnieku un sabiedrības interešu taisnīga un samērīga s</w:t>
            </w:r>
            <w:r w:rsidRPr="00E36116">
              <w:rPr>
                <w:sz w:val="22"/>
                <w:szCs w:val="22"/>
              </w:rPr>
              <w:t xml:space="preserve">abalansēšana. Turklāt, veidojot likumus, tiek ņemts vērā fakts, ka daudzus darbu lietošanas veidus praktiski nav iespējams izkontrolēt un tādēļ loģiskāk ir leģitimēt likumā dažas praktiski nekontrolējamas darbības, nevis </w:t>
            </w:r>
            <w:r w:rsidRPr="00E36116">
              <w:rPr>
                <w:sz w:val="22"/>
                <w:szCs w:val="22"/>
              </w:rPr>
              <w:lastRenderedPageBreak/>
              <w:t xml:space="preserve">pieļaut situāciju, kad likums nesodīti tiek ignorēts, tādējādi zaudējot savu nozīmi.  (sk. </w:t>
            </w:r>
            <w:proofErr w:type="spellStart"/>
            <w:r w:rsidRPr="00E36116">
              <w:rPr>
                <w:sz w:val="22"/>
                <w:szCs w:val="22"/>
              </w:rPr>
              <w:t>Grudulis</w:t>
            </w:r>
            <w:proofErr w:type="spellEnd"/>
            <w:r w:rsidRPr="00E36116">
              <w:rPr>
                <w:sz w:val="22"/>
                <w:szCs w:val="22"/>
              </w:rPr>
              <w:t xml:space="preserve"> M. Ievads autortiesībās. Rīga: Latvijas Vēstnesis, 2006, 144. – 146.lpp.).</w:t>
            </w:r>
          </w:p>
          <w:p w:rsidRPr="00E36116" w:rsidR="00C6544C" w:rsidP="00793437" w:rsidRDefault="00C6544C" w14:paraId="5E1608D9" w14:textId="302948F6">
            <w:pPr>
              <w:ind w:firstLine="288"/>
              <w:jc w:val="both"/>
              <w:rPr>
                <w:sz w:val="22"/>
                <w:szCs w:val="22"/>
              </w:rPr>
            </w:pPr>
            <w:r w:rsidRPr="00E36116">
              <w:rPr>
                <w:sz w:val="22"/>
                <w:szCs w:val="22"/>
              </w:rPr>
              <w:t>Saskaņā ar Direktīvas 2001/29/EK 5.panta 5.punktu Direktīvā paredzētos izņēmumus un ierobežojumus piemēro tikai dažos īpašos gadījumos, kas nav pretrunā ar darba vai blakustiesību objekta parasto izmantošanu un nepamatoti neskar tiesību subjekta likumīgās intereses. Citiem vārdiem, jebkuri ierobežojumi jātulko šauri un šaubu gadījumos jāpieņem, ka autortiesības nav ierobežotas (sk. arī Autortiesību likuma 18.</w:t>
            </w:r>
            <w:r w:rsidRPr="00E36116" w:rsidR="0064509A">
              <w:rPr>
                <w:sz w:val="22"/>
                <w:szCs w:val="22"/>
              </w:rPr>
              <w:t>p</w:t>
            </w:r>
            <w:r w:rsidRPr="00E36116">
              <w:rPr>
                <w:sz w:val="22"/>
                <w:szCs w:val="22"/>
              </w:rPr>
              <w:t>anta otro un trešo daļu).</w:t>
            </w:r>
          </w:p>
          <w:p w:rsidRPr="00E36116" w:rsidR="00C6544C" w:rsidP="00793437" w:rsidRDefault="00C6544C" w14:paraId="0E5E567C" w14:textId="77777777">
            <w:pPr>
              <w:ind w:firstLine="288"/>
              <w:jc w:val="both"/>
              <w:rPr>
                <w:sz w:val="22"/>
                <w:szCs w:val="22"/>
              </w:rPr>
            </w:pPr>
            <w:r w:rsidRPr="00E36116">
              <w:rPr>
                <w:sz w:val="22"/>
                <w:szCs w:val="22"/>
              </w:rPr>
              <w:t xml:space="preserve">Vienlaikus, nosakot nesējus un iekārtas, par kurām ir maksājama nesēja atlīdzība, un attiecīgās atlīdzības lielumu, jāņem vērā, ka ar nesēja atlīdzības palīdzību sabiedrībai uzliktajam ekonomiskajam slogam ir jābūt samērīgam ar sabiedrības ieguvumu no attiecīgā autortiesību ierobežojuma izmantošanas. </w:t>
            </w:r>
          </w:p>
          <w:p w:rsidRPr="00E36116" w:rsidR="00C6544C" w:rsidRDefault="00C6544C" w14:paraId="54289655" w14:textId="77777777">
            <w:pPr>
              <w:ind w:firstLine="288"/>
              <w:jc w:val="both"/>
              <w:rPr>
                <w:sz w:val="22"/>
                <w:szCs w:val="22"/>
              </w:rPr>
            </w:pPr>
            <w:r w:rsidRPr="00E36116">
              <w:rPr>
                <w:sz w:val="22"/>
                <w:szCs w:val="22"/>
              </w:rPr>
              <w:t xml:space="preserve">Kā norādīts iepriekš, atbilstoši Direktīvas </w:t>
            </w:r>
            <w:r w:rsidRPr="00E36116">
              <w:rPr>
                <w:sz w:val="22"/>
                <w:szCs w:val="22"/>
              </w:rPr>
              <w:lastRenderedPageBreak/>
              <w:t>2001/29/EK preambulas 35.apsvērumam dažos gadījumos, ja tiesību subjekta aizskārums (kaitējums) ir minimāls, pienākuma maksāt taisnīgu atlīdzību var nebūt.</w:t>
            </w:r>
          </w:p>
          <w:p w:rsidRPr="00E36116" w:rsidR="00C6544C" w:rsidRDefault="00C6544C" w14:paraId="341C1911" w14:textId="77777777">
            <w:pPr>
              <w:ind w:firstLine="288"/>
              <w:jc w:val="both"/>
              <w:rPr>
                <w:sz w:val="22"/>
                <w:szCs w:val="22"/>
              </w:rPr>
            </w:pPr>
            <w:r w:rsidRPr="00E36116">
              <w:rPr>
                <w:sz w:val="22"/>
                <w:szCs w:val="22"/>
              </w:rPr>
              <w:t xml:space="preserve">Eiropas Savienības Tiesa 2015.gada 5.marta spriedumā lietā Nr.C-463/12 </w:t>
            </w:r>
            <w:proofErr w:type="spellStart"/>
            <w:r w:rsidRPr="00E36116">
              <w:rPr>
                <w:i/>
                <w:iCs/>
                <w:sz w:val="22"/>
                <w:szCs w:val="22"/>
              </w:rPr>
              <w:t>Copydan</w:t>
            </w:r>
            <w:proofErr w:type="spellEnd"/>
            <w:r w:rsidRPr="00E36116">
              <w:rPr>
                <w:i/>
                <w:iCs/>
                <w:sz w:val="22"/>
                <w:szCs w:val="22"/>
              </w:rPr>
              <w:t xml:space="preserve"> </w:t>
            </w:r>
            <w:proofErr w:type="spellStart"/>
            <w:r w:rsidRPr="00E36116">
              <w:rPr>
                <w:i/>
                <w:iCs/>
                <w:sz w:val="22"/>
                <w:szCs w:val="22"/>
              </w:rPr>
              <w:t>Båndkopi</w:t>
            </w:r>
            <w:proofErr w:type="spellEnd"/>
            <w:r w:rsidRPr="00E36116">
              <w:rPr>
                <w:i/>
                <w:iCs/>
                <w:sz w:val="22"/>
                <w:szCs w:val="22"/>
              </w:rPr>
              <w:t xml:space="preserve"> v Nokia </w:t>
            </w:r>
            <w:proofErr w:type="spellStart"/>
            <w:r w:rsidRPr="00E36116">
              <w:rPr>
                <w:i/>
                <w:iCs/>
                <w:sz w:val="22"/>
                <w:szCs w:val="22"/>
              </w:rPr>
              <w:t>Danmark</w:t>
            </w:r>
            <w:proofErr w:type="spellEnd"/>
            <w:r w:rsidRPr="00E36116">
              <w:rPr>
                <w:i/>
                <w:iCs/>
                <w:sz w:val="22"/>
                <w:szCs w:val="22"/>
              </w:rPr>
              <w:t xml:space="preserve"> A/S</w:t>
            </w:r>
            <w:r w:rsidRPr="00E36116">
              <w:rPr>
                <w:sz w:val="22"/>
                <w:szCs w:val="22"/>
              </w:rPr>
              <w:t xml:space="preserve"> (sk. sprieduma 28.punktu) precizēja, ka gadījumā, ja tiktu konstatēts, ka praksē kāda datu nesēja lietotāji tikpat kā neveic reproducēšanu savām vajadzībām, šīs funkcijas nodrošināšana atbilstoši Direktīvas 2001/29 preambulas 35. apsvērumam varētu neradīt pienākumu maksāt taisnīgu atlīdzību, ciktāl tiesību subjektiem radītais kaitējums tiktu uzskatīts par minimālu. Tāpat Tiesa atzina, ka valsts kompetencē ir noteikt šāda kaitējuma robežvērtību, ievērojot, ka šīs robežvērtības piemērošanai tostarp jāatbilst vienlīdzīgas attieksmes principam (sk. sprieduma 59. – 62.punktu).</w:t>
            </w:r>
          </w:p>
          <w:p w:rsidRPr="003329AD" w:rsidR="00246C37" w:rsidRDefault="00C6544C" w14:paraId="4A0AD730" w14:textId="4808B789">
            <w:pPr>
              <w:ind w:firstLine="288"/>
              <w:jc w:val="both"/>
              <w:rPr>
                <w:sz w:val="22"/>
                <w:szCs w:val="22"/>
              </w:rPr>
            </w:pPr>
            <w:r w:rsidRPr="00E36116">
              <w:rPr>
                <w:sz w:val="22"/>
                <w:szCs w:val="22"/>
              </w:rPr>
              <w:t xml:space="preserve">Ņemot vērā citu Eiropas Savienības valstu praksi attiecīgajā jomā, kā arī sabiedrības līdzdalības procesa ietvaros uzklausītos viedokļus, </w:t>
            </w:r>
            <w:r w:rsidRPr="00E36116">
              <w:rPr>
                <w:sz w:val="22"/>
                <w:szCs w:val="22"/>
              </w:rPr>
              <w:lastRenderedPageBreak/>
              <w:t xml:space="preserve">kompensējams kaitējums būtu konstatējams attiecībā uz tādu nesēju un iekārtu izmantošanu, ja tos </w:t>
            </w:r>
            <w:proofErr w:type="spellStart"/>
            <w:r w:rsidRPr="00E36116">
              <w:rPr>
                <w:sz w:val="22"/>
                <w:szCs w:val="22"/>
              </w:rPr>
              <w:t>privātkopēšanai</w:t>
            </w:r>
            <w:proofErr w:type="spellEnd"/>
            <w:r w:rsidRPr="00E36116">
              <w:rPr>
                <w:sz w:val="22"/>
                <w:szCs w:val="22"/>
              </w:rPr>
              <w:t xml:space="preserve"> izmanto vairāk kā 20% no respondentiem, kas veic likumīgi iegūtu ar autortiesībām aizsargātu darbu reproducēšanu personiskai lietošanai, kas ir ~2,8% visiem respondentiem, kas tika aptaujāti 2020.gada </w:t>
            </w:r>
            <w:proofErr w:type="spellStart"/>
            <w:r w:rsidRPr="00E36116">
              <w:rPr>
                <w:sz w:val="22"/>
                <w:szCs w:val="22"/>
              </w:rPr>
              <w:t>privātkopēšanas</w:t>
            </w:r>
            <w:proofErr w:type="spellEnd"/>
            <w:r w:rsidRPr="00E36116">
              <w:rPr>
                <w:sz w:val="22"/>
                <w:szCs w:val="22"/>
              </w:rPr>
              <w:t xml:space="preserve"> pētījuma ietvaros</w:t>
            </w:r>
            <w:r w:rsidRPr="00E36116" w:rsidR="00246C37">
              <w:rPr>
                <w:sz w:val="22"/>
                <w:szCs w:val="22"/>
              </w:rPr>
              <w:t>.</w:t>
            </w:r>
            <w:r w:rsidR="006C2F08">
              <w:rPr>
                <w:sz w:val="22"/>
                <w:szCs w:val="22"/>
              </w:rPr>
              <w:t xml:space="preserve"> </w:t>
            </w:r>
            <w:r w:rsidRPr="003329AD" w:rsidR="00246C37">
              <w:rPr>
                <w:iCs/>
                <w:sz w:val="22"/>
                <w:szCs w:val="22"/>
              </w:rPr>
              <w:t>[..]</w:t>
            </w:r>
            <w:r w:rsidR="006C2F08">
              <w:rPr>
                <w:iCs/>
                <w:sz w:val="22"/>
                <w:szCs w:val="22"/>
              </w:rPr>
              <w:t>”</w:t>
            </w:r>
          </w:p>
        </w:tc>
      </w:tr>
      <w:tr w:rsidRPr="00E36116" w:rsidR="00E03E98" w:rsidTr="00793437" w14:paraId="0BD2FBE9" w14:textId="77777777">
        <w:tc>
          <w:tcPr>
            <w:tcW w:w="226" w:type="pct"/>
            <w:tcBorders>
              <w:top w:val="single" w:color="000000" w:sz="6" w:space="0"/>
              <w:left w:val="single" w:color="000000" w:sz="6" w:space="0"/>
              <w:bottom w:val="single" w:color="000000" w:sz="6" w:space="0"/>
              <w:right w:val="single" w:color="000000" w:sz="6" w:space="0"/>
            </w:tcBorders>
          </w:tcPr>
          <w:p w:rsidRPr="00E36116" w:rsidR="00E03E98" w:rsidP="00E36116" w:rsidRDefault="00A3415B" w14:paraId="722B7B41" w14:textId="61959039">
            <w:pPr>
              <w:pStyle w:val="naisc"/>
              <w:spacing w:before="0" w:after="0"/>
              <w:rPr>
                <w:sz w:val="22"/>
                <w:szCs w:val="22"/>
                <w:lang w:eastAsia="en-US"/>
              </w:rPr>
            </w:pPr>
            <w:r w:rsidRPr="00E36116">
              <w:rPr>
                <w:sz w:val="22"/>
                <w:szCs w:val="22"/>
                <w:lang w:eastAsia="en-US"/>
              </w:rPr>
              <w:lastRenderedPageBreak/>
              <w:t>9.</w:t>
            </w:r>
          </w:p>
        </w:tc>
        <w:tc>
          <w:tcPr>
            <w:tcW w:w="1079" w:type="pct"/>
            <w:tcBorders>
              <w:top w:val="single" w:color="000000" w:sz="6" w:space="0"/>
              <w:left w:val="single" w:color="000000" w:sz="6" w:space="0"/>
              <w:bottom w:val="single" w:color="000000" w:sz="6" w:space="0"/>
              <w:right w:val="single" w:color="000000" w:sz="6" w:space="0"/>
            </w:tcBorders>
          </w:tcPr>
          <w:p w:rsidRPr="00793437" w:rsidR="00E03E98" w:rsidP="00CA5C25" w:rsidRDefault="001D72E2" w14:paraId="0530FC36" w14:textId="1175D2DF">
            <w:pPr>
              <w:pStyle w:val="naisc"/>
              <w:spacing w:before="0" w:after="0"/>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sidR="00E03E98">
              <w:rPr>
                <w:sz w:val="22"/>
                <w:szCs w:val="22"/>
              </w:rPr>
              <w:t>rojekta sākotnējās ietekmes novērtējuma ziņojuma (anotācijas) I sadaļas 2.punkts:</w:t>
            </w:r>
          </w:p>
          <w:p w:rsidR="001D72E2" w:rsidP="001D72E2" w:rsidRDefault="001D72E2" w14:paraId="04022E81" w14:textId="77777777">
            <w:pPr>
              <w:jc w:val="both"/>
              <w:rPr>
                <w:sz w:val="22"/>
                <w:szCs w:val="22"/>
              </w:rPr>
            </w:pPr>
          </w:p>
          <w:p w:rsidRPr="00E36116" w:rsidR="00034290" w:rsidP="00CA5C25" w:rsidRDefault="006F2F03" w14:paraId="2AC75363" w14:textId="33E02993">
            <w:pPr>
              <w:jc w:val="both"/>
              <w:rPr>
                <w:sz w:val="22"/>
                <w:szCs w:val="22"/>
              </w:rPr>
            </w:pPr>
            <w:r w:rsidRPr="00793437">
              <w:rPr>
                <w:sz w:val="22"/>
                <w:szCs w:val="22"/>
              </w:rPr>
              <w:t>„</w:t>
            </w:r>
            <w:r w:rsidRPr="00793437" w:rsidR="00E03E98">
              <w:rPr>
                <w:sz w:val="22"/>
                <w:szCs w:val="22"/>
              </w:rPr>
              <w:t>[..]</w:t>
            </w:r>
            <w:r w:rsidRPr="00793437" w:rsidR="00034290">
              <w:rPr>
                <w:sz w:val="22"/>
                <w:szCs w:val="22"/>
              </w:rPr>
              <w:t xml:space="preserve"> </w:t>
            </w:r>
            <w:r w:rsidRPr="003329AD" w:rsidR="00E03E98">
              <w:rPr>
                <w:sz w:val="22"/>
                <w:szCs w:val="22"/>
              </w:rPr>
              <w:t xml:space="preserve">Vidēji šiem mērķiem no saņemtās atlīdzības citās valstīs tiek novirzīti 20 – 30% (Lietuvā – 25%, Igaunijā </w:t>
            </w:r>
            <w:r w:rsidRPr="00E36116" w:rsidR="00E03E98">
              <w:rPr>
                <w:sz w:val="22"/>
                <w:szCs w:val="22"/>
              </w:rPr>
              <w:t>plānoti – 10%).</w:t>
            </w:r>
          </w:p>
          <w:p w:rsidRPr="003329AD" w:rsidR="00E03E98" w:rsidRDefault="00E03E98" w14:paraId="09245345" w14:textId="4DDC317B">
            <w:pPr>
              <w:ind w:firstLine="288"/>
              <w:jc w:val="both"/>
              <w:rPr>
                <w:sz w:val="22"/>
                <w:szCs w:val="22"/>
              </w:rPr>
            </w:pPr>
            <w:r w:rsidRPr="00E36116">
              <w:rPr>
                <w:sz w:val="22"/>
                <w:szCs w:val="22"/>
              </w:rPr>
              <w:t xml:space="preserve">Autortiesību kolektīvā pārvaldījuma organizāciju likuma 24.panta trešā daļa paredz, ka kolektīvā pārvaldījuma organizācija pārstāvēto autortiesību vai blakustiesību subjektu interesēs, kā arī ievērojot savus mērķus un uzdevumus, var sniegt sociālos, kultūras vai izglītības pakalpojumus, finansējot tos no ieņēmumiem no tiesību pārvaldības. Līdz ar to Noteikumos būtu jāparedz, ka </w:t>
            </w:r>
            <w:r w:rsidRPr="00E36116">
              <w:rPr>
                <w:sz w:val="22"/>
                <w:szCs w:val="22"/>
              </w:rPr>
              <w:lastRenderedPageBreak/>
              <w:t>kolektīvā pārvaldījuma organizācija var izmantot līdz 25% no nesēja atlīdzības sociālo, kultūras un izglītības pakalpojumu finansēšanai.</w:t>
            </w:r>
            <w:r w:rsidR="006F2F03">
              <w:rPr>
                <w:sz w:val="22"/>
                <w:szCs w:val="22"/>
              </w:rPr>
              <w:t xml:space="preserve"> </w:t>
            </w:r>
            <w:r w:rsidRPr="003329AD">
              <w:rPr>
                <w:sz w:val="22"/>
                <w:szCs w:val="22"/>
              </w:rPr>
              <w:t>[..]</w:t>
            </w:r>
            <w:r w:rsidR="006F2F03">
              <w:rPr>
                <w:sz w:val="22"/>
                <w:szCs w:val="22"/>
              </w:rPr>
              <w:t>”</w:t>
            </w:r>
          </w:p>
        </w:tc>
        <w:tc>
          <w:tcPr>
            <w:tcW w:w="1450" w:type="pct"/>
            <w:tcBorders>
              <w:top w:val="single" w:color="000000" w:sz="6" w:space="0"/>
              <w:left w:val="single" w:color="000000" w:sz="6" w:space="0"/>
              <w:bottom w:val="single" w:color="000000" w:sz="6" w:space="0"/>
              <w:right w:val="single" w:color="000000" w:sz="6" w:space="0"/>
            </w:tcBorders>
          </w:tcPr>
          <w:p w:rsidRPr="00E36116" w:rsidR="00E03E98" w:rsidP="00CA5C25" w:rsidRDefault="00E03E98" w14:paraId="55FC5079" w14:textId="5838DD0B">
            <w:pPr>
              <w:jc w:val="both"/>
              <w:rPr>
                <w:b/>
                <w:bCs/>
                <w:sz w:val="22"/>
                <w:szCs w:val="22"/>
              </w:rPr>
            </w:pPr>
            <w:r w:rsidRPr="00E36116">
              <w:rPr>
                <w:b/>
                <w:bCs/>
                <w:sz w:val="22"/>
                <w:szCs w:val="22"/>
              </w:rPr>
              <w:lastRenderedPageBreak/>
              <w:t>Tieslietu ministrija</w:t>
            </w:r>
            <w:r w:rsidR="00EA1F95">
              <w:rPr>
                <w:b/>
                <w:bCs/>
                <w:sz w:val="22"/>
                <w:szCs w:val="22"/>
              </w:rPr>
              <w:t>:</w:t>
            </w:r>
          </w:p>
          <w:p w:rsidRPr="00E36116" w:rsidR="00E03E98" w:rsidP="00CA5C25" w:rsidRDefault="00E03E98" w14:paraId="519B2BD9" w14:textId="052C1948">
            <w:pPr>
              <w:pStyle w:val="naiskr"/>
              <w:spacing w:before="0" w:after="0"/>
              <w:jc w:val="both"/>
              <w:rPr>
                <w:rFonts w:eastAsia="Calibri"/>
                <w:b/>
                <w:bCs/>
                <w:sz w:val="22"/>
                <w:szCs w:val="22"/>
                <w:shd w:val="clear" w:color="auto" w:fill="FFFFFF"/>
              </w:rPr>
            </w:pPr>
            <w:r w:rsidRPr="00E36116">
              <w:rPr>
                <w:sz w:val="22"/>
                <w:szCs w:val="22"/>
              </w:rPr>
              <w:t>Projekta 1.12. apakšpunkts paredz papildināt MK noteikumus Nr. 321 ar 25.</w:t>
            </w:r>
            <w:r w:rsidRPr="00E36116">
              <w:rPr>
                <w:sz w:val="22"/>
                <w:szCs w:val="22"/>
                <w:vertAlign w:val="superscript"/>
              </w:rPr>
              <w:t>1</w:t>
            </w:r>
            <w:r w:rsidRPr="00E36116">
              <w:rPr>
                <w:sz w:val="22"/>
                <w:szCs w:val="22"/>
              </w:rPr>
              <w:t xml:space="preserve"> punktu, nosakot, ka organizācija var izmantot līdz 25 % no atlīdzības sociālo, kultūras vai izglītības pakalpojumu finansēšanai saskaņā ar Autortiesību kolektīvā pārvaldījuma likuma 24. panta trešo daļu. Saskaņā ar Autortiesību kolektīvā pārvaldījuma likuma 24. panta trešo daļu, k</w:t>
            </w:r>
            <w:r w:rsidRPr="00E36116">
              <w:rPr>
                <w:sz w:val="22"/>
                <w:szCs w:val="22"/>
                <w:shd w:val="clear" w:color="auto" w:fill="FFFFFF"/>
              </w:rPr>
              <w:t xml:space="preserve">olektīvā pārvaldījuma organizācija pārstāvēto autortiesību vai blakustiesību subjektu interesēs, kā arī ievērojot savus mērķus un uzdevumus, var sniegt sociālos, kultūras vai izglītības pakalpojumus, finansējot tos no ieņēmumiem no tiesību pārvaldības. Šādu pārvaldījumu veic, ievērojot kolektīvā pārvaldījuma organizācijas biedru sapulces apstiprināto kārtību un noteikumus. Tādējādi likumā nav noteikt limits, kādu organizācija var tērēt, sniedzot sociālos, kultūras vai izglītības pakalpojumus. Ievērojot minēto, lūdzam </w:t>
            </w:r>
            <w:r w:rsidRPr="00E36116">
              <w:rPr>
                <w:sz w:val="22"/>
                <w:szCs w:val="22"/>
                <w:shd w:val="clear" w:color="auto" w:fill="FFFFFF"/>
              </w:rPr>
              <w:lastRenderedPageBreak/>
              <w:t>papildināt projekta anotāciju ar atbilstošu skaidrojumu attiecībā uz šāda limita ietveršanu noteikumu projekta 1.12. apakšpunktā</w:t>
            </w:r>
          </w:p>
        </w:tc>
        <w:tc>
          <w:tcPr>
            <w:tcW w:w="1158" w:type="pct"/>
            <w:tcBorders>
              <w:top w:val="single" w:color="000000" w:sz="6" w:space="0"/>
              <w:left w:val="single" w:color="000000" w:sz="6" w:space="0"/>
              <w:bottom w:val="single" w:color="000000" w:sz="6" w:space="0"/>
              <w:right w:val="single" w:color="000000" w:sz="6" w:space="0"/>
            </w:tcBorders>
          </w:tcPr>
          <w:p w:rsidRPr="00E36116" w:rsidR="00E03E98" w:rsidP="00793437" w:rsidRDefault="00E03E98" w14:paraId="71363EA7" w14:textId="77777777">
            <w:pPr>
              <w:pStyle w:val="naisc"/>
              <w:spacing w:before="0" w:after="0"/>
              <w:ind w:firstLine="288"/>
              <w:rPr>
                <w:b/>
                <w:sz w:val="22"/>
                <w:szCs w:val="22"/>
                <w:lang w:eastAsia="en-US"/>
              </w:rPr>
            </w:pPr>
            <w:r w:rsidRPr="00E36116">
              <w:rPr>
                <w:b/>
                <w:sz w:val="22"/>
                <w:szCs w:val="22"/>
                <w:lang w:eastAsia="en-US"/>
              </w:rPr>
              <w:lastRenderedPageBreak/>
              <w:t>Ņemts vērā</w:t>
            </w:r>
          </w:p>
          <w:p w:rsidRPr="00E36116" w:rsidR="00E03E98" w:rsidP="00CA5C25" w:rsidRDefault="00E03E98" w14:paraId="48EDFCFF" w14:textId="13630FAE">
            <w:pPr>
              <w:pStyle w:val="naisc"/>
              <w:spacing w:before="0" w:after="0"/>
              <w:jc w:val="both"/>
              <w:rPr>
                <w:bCs/>
                <w:sz w:val="22"/>
                <w:szCs w:val="22"/>
                <w:lang w:eastAsia="en-US"/>
              </w:rPr>
            </w:pPr>
            <w:r w:rsidRPr="00E36116">
              <w:rPr>
                <w:bCs/>
                <w:sz w:val="22"/>
                <w:szCs w:val="22"/>
                <w:lang w:eastAsia="en-US"/>
              </w:rPr>
              <w:t xml:space="preserve">Priekšlikumu noteikt limitu līdz 25% izteikušas kolektīvā pārvaldījuma organizācijas. Ņemot vērā, ka citās valstīs vidēji limits ir noteikts no 20-30%, uzskatām </w:t>
            </w:r>
            <w:r w:rsidRPr="00E36116" w:rsidR="00FA0875">
              <w:rPr>
                <w:bCs/>
                <w:sz w:val="22"/>
                <w:szCs w:val="22"/>
                <w:lang w:eastAsia="en-US"/>
              </w:rPr>
              <w:t>kolektīvā pārvaldījuma organizāciju ierosināto</w:t>
            </w:r>
            <w:r w:rsidRPr="003329AD">
              <w:rPr>
                <w:bCs/>
                <w:sz w:val="22"/>
                <w:szCs w:val="22"/>
                <w:lang w:eastAsia="en-US"/>
              </w:rPr>
              <w:t xml:space="preserve"> limit</w:t>
            </w:r>
            <w:r w:rsidRPr="003329AD" w:rsidR="00FA0875">
              <w:rPr>
                <w:bCs/>
                <w:sz w:val="22"/>
                <w:szCs w:val="22"/>
                <w:lang w:eastAsia="en-US"/>
              </w:rPr>
              <w:t>u</w:t>
            </w:r>
            <w:r w:rsidRPr="003329AD">
              <w:rPr>
                <w:bCs/>
                <w:sz w:val="22"/>
                <w:szCs w:val="22"/>
                <w:lang w:eastAsia="en-US"/>
              </w:rPr>
              <w:t xml:space="preserve"> par </w:t>
            </w:r>
            <w:r w:rsidRPr="003329AD" w:rsidR="000C0935">
              <w:rPr>
                <w:bCs/>
                <w:sz w:val="22"/>
                <w:szCs w:val="22"/>
                <w:lang w:eastAsia="en-US"/>
              </w:rPr>
              <w:t>samērīgu</w:t>
            </w:r>
            <w:r w:rsidRPr="003329AD">
              <w:rPr>
                <w:bCs/>
                <w:sz w:val="22"/>
                <w:szCs w:val="22"/>
                <w:lang w:eastAsia="en-US"/>
              </w:rPr>
              <w:t xml:space="preserve">. Attiecīgi precizēta </w:t>
            </w:r>
            <w:r w:rsidR="00C021C8">
              <w:rPr>
                <w:sz w:val="22"/>
                <w:szCs w:val="22"/>
              </w:rPr>
              <w:t xml:space="preserve">Ministru kabineta noteikumu </w:t>
            </w:r>
            <w:r w:rsidR="00C021C8">
              <w:rPr>
                <w:bCs/>
                <w:sz w:val="22"/>
                <w:szCs w:val="22"/>
                <w:lang w:eastAsia="en-US"/>
              </w:rPr>
              <w:t>p</w:t>
            </w:r>
            <w:r w:rsidRPr="003329AD">
              <w:rPr>
                <w:bCs/>
                <w:sz w:val="22"/>
                <w:szCs w:val="22"/>
                <w:lang w:eastAsia="en-US"/>
              </w:rPr>
              <w:t xml:space="preserve">rojekta anotācija. </w:t>
            </w:r>
          </w:p>
        </w:tc>
        <w:tc>
          <w:tcPr>
            <w:tcW w:w="1087" w:type="pct"/>
            <w:tcBorders>
              <w:top w:val="single" w:color="auto" w:sz="4" w:space="0"/>
              <w:left w:val="single" w:color="auto" w:sz="4" w:space="0"/>
              <w:bottom w:val="single" w:color="auto" w:sz="4" w:space="0"/>
              <w:right w:val="single" w:color="auto" w:sz="4" w:space="0"/>
            </w:tcBorders>
          </w:tcPr>
          <w:p w:rsidRPr="00E36116" w:rsidR="00E03E98" w:rsidP="00CA5C25" w:rsidRDefault="00E03E98" w14:paraId="2F7A8372" w14:textId="5A5D5170">
            <w:pPr>
              <w:pStyle w:val="naisc"/>
              <w:spacing w:before="0" w:after="0"/>
              <w:jc w:val="both"/>
              <w:rPr>
                <w:sz w:val="22"/>
                <w:szCs w:val="22"/>
              </w:rPr>
            </w:pPr>
            <w:r w:rsidRPr="00E36116">
              <w:rPr>
                <w:sz w:val="22"/>
                <w:szCs w:val="22"/>
              </w:rPr>
              <w:t xml:space="preserve">Precizēts </w:t>
            </w:r>
            <w:r w:rsidRPr="00903684" w:rsidR="001D72E2">
              <w:rPr>
                <w:sz w:val="22"/>
                <w:szCs w:val="22"/>
              </w:rPr>
              <w:t>Ministru kabineta noteikumu</w:t>
            </w:r>
            <w:r w:rsidRPr="00793437" w:rsidR="001D72E2">
              <w:rPr>
                <w:sz w:val="22"/>
                <w:szCs w:val="22"/>
              </w:rPr>
              <w:t xml:space="preserve"> </w:t>
            </w:r>
            <w:r w:rsidR="001D72E2">
              <w:rPr>
                <w:sz w:val="22"/>
                <w:szCs w:val="22"/>
              </w:rPr>
              <w:t>p</w:t>
            </w:r>
            <w:r w:rsidRPr="00E36116">
              <w:rPr>
                <w:sz w:val="22"/>
                <w:szCs w:val="22"/>
              </w:rPr>
              <w:t>rojekta sākotnējās ietekmes novērtējuma ziņojuma (anotācijas) I sadaļas 2.punkts šādā redakcijā:</w:t>
            </w:r>
          </w:p>
          <w:p w:rsidR="001D72E2" w:rsidP="001D72E2" w:rsidRDefault="001D72E2" w14:paraId="24DD516B" w14:textId="77777777">
            <w:pPr>
              <w:jc w:val="both"/>
              <w:rPr>
                <w:sz w:val="22"/>
                <w:szCs w:val="22"/>
              </w:rPr>
            </w:pPr>
          </w:p>
          <w:p w:rsidRPr="00E36116" w:rsidR="00C6544C" w:rsidP="00CA5C25" w:rsidRDefault="006F2F03" w14:paraId="4AF86089" w14:textId="241EE767">
            <w:pPr>
              <w:jc w:val="both"/>
              <w:rPr>
                <w:sz w:val="22"/>
                <w:szCs w:val="22"/>
              </w:rPr>
            </w:pPr>
            <w:r w:rsidRPr="00793437">
              <w:rPr>
                <w:sz w:val="22"/>
                <w:szCs w:val="22"/>
              </w:rPr>
              <w:t>„</w:t>
            </w:r>
            <w:r w:rsidRPr="00E36116" w:rsidR="00E03E98">
              <w:rPr>
                <w:sz w:val="22"/>
                <w:szCs w:val="22"/>
              </w:rPr>
              <w:t>[..]</w:t>
            </w:r>
            <w:r w:rsidRPr="00E36116" w:rsidR="00034290">
              <w:rPr>
                <w:sz w:val="22"/>
                <w:szCs w:val="22"/>
              </w:rPr>
              <w:t xml:space="preserve"> </w:t>
            </w:r>
            <w:r w:rsidRPr="003329AD" w:rsidR="00C6544C">
              <w:rPr>
                <w:sz w:val="22"/>
                <w:szCs w:val="22"/>
              </w:rPr>
              <w:t xml:space="preserve">Vidēji šiem mērķiem no saņemtās </w:t>
            </w:r>
            <w:r w:rsidRPr="00E36116" w:rsidR="00C6544C">
              <w:rPr>
                <w:sz w:val="22"/>
                <w:szCs w:val="22"/>
              </w:rPr>
              <w:t xml:space="preserve">atlīdzības citās valstīs tiek novirzīti līdz 20 – 30% (Lietuvā – 25%, Igaunijā – 10%). </w:t>
            </w:r>
          </w:p>
          <w:p w:rsidRPr="003329AD" w:rsidR="00E03E98" w:rsidRDefault="00C6544C" w14:paraId="6D0FA251" w14:textId="0848764A">
            <w:pPr>
              <w:ind w:firstLine="288"/>
              <w:jc w:val="both"/>
              <w:rPr>
                <w:sz w:val="22"/>
                <w:szCs w:val="22"/>
              </w:rPr>
            </w:pPr>
            <w:r w:rsidRPr="00E36116">
              <w:rPr>
                <w:sz w:val="22"/>
                <w:szCs w:val="22"/>
              </w:rPr>
              <w:t xml:space="preserve">Autortiesību kolektīvā pārvaldījuma organizāciju likuma 24.panta trešā daļa paredz, ka kolektīvā pārvaldījuma organizācija pārstāvēto autortiesību vai blakustiesību subjektu interesēs, kā arī ievērojot savus mērķus un uzdevumus, var sniegt sociālos, kultūras vai izglītības pakalpojumus, finansējot tos no ieņēmumiem no tiesību </w:t>
            </w:r>
            <w:r w:rsidRPr="00E36116">
              <w:rPr>
                <w:sz w:val="22"/>
                <w:szCs w:val="22"/>
              </w:rPr>
              <w:lastRenderedPageBreak/>
              <w:t>pārvaldības. Kolektīvā pārvaldījuma organizācijas ir izteikušas priekšlikumu, ka Latvijā šiem mērķiem varētu paredzēt līdz 25% no nesēja atlīdzības summas.</w:t>
            </w:r>
            <w:r w:rsidR="006F2F03">
              <w:rPr>
                <w:sz w:val="22"/>
                <w:szCs w:val="22"/>
              </w:rPr>
              <w:t xml:space="preserve"> </w:t>
            </w:r>
            <w:r w:rsidRPr="003329AD" w:rsidR="00E03E98">
              <w:rPr>
                <w:sz w:val="22"/>
                <w:szCs w:val="22"/>
              </w:rPr>
              <w:t>[..]</w:t>
            </w:r>
            <w:r w:rsidR="006F2F03">
              <w:rPr>
                <w:sz w:val="22"/>
                <w:szCs w:val="22"/>
              </w:rPr>
              <w:t>”</w:t>
            </w:r>
          </w:p>
        </w:tc>
      </w:tr>
      <w:tr w:rsidRPr="00E36116" w:rsidR="004E013C" w:rsidTr="00793437" w14:paraId="5F80192C" w14:textId="77777777">
        <w:tc>
          <w:tcPr>
            <w:tcW w:w="226" w:type="pct"/>
            <w:tcBorders>
              <w:top w:val="single" w:color="000000" w:sz="6" w:space="0"/>
              <w:left w:val="single" w:color="000000" w:sz="6" w:space="0"/>
              <w:bottom w:val="single" w:color="000000" w:sz="6" w:space="0"/>
              <w:right w:val="single" w:color="000000" w:sz="6" w:space="0"/>
            </w:tcBorders>
            <w:hideMark/>
          </w:tcPr>
          <w:p w:rsidRPr="00E36116" w:rsidR="004E013C" w:rsidP="004E013C" w:rsidRDefault="004E013C" w14:paraId="595B48AA" w14:textId="0CBD19E0">
            <w:pPr>
              <w:pStyle w:val="naisc"/>
              <w:spacing w:before="0" w:after="0"/>
              <w:rPr>
                <w:sz w:val="22"/>
                <w:szCs w:val="22"/>
                <w:lang w:eastAsia="en-US"/>
              </w:rPr>
            </w:pPr>
            <w:r w:rsidRPr="00E36116">
              <w:rPr>
                <w:sz w:val="22"/>
                <w:szCs w:val="22"/>
                <w:lang w:eastAsia="en-US"/>
              </w:rPr>
              <w:lastRenderedPageBreak/>
              <w:t>1</w:t>
            </w:r>
            <w:r w:rsidR="00AE7FF7">
              <w:rPr>
                <w:sz w:val="22"/>
                <w:szCs w:val="22"/>
                <w:lang w:eastAsia="en-US"/>
              </w:rPr>
              <w:t>0</w:t>
            </w:r>
            <w:r w:rsidRPr="00E36116">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tcPr>
          <w:p w:rsidRPr="00793437" w:rsidR="004E013C" w:rsidP="004E013C" w:rsidRDefault="004E013C" w14:paraId="6631B2AB" w14:textId="5EEE9B65">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Pr>
                <w:sz w:val="22"/>
                <w:szCs w:val="22"/>
              </w:rPr>
              <w:t>rojekta sākotnējās ietekmes novērtējuma ziņojuma (anotācijas) II sadaļa 2.punkts:</w:t>
            </w:r>
          </w:p>
          <w:p w:rsidR="004E013C" w:rsidP="004E013C" w:rsidRDefault="004E013C" w14:paraId="04FF8E77" w14:textId="77777777">
            <w:pPr>
              <w:pStyle w:val="naiskr"/>
              <w:spacing w:before="0" w:after="0"/>
              <w:jc w:val="both"/>
              <w:rPr>
                <w:sz w:val="22"/>
                <w:szCs w:val="22"/>
              </w:rPr>
            </w:pPr>
          </w:p>
          <w:p w:rsidRPr="00E36116" w:rsidR="004E013C" w:rsidP="004E013C" w:rsidRDefault="004E013C" w14:paraId="514CB181" w14:textId="02CC5979">
            <w:pPr>
              <w:pStyle w:val="naiskr"/>
              <w:spacing w:before="0" w:after="0"/>
              <w:jc w:val="both"/>
              <w:rPr>
                <w:sz w:val="22"/>
                <w:szCs w:val="22"/>
              </w:rPr>
            </w:pPr>
            <w:r w:rsidRPr="00793437">
              <w:rPr>
                <w:sz w:val="22"/>
                <w:szCs w:val="22"/>
              </w:rPr>
              <w:t xml:space="preserve">„Projekts sabiedrības </w:t>
            </w:r>
            <w:proofErr w:type="spellStart"/>
            <w:r w:rsidRPr="00793437">
              <w:rPr>
                <w:sz w:val="22"/>
                <w:szCs w:val="22"/>
              </w:rPr>
              <w:t>mērķgrupas</w:t>
            </w:r>
            <w:proofErr w:type="spellEnd"/>
            <w:r w:rsidRPr="00793437">
              <w:rPr>
                <w:sz w:val="22"/>
                <w:szCs w:val="22"/>
              </w:rPr>
              <w:t xml:space="preserve"> finansiāli ietekmēs tieši, jo prognozējamas maksājamās un iekasētās ne</w:t>
            </w:r>
            <w:r w:rsidRPr="00E36116">
              <w:rPr>
                <w:sz w:val="22"/>
                <w:szCs w:val="22"/>
              </w:rPr>
              <w:t>sēja atlīdzības summas izmaiņas.</w:t>
            </w:r>
          </w:p>
          <w:p w:rsidRPr="00E36116" w:rsidR="004E013C" w:rsidP="00760EDE" w:rsidRDefault="004E013C" w14:paraId="7235CEC3" w14:textId="05B751FA">
            <w:pPr>
              <w:pStyle w:val="naiskr"/>
              <w:spacing w:before="0" w:after="0"/>
              <w:jc w:val="both"/>
              <w:rPr>
                <w:sz w:val="22"/>
                <w:szCs w:val="22"/>
              </w:rPr>
            </w:pPr>
            <w:r w:rsidRPr="00E36116">
              <w:rPr>
                <w:sz w:val="22"/>
                <w:szCs w:val="22"/>
              </w:rPr>
              <w:t>Pārējo sabiedrības daļu projekts finansiāli ietekmēs netieši, ja nesēja atlīdzības un nesēju un iekārtu saraksta izmaiņu rezultātā attiecīgi tiks grozītas nesēju un iekārtu mazumtirdzniecības cenas.</w:t>
            </w:r>
            <w:r>
              <w:rPr>
                <w:sz w:val="22"/>
                <w:szCs w:val="22"/>
              </w:rPr>
              <w:t>”</w:t>
            </w:r>
          </w:p>
        </w:tc>
        <w:tc>
          <w:tcPr>
            <w:tcW w:w="1450" w:type="pct"/>
            <w:tcBorders>
              <w:top w:val="single" w:color="000000" w:sz="6" w:space="0"/>
              <w:left w:val="single" w:color="000000" w:sz="6" w:space="0"/>
              <w:bottom w:val="single" w:color="000000" w:sz="6" w:space="0"/>
              <w:right w:val="single" w:color="000000" w:sz="6" w:space="0"/>
            </w:tcBorders>
          </w:tcPr>
          <w:p w:rsidRPr="00E36116" w:rsidR="004E013C" w:rsidP="004E013C" w:rsidRDefault="004E013C" w14:paraId="1AF60286" w14:textId="090E1AFB">
            <w:pPr>
              <w:rPr>
                <w:b/>
                <w:sz w:val="22"/>
                <w:szCs w:val="22"/>
              </w:rPr>
            </w:pPr>
            <w:r w:rsidRPr="00E36116">
              <w:rPr>
                <w:b/>
                <w:sz w:val="22"/>
                <w:szCs w:val="22"/>
              </w:rPr>
              <w:t>Tieslietu ministrija</w:t>
            </w:r>
            <w:r>
              <w:rPr>
                <w:b/>
                <w:sz w:val="22"/>
                <w:szCs w:val="22"/>
              </w:rPr>
              <w:t>:</w:t>
            </w:r>
          </w:p>
          <w:p w:rsidRPr="00E36116" w:rsidR="004E013C" w:rsidP="004E013C" w:rsidRDefault="004E013C" w14:paraId="3920AAEA" w14:textId="16AD8C8F">
            <w:pPr>
              <w:jc w:val="both"/>
              <w:rPr>
                <w:sz w:val="22"/>
                <w:szCs w:val="22"/>
              </w:rPr>
            </w:pPr>
            <w:r w:rsidRPr="00E36116">
              <w:rPr>
                <w:sz w:val="22"/>
                <w:szCs w:val="22"/>
              </w:rPr>
              <w:t xml:space="preserve">Lūdzam papildināt anotācijas II sadaļu “Tiesību akta ietekme uz sabiedrību, tautsaimniecības attīstību un administratīvo slogu”, konkrēti norādot, kādas sabiedrības </w:t>
            </w:r>
            <w:proofErr w:type="spellStart"/>
            <w:r w:rsidRPr="00E36116">
              <w:rPr>
                <w:sz w:val="22"/>
                <w:szCs w:val="22"/>
              </w:rPr>
              <w:t>mērķgrupas</w:t>
            </w:r>
            <w:proofErr w:type="spellEnd"/>
            <w:r w:rsidRPr="00E36116">
              <w:rPr>
                <w:sz w:val="22"/>
                <w:szCs w:val="22"/>
              </w:rPr>
              <w:t xml:space="preserve"> un kādā veidā ar šo projektu tiks ietekmētas. Kā izriet no projekta, tas palielina izmaksas par datoru cietajiem diskiem un cita veida projektā uzskaitītajām digitālajām tehnoloģijām par labu autoratlīdzību saņēmējiem, tātad šīs palielinātās izmaksas kādai personu grupai savukārt būs jāsedz. Projekts faktiski paredz netiešu atbalstu radošo industriju nozarei, kurai atlīdzības samaksas pienākums tiek pārlikts uz citiem subjektiem  - datortehnikas tirgotājiem vai tās pircējiem, tātad jebkurš sabiedrības loceklis, kas tirgos vai iegādāsies projektā minētās digitālās iekārtas, tiks pakļauts lielākam samaksas pienākumam. Projekta II sadaļā tas būtu tieši analizējams un konkrēti norādāms (esošās vispārīgās frāzes anotācijas  II sadaļā nesniedz konkrētu priekšstatu par tiesiskā regulējuma sekām un ietekmi uz konkrētām sabiedrības grupām).  </w:t>
            </w:r>
          </w:p>
        </w:tc>
        <w:tc>
          <w:tcPr>
            <w:tcW w:w="1158" w:type="pct"/>
            <w:tcBorders>
              <w:top w:val="single" w:color="000000" w:sz="6" w:space="0"/>
              <w:left w:val="single" w:color="000000" w:sz="6" w:space="0"/>
              <w:bottom w:val="single" w:color="000000" w:sz="6" w:space="0"/>
              <w:right w:val="single" w:color="000000" w:sz="6" w:space="0"/>
            </w:tcBorders>
          </w:tcPr>
          <w:p w:rsidRPr="00E36116" w:rsidR="004E013C" w:rsidP="004E013C" w:rsidRDefault="004E013C" w14:paraId="275F4F9D" w14:textId="77777777">
            <w:pPr>
              <w:pStyle w:val="naisc"/>
              <w:spacing w:before="0" w:after="0"/>
              <w:ind w:firstLine="288"/>
              <w:rPr>
                <w:b/>
                <w:bCs/>
                <w:sz w:val="22"/>
                <w:szCs w:val="22"/>
              </w:rPr>
            </w:pPr>
            <w:r w:rsidRPr="00E36116">
              <w:rPr>
                <w:b/>
                <w:bCs/>
                <w:sz w:val="22"/>
                <w:szCs w:val="22"/>
              </w:rPr>
              <w:t>Ņemts vērā</w:t>
            </w:r>
          </w:p>
          <w:p w:rsidRPr="00E36116" w:rsidR="004E013C" w:rsidP="004E013C" w:rsidRDefault="004E013C" w14:paraId="24E86B7C" w14:textId="33263AD0">
            <w:pPr>
              <w:pStyle w:val="naisc"/>
              <w:spacing w:before="0" w:after="0"/>
              <w:jc w:val="both"/>
              <w:rPr>
                <w:sz w:val="22"/>
                <w:szCs w:val="22"/>
              </w:rPr>
            </w:pPr>
            <w:r w:rsidRPr="00E36116">
              <w:rPr>
                <w:sz w:val="22"/>
                <w:szCs w:val="22"/>
              </w:rPr>
              <w:t xml:space="preserve">Atbilstoši precizēta </w:t>
            </w:r>
            <w:r w:rsidRPr="00903684">
              <w:rPr>
                <w:sz w:val="22"/>
                <w:szCs w:val="22"/>
              </w:rPr>
              <w:t>Ministru kabineta noteikumu</w:t>
            </w:r>
            <w:r w:rsidRPr="00793437">
              <w:rPr>
                <w:sz w:val="22"/>
                <w:szCs w:val="22"/>
              </w:rPr>
              <w:t xml:space="preserve"> </w:t>
            </w:r>
            <w:r>
              <w:rPr>
                <w:sz w:val="22"/>
                <w:szCs w:val="22"/>
              </w:rPr>
              <w:t>p</w:t>
            </w:r>
            <w:r w:rsidRPr="00793437">
              <w:rPr>
                <w:sz w:val="22"/>
                <w:szCs w:val="22"/>
              </w:rPr>
              <w:t xml:space="preserve">rojekta sākotnējās ietekmes novērtējuma ziņojuma (anotācijas) </w:t>
            </w:r>
            <w:r w:rsidRPr="00E36116">
              <w:rPr>
                <w:sz w:val="22"/>
                <w:szCs w:val="22"/>
              </w:rPr>
              <w:t>II sadaļa.</w:t>
            </w:r>
          </w:p>
        </w:tc>
        <w:tc>
          <w:tcPr>
            <w:tcW w:w="1087" w:type="pct"/>
            <w:tcBorders>
              <w:top w:val="single" w:color="auto" w:sz="4" w:space="0"/>
              <w:left w:val="single" w:color="auto" w:sz="4" w:space="0"/>
              <w:bottom w:val="single" w:color="auto" w:sz="4" w:space="0"/>
              <w:right w:val="single" w:color="auto" w:sz="4" w:space="0"/>
            </w:tcBorders>
          </w:tcPr>
          <w:p w:rsidR="004E013C" w:rsidP="004E013C" w:rsidRDefault="004E013C" w14:paraId="64023B96" w14:textId="5CAB1D65">
            <w:pPr>
              <w:jc w:val="both"/>
              <w:rPr>
                <w:sz w:val="22"/>
                <w:szCs w:val="22"/>
              </w:rPr>
            </w:pPr>
            <w:r w:rsidRPr="00E36116">
              <w:rPr>
                <w:sz w:val="22"/>
                <w:szCs w:val="22"/>
              </w:rPr>
              <w:t xml:space="preserve">Precizēts </w:t>
            </w:r>
            <w:r w:rsidRPr="00903684">
              <w:rPr>
                <w:sz w:val="22"/>
                <w:szCs w:val="22"/>
              </w:rPr>
              <w:t>Ministru kabineta noteikumu</w:t>
            </w:r>
            <w:r w:rsidRPr="00793437">
              <w:rPr>
                <w:sz w:val="22"/>
                <w:szCs w:val="22"/>
              </w:rPr>
              <w:t xml:space="preserve"> </w:t>
            </w:r>
            <w:r>
              <w:rPr>
                <w:sz w:val="22"/>
                <w:szCs w:val="22"/>
              </w:rPr>
              <w:t>p</w:t>
            </w:r>
            <w:r w:rsidRPr="00E36116">
              <w:rPr>
                <w:sz w:val="22"/>
                <w:szCs w:val="22"/>
              </w:rPr>
              <w:t>rojekta sākotnējās ietekmes novērtējuma ziņojuma (anotācijas) II sadaļa 2.punkts šādā redakcijā:</w:t>
            </w:r>
          </w:p>
          <w:p w:rsidRPr="00E36116" w:rsidR="004E013C" w:rsidP="004E013C" w:rsidRDefault="004E013C" w14:paraId="113407F9" w14:textId="77777777">
            <w:pPr>
              <w:jc w:val="both"/>
              <w:rPr>
                <w:sz w:val="22"/>
                <w:szCs w:val="22"/>
              </w:rPr>
            </w:pPr>
          </w:p>
          <w:p w:rsidRPr="00E36116" w:rsidR="004E013C" w:rsidP="004E013C" w:rsidRDefault="004E013C" w14:paraId="656C52CC" w14:textId="2B9391BF">
            <w:pPr>
              <w:jc w:val="both"/>
              <w:rPr>
                <w:sz w:val="22"/>
                <w:szCs w:val="22"/>
              </w:rPr>
            </w:pPr>
            <w:r w:rsidRPr="00793437">
              <w:rPr>
                <w:sz w:val="22"/>
                <w:szCs w:val="22"/>
              </w:rPr>
              <w:t>„</w:t>
            </w:r>
            <w:r w:rsidRPr="003329AD">
              <w:rPr>
                <w:sz w:val="22"/>
                <w:szCs w:val="22"/>
              </w:rPr>
              <w:t xml:space="preserve">Projekts sabiedrības </w:t>
            </w:r>
            <w:proofErr w:type="spellStart"/>
            <w:r w:rsidRPr="003329AD">
              <w:rPr>
                <w:sz w:val="22"/>
                <w:szCs w:val="22"/>
              </w:rPr>
              <w:t>mērķgrupas</w:t>
            </w:r>
            <w:proofErr w:type="spellEnd"/>
            <w:r w:rsidRPr="003329AD">
              <w:rPr>
                <w:sz w:val="22"/>
                <w:szCs w:val="22"/>
              </w:rPr>
              <w:t xml:space="preserve"> finansiāli ietekmēs tieši, jo prognozējamas maksājamās </w:t>
            </w:r>
            <w:r w:rsidRPr="00E36116">
              <w:rPr>
                <w:sz w:val="22"/>
                <w:szCs w:val="22"/>
              </w:rPr>
              <w:t xml:space="preserve">un iekasētās nesēja atlīdzības summas izmaiņas. </w:t>
            </w:r>
          </w:p>
          <w:p w:rsidRPr="00E36116" w:rsidR="004E013C" w:rsidP="004E013C" w:rsidRDefault="004E013C" w14:paraId="07B151AD" w14:textId="77777777">
            <w:pPr>
              <w:jc w:val="both"/>
              <w:rPr>
                <w:sz w:val="22"/>
                <w:szCs w:val="22"/>
              </w:rPr>
            </w:pPr>
            <w:r w:rsidRPr="00E36116">
              <w:rPr>
                <w:sz w:val="22"/>
                <w:szCs w:val="22"/>
              </w:rPr>
              <w:t xml:space="preserve">Paredzams, ka palielināsies gan kopējā nesēja atlīdzības summa, ko iekasē AKKA/LAA, gan arī palielināsies atlīdzības summa, ko saņem tiesību īpašnieki. </w:t>
            </w:r>
          </w:p>
          <w:p w:rsidRPr="00793437" w:rsidR="004E013C" w:rsidP="004E013C" w:rsidRDefault="004E013C" w14:paraId="38970D19" w14:textId="77777777">
            <w:pPr>
              <w:ind w:firstLine="288"/>
              <w:jc w:val="both"/>
              <w:rPr>
                <w:sz w:val="22"/>
                <w:szCs w:val="22"/>
              </w:rPr>
            </w:pPr>
            <w:r w:rsidRPr="00E36116">
              <w:rPr>
                <w:sz w:val="22"/>
                <w:szCs w:val="22"/>
              </w:rPr>
              <w:t xml:space="preserve">Projekts netieši nodrošinās atbalstu radošo industriju nozarei, jo kolektīvā pārvaldījuma organizācijas varēs </w:t>
            </w:r>
            <w:r w:rsidRPr="00793437">
              <w:rPr>
                <w:sz w:val="22"/>
                <w:szCs w:val="22"/>
              </w:rPr>
              <w:t>paredzēt līdz 25% no nesēja atlīdzības summas novirzīt sociālo, kultūras vai izglītības pakalpojumu finansēšanai.</w:t>
            </w:r>
          </w:p>
          <w:p w:rsidRPr="00E36116" w:rsidR="004E013C" w:rsidP="004E013C" w:rsidRDefault="004E013C" w14:paraId="15DE5B37" w14:textId="77777777">
            <w:pPr>
              <w:ind w:firstLine="288"/>
              <w:jc w:val="both"/>
              <w:rPr>
                <w:sz w:val="22"/>
                <w:szCs w:val="22"/>
              </w:rPr>
            </w:pPr>
            <w:r w:rsidRPr="00793437">
              <w:rPr>
                <w:sz w:val="22"/>
                <w:szCs w:val="22"/>
              </w:rPr>
              <w:t>Paredzams, ka Projekta ietekmē varētu samazināsies  nesēju un iekārtu izgatavotāju un</w:t>
            </w:r>
            <w:r w:rsidRPr="00E36116">
              <w:rPr>
                <w:sz w:val="22"/>
                <w:szCs w:val="22"/>
              </w:rPr>
              <w:t xml:space="preserve"> komersantu, kas ieved Latvijā un pārdod tukšos materiālos </w:t>
            </w:r>
            <w:r w:rsidRPr="00E36116">
              <w:rPr>
                <w:sz w:val="22"/>
                <w:szCs w:val="22"/>
              </w:rPr>
              <w:lastRenderedPageBreak/>
              <w:t xml:space="preserve">nesējus vai reproducēšanai izmantojamās iekārtas peļņa, ņemot vērā, ka tiek palielināts nesēju un iekārtu saraksts, par kurām maksājama nesēja atlīdzība. </w:t>
            </w:r>
          </w:p>
          <w:p w:rsidRPr="00E36116" w:rsidR="004E013C" w:rsidP="004E013C" w:rsidRDefault="004E013C" w14:paraId="0E5E0C60" w14:textId="77777777">
            <w:pPr>
              <w:ind w:firstLine="288"/>
              <w:jc w:val="both"/>
              <w:rPr>
                <w:sz w:val="22"/>
                <w:szCs w:val="22"/>
              </w:rPr>
            </w:pPr>
            <w:r w:rsidRPr="00E36116">
              <w:rPr>
                <w:sz w:val="22"/>
                <w:szCs w:val="22"/>
              </w:rPr>
              <w:t>Pārējo sabiedrības daļu projekts finansiāli ietekmēs netieši, tikai gadījumā, ja nesēju un iekārtu saraksta izmaiņu rezultātā attiecīgi tiks grozītas nesēju un iekārtu mazumtirdzniecības cenas.</w:t>
            </w:r>
          </w:p>
          <w:p w:rsidRPr="003329AD" w:rsidR="004E013C" w:rsidP="004E013C" w:rsidRDefault="004E013C" w14:paraId="5FE7ED1B" w14:textId="3024701E">
            <w:pPr>
              <w:ind w:firstLine="288"/>
              <w:jc w:val="both"/>
              <w:rPr>
                <w:sz w:val="22"/>
                <w:szCs w:val="22"/>
              </w:rPr>
            </w:pPr>
            <w:r w:rsidRPr="00E36116">
              <w:rPr>
                <w:sz w:val="22"/>
                <w:szCs w:val="22"/>
              </w:rPr>
              <w:t>Projekts paredz administratīvā sloga mazināšanu komersantiem, valsts un pašvaldību iestādēm, kas atbilstoši Noteikumu 10.punktam var reģistrēties kā profesionālie lietotāji.</w:t>
            </w:r>
            <w:r>
              <w:rPr>
                <w:sz w:val="22"/>
                <w:szCs w:val="22"/>
              </w:rPr>
              <w:t>”</w:t>
            </w:r>
          </w:p>
        </w:tc>
      </w:tr>
      <w:tr w:rsidRPr="00E36116" w:rsidR="004E013C" w:rsidTr="00793437" w14:paraId="57F289EC" w14:textId="77777777">
        <w:tc>
          <w:tcPr>
            <w:tcW w:w="226" w:type="pct"/>
            <w:tcBorders>
              <w:top w:val="single" w:color="000000" w:sz="6" w:space="0"/>
              <w:left w:val="single" w:color="000000" w:sz="6" w:space="0"/>
              <w:bottom w:val="single" w:color="000000" w:sz="6" w:space="0"/>
              <w:right w:val="single" w:color="000000" w:sz="6" w:space="0"/>
            </w:tcBorders>
            <w:hideMark/>
          </w:tcPr>
          <w:p w:rsidRPr="00E36116" w:rsidR="004E013C" w:rsidP="004E013C" w:rsidRDefault="004E013C" w14:paraId="50528A32" w14:textId="3D70E78C">
            <w:pPr>
              <w:pStyle w:val="naisc"/>
              <w:spacing w:before="0" w:after="0"/>
              <w:rPr>
                <w:sz w:val="22"/>
                <w:szCs w:val="22"/>
                <w:lang w:eastAsia="en-US"/>
              </w:rPr>
            </w:pPr>
            <w:r w:rsidRPr="00E36116">
              <w:rPr>
                <w:sz w:val="22"/>
                <w:szCs w:val="22"/>
                <w:lang w:eastAsia="en-US"/>
              </w:rPr>
              <w:lastRenderedPageBreak/>
              <w:t>1</w:t>
            </w:r>
            <w:r w:rsidR="00AE7FF7">
              <w:rPr>
                <w:sz w:val="22"/>
                <w:szCs w:val="22"/>
                <w:lang w:eastAsia="en-US"/>
              </w:rPr>
              <w:t>1</w:t>
            </w:r>
            <w:r w:rsidRPr="00E36116">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tcPr>
          <w:p w:rsidRPr="00793437" w:rsidR="004E013C" w:rsidP="004E013C" w:rsidRDefault="004E013C" w14:paraId="63E7AD7D" w14:textId="574B0EFF">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E36116">
              <w:rPr>
                <w:sz w:val="22"/>
                <w:szCs w:val="22"/>
              </w:rPr>
              <w:t>rojekta sākotnējās ietekmes novērtējuma ziņojuma (anotācijas) V sadaļa:</w:t>
            </w:r>
          </w:p>
          <w:p w:rsidR="004E013C" w:rsidP="004E013C" w:rsidRDefault="004E013C" w14:paraId="5EAD6C3B" w14:textId="77777777">
            <w:pPr>
              <w:jc w:val="both"/>
              <w:rPr>
                <w:sz w:val="22"/>
                <w:szCs w:val="22"/>
              </w:rPr>
            </w:pPr>
          </w:p>
          <w:p w:rsidRPr="00793437" w:rsidR="004E013C" w:rsidP="004E013C" w:rsidRDefault="004E013C" w14:paraId="40247959" w14:textId="758B38D5">
            <w:pPr>
              <w:jc w:val="both"/>
              <w:rPr>
                <w:sz w:val="22"/>
                <w:szCs w:val="22"/>
              </w:rPr>
            </w:pPr>
            <w:r w:rsidRPr="00903684">
              <w:rPr>
                <w:sz w:val="22"/>
                <w:szCs w:val="22"/>
              </w:rPr>
              <w:t>Ministru kabineta noteikumu</w:t>
            </w:r>
            <w:r w:rsidRPr="00793437">
              <w:rPr>
                <w:sz w:val="22"/>
                <w:szCs w:val="22"/>
              </w:rPr>
              <w:t xml:space="preserve"> </w:t>
            </w:r>
            <w:r>
              <w:rPr>
                <w:sz w:val="22"/>
                <w:szCs w:val="22"/>
              </w:rPr>
              <w:t>p</w:t>
            </w:r>
            <w:r w:rsidRPr="00793437">
              <w:rPr>
                <w:sz w:val="22"/>
                <w:szCs w:val="22"/>
              </w:rPr>
              <w:t>rojekts šo jomu neskar.</w:t>
            </w:r>
          </w:p>
        </w:tc>
        <w:tc>
          <w:tcPr>
            <w:tcW w:w="1450" w:type="pct"/>
            <w:tcBorders>
              <w:top w:val="single" w:color="000000" w:sz="6" w:space="0"/>
              <w:left w:val="single" w:color="000000" w:sz="6" w:space="0"/>
              <w:bottom w:val="single" w:color="000000" w:sz="6" w:space="0"/>
              <w:right w:val="single" w:color="000000" w:sz="6" w:space="0"/>
            </w:tcBorders>
          </w:tcPr>
          <w:p w:rsidRPr="00E36116" w:rsidR="004E013C" w:rsidP="004E013C" w:rsidRDefault="004E013C" w14:paraId="631ADDA2" w14:textId="4F362EC9">
            <w:pPr>
              <w:rPr>
                <w:b/>
                <w:sz w:val="22"/>
                <w:szCs w:val="22"/>
              </w:rPr>
            </w:pPr>
            <w:r w:rsidRPr="00E36116">
              <w:rPr>
                <w:b/>
                <w:sz w:val="22"/>
                <w:szCs w:val="22"/>
              </w:rPr>
              <w:t>Tieslietu ministrija</w:t>
            </w:r>
            <w:r>
              <w:rPr>
                <w:b/>
                <w:sz w:val="22"/>
                <w:szCs w:val="22"/>
              </w:rPr>
              <w:t>:</w:t>
            </w:r>
          </w:p>
          <w:p w:rsidRPr="00E36116" w:rsidR="004E013C" w:rsidP="004E013C" w:rsidRDefault="004E013C" w14:paraId="67727D5F" w14:textId="0FB2B9C4">
            <w:pPr>
              <w:jc w:val="both"/>
              <w:rPr>
                <w:sz w:val="22"/>
                <w:szCs w:val="22"/>
              </w:rPr>
            </w:pPr>
            <w:r w:rsidRPr="00E36116">
              <w:rPr>
                <w:sz w:val="22"/>
                <w:szCs w:val="22"/>
              </w:rPr>
              <w:t xml:space="preserve">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Vēršam uzmanību, ka Tieslietu ministrijai nav iespējams precīzi izvērtēt, vai ir korekti pārņemtas direktīvas Nr. 2001/29/EK prasības bez pienācīgi kārtā </w:t>
            </w:r>
            <w:r w:rsidRPr="00E36116">
              <w:rPr>
                <w:sz w:val="22"/>
                <w:szCs w:val="22"/>
              </w:rPr>
              <w:lastRenderedPageBreak/>
              <w:t>aizpildīta noteikumu projekta anotācijas V sadaļas 1. punkta un 1. tabulas atbilstoši Ministru kabineta 2009. gada 15. decembra instrukcijas Nr. 19 "Tiesību akta projekta sākotnējās ietekmes izvērtēšanas kārtība" 55. un 56. punkta prasībām. Norādām, ka noteikumu projekta anotācijas V sadaļas 1. punkts un 1. tabula aizpildāma arī gadījumos, ja ar noteikumu projektu tiek izdarīti grozījumi noteikumu Nr. 321 vienībās, ar kurām iepriekš pārņemtas minētās direktīvas prasības.</w:t>
            </w:r>
          </w:p>
        </w:tc>
        <w:tc>
          <w:tcPr>
            <w:tcW w:w="1158" w:type="pct"/>
            <w:tcBorders>
              <w:top w:val="single" w:color="000000" w:sz="6" w:space="0"/>
              <w:left w:val="single" w:color="000000" w:sz="6" w:space="0"/>
              <w:bottom w:val="single" w:color="000000" w:sz="6" w:space="0"/>
              <w:right w:val="single" w:color="000000" w:sz="6" w:space="0"/>
            </w:tcBorders>
          </w:tcPr>
          <w:p w:rsidRPr="00E36116" w:rsidR="004E013C" w:rsidP="004E013C" w:rsidRDefault="004E013C" w14:paraId="6C5F31DA" w14:textId="7910284E">
            <w:pPr>
              <w:pStyle w:val="naisc"/>
              <w:spacing w:before="0" w:after="0"/>
              <w:ind w:firstLine="288"/>
              <w:rPr>
                <w:b/>
                <w:sz w:val="22"/>
                <w:szCs w:val="22"/>
              </w:rPr>
            </w:pPr>
            <w:r w:rsidRPr="00E36116">
              <w:rPr>
                <w:b/>
                <w:sz w:val="22"/>
                <w:szCs w:val="22"/>
              </w:rPr>
              <w:lastRenderedPageBreak/>
              <w:t>Ņemts vērā</w:t>
            </w:r>
          </w:p>
        </w:tc>
        <w:tc>
          <w:tcPr>
            <w:tcW w:w="1087" w:type="pct"/>
            <w:tcBorders>
              <w:top w:val="single" w:color="auto" w:sz="4" w:space="0"/>
              <w:left w:val="single" w:color="auto" w:sz="4" w:space="0"/>
              <w:bottom w:val="single" w:color="auto" w:sz="4" w:space="0"/>
              <w:right w:val="single" w:color="auto" w:sz="4" w:space="0"/>
            </w:tcBorders>
          </w:tcPr>
          <w:p w:rsidRPr="00E36116" w:rsidR="004E013C" w:rsidP="004E013C" w:rsidRDefault="004E013C" w14:paraId="4C684A2D" w14:textId="7BE72BF2">
            <w:pPr>
              <w:jc w:val="both"/>
              <w:rPr>
                <w:sz w:val="22"/>
                <w:szCs w:val="22"/>
              </w:rPr>
            </w:pPr>
            <w:r w:rsidRPr="00E36116">
              <w:rPr>
                <w:sz w:val="22"/>
                <w:szCs w:val="22"/>
              </w:rPr>
              <w:t xml:space="preserve">Aizpildīta </w:t>
            </w:r>
            <w:r w:rsidRPr="00903684">
              <w:rPr>
                <w:sz w:val="22"/>
                <w:szCs w:val="22"/>
              </w:rPr>
              <w:t>Ministru kabineta noteikumu</w:t>
            </w:r>
            <w:r w:rsidRPr="00793437">
              <w:rPr>
                <w:sz w:val="22"/>
                <w:szCs w:val="22"/>
              </w:rPr>
              <w:t xml:space="preserve"> </w:t>
            </w:r>
            <w:r>
              <w:rPr>
                <w:sz w:val="22"/>
                <w:szCs w:val="22"/>
              </w:rPr>
              <w:t>p</w:t>
            </w:r>
            <w:r w:rsidRPr="00E36116">
              <w:rPr>
                <w:sz w:val="22"/>
                <w:szCs w:val="22"/>
              </w:rPr>
              <w:t>rojekta sākotnējās ietekmes novērtējuma ziņojuma (anotācijas) V sadaļa.</w:t>
            </w:r>
          </w:p>
        </w:tc>
      </w:tr>
    </w:tbl>
    <w:p w:rsidR="009A38E3" w:rsidP="00E36116" w:rsidRDefault="009A38E3" w14:paraId="270EB82F" w14:textId="7ABC9CC4">
      <w:pPr>
        <w:outlineLvl w:val="0"/>
        <w:rPr>
          <w:sz w:val="22"/>
          <w:szCs w:val="22"/>
        </w:rPr>
      </w:pPr>
    </w:p>
    <w:p w:rsidR="00205EF8" w:rsidP="00E36116" w:rsidRDefault="00205EF8" w14:paraId="312311C3" w14:textId="4743EC27">
      <w:pPr>
        <w:outlineLvl w:val="0"/>
        <w:rPr>
          <w:sz w:val="22"/>
          <w:szCs w:val="22"/>
        </w:rPr>
      </w:pPr>
    </w:p>
    <w:p w:rsidR="00BB3B4E" w:rsidP="00E36116" w:rsidRDefault="00BB3B4E" w14:paraId="13C78204" w14:textId="67D391DE">
      <w:pPr>
        <w:outlineLvl w:val="0"/>
        <w:rPr>
          <w:sz w:val="22"/>
          <w:szCs w:val="22"/>
        </w:rPr>
      </w:pPr>
    </w:p>
    <w:p w:rsidR="00BB3B4E" w:rsidP="00E36116" w:rsidRDefault="00BB3B4E" w14:paraId="3A8FD740" w14:textId="3B4197C7">
      <w:pPr>
        <w:outlineLvl w:val="0"/>
        <w:rPr>
          <w:sz w:val="22"/>
          <w:szCs w:val="22"/>
        </w:rPr>
      </w:pPr>
    </w:p>
    <w:p w:rsidR="00BB3B4E" w:rsidP="00E36116" w:rsidRDefault="00BB3B4E" w14:paraId="5E688BDA" w14:textId="6BCA0CE0">
      <w:pPr>
        <w:outlineLvl w:val="0"/>
        <w:rPr>
          <w:sz w:val="22"/>
          <w:szCs w:val="22"/>
        </w:rPr>
      </w:pPr>
    </w:p>
    <w:p w:rsidR="00BB3B4E" w:rsidP="00E36116" w:rsidRDefault="00BB3B4E" w14:paraId="415CCFAE" w14:textId="20982C0A">
      <w:pPr>
        <w:outlineLvl w:val="0"/>
        <w:rPr>
          <w:sz w:val="22"/>
          <w:szCs w:val="22"/>
        </w:rPr>
      </w:pPr>
    </w:p>
    <w:p w:rsidRPr="00CA5C25" w:rsidR="00F64DE4" w:rsidP="00793437" w:rsidRDefault="00593EA2" w14:paraId="296D3EEE" w14:textId="77777777">
      <w:pPr>
        <w:outlineLvl w:val="0"/>
        <w:rPr>
          <w:sz w:val="20"/>
          <w:szCs w:val="20"/>
        </w:rPr>
      </w:pPr>
      <w:r w:rsidRPr="00CA5C25">
        <w:rPr>
          <w:sz w:val="20"/>
          <w:szCs w:val="20"/>
        </w:rPr>
        <w:t xml:space="preserve">Linda </w:t>
      </w:r>
      <w:r w:rsidRPr="00CA5C25" w:rsidR="00607412">
        <w:rPr>
          <w:sz w:val="20"/>
          <w:szCs w:val="20"/>
        </w:rPr>
        <w:t>Zommere</w:t>
      </w:r>
    </w:p>
    <w:p w:rsidRPr="00CA5C25" w:rsidR="00F64DE4" w:rsidP="00793437" w:rsidRDefault="00734AC4" w14:paraId="5F14092D" w14:textId="77777777">
      <w:pPr>
        <w:rPr>
          <w:iCs/>
          <w:sz w:val="20"/>
          <w:szCs w:val="20"/>
        </w:rPr>
      </w:pPr>
      <w:r w:rsidRPr="00CA5C25">
        <w:rPr>
          <w:iCs/>
          <w:sz w:val="20"/>
          <w:szCs w:val="20"/>
        </w:rPr>
        <w:t xml:space="preserve">Kultūras ministrijas </w:t>
      </w:r>
    </w:p>
    <w:p w:rsidRPr="00CA5C25" w:rsidR="009453B4" w:rsidRDefault="00607412" w14:paraId="1EB0DF96" w14:textId="761B13BF">
      <w:pPr>
        <w:rPr>
          <w:iCs/>
          <w:sz w:val="20"/>
          <w:szCs w:val="20"/>
        </w:rPr>
      </w:pPr>
      <w:r w:rsidRPr="00CA5C25">
        <w:rPr>
          <w:iCs/>
          <w:sz w:val="20"/>
          <w:szCs w:val="20"/>
        </w:rPr>
        <w:t xml:space="preserve">Autortiesību nodaļas </w:t>
      </w:r>
      <w:r w:rsidRPr="00CA5C25" w:rsidR="004147E7">
        <w:rPr>
          <w:iCs/>
          <w:sz w:val="20"/>
          <w:szCs w:val="20"/>
        </w:rPr>
        <w:t>vecākā juriskonsulte</w:t>
      </w:r>
    </w:p>
    <w:p w:rsidRPr="00CA5C25" w:rsidR="009453B4" w:rsidP="003329AD" w:rsidRDefault="00734AC4" w14:paraId="027E47FA" w14:textId="77777777">
      <w:pPr>
        <w:tabs>
          <w:tab w:val="left" w:pos="6804"/>
        </w:tabs>
        <w:rPr>
          <w:sz w:val="20"/>
          <w:szCs w:val="20"/>
        </w:rPr>
      </w:pPr>
      <w:r w:rsidRPr="00CA5C25">
        <w:rPr>
          <w:sz w:val="20"/>
          <w:szCs w:val="20"/>
        </w:rPr>
        <w:t>Tālr.</w:t>
      </w:r>
      <w:r w:rsidRPr="00CA5C25" w:rsidR="00514089">
        <w:rPr>
          <w:sz w:val="20"/>
          <w:szCs w:val="20"/>
        </w:rPr>
        <w:t xml:space="preserve"> </w:t>
      </w:r>
      <w:r w:rsidRPr="00CA5C25" w:rsidR="00607412">
        <w:rPr>
          <w:sz w:val="20"/>
          <w:szCs w:val="20"/>
        </w:rPr>
        <w:t>67330211</w:t>
      </w:r>
      <w:r w:rsidRPr="00CA5C25" w:rsidR="00037B44">
        <w:rPr>
          <w:sz w:val="20"/>
          <w:szCs w:val="20"/>
        </w:rPr>
        <w:t xml:space="preserve">, </w:t>
      </w:r>
      <w:hyperlink w:history="1" r:id="rId11">
        <w:r w:rsidRPr="00CA5C25" w:rsidR="00607412">
          <w:rPr>
            <w:rStyle w:val="Hyperlink"/>
            <w:sz w:val="20"/>
            <w:szCs w:val="20"/>
          </w:rPr>
          <w:t>Linda.Zommere@km.gov.lv</w:t>
        </w:r>
      </w:hyperlink>
    </w:p>
    <w:sectPr w:rsidRPr="00CA5C25" w:rsidR="009453B4" w:rsidSect="00FD6885">
      <w:headerReference w:type="default" r:id="rId12"/>
      <w:footerReference w:type="default" r:id="rId13"/>
      <w:headerReference w:type="first" r:id="rId14"/>
      <w:footerReference w:type="first" r:id="rId15"/>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44A47" w14:textId="77777777" w:rsidR="00935064" w:rsidRDefault="00935064" w:rsidP="00F64DE4">
      <w:r>
        <w:separator/>
      </w:r>
    </w:p>
  </w:endnote>
  <w:endnote w:type="continuationSeparator" w:id="0">
    <w:p w14:paraId="123D5B62" w14:textId="77777777" w:rsidR="00935064" w:rsidRDefault="00935064"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A79B" w14:textId="2731D354" w:rsidR="00BB3939" w:rsidRDefault="00BB3939">
    <w:pPr>
      <w:pStyle w:val="Footer"/>
    </w:pPr>
    <w:r w:rsidRPr="002957FB">
      <w:rPr>
        <w:sz w:val="20"/>
        <w:szCs w:val="20"/>
      </w:rPr>
      <w:t>KMIzz_</w:t>
    </w:r>
    <w:r w:rsidR="00DF6654">
      <w:rPr>
        <w:sz w:val="20"/>
        <w:szCs w:val="20"/>
      </w:rPr>
      <w:t>19</w:t>
    </w:r>
    <w:r w:rsidRPr="002957FB">
      <w:rPr>
        <w:sz w:val="20"/>
        <w:szCs w:val="20"/>
      </w:rPr>
      <w:t>0</w:t>
    </w:r>
    <w:r w:rsidR="00B10567">
      <w:rPr>
        <w:sz w:val="20"/>
        <w:szCs w:val="20"/>
      </w:rPr>
      <w:t>2</w:t>
    </w:r>
    <w:r w:rsidRPr="002957FB">
      <w:rPr>
        <w:sz w:val="20"/>
        <w:szCs w:val="20"/>
      </w:rPr>
      <w:t>21_321_groz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7445" w14:textId="3935B4D7" w:rsidR="00BB3939" w:rsidRPr="000F5F25" w:rsidRDefault="00BB3939" w:rsidP="000F5F25">
    <w:pPr>
      <w:pStyle w:val="Footer"/>
    </w:pPr>
    <w:r w:rsidRPr="002957FB">
      <w:rPr>
        <w:sz w:val="20"/>
        <w:szCs w:val="20"/>
      </w:rPr>
      <w:t>KMIzz_</w:t>
    </w:r>
    <w:r w:rsidR="00DF6654">
      <w:rPr>
        <w:sz w:val="20"/>
        <w:szCs w:val="20"/>
      </w:rPr>
      <w:t>19</w:t>
    </w:r>
    <w:r w:rsidRPr="002957FB">
      <w:rPr>
        <w:sz w:val="20"/>
        <w:szCs w:val="20"/>
      </w:rPr>
      <w:t>0</w:t>
    </w:r>
    <w:r w:rsidR="00B10567">
      <w:rPr>
        <w:sz w:val="20"/>
        <w:szCs w:val="20"/>
      </w:rPr>
      <w:t>2</w:t>
    </w:r>
    <w:r w:rsidRPr="002957FB">
      <w:rPr>
        <w:sz w:val="20"/>
        <w:szCs w:val="20"/>
      </w:rPr>
      <w:t>21_321_groz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CE180" w14:textId="77777777" w:rsidR="00935064" w:rsidRDefault="00935064" w:rsidP="00F64DE4">
      <w:r>
        <w:separator/>
      </w:r>
    </w:p>
  </w:footnote>
  <w:footnote w:type="continuationSeparator" w:id="0">
    <w:p w14:paraId="03731A6F" w14:textId="77777777" w:rsidR="00935064" w:rsidRDefault="00935064" w:rsidP="00F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1310"/>
      <w:docPartObj>
        <w:docPartGallery w:val="Page Numbers (Top of Page)"/>
        <w:docPartUnique/>
      </w:docPartObj>
    </w:sdtPr>
    <w:sdtEndPr/>
    <w:sdtContent>
      <w:p w:rsidR="00BB3939" w:rsidP="0011453C" w:rsidRDefault="00BB3939" w14:paraId="79F02323" w14:textId="77777777">
        <w:pPr>
          <w:pStyle w:val="Header"/>
          <w:jc w:val="center"/>
        </w:pPr>
        <w:r w:rsidRPr="00196278">
          <w:rPr>
            <w:sz w:val="22"/>
            <w:szCs w:val="22"/>
          </w:rPr>
          <w:fldChar w:fldCharType="begin"/>
        </w:r>
        <w:r w:rsidRPr="00196278">
          <w:rPr>
            <w:sz w:val="22"/>
            <w:szCs w:val="22"/>
          </w:rPr>
          <w:instrText xml:space="preserve"> PAGE   \* MERGEFORMAT </w:instrText>
        </w:r>
        <w:r w:rsidRPr="00196278">
          <w:rPr>
            <w:sz w:val="22"/>
            <w:szCs w:val="22"/>
          </w:rPr>
          <w:fldChar w:fldCharType="separate"/>
        </w:r>
        <w:r>
          <w:rPr>
            <w:noProof/>
            <w:sz w:val="22"/>
            <w:szCs w:val="22"/>
          </w:rPr>
          <w:t>25</w:t>
        </w:r>
        <w:r w:rsidRPr="00196278">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3939" w:rsidP="0011453C" w:rsidRDefault="00BB3939" w14:paraId="07D19CDB" w14:textId="77777777">
    <w:pPr>
      <w:pStyle w:val="Header"/>
      <w:tabs>
        <w:tab w:val="clear" w:pos="4153"/>
        <w:tab w:val="clear" w:pos="8306"/>
        <w:tab w:val="left" w:pos="64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125B657A"/>
    <w:multiLevelType w:val="hybridMultilevel"/>
    <w:tmpl w:val="66F2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46D93150"/>
    <w:multiLevelType w:val="hybridMultilevel"/>
    <w:tmpl w:val="7D7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1"/>
  </w:num>
  <w:num w:numId="7">
    <w:abstractNumId w:val="1"/>
  </w:num>
  <w:num w:numId="8">
    <w:abstractNumId w:val="3"/>
  </w:num>
  <w:num w:numId="9">
    <w:abstractNumId w:val="17"/>
  </w:num>
  <w:num w:numId="10">
    <w:abstractNumId w:val="0"/>
  </w:num>
  <w:num w:numId="11">
    <w:abstractNumId w:val="19"/>
  </w:num>
  <w:num w:numId="12">
    <w:abstractNumId w:val="5"/>
  </w:num>
  <w:num w:numId="13">
    <w:abstractNumId w:val="9"/>
  </w:num>
  <w:num w:numId="14">
    <w:abstractNumId w:val="4"/>
  </w:num>
  <w:num w:numId="15">
    <w:abstractNumId w:val="18"/>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E4"/>
    <w:rsid w:val="00000777"/>
    <w:rsid w:val="00000854"/>
    <w:rsid w:val="00005E79"/>
    <w:rsid w:val="00006003"/>
    <w:rsid w:val="000135E0"/>
    <w:rsid w:val="0001528C"/>
    <w:rsid w:val="00016581"/>
    <w:rsid w:val="00021A89"/>
    <w:rsid w:val="00024C1D"/>
    <w:rsid w:val="00025346"/>
    <w:rsid w:val="00025697"/>
    <w:rsid w:val="00025E8F"/>
    <w:rsid w:val="00027058"/>
    <w:rsid w:val="00032061"/>
    <w:rsid w:val="000332DB"/>
    <w:rsid w:val="00034290"/>
    <w:rsid w:val="00035FDB"/>
    <w:rsid w:val="00036C2B"/>
    <w:rsid w:val="00037B44"/>
    <w:rsid w:val="00040322"/>
    <w:rsid w:val="0004258F"/>
    <w:rsid w:val="000452F7"/>
    <w:rsid w:val="00045E90"/>
    <w:rsid w:val="00050425"/>
    <w:rsid w:val="000506F7"/>
    <w:rsid w:val="0005107F"/>
    <w:rsid w:val="00052FDE"/>
    <w:rsid w:val="00055CB1"/>
    <w:rsid w:val="00055EA4"/>
    <w:rsid w:val="00056F82"/>
    <w:rsid w:val="000606B0"/>
    <w:rsid w:val="00060FBF"/>
    <w:rsid w:val="00061506"/>
    <w:rsid w:val="00061E0A"/>
    <w:rsid w:val="000630D0"/>
    <w:rsid w:val="00070FC4"/>
    <w:rsid w:val="0007173E"/>
    <w:rsid w:val="00072703"/>
    <w:rsid w:val="00076456"/>
    <w:rsid w:val="000813BB"/>
    <w:rsid w:val="000830F3"/>
    <w:rsid w:val="00087937"/>
    <w:rsid w:val="00087C70"/>
    <w:rsid w:val="0009373A"/>
    <w:rsid w:val="00097A72"/>
    <w:rsid w:val="00097D13"/>
    <w:rsid w:val="000A1B66"/>
    <w:rsid w:val="000A4176"/>
    <w:rsid w:val="000A4D2F"/>
    <w:rsid w:val="000A61E1"/>
    <w:rsid w:val="000B1B00"/>
    <w:rsid w:val="000B26D6"/>
    <w:rsid w:val="000B2727"/>
    <w:rsid w:val="000B28AA"/>
    <w:rsid w:val="000B3904"/>
    <w:rsid w:val="000B3953"/>
    <w:rsid w:val="000B483A"/>
    <w:rsid w:val="000B59F0"/>
    <w:rsid w:val="000B6392"/>
    <w:rsid w:val="000C0935"/>
    <w:rsid w:val="000C64CE"/>
    <w:rsid w:val="000C7D3F"/>
    <w:rsid w:val="000D049A"/>
    <w:rsid w:val="000D0BDC"/>
    <w:rsid w:val="000D2036"/>
    <w:rsid w:val="000D4259"/>
    <w:rsid w:val="000D5E95"/>
    <w:rsid w:val="000D73B8"/>
    <w:rsid w:val="000E3B9C"/>
    <w:rsid w:val="000E6B94"/>
    <w:rsid w:val="000F0A8A"/>
    <w:rsid w:val="000F10E8"/>
    <w:rsid w:val="000F3815"/>
    <w:rsid w:val="000F4F5C"/>
    <w:rsid w:val="000F5F25"/>
    <w:rsid w:val="001047CE"/>
    <w:rsid w:val="0011430F"/>
    <w:rsid w:val="0011453C"/>
    <w:rsid w:val="0011525F"/>
    <w:rsid w:val="00120EE5"/>
    <w:rsid w:val="00122102"/>
    <w:rsid w:val="001229CC"/>
    <w:rsid w:val="0012645F"/>
    <w:rsid w:val="001264B1"/>
    <w:rsid w:val="0013183E"/>
    <w:rsid w:val="00134596"/>
    <w:rsid w:val="00134AA7"/>
    <w:rsid w:val="0014367D"/>
    <w:rsid w:val="0014373A"/>
    <w:rsid w:val="00143B58"/>
    <w:rsid w:val="00144F00"/>
    <w:rsid w:val="001503CE"/>
    <w:rsid w:val="00150BBC"/>
    <w:rsid w:val="00153256"/>
    <w:rsid w:val="001549BE"/>
    <w:rsid w:val="00161FF3"/>
    <w:rsid w:val="00166C41"/>
    <w:rsid w:val="001673C8"/>
    <w:rsid w:val="001702A3"/>
    <w:rsid w:val="00174AE2"/>
    <w:rsid w:val="0017541A"/>
    <w:rsid w:val="00180671"/>
    <w:rsid w:val="00182770"/>
    <w:rsid w:val="00182AE7"/>
    <w:rsid w:val="00190C43"/>
    <w:rsid w:val="00196278"/>
    <w:rsid w:val="00196F55"/>
    <w:rsid w:val="001A1B77"/>
    <w:rsid w:val="001A2478"/>
    <w:rsid w:val="001B0E80"/>
    <w:rsid w:val="001B1CE0"/>
    <w:rsid w:val="001B1F07"/>
    <w:rsid w:val="001B5295"/>
    <w:rsid w:val="001C1D0F"/>
    <w:rsid w:val="001C36D1"/>
    <w:rsid w:val="001C5A0F"/>
    <w:rsid w:val="001D299B"/>
    <w:rsid w:val="001D3466"/>
    <w:rsid w:val="001D5D87"/>
    <w:rsid w:val="001D72E2"/>
    <w:rsid w:val="001E0F2C"/>
    <w:rsid w:val="001E16EA"/>
    <w:rsid w:val="001F152A"/>
    <w:rsid w:val="001F428F"/>
    <w:rsid w:val="001F72DF"/>
    <w:rsid w:val="001F7F8E"/>
    <w:rsid w:val="0020337E"/>
    <w:rsid w:val="00205EF8"/>
    <w:rsid w:val="00206F01"/>
    <w:rsid w:val="00207D87"/>
    <w:rsid w:val="00210677"/>
    <w:rsid w:val="00210A5B"/>
    <w:rsid w:val="002218EF"/>
    <w:rsid w:val="00221F99"/>
    <w:rsid w:val="002229B1"/>
    <w:rsid w:val="00222E72"/>
    <w:rsid w:val="0022758A"/>
    <w:rsid w:val="0022781E"/>
    <w:rsid w:val="00227F86"/>
    <w:rsid w:val="00230A89"/>
    <w:rsid w:val="0023228E"/>
    <w:rsid w:val="00233311"/>
    <w:rsid w:val="002344BA"/>
    <w:rsid w:val="0023545A"/>
    <w:rsid w:val="0023708E"/>
    <w:rsid w:val="00237E69"/>
    <w:rsid w:val="002447B3"/>
    <w:rsid w:val="002449E2"/>
    <w:rsid w:val="0024507F"/>
    <w:rsid w:val="00246C37"/>
    <w:rsid w:val="00247A64"/>
    <w:rsid w:val="002500DB"/>
    <w:rsid w:val="002508B8"/>
    <w:rsid w:val="002559F7"/>
    <w:rsid w:val="00260E8C"/>
    <w:rsid w:val="00261BDF"/>
    <w:rsid w:val="00262C53"/>
    <w:rsid w:val="002745F8"/>
    <w:rsid w:val="002768BD"/>
    <w:rsid w:val="00280854"/>
    <w:rsid w:val="002813A8"/>
    <w:rsid w:val="00283507"/>
    <w:rsid w:val="0028497B"/>
    <w:rsid w:val="0028513B"/>
    <w:rsid w:val="00292497"/>
    <w:rsid w:val="00292FB5"/>
    <w:rsid w:val="00294859"/>
    <w:rsid w:val="002957FB"/>
    <w:rsid w:val="002A1965"/>
    <w:rsid w:val="002B095A"/>
    <w:rsid w:val="002B1704"/>
    <w:rsid w:val="002B18C5"/>
    <w:rsid w:val="002B2684"/>
    <w:rsid w:val="002B47E6"/>
    <w:rsid w:val="002B6907"/>
    <w:rsid w:val="002C0AED"/>
    <w:rsid w:val="002C1CB1"/>
    <w:rsid w:val="002C3BFC"/>
    <w:rsid w:val="002C4155"/>
    <w:rsid w:val="002C5350"/>
    <w:rsid w:val="002C5994"/>
    <w:rsid w:val="002C6678"/>
    <w:rsid w:val="002C67FD"/>
    <w:rsid w:val="002D3E53"/>
    <w:rsid w:val="002D475D"/>
    <w:rsid w:val="002D690C"/>
    <w:rsid w:val="002D6A77"/>
    <w:rsid w:val="002D70EB"/>
    <w:rsid w:val="002D741D"/>
    <w:rsid w:val="002D78D6"/>
    <w:rsid w:val="002E0A57"/>
    <w:rsid w:val="002E176D"/>
    <w:rsid w:val="002E1EC1"/>
    <w:rsid w:val="002E47CA"/>
    <w:rsid w:val="002E65AC"/>
    <w:rsid w:val="002F6BE2"/>
    <w:rsid w:val="0030186E"/>
    <w:rsid w:val="003020C4"/>
    <w:rsid w:val="00303B8A"/>
    <w:rsid w:val="0030686D"/>
    <w:rsid w:val="00313AE2"/>
    <w:rsid w:val="00321EA9"/>
    <w:rsid w:val="003237F5"/>
    <w:rsid w:val="00323D04"/>
    <w:rsid w:val="0032413F"/>
    <w:rsid w:val="00325B8E"/>
    <w:rsid w:val="00327308"/>
    <w:rsid w:val="003329AD"/>
    <w:rsid w:val="0033400F"/>
    <w:rsid w:val="00335DF9"/>
    <w:rsid w:val="003363FF"/>
    <w:rsid w:val="003372EF"/>
    <w:rsid w:val="003460BA"/>
    <w:rsid w:val="00347BFA"/>
    <w:rsid w:val="00347F3D"/>
    <w:rsid w:val="003528F6"/>
    <w:rsid w:val="00352B89"/>
    <w:rsid w:val="00370D54"/>
    <w:rsid w:val="00371DF2"/>
    <w:rsid w:val="0037481A"/>
    <w:rsid w:val="003826BB"/>
    <w:rsid w:val="00382D4F"/>
    <w:rsid w:val="003830EA"/>
    <w:rsid w:val="003910AF"/>
    <w:rsid w:val="003949DF"/>
    <w:rsid w:val="00395D63"/>
    <w:rsid w:val="00395F48"/>
    <w:rsid w:val="003A34A9"/>
    <w:rsid w:val="003A3B86"/>
    <w:rsid w:val="003A5888"/>
    <w:rsid w:val="003B0BA3"/>
    <w:rsid w:val="003B293D"/>
    <w:rsid w:val="003B674B"/>
    <w:rsid w:val="003C3D6E"/>
    <w:rsid w:val="003D5DF5"/>
    <w:rsid w:val="003D78CD"/>
    <w:rsid w:val="003D7B3A"/>
    <w:rsid w:val="003E1B0F"/>
    <w:rsid w:val="003E3A91"/>
    <w:rsid w:val="003E44B8"/>
    <w:rsid w:val="003E4A08"/>
    <w:rsid w:val="003E4A99"/>
    <w:rsid w:val="003E55F9"/>
    <w:rsid w:val="003E5C01"/>
    <w:rsid w:val="003E6CBB"/>
    <w:rsid w:val="003F02E3"/>
    <w:rsid w:val="003F290E"/>
    <w:rsid w:val="003F4614"/>
    <w:rsid w:val="003F47A8"/>
    <w:rsid w:val="003F4F04"/>
    <w:rsid w:val="003F5387"/>
    <w:rsid w:val="003F5AFF"/>
    <w:rsid w:val="00401F7F"/>
    <w:rsid w:val="00402FA6"/>
    <w:rsid w:val="0040320F"/>
    <w:rsid w:val="00412B51"/>
    <w:rsid w:val="004147E7"/>
    <w:rsid w:val="004169DA"/>
    <w:rsid w:val="004176F1"/>
    <w:rsid w:val="00424EE1"/>
    <w:rsid w:val="00427160"/>
    <w:rsid w:val="00430D31"/>
    <w:rsid w:val="00433955"/>
    <w:rsid w:val="00433B12"/>
    <w:rsid w:val="00436CB1"/>
    <w:rsid w:val="00441D3D"/>
    <w:rsid w:val="00443649"/>
    <w:rsid w:val="0044436B"/>
    <w:rsid w:val="00447986"/>
    <w:rsid w:val="00451378"/>
    <w:rsid w:val="00452B7D"/>
    <w:rsid w:val="00453676"/>
    <w:rsid w:val="004552F3"/>
    <w:rsid w:val="00456DA7"/>
    <w:rsid w:val="00456EA7"/>
    <w:rsid w:val="004607AB"/>
    <w:rsid w:val="00460807"/>
    <w:rsid w:val="00462B98"/>
    <w:rsid w:val="004645FD"/>
    <w:rsid w:val="0046692F"/>
    <w:rsid w:val="00472E17"/>
    <w:rsid w:val="00474B31"/>
    <w:rsid w:val="004759B4"/>
    <w:rsid w:val="004818C3"/>
    <w:rsid w:val="00484C16"/>
    <w:rsid w:val="00487284"/>
    <w:rsid w:val="00492DD6"/>
    <w:rsid w:val="004932EA"/>
    <w:rsid w:val="004951AF"/>
    <w:rsid w:val="004956F4"/>
    <w:rsid w:val="004966A3"/>
    <w:rsid w:val="004A058F"/>
    <w:rsid w:val="004A11DC"/>
    <w:rsid w:val="004A19AE"/>
    <w:rsid w:val="004A2E49"/>
    <w:rsid w:val="004B0DDA"/>
    <w:rsid w:val="004B4AB5"/>
    <w:rsid w:val="004B5148"/>
    <w:rsid w:val="004C72D6"/>
    <w:rsid w:val="004C7B82"/>
    <w:rsid w:val="004D2EB1"/>
    <w:rsid w:val="004D4F85"/>
    <w:rsid w:val="004D6208"/>
    <w:rsid w:val="004E013C"/>
    <w:rsid w:val="004E3F91"/>
    <w:rsid w:val="004E7906"/>
    <w:rsid w:val="004E7AF6"/>
    <w:rsid w:val="004F5EDA"/>
    <w:rsid w:val="004F6A4F"/>
    <w:rsid w:val="00502A26"/>
    <w:rsid w:val="00503B6A"/>
    <w:rsid w:val="00506C49"/>
    <w:rsid w:val="00507661"/>
    <w:rsid w:val="00512F6A"/>
    <w:rsid w:val="005134D4"/>
    <w:rsid w:val="00514089"/>
    <w:rsid w:val="00520EE5"/>
    <w:rsid w:val="00520FA9"/>
    <w:rsid w:val="00521BA5"/>
    <w:rsid w:val="00523014"/>
    <w:rsid w:val="005236EF"/>
    <w:rsid w:val="00523708"/>
    <w:rsid w:val="00533C68"/>
    <w:rsid w:val="00534F53"/>
    <w:rsid w:val="00542CEE"/>
    <w:rsid w:val="00543560"/>
    <w:rsid w:val="00545A7B"/>
    <w:rsid w:val="00547F71"/>
    <w:rsid w:val="00550273"/>
    <w:rsid w:val="00550844"/>
    <w:rsid w:val="00553F03"/>
    <w:rsid w:val="00560615"/>
    <w:rsid w:val="00562E1F"/>
    <w:rsid w:val="005656D8"/>
    <w:rsid w:val="00566D88"/>
    <w:rsid w:val="00567C66"/>
    <w:rsid w:val="00575829"/>
    <w:rsid w:val="00575EBE"/>
    <w:rsid w:val="0057658A"/>
    <w:rsid w:val="00580C25"/>
    <w:rsid w:val="00581676"/>
    <w:rsid w:val="00581BF8"/>
    <w:rsid w:val="0058329D"/>
    <w:rsid w:val="00583CDB"/>
    <w:rsid w:val="005847B2"/>
    <w:rsid w:val="00586BCE"/>
    <w:rsid w:val="00593EA2"/>
    <w:rsid w:val="005A0736"/>
    <w:rsid w:val="005A12CC"/>
    <w:rsid w:val="005A6A4C"/>
    <w:rsid w:val="005A7530"/>
    <w:rsid w:val="005A7A9B"/>
    <w:rsid w:val="005A7EFE"/>
    <w:rsid w:val="005B2A30"/>
    <w:rsid w:val="005B7398"/>
    <w:rsid w:val="005C015D"/>
    <w:rsid w:val="005C2482"/>
    <w:rsid w:val="005C3D87"/>
    <w:rsid w:val="005C4783"/>
    <w:rsid w:val="005C5B44"/>
    <w:rsid w:val="005C7D55"/>
    <w:rsid w:val="005D2E90"/>
    <w:rsid w:val="005D31E8"/>
    <w:rsid w:val="005D4DBA"/>
    <w:rsid w:val="005D57F2"/>
    <w:rsid w:val="005D6B18"/>
    <w:rsid w:val="005D7B08"/>
    <w:rsid w:val="005E3E3D"/>
    <w:rsid w:val="005E3F5F"/>
    <w:rsid w:val="005E44DF"/>
    <w:rsid w:val="005E7015"/>
    <w:rsid w:val="005F0D77"/>
    <w:rsid w:val="005F197E"/>
    <w:rsid w:val="005F4D9C"/>
    <w:rsid w:val="005F7824"/>
    <w:rsid w:val="005F7CF2"/>
    <w:rsid w:val="00607412"/>
    <w:rsid w:val="00610511"/>
    <w:rsid w:val="00611C2E"/>
    <w:rsid w:val="00613073"/>
    <w:rsid w:val="006138BC"/>
    <w:rsid w:val="00614251"/>
    <w:rsid w:val="006149F1"/>
    <w:rsid w:val="0062255C"/>
    <w:rsid w:val="00623649"/>
    <w:rsid w:val="00623A4D"/>
    <w:rsid w:val="00631740"/>
    <w:rsid w:val="00631D15"/>
    <w:rsid w:val="006338EC"/>
    <w:rsid w:val="00634725"/>
    <w:rsid w:val="00634D97"/>
    <w:rsid w:val="00634F75"/>
    <w:rsid w:val="00637113"/>
    <w:rsid w:val="006429DA"/>
    <w:rsid w:val="00643208"/>
    <w:rsid w:val="0064509A"/>
    <w:rsid w:val="00645C4C"/>
    <w:rsid w:val="0064617F"/>
    <w:rsid w:val="00646B97"/>
    <w:rsid w:val="006479C6"/>
    <w:rsid w:val="006567CF"/>
    <w:rsid w:val="006628AC"/>
    <w:rsid w:val="006738A4"/>
    <w:rsid w:val="00675991"/>
    <w:rsid w:val="00676737"/>
    <w:rsid w:val="0067709D"/>
    <w:rsid w:val="00681822"/>
    <w:rsid w:val="00683F30"/>
    <w:rsid w:val="00690AB4"/>
    <w:rsid w:val="006953C1"/>
    <w:rsid w:val="006973C3"/>
    <w:rsid w:val="006A2194"/>
    <w:rsid w:val="006A32D5"/>
    <w:rsid w:val="006A6598"/>
    <w:rsid w:val="006B231C"/>
    <w:rsid w:val="006B4275"/>
    <w:rsid w:val="006B75C8"/>
    <w:rsid w:val="006C10D7"/>
    <w:rsid w:val="006C2F08"/>
    <w:rsid w:val="006C44D0"/>
    <w:rsid w:val="006C62BA"/>
    <w:rsid w:val="006C6CD4"/>
    <w:rsid w:val="006C7BD1"/>
    <w:rsid w:val="006D7042"/>
    <w:rsid w:val="006E0B22"/>
    <w:rsid w:val="006E25AA"/>
    <w:rsid w:val="006E535D"/>
    <w:rsid w:val="006E6AFD"/>
    <w:rsid w:val="006F13CD"/>
    <w:rsid w:val="006F22EF"/>
    <w:rsid w:val="006F2F03"/>
    <w:rsid w:val="006F39B6"/>
    <w:rsid w:val="00700E34"/>
    <w:rsid w:val="00702FF1"/>
    <w:rsid w:val="0070473A"/>
    <w:rsid w:val="00704E63"/>
    <w:rsid w:val="00706391"/>
    <w:rsid w:val="0071010B"/>
    <w:rsid w:val="00711BEA"/>
    <w:rsid w:val="007162B8"/>
    <w:rsid w:val="00720BC3"/>
    <w:rsid w:val="00731B67"/>
    <w:rsid w:val="00734AC4"/>
    <w:rsid w:val="007351CF"/>
    <w:rsid w:val="00735264"/>
    <w:rsid w:val="00736354"/>
    <w:rsid w:val="007369F8"/>
    <w:rsid w:val="00736AC0"/>
    <w:rsid w:val="00736D08"/>
    <w:rsid w:val="007419E0"/>
    <w:rsid w:val="007421B7"/>
    <w:rsid w:val="00744402"/>
    <w:rsid w:val="007457BB"/>
    <w:rsid w:val="00746CD9"/>
    <w:rsid w:val="007471ED"/>
    <w:rsid w:val="00747C20"/>
    <w:rsid w:val="00750FE0"/>
    <w:rsid w:val="007558D9"/>
    <w:rsid w:val="0075630F"/>
    <w:rsid w:val="007572BD"/>
    <w:rsid w:val="0075735E"/>
    <w:rsid w:val="00760EDE"/>
    <w:rsid w:val="00760EE0"/>
    <w:rsid w:val="0076267D"/>
    <w:rsid w:val="00764AFE"/>
    <w:rsid w:val="00764CFF"/>
    <w:rsid w:val="00765601"/>
    <w:rsid w:val="00771A85"/>
    <w:rsid w:val="007732B5"/>
    <w:rsid w:val="00775E72"/>
    <w:rsid w:val="00776962"/>
    <w:rsid w:val="0078369D"/>
    <w:rsid w:val="0078536D"/>
    <w:rsid w:val="00785698"/>
    <w:rsid w:val="007857C6"/>
    <w:rsid w:val="00792420"/>
    <w:rsid w:val="00793437"/>
    <w:rsid w:val="0079433E"/>
    <w:rsid w:val="0079483A"/>
    <w:rsid w:val="00797289"/>
    <w:rsid w:val="007A5350"/>
    <w:rsid w:val="007A5373"/>
    <w:rsid w:val="007B20B2"/>
    <w:rsid w:val="007B2B89"/>
    <w:rsid w:val="007C7FC2"/>
    <w:rsid w:val="007D11C4"/>
    <w:rsid w:val="007D33CD"/>
    <w:rsid w:val="007D41B4"/>
    <w:rsid w:val="007E20B0"/>
    <w:rsid w:val="007E371A"/>
    <w:rsid w:val="007E4CFF"/>
    <w:rsid w:val="007E755A"/>
    <w:rsid w:val="007F06CB"/>
    <w:rsid w:val="007F117C"/>
    <w:rsid w:val="007F1607"/>
    <w:rsid w:val="007F1C34"/>
    <w:rsid w:val="007F1C3E"/>
    <w:rsid w:val="007F2F6A"/>
    <w:rsid w:val="007F311C"/>
    <w:rsid w:val="007F5F9E"/>
    <w:rsid w:val="007F638E"/>
    <w:rsid w:val="00800C86"/>
    <w:rsid w:val="0080113C"/>
    <w:rsid w:val="00801483"/>
    <w:rsid w:val="008026E6"/>
    <w:rsid w:val="00802B79"/>
    <w:rsid w:val="008040F7"/>
    <w:rsid w:val="008058E3"/>
    <w:rsid w:val="00805A28"/>
    <w:rsid w:val="00813830"/>
    <w:rsid w:val="0081522A"/>
    <w:rsid w:val="0081557B"/>
    <w:rsid w:val="00820503"/>
    <w:rsid w:val="008312FA"/>
    <w:rsid w:val="008320CF"/>
    <w:rsid w:val="00832456"/>
    <w:rsid w:val="0083667A"/>
    <w:rsid w:val="0083678E"/>
    <w:rsid w:val="00840D06"/>
    <w:rsid w:val="008416D0"/>
    <w:rsid w:val="00841898"/>
    <w:rsid w:val="00842514"/>
    <w:rsid w:val="00845294"/>
    <w:rsid w:val="00852B57"/>
    <w:rsid w:val="00854E1E"/>
    <w:rsid w:val="00856784"/>
    <w:rsid w:val="00861CF8"/>
    <w:rsid w:val="008670EA"/>
    <w:rsid w:val="00872D9D"/>
    <w:rsid w:val="00872F61"/>
    <w:rsid w:val="00877E91"/>
    <w:rsid w:val="00880BCE"/>
    <w:rsid w:val="00880C80"/>
    <w:rsid w:val="00883FBE"/>
    <w:rsid w:val="00884E5C"/>
    <w:rsid w:val="00886976"/>
    <w:rsid w:val="00887282"/>
    <w:rsid w:val="00891FE2"/>
    <w:rsid w:val="00894007"/>
    <w:rsid w:val="008956E6"/>
    <w:rsid w:val="008A1940"/>
    <w:rsid w:val="008A3E12"/>
    <w:rsid w:val="008A49FF"/>
    <w:rsid w:val="008A4FC5"/>
    <w:rsid w:val="008A60D7"/>
    <w:rsid w:val="008A75E1"/>
    <w:rsid w:val="008B2FAE"/>
    <w:rsid w:val="008B3256"/>
    <w:rsid w:val="008B346A"/>
    <w:rsid w:val="008B56E3"/>
    <w:rsid w:val="008B5CF5"/>
    <w:rsid w:val="008C25A2"/>
    <w:rsid w:val="008C673C"/>
    <w:rsid w:val="008D0B32"/>
    <w:rsid w:val="008D3A82"/>
    <w:rsid w:val="008D3F03"/>
    <w:rsid w:val="008D6FEA"/>
    <w:rsid w:val="008D7798"/>
    <w:rsid w:val="008E05B2"/>
    <w:rsid w:val="008E5CFF"/>
    <w:rsid w:val="008E67EC"/>
    <w:rsid w:val="008E6EEA"/>
    <w:rsid w:val="008E7B3F"/>
    <w:rsid w:val="008F206F"/>
    <w:rsid w:val="0090071B"/>
    <w:rsid w:val="00902BEF"/>
    <w:rsid w:val="00903684"/>
    <w:rsid w:val="0090511B"/>
    <w:rsid w:val="009135CD"/>
    <w:rsid w:val="009155E0"/>
    <w:rsid w:val="009170C7"/>
    <w:rsid w:val="009204A9"/>
    <w:rsid w:val="00922FC6"/>
    <w:rsid w:val="00925A2F"/>
    <w:rsid w:val="00925A84"/>
    <w:rsid w:val="00926100"/>
    <w:rsid w:val="0092713F"/>
    <w:rsid w:val="00932859"/>
    <w:rsid w:val="00933D26"/>
    <w:rsid w:val="00935064"/>
    <w:rsid w:val="00937449"/>
    <w:rsid w:val="00937CE4"/>
    <w:rsid w:val="00940DEB"/>
    <w:rsid w:val="00943310"/>
    <w:rsid w:val="009453B4"/>
    <w:rsid w:val="0094676E"/>
    <w:rsid w:val="009470C8"/>
    <w:rsid w:val="009476F6"/>
    <w:rsid w:val="0095096E"/>
    <w:rsid w:val="009513D7"/>
    <w:rsid w:val="00951D3D"/>
    <w:rsid w:val="0095252D"/>
    <w:rsid w:val="00957217"/>
    <w:rsid w:val="00957CD8"/>
    <w:rsid w:val="00960CC2"/>
    <w:rsid w:val="009637AE"/>
    <w:rsid w:val="00963D6D"/>
    <w:rsid w:val="00964901"/>
    <w:rsid w:val="00965B05"/>
    <w:rsid w:val="009719B1"/>
    <w:rsid w:val="00980712"/>
    <w:rsid w:val="009821CC"/>
    <w:rsid w:val="0099002B"/>
    <w:rsid w:val="00991C1B"/>
    <w:rsid w:val="00991FC0"/>
    <w:rsid w:val="00992669"/>
    <w:rsid w:val="00992C4F"/>
    <w:rsid w:val="00992F01"/>
    <w:rsid w:val="00996268"/>
    <w:rsid w:val="009965ED"/>
    <w:rsid w:val="009A217A"/>
    <w:rsid w:val="009A27DF"/>
    <w:rsid w:val="009A38E3"/>
    <w:rsid w:val="009A4D37"/>
    <w:rsid w:val="009A7AEA"/>
    <w:rsid w:val="009B27F8"/>
    <w:rsid w:val="009B5546"/>
    <w:rsid w:val="009B63D6"/>
    <w:rsid w:val="009B686C"/>
    <w:rsid w:val="009B6945"/>
    <w:rsid w:val="009C140F"/>
    <w:rsid w:val="009C3E77"/>
    <w:rsid w:val="009C51EE"/>
    <w:rsid w:val="009C7325"/>
    <w:rsid w:val="009D01B6"/>
    <w:rsid w:val="009D07BD"/>
    <w:rsid w:val="009E1C50"/>
    <w:rsid w:val="009E4DB3"/>
    <w:rsid w:val="009E50CF"/>
    <w:rsid w:val="009E6126"/>
    <w:rsid w:val="009E6611"/>
    <w:rsid w:val="009F038E"/>
    <w:rsid w:val="009F1155"/>
    <w:rsid w:val="009F2DD9"/>
    <w:rsid w:val="009F37AC"/>
    <w:rsid w:val="009F4E88"/>
    <w:rsid w:val="00A0026E"/>
    <w:rsid w:val="00A006FA"/>
    <w:rsid w:val="00A01B2D"/>
    <w:rsid w:val="00A01E26"/>
    <w:rsid w:val="00A01FA3"/>
    <w:rsid w:val="00A031D3"/>
    <w:rsid w:val="00A03239"/>
    <w:rsid w:val="00A05BB5"/>
    <w:rsid w:val="00A12A80"/>
    <w:rsid w:val="00A130A5"/>
    <w:rsid w:val="00A13959"/>
    <w:rsid w:val="00A14780"/>
    <w:rsid w:val="00A15EA0"/>
    <w:rsid w:val="00A231A2"/>
    <w:rsid w:val="00A258F4"/>
    <w:rsid w:val="00A25AB8"/>
    <w:rsid w:val="00A26BE2"/>
    <w:rsid w:val="00A26F31"/>
    <w:rsid w:val="00A3415B"/>
    <w:rsid w:val="00A35C08"/>
    <w:rsid w:val="00A36072"/>
    <w:rsid w:val="00A37AE6"/>
    <w:rsid w:val="00A41443"/>
    <w:rsid w:val="00A421BD"/>
    <w:rsid w:val="00A428F3"/>
    <w:rsid w:val="00A42ED4"/>
    <w:rsid w:val="00A44206"/>
    <w:rsid w:val="00A44F5E"/>
    <w:rsid w:val="00A462FC"/>
    <w:rsid w:val="00A47B3E"/>
    <w:rsid w:val="00A54C24"/>
    <w:rsid w:val="00A56C4D"/>
    <w:rsid w:val="00A60C84"/>
    <w:rsid w:val="00A616F9"/>
    <w:rsid w:val="00A61FBD"/>
    <w:rsid w:val="00A625DB"/>
    <w:rsid w:val="00A62EF4"/>
    <w:rsid w:val="00A64354"/>
    <w:rsid w:val="00A64DD9"/>
    <w:rsid w:val="00A64F39"/>
    <w:rsid w:val="00A664E0"/>
    <w:rsid w:val="00A70A9D"/>
    <w:rsid w:val="00A71BE6"/>
    <w:rsid w:val="00A71E19"/>
    <w:rsid w:val="00A76EA4"/>
    <w:rsid w:val="00A77433"/>
    <w:rsid w:val="00A80F91"/>
    <w:rsid w:val="00A82776"/>
    <w:rsid w:val="00A83093"/>
    <w:rsid w:val="00A84D8F"/>
    <w:rsid w:val="00A86BCD"/>
    <w:rsid w:val="00A86E19"/>
    <w:rsid w:val="00A91017"/>
    <w:rsid w:val="00AA1749"/>
    <w:rsid w:val="00AB0473"/>
    <w:rsid w:val="00AB0573"/>
    <w:rsid w:val="00AB0952"/>
    <w:rsid w:val="00AB4C54"/>
    <w:rsid w:val="00AB4E64"/>
    <w:rsid w:val="00AB66FD"/>
    <w:rsid w:val="00AC0EE3"/>
    <w:rsid w:val="00AC1CAF"/>
    <w:rsid w:val="00AC5798"/>
    <w:rsid w:val="00AC6CF5"/>
    <w:rsid w:val="00AD008A"/>
    <w:rsid w:val="00AD0CA5"/>
    <w:rsid w:val="00AE0C69"/>
    <w:rsid w:val="00AE0DF8"/>
    <w:rsid w:val="00AE45BB"/>
    <w:rsid w:val="00AE4C22"/>
    <w:rsid w:val="00AE7FF7"/>
    <w:rsid w:val="00AF2583"/>
    <w:rsid w:val="00AF31F6"/>
    <w:rsid w:val="00AF5B8A"/>
    <w:rsid w:val="00B05D89"/>
    <w:rsid w:val="00B06454"/>
    <w:rsid w:val="00B10567"/>
    <w:rsid w:val="00B1099E"/>
    <w:rsid w:val="00B116DA"/>
    <w:rsid w:val="00B11FDD"/>
    <w:rsid w:val="00B127A9"/>
    <w:rsid w:val="00B12BC6"/>
    <w:rsid w:val="00B13810"/>
    <w:rsid w:val="00B148FD"/>
    <w:rsid w:val="00B14E76"/>
    <w:rsid w:val="00B1626E"/>
    <w:rsid w:val="00B23291"/>
    <w:rsid w:val="00B2551B"/>
    <w:rsid w:val="00B27D5F"/>
    <w:rsid w:val="00B3115D"/>
    <w:rsid w:val="00B327F4"/>
    <w:rsid w:val="00B341AB"/>
    <w:rsid w:val="00B3601D"/>
    <w:rsid w:val="00B40D1D"/>
    <w:rsid w:val="00B42DE7"/>
    <w:rsid w:val="00B468C0"/>
    <w:rsid w:val="00B46AC7"/>
    <w:rsid w:val="00B4715C"/>
    <w:rsid w:val="00B47310"/>
    <w:rsid w:val="00B479F7"/>
    <w:rsid w:val="00B52E9F"/>
    <w:rsid w:val="00B53181"/>
    <w:rsid w:val="00B5393B"/>
    <w:rsid w:val="00B56D48"/>
    <w:rsid w:val="00B61C47"/>
    <w:rsid w:val="00B62CA8"/>
    <w:rsid w:val="00B62F12"/>
    <w:rsid w:val="00B66891"/>
    <w:rsid w:val="00B668FA"/>
    <w:rsid w:val="00B6784A"/>
    <w:rsid w:val="00B7022F"/>
    <w:rsid w:val="00B707F5"/>
    <w:rsid w:val="00B71048"/>
    <w:rsid w:val="00B7190E"/>
    <w:rsid w:val="00B778E2"/>
    <w:rsid w:val="00B844E2"/>
    <w:rsid w:val="00B84892"/>
    <w:rsid w:val="00B8593B"/>
    <w:rsid w:val="00B93F60"/>
    <w:rsid w:val="00B959A9"/>
    <w:rsid w:val="00BA140A"/>
    <w:rsid w:val="00BA2893"/>
    <w:rsid w:val="00BA45F5"/>
    <w:rsid w:val="00BA4B01"/>
    <w:rsid w:val="00BA61EA"/>
    <w:rsid w:val="00BA6A8C"/>
    <w:rsid w:val="00BB32DD"/>
    <w:rsid w:val="00BB3939"/>
    <w:rsid w:val="00BB3B4E"/>
    <w:rsid w:val="00BB69ED"/>
    <w:rsid w:val="00BB70F1"/>
    <w:rsid w:val="00BB7BBA"/>
    <w:rsid w:val="00BC1D08"/>
    <w:rsid w:val="00BC3144"/>
    <w:rsid w:val="00BC3B66"/>
    <w:rsid w:val="00BC4A1B"/>
    <w:rsid w:val="00BD03DC"/>
    <w:rsid w:val="00BD2285"/>
    <w:rsid w:val="00BD2A4B"/>
    <w:rsid w:val="00BD4B56"/>
    <w:rsid w:val="00BE1A17"/>
    <w:rsid w:val="00BE4F11"/>
    <w:rsid w:val="00BE6E4C"/>
    <w:rsid w:val="00BE7BCC"/>
    <w:rsid w:val="00BE7EFF"/>
    <w:rsid w:val="00BF021B"/>
    <w:rsid w:val="00BF0A5F"/>
    <w:rsid w:val="00BF744C"/>
    <w:rsid w:val="00C01E51"/>
    <w:rsid w:val="00C021C8"/>
    <w:rsid w:val="00C064CA"/>
    <w:rsid w:val="00C14D3B"/>
    <w:rsid w:val="00C14D97"/>
    <w:rsid w:val="00C150C0"/>
    <w:rsid w:val="00C16B13"/>
    <w:rsid w:val="00C22177"/>
    <w:rsid w:val="00C274F6"/>
    <w:rsid w:val="00C319AA"/>
    <w:rsid w:val="00C31DCA"/>
    <w:rsid w:val="00C343E2"/>
    <w:rsid w:val="00C34D0A"/>
    <w:rsid w:val="00C40989"/>
    <w:rsid w:val="00C41BBA"/>
    <w:rsid w:val="00C426BD"/>
    <w:rsid w:val="00C436BB"/>
    <w:rsid w:val="00C44AF6"/>
    <w:rsid w:val="00C46689"/>
    <w:rsid w:val="00C47C14"/>
    <w:rsid w:val="00C51AD4"/>
    <w:rsid w:val="00C63A41"/>
    <w:rsid w:val="00C6544C"/>
    <w:rsid w:val="00C725D6"/>
    <w:rsid w:val="00C76BC9"/>
    <w:rsid w:val="00C76DBC"/>
    <w:rsid w:val="00C77403"/>
    <w:rsid w:val="00C81948"/>
    <w:rsid w:val="00C83B07"/>
    <w:rsid w:val="00C84643"/>
    <w:rsid w:val="00C85666"/>
    <w:rsid w:val="00C85C87"/>
    <w:rsid w:val="00C9444F"/>
    <w:rsid w:val="00C9699F"/>
    <w:rsid w:val="00C97142"/>
    <w:rsid w:val="00CA182C"/>
    <w:rsid w:val="00CA205E"/>
    <w:rsid w:val="00CA39BE"/>
    <w:rsid w:val="00CA5C25"/>
    <w:rsid w:val="00CA6D47"/>
    <w:rsid w:val="00CB06B3"/>
    <w:rsid w:val="00CC05E5"/>
    <w:rsid w:val="00CC0769"/>
    <w:rsid w:val="00CC1401"/>
    <w:rsid w:val="00CC1FE5"/>
    <w:rsid w:val="00CC2FAA"/>
    <w:rsid w:val="00CC3B93"/>
    <w:rsid w:val="00CC636B"/>
    <w:rsid w:val="00CC779F"/>
    <w:rsid w:val="00CD49C3"/>
    <w:rsid w:val="00CD6675"/>
    <w:rsid w:val="00CD71C4"/>
    <w:rsid w:val="00CE02AB"/>
    <w:rsid w:val="00CE074A"/>
    <w:rsid w:val="00CE745B"/>
    <w:rsid w:val="00CE79BE"/>
    <w:rsid w:val="00CF2EEE"/>
    <w:rsid w:val="00CF514C"/>
    <w:rsid w:val="00D00A0F"/>
    <w:rsid w:val="00D018BD"/>
    <w:rsid w:val="00D02A09"/>
    <w:rsid w:val="00D02BC5"/>
    <w:rsid w:val="00D111A9"/>
    <w:rsid w:val="00D117AD"/>
    <w:rsid w:val="00D1190D"/>
    <w:rsid w:val="00D13A8F"/>
    <w:rsid w:val="00D14C18"/>
    <w:rsid w:val="00D15686"/>
    <w:rsid w:val="00D16910"/>
    <w:rsid w:val="00D16F15"/>
    <w:rsid w:val="00D2025E"/>
    <w:rsid w:val="00D20E83"/>
    <w:rsid w:val="00D21180"/>
    <w:rsid w:val="00D241EA"/>
    <w:rsid w:val="00D257CF"/>
    <w:rsid w:val="00D27619"/>
    <w:rsid w:val="00D30405"/>
    <w:rsid w:val="00D313D1"/>
    <w:rsid w:val="00D31E28"/>
    <w:rsid w:val="00D3234E"/>
    <w:rsid w:val="00D379B5"/>
    <w:rsid w:val="00D41DCF"/>
    <w:rsid w:val="00D4263C"/>
    <w:rsid w:val="00D4359A"/>
    <w:rsid w:val="00D46A36"/>
    <w:rsid w:val="00D526EA"/>
    <w:rsid w:val="00D60B8F"/>
    <w:rsid w:val="00D633AB"/>
    <w:rsid w:val="00D64A39"/>
    <w:rsid w:val="00D65543"/>
    <w:rsid w:val="00D67295"/>
    <w:rsid w:val="00D71C04"/>
    <w:rsid w:val="00D724E9"/>
    <w:rsid w:val="00D72D3B"/>
    <w:rsid w:val="00D73910"/>
    <w:rsid w:val="00D741AA"/>
    <w:rsid w:val="00D802C0"/>
    <w:rsid w:val="00D802F5"/>
    <w:rsid w:val="00D81AB0"/>
    <w:rsid w:val="00D853A2"/>
    <w:rsid w:val="00D97CB9"/>
    <w:rsid w:val="00DA02EC"/>
    <w:rsid w:val="00DA22DF"/>
    <w:rsid w:val="00DA2BC8"/>
    <w:rsid w:val="00DA2DA1"/>
    <w:rsid w:val="00DA49A2"/>
    <w:rsid w:val="00DA6AAA"/>
    <w:rsid w:val="00DB40C1"/>
    <w:rsid w:val="00DB46A1"/>
    <w:rsid w:val="00DC53BA"/>
    <w:rsid w:val="00DC56BA"/>
    <w:rsid w:val="00DC57EF"/>
    <w:rsid w:val="00DD0C29"/>
    <w:rsid w:val="00DE2A11"/>
    <w:rsid w:val="00DE62B6"/>
    <w:rsid w:val="00DE730F"/>
    <w:rsid w:val="00DF0247"/>
    <w:rsid w:val="00DF169A"/>
    <w:rsid w:val="00DF1CA5"/>
    <w:rsid w:val="00DF2595"/>
    <w:rsid w:val="00DF28D0"/>
    <w:rsid w:val="00DF6654"/>
    <w:rsid w:val="00E00FBE"/>
    <w:rsid w:val="00E015FE"/>
    <w:rsid w:val="00E03E98"/>
    <w:rsid w:val="00E0439C"/>
    <w:rsid w:val="00E04E38"/>
    <w:rsid w:val="00E06444"/>
    <w:rsid w:val="00E10C8B"/>
    <w:rsid w:val="00E126E0"/>
    <w:rsid w:val="00E12BFD"/>
    <w:rsid w:val="00E134F8"/>
    <w:rsid w:val="00E156F7"/>
    <w:rsid w:val="00E15E32"/>
    <w:rsid w:val="00E25514"/>
    <w:rsid w:val="00E25A2D"/>
    <w:rsid w:val="00E2618A"/>
    <w:rsid w:val="00E3398F"/>
    <w:rsid w:val="00E36116"/>
    <w:rsid w:val="00E376AC"/>
    <w:rsid w:val="00E45E1A"/>
    <w:rsid w:val="00E55475"/>
    <w:rsid w:val="00E672D1"/>
    <w:rsid w:val="00E71315"/>
    <w:rsid w:val="00E716CB"/>
    <w:rsid w:val="00E7174A"/>
    <w:rsid w:val="00E75865"/>
    <w:rsid w:val="00E834EB"/>
    <w:rsid w:val="00E84143"/>
    <w:rsid w:val="00E90D74"/>
    <w:rsid w:val="00E917FE"/>
    <w:rsid w:val="00E9321A"/>
    <w:rsid w:val="00E97C97"/>
    <w:rsid w:val="00EA045E"/>
    <w:rsid w:val="00EA141D"/>
    <w:rsid w:val="00EA1F95"/>
    <w:rsid w:val="00EA5F23"/>
    <w:rsid w:val="00EA608C"/>
    <w:rsid w:val="00EB0167"/>
    <w:rsid w:val="00EB6BFB"/>
    <w:rsid w:val="00EC20C9"/>
    <w:rsid w:val="00EC25E8"/>
    <w:rsid w:val="00EC706A"/>
    <w:rsid w:val="00ED1E91"/>
    <w:rsid w:val="00ED29CB"/>
    <w:rsid w:val="00ED72F0"/>
    <w:rsid w:val="00EE0A95"/>
    <w:rsid w:val="00EE2680"/>
    <w:rsid w:val="00EE5022"/>
    <w:rsid w:val="00EE5672"/>
    <w:rsid w:val="00EE5F83"/>
    <w:rsid w:val="00EE7634"/>
    <w:rsid w:val="00EF19AA"/>
    <w:rsid w:val="00EF3083"/>
    <w:rsid w:val="00EF6829"/>
    <w:rsid w:val="00F00407"/>
    <w:rsid w:val="00F02ADE"/>
    <w:rsid w:val="00F04E61"/>
    <w:rsid w:val="00F04F19"/>
    <w:rsid w:val="00F07336"/>
    <w:rsid w:val="00F075C0"/>
    <w:rsid w:val="00F10AFD"/>
    <w:rsid w:val="00F13039"/>
    <w:rsid w:val="00F20A96"/>
    <w:rsid w:val="00F240A4"/>
    <w:rsid w:val="00F24782"/>
    <w:rsid w:val="00F2646A"/>
    <w:rsid w:val="00F26906"/>
    <w:rsid w:val="00F26C63"/>
    <w:rsid w:val="00F27DCA"/>
    <w:rsid w:val="00F30C57"/>
    <w:rsid w:val="00F332EC"/>
    <w:rsid w:val="00F344E1"/>
    <w:rsid w:val="00F35A6D"/>
    <w:rsid w:val="00F36D2A"/>
    <w:rsid w:val="00F4453B"/>
    <w:rsid w:val="00F46740"/>
    <w:rsid w:val="00F476A5"/>
    <w:rsid w:val="00F53B4A"/>
    <w:rsid w:val="00F551BC"/>
    <w:rsid w:val="00F55F8D"/>
    <w:rsid w:val="00F5723E"/>
    <w:rsid w:val="00F64DE4"/>
    <w:rsid w:val="00F64F15"/>
    <w:rsid w:val="00F719CD"/>
    <w:rsid w:val="00F75368"/>
    <w:rsid w:val="00F777C8"/>
    <w:rsid w:val="00F91D71"/>
    <w:rsid w:val="00F920FC"/>
    <w:rsid w:val="00F961E3"/>
    <w:rsid w:val="00FA0875"/>
    <w:rsid w:val="00FA44B6"/>
    <w:rsid w:val="00FA6CB0"/>
    <w:rsid w:val="00FA764D"/>
    <w:rsid w:val="00FB0374"/>
    <w:rsid w:val="00FB2C3F"/>
    <w:rsid w:val="00FC0B12"/>
    <w:rsid w:val="00FC1E1D"/>
    <w:rsid w:val="00FC2BFF"/>
    <w:rsid w:val="00FC3A9D"/>
    <w:rsid w:val="00FC49B5"/>
    <w:rsid w:val="00FC6324"/>
    <w:rsid w:val="00FD0B7B"/>
    <w:rsid w:val="00FD359A"/>
    <w:rsid w:val="00FD4F10"/>
    <w:rsid w:val="00FD6885"/>
    <w:rsid w:val="00FE3B53"/>
    <w:rsid w:val="00FE3F82"/>
    <w:rsid w:val="00FE6305"/>
    <w:rsid w:val="00FE678D"/>
    <w:rsid w:val="00FE714D"/>
    <w:rsid w:val="00FF7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5860A"/>
  <w15:docId w15:val="{57509C48-537E-4003-A862-6052261F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D4"/>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F130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DE4"/>
    <w:rPr>
      <w:color w:val="0000FF"/>
      <w:u w:val="single"/>
    </w:rPr>
  </w:style>
  <w:style w:type="paragraph" w:styleId="NormalWeb">
    <w:name w:val="Normal (Web)"/>
    <w:basedOn w:val="Normal"/>
    <w:uiPriority w:val="99"/>
    <w:unhideWhenUsed/>
    <w:rsid w:val="00F64DE4"/>
    <w:pPr>
      <w:spacing w:before="100" w:beforeAutospacing="1" w:after="100" w:afterAutospacing="1"/>
    </w:pPr>
  </w:style>
  <w:style w:type="paragraph" w:styleId="CommentText">
    <w:name w:val="annotation text"/>
    <w:basedOn w:val="Normal"/>
    <w:link w:val="CommentTextChar"/>
    <w:uiPriority w:val="99"/>
    <w:unhideWhenUsed/>
    <w:rsid w:val="00F64DE4"/>
    <w:rPr>
      <w:sz w:val="20"/>
      <w:szCs w:val="20"/>
    </w:rPr>
  </w:style>
  <w:style w:type="character" w:customStyle="1" w:styleId="CommentTextChar">
    <w:name w:val="Comment Text Char"/>
    <w:basedOn w:val="DefaultParagraphFont"/>
    <w:link w:val="CommentText"/>
    <w:uiPriority w:val="99"/>
    <w:rsid w:val="00F64DE4"/>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F64DE4"/>
    <w:pPr>
      <w:widowControl w:val="0"/>
      <w:tabs>
        <w:tab w:val="center" w:pos="4153"/>
        <w:tab w:val="right" w:pos="8306"/>
      </w:tabs>
    </w:pPr>
    <w:rPr>
      <w:sz w:val="28"/>
      <w:szCs w:val="20"/>
      <w:lang w:eastAsia="en-US"/>
    </w:rPr>
  </w:style>
  <w:style w:type="character" w:customStyle="1" w:styleId="HeaderChar">
    <w:name w:val="Header Char"/>
    <w:basedOn w:val="DefaultParagraphFont"/>
    <w:link w:val="Header"/>
    <w:uiPriority w:val="99"/>
    <w:rsid w:val="00F64DE4"/>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64DE4"/>
    <w:pPr>
      <w:tabs>
        <w:tab w:val="center" w:pos="4153"/>
        <w:tab w:val="right" w:pos="8306"/>
      </w:tabs>
    </w:pPr>
  </w:style>
  <w:style w:type="character" w:customStyle="1" w:styleId="FooterChar">
    <w:name w:val="Footer Char"/>
    <w:basedOn w:val="DefaultParagraphFont"/>
    <w:link w:val="Footer"/>
    <w:uiPriority w:val="99"/>
    <w:rsid w:val="00F64DE4"/>
    <w:rPr>
      <w:rFonts w:ascii="Times New Roman" w:eastAsia="Times New Roman" w:hAnsi="Times New Roman" w:cs="Times New Roman"/>
      <w:sz w:val="24"/>
      <w:szCs w:val="24"/>
      <w:lang w:eastAsia="lv-LV"/>
    </w:rPr>
  </w:style>
  <w:style w:type="paragraph" w:styleId="NoSpacing">
    <w:name w:val="No Spacing"/>
    <w:uiPriority w:val="1"/>
    <w:qFormat/>
    <w:rsid w:val="00F64DE4"/>
    <w:pPr>
      <w:spacing w:after="0" w:line="240" w:lineRule="auto"/>
    </w:pPr>
    <w:rPr>
      <w:rFonts w:ascii="Calibri" w:eastAsia="Calibri" w:hAnsi="Calibri" w:cs="Times New Roman"/>
    </w:rPr>
  </w:style>
  <w:style w:type="paragraph" w:styleId="ListParagraph">
    <w:name w:val="List Paragraph"/>
    <w:aliases w:val="Colorful List - Accent 12"/>
    <w:basedOn w:val="Normal"/>
    <w:link w:val="ListParagraphChar1"/>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Normal"/>
    <w:uiPriority w:val="99"/>
    <w:rsid w:val="00F64DE4"/>
    <w:pPr>
      <w:spacing w:before="75" w:after="75"/>
      <w:ind w:firstLine="375"/>
      <w:jc w:val="both"/>
    </w:pPr>
  </w:style>
  <w:style w:type="paragraph" w:customStyle="1" w:styleId="naisnod">
    <w:name w:val="naisnod"/>
    <w:basedOn w:val="Normal"/>
    <w:uiPriority w:val="99"/>
    <w:rsid w:val="00F64DE4"/>
    <w:pPr>
      <w:spacing w:before="150" w:after="150"/>
      <w:jc w:val="center"/>
    </w:pPr>
    <w:rPr>
      <w:b/>
      <w:bCs/>
    </w:rPr>
  </w:style>
  <w:style w:type="paragraph" w:customStyle="1" w:styleId="naiskr">
    <w:name w:val="naiskr"/>
    <w:basedOn w:val="Normal"/>
    <w:rsid w:val="00F64DE4"/>
    <w:pPr>
      <w:spacing w:before="75" w:after="75"/>
    </w:pPr>
  </w:style>
  <w:style w:type="paragraph" w:customStyle="1" w:styleId="naisc">
    <w:name w:val="naisc"/>
    <w:basedOn w:val="Normal"/>
    <w:rsid w:val="00F64DE4"/>
    <w:pPr>
      <w:spacing w:before="75" w:after="75"/>
      <w:jc w:val="center"/>
    </w:pPr>
  </w:style>
  <w:style w:type="paragraph" w:styleId="BalloonText">
    <w:name w:val="Balloon Text"/>
    <w:basedOn w:val="Normal"/>
    <w:link w:val="BalloonTextChar"/>
    <w:uiPriority w:val="99"/>
    <w:semiHidden/>
    <w:unhideWhenUsed/>
    <w:rsid w:val="00F64DE4"/>
    <w:pPr>
      <w:widowControl w:val="0"/>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F64DE4"/>
    <w:rPr>
      <w:rFonts w:ascii="Tahoma" w:eastAsia="Calibri" w:hAnsi="Tahoma" w:cs="Tahoma"/>
      <w:sz w:val="16"/>
      <w:szCs w:val="16"/>
      <w:lang w:val="en-US"/>
    </w:rPr>
  </w:style>
  <w:style w:type="paragraph" w:customStyle="1" w:styleId="Paraststmeklis1">
    <w:name w:val="Parasts (tīmeklis)1"/>
    <w:basedOn w:val="Normal"/>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Normal"/>
    <w:next w:val="Normal"/>
    <w:link w:val="FootnoteReferen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025346"/>
    <w:rPr>
      <w:sz w:val="20"/>
      <w:szCs w:val="20"/>
      <w:lang w:val="en-AU"/>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Normal"/>
    <w:rsid w:val="00720BC3"/>
    <w:pPr>
      <w:spacing w:line="360" w:lineRule="auto"/>
      <w:ind w:firstLine="272"/>
    </w:pPr>
    <w:rPr>
      <w:color w:val="414142"/>
      <w:sz w:val="18"/>
      <w:szCs w:val="18"/>
    </w:rPr>
  </w:style>
  <w:style w:type="paragraph" w:customStyle="1" w:styleId="thr">
    <w:name w:val="thr"/>
    <w:basedOn w:val="Normal"/>
    <w:uiPriority w:val="99"/>
    <w:rsid w:val="00720BC3"/>
    <w:pPr>
      <w:spacing w:before="100" w:beforeAutospacing="1" w:after="100" w:afterAutospacing="1"/>
      <w:jc w:val="right"/>
    </w:pPr>
  </w:style>
  <w:style w:type="character" w:styleId="CommentReference">
    <w:name w:val="annotation reference"/>
    <w:basedOn w:val="DefaultParagraphFont"/>
    <w:uiPriority w:val="99"/>
    <w:unhideWhenUsed/>
    <w:rsid w:val="00371DF2"/>
    <w:rPr>
      <w:sz w:val="16"/>
      <w:szCs w:val="16"/>
    </w:rPr>
  </w:style>
  <w:style w:type="paragraph" w:styleId="CommentSubject">
    <w:name w:val="annotation subject"/>
    <w:basedOn w:val="CommentText"/>
    <w:next w:val="CommentText"/>
    <w:link w:val="CommentSubjectChar"/>
    <w:uiPriority w:val="99"/>
    <w:semiHidden/>
    <w:unhideWhenUsed/>
    <w:rsid w:val="00371DF2"/>
    <w:rPr>
      <w:b/>
      <w:bCs/>
    </w:rPr>
  </w:style>
  <w:style w:type="character" w:customStyle="1" w:styleId="CommentSubjectChar">
    <w:name w:val="Comment Subject Char"/>
    <w:basedOn w:val="CommentTextChar"/>
    <w:link w:val="CommentSubject"/>
    <w:uiPriority w:val="99"/>
    <w:semiHidden/>
    <w:rsid w:val="00371DF2"/>
    <w:rPr>
      <w:rFonts w:ascii="Times New Roman" w:eastAsia="Times New Roman" w:hAnsi="Times New Roman" w:cs="Times New Roman"/>
      <w:b/>
      <w:bCs/>
      <w:sz w:val="20"/>
      <w:szCs w:val="20"/>
      <w:lang w:eastAsia="lv-LV"/>
    </w:rPr>
  </w:style>
  <w:style w:type="paragraph" w:styleId="Revision">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D379B5"/>
    <w:pPr>
      <w:spacing w:after="120"/>
    </w:pPr>
  </w:style>
  <w:style w:type="character" w:customStyle="1" w:styleId="BodyTextChar">
    <w:name w:val="Body Text Char"/>
    <w:basedOn w:val="DefaultParagraphFont"/>
    <w:link w:val="BodyText"/>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DefaultParagraphFont"/>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Normal"/>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ListParagraphChar1">
    <w:name w:val="List Paragraph Char1"/>
    <w:aliases w:val="Colorful List - Accent 12 Char"/>
    <w:link w:val="ListParagraph"/>
    <w:uiPriority w:val="34"/>
    <w:rsid w:val="000D049A"/>
    <w:rPr>
      <w:rFonts w:ascii="Calibri" w:eastAsia="Calibri" w:hAnsi="Calibri" w:cs="Times New Roman"/>
    </w:rPr>
  </w:style>
  <w:style w:type="paragraph" w:customStyle="1" w:styleId="Normal1">
    <w:name w:val="Normal1"/>
    <w:basedOn w:val="Normal"/>
    <w:rsid w:val="00B84892"/>
    <w:pPr>
      <w:spacing w:before="100" w:beforeAutospacing="1" w:after="100" w:afterAutospacing="1"/>
    </w:pPr>
  </w:style>
  <w:style w:type="character" w:customStyle="1" w:styleId="Heading3Char">
    <w:name w:val="Heading 3 Char"/>
    <w:basedOn w:val="DefaultParagraphFont"/>
    <w:link w:val="Heading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746CD9"/>
    <w:pPr>
      <w:spacing w:after="160" w:line="240" w:lineRule="exact"/>
      <w:jc w:val="both"/>
    </w:pPr>
    <w:rPr>
      <w:rFonts w:ascii="Calibri" w:eastAsia="Calibri" w:hAnsi="Calibri"/>
      <w:sz w:val="22"/>
      <w:szCs w:val="20"/>
      <w:vertAlign w:val="superscript"/>
    </w:rPr>
  </w:style>
  <w:style w:type="paragraph" w:customStyle="1" w:styleId="FootnoteText1">
    <w:name w:val="Footnote Text1"/>
    <w:basedOn w:val="Normal"/>
    <w:next w:val="FootnoteText"/>
    <w:uiPriority w:val="99"/>
    <w:semiHidden/>
    <w:unhideWhenUsed/>
    <w:rsid w:val="008D3A82"/>
    <w:rPr>
      <w:rFonts w:asciiTheme="minorHAnsi" w:eastAsiaTheme="minorHAnsi" w:hAnsiTheme="minorHAnsi" w:cstheme="minorBidi"/>
      <w:sz w:val="22"/>
      <w:szCs w:val="22"/>
      <w:lang w:val="en-US" w:eastAsia="en-US"/>
    </w:rPr>
  </w:style>
  <w:style w:type="paragraph" w:customStyle="1" w:styleId="1stlevelheading">
    <w:name w:val="1st level (heading)"/>
    <w:next w:val="Normal"/>
    <w:uiPriority w:val="1"/>
    <w:qFormat/>
    <w:rsid w:val="00292497"/>
    <w:pPr>
      <w:keepNext/>
      <w:numPr>
        <w:numId w:val="2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Normal"/>
    <w:uiPriority w:val="1"/>
    <w:qFormat/>
    <w:rsid w:val="00292497"/>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292497"/>
    <w:pPr>
      <w:numPr>
        <w:ilvl w:val="2"/>
      </w:numPr>
      <w:outlineLvl w:val="2"/>
    </w:pPr>
    <w:rPr>
      <w:i/>
    </w:rPr>
  </w:style>
  <w:style w:type="paragraph" w:customStyle="1" w:styleId="4thlevelheading">
    <w:name w:val="4th level (heading)"/>
    <w:basedOn w:val="3rdlevelheading"/>
    <w:next w:val="Normal"/>
    <w:uiPriority w:val="1"/>
    <w:qFormat/>
    <w:rsid w:val="00292497"/>
    <w:pPr>
      <w:numPr>
        <w:ilvl w:val="3"/>
      </w:numPr>
      <w:spacing w:after="120"/>
      <w:outlineLvl w:val="3"/>
    </w:pPr>
    <w:rPr>
      <w:b w:val="0"/>
    </w:rPr>
  </w:style>
  <w:style w:type="paragraph" w:customStyle="1" w:styleId="5thlevelheading">
    <w:name w:val="5th level (heading)"/>
    <w:basedOn w:val="4thlevelheading"/>
    <w:next w:val="Normal"/>
    <w:uiPriority w:val="1"/>
    <w:qFormat/>
    <w:rsid w:val="00292497"/>
    <w:pPr>
      <w:numPr>
        <w:ilvl w:val="4"/>
      </w:numPr>
      <w:outlineLvl w:val="4"/>
    </w:pPr>
    <w:rPr>
      <w:i w:val="0"/>
      <w:u w:val="single"/>
    </w:rPr>
  </w:style>
  <w:style w:type="paragraph" w:customStyle="1" w:styleId="2ndlevelprovision">
    <w:name w:val="2nd level (provision)"/>
    <w:basedOn w:val="2ndlevelheading"/>
    <w:uiPriority w:val="2"/>
    <w:qFormat/>
    <w:rsid w:val="00292497"/>
    <w:pPr>
      <w:spacing w:before="120" w:after="120"/>
    </w:pPr>
    <w:rPr>
      <w:b w:val="0"/>
    </w:rPr>
  </w:style>
  <w:style w:type="numbering" w:customStyle="1" w:styleId="SLONumberings">
    <w:name w:val="SLO_Numberings"/>
    <w:uiPriority w:val="99"/>
    <w:rsid w:val="00292497"/>
    <w:pPr>
      <w:numPr>
        <w:numId w:val="21"/>
      </w:numPr>
    </w:pPr>
  </w:style>
  <w:style w:type="paragraph" w:customStyle="1" w:styleId="SLONormal">
    <w:name w:val="SLO Normal"/>
    <w:qFormat/>
    <w:rsid w:val="0078536D"/>
    <w:pPr>
      <w:spacing w:before="120" w:after="120" w:line="240" w:lineRule="auto"/>
      <w:jc w:val="both"/>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56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9930">
      <w:bodyDiv w:val="1"/>
      <w:marLeft w:val="0"/>
      <w:marRight w:val="0"/>
      <w:marTop w:val="0"/>
      <w:marBottom w:val="0"/>
      <w:divBdr>
        <w:top w:val="none" w:sz="0" w:space="0" w:color="auto"/>
        <w:left w:val="none" w:sz="0" w:space="0" w:color="auto"/>
        <w:bottom w:val="none" w:sz="0" w:space="0" w:color="auto"/>
        <w:right w:val="none" w:sz="0" w:space="0" w:color="auto"/>
      </w:divBdr>
    </w:div>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510295192">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369179100">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21457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autortiesibas/petiju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Zommere@k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kka-laa.lv/lv/par-akka-laa/tukso-materialo-neseju-atlidziba/ievads-1/" TargetMode="External"/><Relationship Id="rId4" Type="http://schemas.openxmlformats.org/officeDocument/2006/relationships/settings" Target="settings.xml"/><Relationship Id="rId9" Type="http://schemas.openxmlformats.org/officeDocument/2006/relationships/hyperlink" Target="http://www.akka-laa.lv/lv/par-akka-laa/tukso-materialo-neseju-atlidziba/ievads-1/"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D76E1-6C68-4B98-BC2D-95E0AAFF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17801</Words>
  <Characters>101472</Characters>
  <Application>Microsoft Office Word</Application>
  <DocSecurity>0</DocSecurity>
  <Lines>845</Lines>
  <Paragraphs>238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Likumprojektu„Grozījumi Autortiesību likumā” un sākotnējās ietekmes novērtējuma ziņojumu (anotāciju)</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119035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Likumprojektu„Grozījumi Autortiesību likumā” un sākotnējās ietekmes novērtējuma ziņojumu (anotāciju)</dc:title>
  <dc:subject>Izziņa</dc:subject>
  <dc:creator>Linda Zommere</dc:creator>
  <dc:description>Linda.Zommere@km.gov.lv
67330211</dc:description>
  <cp:lastModifiedBy>Linda Zommere</cp:lastModifiedBy>
  <cp:revision>3</cp:revision>
  <cp:lastPrinted>2018-03-05T07:30:00Z</cp:lastPrinted>
  <dcterms:created xsi:type="dcterms:W3CDTF">2021-02-08T15:31:00Z</dcterms:created>
  <dcterms:modified xsi:type="dcterms:W3CDTF">2021-02-19T12:22:00Z</dcterms:modified>
</cp:coreProperties>
</file>