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82567" w14:textId="68AF1432" w:rsidR="00581C7F" w:rsidRPr="0012097B" w:rsidRDefault="00581C7F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2097B">
        <w:rPr>
          <w:sz w:val="28"/>
          <w:szCs w:val="28"/>
        </w:rPr>
        <w:t>3. pielikums</w:t>
      </w:r>
      <w:r w:rsidRPr="0012097B">
        <w:rPr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12097B">
        <w:rPr>
          <w:sz w:val="28"/>
          <w:szCs w:val="28"/>
        </w:rPr>
        <w:t xml:space="preserve">Ministru kabineta </w:t>
      </w:r>
    </w:p>
    <w:p w14:paraId="42BFC80B" w14:textId="06AA4DFC" w:rsidR="00581C7F" w:rsidRPr="0012097B" w:rsidRDefault="00581C7F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2097B">
        <w:rPr>
          <w:sz w:val="28"/>
          <w:szCs w:val="28"/>
        </w:rPr>
        <w:t xml:space="preserve">2021. gada </w:t>
      </w:r>
      <w:r w:rsidR="00190A42">
        <w:rPr>
          <w:sz w:val="28"/>
          <w:szCs w:val="28"/>
        </w:rPr>
        <w:t>1. aprī</w:t>
      </w:r>
      <w:r w:rsidR="00190A42">
        <w:rPr>
          <w:sz w:val="28"/>
          <w:szCs w:val="28"/>
        </w:rPr>
        <w:t>ļa</w:t>
      </w:r>
    </w:p>
    <w:p w14:paraId="526A2FDA" w14:textId="7D7739AC" w:rsidR="00581C7F" w:rsidRPr="0012097B" w:rsidRDefault="00581C7F" w:rsidP="000A311D">
      <w:pPr>
        <w:shd w:val="clear" w:color="auto" w:fill="FFFFFF"/>
        <w:jc w:val="right"/>
        <w:rPr>
          <w:sz w:val="28"/>
          <w:szCs w:val="28"/>
        </w:rPr>
      </w:pPr>
      <w:r w:rsidRPr="0012097B">
        <w:rPr>
          <w:sz w:val="28"/>
          <w:szCs w:val="28"/>
        </w:rPr>
        <w:t>noteikumiem Nr. </w:t>
      </w:r>
      <w:r w:rsidR="00190A42">
        <w:rPr>
          <w:sz w:val="28"/>
          <w:szCs w:val="28"/>
        </w:rPr>
        <w:t>205</w:t>
      </w:r>
    </w:p>
    <w:p w14:paraId="4F87E225" w14:textId="77777777" w:rsidR="00AF0667" w:rsidRPr="0012097B" w:rsidRDefault="00AF0667" w:rsidP="00F030BB">
      <w:pPr>
        <w:rPr>
          <w:sz w:val="28"/>
          <w:szCs w:val="28"/>
        </w:rPr>
      </w:pPr>
    </w:p>
    <w:p w14:paraId="769227D7" w14:textId="268282BD" w:rsidR="00F91129" w:rsidRPr="0012097B" w:rsidRDefault="00F53600" w:rsidP="00F030BB">
      <w:pPr>
        <w:jc w:val="center"/>
        <w:rPr>
          <w:b/>
          <w:sz w:val="28"/>
          <w:szCs w:val="28"/>
          <w:lang w:eastAsia="en-US"/>
        </w:rPr>
      </w:pPr>
      <w:r w:rsidRPr="0012097B">
        <w:rPr>
          <w:b/>
          <w:sz w:val="28"/>
          <w:szCs w:val="28"/>
          <w:lang w:eastAsia="en-US"/>
        </w:rPr>
        <w:t xml:space="preserve">Kritēriji nevalstisko organizāciju deleģēto pārstāvju un viņu aizvietotāju </w:t>
      </w:r>
      <w:r w:rsidR="00EA6058" w:rsidRPr="0012097B">
        <w:rPr>
          <w:b/>
          <w:sz w:val="28"/>
          <w:szCs w:val="28"/>
          <w:lang w:eastAsia="en-US"/>
        </w:rPr>
        <w:t xml:space="preserve">vērtēšanai </w:t>
      </w:r>
      <w:r w:rsidRPr="0012097B">
        <w:rPr>
          <w:b/>
          <w:sz w:val="28"/>
          <w:szCs w:val="28"/>
          <w:lang w:eastAsia="en-US"/>
        </w:rPr>
        <w:t xml:space="preserve">darbam Sabiedrības integrācijas fonda padomē </w:t>
      </w:r>
    </w:p>
    <w:p w14:paraId="600F5FC9" w14:textId="77777777" w:rsidR="00F91129" w:rsidRPr="0012097B" w:rsidRDefault="00F91129" w:rsidP="00F030BB">
      <w:pPr>
        <w:rPr>
          <w:sz w:val="28"/>
          <w:szCs w:val="28"/>
          <w:lang w:eastAsia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6"/>
        <w:gridCol w:w="6519"/>
        <w:gridCol w:w="1842"/>
      </w:tblGrid>
      <w:tr w:rsidR="007D7B2C" w:rsidRPr="0012097B" w14:paraId="3FEEB0AD" w14:textId="77777777" w:rsidTr="00040639">
        <w:tc>
          <w:tcPr>
            <w:tcW w:w="706" w:type="dxa"/>
          </w:tcPr>
          <w:p w14:paraId="023E680B" w14:textId="77777777" w:rsidR="00227BBD" w:rsidRPr="0012097B" w:rsidRDefault="00227BBD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Nr.</w:t>
            </w:r>
          </w:p>
          <w:p w14:paraId="2F2A2A9D" w14:textId="1791C8DD" w:rsidR="00227BBD" w:rsidRPr="0012097B" w:rsidRDefault="00227BBD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p.</w:t>
            </w:r>
            <w:r w:rsidR="00000711" w:rsidRPr="0012097B">
              <w:t> </w:t>
            </w:r>
            <w:r w:rsidRPr="0012097B">
              <w:t>k.</w:t>
            </w:r>
          </w:p>
        </w:tc>
        <w:tc>
          <w:tcPr>
            <w:tcW w:w="6519" w:type="dxa"/>
            <w:vAlign w:val="center"/>
          </w:tcPr>
          <w:p w14:paraId="7FB1A0DA" w14:textId="77777777" w:rsidR="00227BBD" w:rsidRPr="0012097B" w:rsidRDefault="00227BBD" w:rsidP="00000711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Kritērijs</w:t>
            </w:r>
          </w:p>
        </w:tc>
        <w:tc>
          <w:tcPr>
            <w:tcW w:w="1842" w:type="dxa"/>
            <w:vAlign w:val="center"/>
          </w:tcPr>
          <w:p w14:paraId="5C74B78A" w14:textId="77777777" w:rsidR="00227BBD" w:rsidRPr="0012097B" w:rsidRDefault="00227BBD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Punktu skaits</w:t>
            </w:r>
          </w:p>
        </w:tc>
      </w:tr>
      <w:tr w:rsidR="00674E1E" w:rsidRPr="0012097B" w14:paraId="0D952B86" w14:textId="77777777" w:rsidTr="00566505">
        <w:tc>
          <w:tcPr>
            <w:tcW w:w="706" w:type="dxa"/>
          </w:tcPr>
          <w:p w14:paraId="25F2BDB7" w14:textId="1B87E6FB" w:rsidR="00674E1E" w:rsidRPr="0012097B" w:rsidRDefault="00674E1E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1.</w:t>
            </w:r>
          </w:p>
        </w:tc>
        <w:tc>
          <w:tcPr>
            <w:tcW w:w="8361" w:type="dxa"/>
            <w:gridSpan w:val="2"/>
          </w:tcPr>
          <w:p w14:paraId="73E27520" w14:textId="6FCE749B" w:rsidR="00674E1E" w:rsidRPr="0012097B" w:rsidRDefault="00674E1E" w:rsidP="00674E1E">
            <w:pPr>
              <w:pStyle w:val="Parasts1"/>
              <w:tabs>
                <w:tab w:val="left" w:pos="6521"/>
              </w:tabs>
            </w:pPr>
            <w:r w:rsidRPr="0012097B">
              <w:rPr>
                <w:b/>
                <w:bCs/>
              </w:rPr>
              <w:t>Kandidāta vai viņa aizvietotāja darbības pieredze biedrībā vai nodibinājumā, kā arī pilsoniskā aktivitāte un sabiedriski nozīmīga aktivitāte un tām pielīdzināma darbība pēdējo triju gadu laikā:</w:t>
            </w:r>
          </w:p>
        </w:tc>
      </w:tr>
      <w:tr w:rsidR="007D7B2C" w:rsidRPr="0012097B" w14:paraId="33EF1481" w14:textId="77777777" w:rsidTr="00040639">
        <w:tc>
          <w:tcPr>
            <w:tcW w:w="706" w:type="dxa"/>
          </w:tcPr>
          <w:p w14:paraId="2EB36D13" w14:textId="41B3C8AC" w:rsidR="00227BBD" w:rsidRPr="0012097B" w:rsidRDefault="007D7B2C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1</w:t>
            </w:r>
            <w:r w:rsidR="00227BBD" w:rsidRPr="0012097B">
              <w:t>.1.</w:t>
            </w:r>
          </w:p>
        </w:tc>
        <w:tc>
          <w:tcPr>
            <w:tcW w:w="6519" w:type="dxa"/>
          </w:tcPr>
          <w:p w14:paraId="346C50FD" w14:textId="3CF124CF" w:rsidR="00227BBD" w:rsidRPr="0012097B" w:rsidRDefault="00674E1E" w:rsidP="00000711">
            <w:r w:rsidRPr="0012097B">
              <w:t>k</w:t>
            </w:r>
            <w:r w:rsidR="00227BBD" w:rsidRPr="0012097B">
              <w:t>andidāta</w:t>
            </w:r>
            <w:r w:rsidR="00262197" w:rsidRPr="0012097B">
              <w:t xml:space="preserve"> vai viņa aizvietotāja</w:t>
            </w:r>
            <w:r w:rsidR="00227BBD" w:rsidRPr="0012097B">
              <w:t xml:space="preserve"> kopējā darbības pieredze biedrībā vai nodibinājumā nepārsniedz vienu gadu</w:t>
            </w:r>
          </w:p>
        </w:tc>
        <w:tc>
          <w:tcPr>
            <w:tcW w:w="1842" w:type="dxa"/>
          </w:tcPr>
          <w:p w14:paraId="3A6BC0A5" w14:textId="77777777" w:rsidR="00227BBD" w:rsidRPr="0012097B" w:rsidRDefault="00227BBD" w:rsidP="00F030BB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1</w:t>
            </w:r>
          </w:p>
        </w:tc>
      </w:tr>
      <w:tr w:rsidR="007D7B2C" w:rsidRPr="0012097B" w14:paraId="46866CA3" w14:textId="77777777" w:rsidTr="00040639">
        <w:tc>
          <w:tcPr>
            <w:tcW w:w="706" w:type="dxa"/>
          </w:tcPr>
          <w:p w14:paraId="75F27AA4" w14:textId="3A0DE837" w:rsidR="00227BBD" w:rsidRPr="0012097B" w:rsidRDefault="007D7B2C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1</w:t>
            </w:r>
            <w:r w:rsidR="00227BBD" w:rsidRPr="0012097B">
              <w:t>.2.</w:t>
            </w:r>
          </w:p>
        </w:tc>
        <w:tc>
          <w:tcPr>
            <w:tcW w:w="6519" w:type="dxa"/>
          </w:tcPr>
          <w:p w14:paraId="7257E75A" w14:textId="37E250C0" w:rsidR="00227BBD" w:rsidRPr="0012097B" w:rsidRDefault="00674E1E" w:rsidP="00000711">
            <w:r w:rsidRPr="0012097B">
              <w:t>k</w:t>
            </w:r>
            <w:r w:rsidR="00227BBD" w:rsidRPr="0012097B">
              <w:t>andidāta</w:t>
            </w:r>
            <w:r w:rsidR="00262197" w:rsidRPr="0012097B">
              <w:t xml:space="preserve"> vai viņa aizvietotāja</w:t>
            </w:r>
            <w:r w:rsidR="00227BBD" w:rsidRPr="0012097B">
              <w:t xml:space="preserve"> kopējā darbības pieredze biedrībā vai nodibinājumā ir lielāka par vienu gadu, bet nepārsniedz trīs gadus</w:t>
            </w:r>
          </w:p>
        </w:tc>
        <w:tc>
          <w:tcPr>
            <w:tcW w:w="1842" w:type="dxa"/>
          </w:tcPr>
          <w:p w14:paraId="3153589D" w14:textId="77777777" w:rsidR="00227BBD" w:rsidRPr="0012097B" w:rsidRDefault="00227BBD" w:rsidP="00F030BB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2</w:t>
            </w:r>
          </w:p>
        </w:tc>
      </w:tr>
      <w:tr w:rsidR="007D7B2C" w:rsidRPr="0012097B" w14:paraId="166EA11E" w14:textId="77777777" w:rsidTr="00040639">
        <w:tc>
          <w:tcPr>
            <w:tcW w:w="706" w:type="dxa"/>
          </w:tcPr>
          <w:p w14:paraId="2E02739F" w14:textId="05C8DD93" w:rsidR="00227BBD" w:rsidRPr="0012097B" w:rsidRDefault="007D7B2C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1</w:t>
            </w:r>
            <w:r w:rsidR="00227BBD" w:rsidRPr="0012097B">
              <w:t>.3.</w:t>
            </w:r>
          </w:p>
        </w:tc>
        <w:tc>
          <w:tcPr>
            <w:tcW w:w="6519" w:type="dxa"/>
          </w:tcPr>
          <w:p w14:paraId="2F1A5C66" w14:textId="48899479" w:rsidR="00227BBD" w:rsidRPr="0012097B" w:rsidRDefault="00674E1E" w:rsidP="00000711">
            <w:r w:rsidRPr="0012097B">
              <w:t>k</w:t>
            </w:r>
            <w:r w:rsidR="00227BBD" w:rsidRPr="0012097B">
              <w:t>andidāta</w:t>
            </w:r>
            <w:r w:rsidR="00262197" w:rsidRPr="0012097B">
              <w:t xml:space="preserve"> vai viņa aizvietotāja</w:t>
            </w:r>
            <w:r w:rsidR="00227BBD" w:rsidRPr="0012097B">
              <w:t xml:space="preserve"> kopējā darbības pieredze biedrībā vai nodibinājumā pārsniedz trīs gadus</w:t>
            </w:r>
          </w:p>
        </w:tc>
        <w:tc>
          <w:tcPr>
            <w:tcW w:w="1842" w:type="dxa"/>
          </w:tcPr>
          <w:p w14:paraId="21579364" w14:textId="77777777" w:rsidR="00227BBD" w:rsidRPr="0012097B" w:rsidRDefault="00227BBD" w:rsidP="00F030BB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3</w:t>
            </w:r>
          </w:p>
        </w:tc>
      </w:tr>
      <w:tr w:rsidR="00674E1E" w:rsidRPr="0012097B" w14:paraId="5B80D4FA" w14:textId="77777777" w:rsidTr="00A14111">
        <w:tc>
          <w:tcPr>
            <w:tcW w:w="706" w:type="dxa"/>
          </w:tcPr>
          <w:p w14:paraId="2D27BA3E" w14:textId="587472D4" w:rsidR="00674E1E" w:rsidRPr="0012097B" w:rsidRDefault="00674E1E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2.</w:t>
            </w:r>
          </w:p>
        </w:tc>
        <w:tc>
          <w:tcPr>
            <w:tcW w:w="8361" w:type="dxa"/>
            <w:gridSpan w:val="2"/>
          </w:tcPr>
          <w:p w14:paraId="5B0D4DC4" w14:textId="77777777" w:rsidR="00674E1E" w:rsidRPr="0012097B" w:rsidRDefault="00674E1E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Kandidāta vai viņa aizvietotāja pieredze un izpratne vienā vai vairākās no šādām jomām:</w:t>
            </w:r>
          </w:p>
          <w:p w14:paraId="286D3916" w14:textId="77777777" w:rsidR="00674E1E" w:rsidRPr="0012097B" w:rsidRDefault="00674E1E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a) kultūra un māksla;</w:t>
            </w:r>
          </w:p>
          <w:p w14:paraId="0133D584" w14:textId="77777777" w:rsidR="00674E1E" w:rsidRPr="0012097B" w:rsidRDefault="00674E1E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b) izglītība (interešu izglītība), pētniecība un sports;</w:t>
            </w:r>
          </w:p>
          <w:p w14:paraId="3C92D83C" w14:textId="77777777" w:rsidR="00674E1E" w:rsidRPr="0012097B" w:rsidRDefault="00674E1E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c) sociālie pakalpojumi un veselība;</w:t>
            </w:r>
          </w:p>
          <w:p w14:paraId="687E40E0" w14:textId="77777777" w:rsidR="00674E1E" w:rsidRPr="0012097B" w:rsidRDefault="00674E1E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d) vide, sociālā un kopienas attīstība;</w:t>
            </w:r>
          </w:p>
          <w:p w14:paraId="4E8BB6D4" w14:textId="77777777" w:rsidR="00674E1E" w:rsidRPr="0012097B" w:rsidRDefault="00674E1E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e) interešu aizstāvība un līdzdalība politikas veidošanā;</w:t>
            </w:r>
          </w:p>
          <w:p w14:paraId="60F1BA9B" w14:textId="77777777" w:rsidR="00674E1E" w:rsidRPr="0012097B" w:rsidRDefault="00674E1E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f) filantropija, brīvprātīgais darbs;</w:t>
            </w:r>
          </w:p>
          <w:p w14:paraId="3490B31C" w14:textId="77777777" w:rsidR="00674E1E" w:rsidRPr="0012097B" w:rsidRDefault="00674E1E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g) mazākumtautības;</w:t>
            </w:r>
          </w:p>
          <w:p w14:paraId="2E341B1B" w14:textId="77777777" w:rsidR="00674E1E" w:rsidRPr="0012097B" w:rsidRDefault="00674E1E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h) mediji un žurnālistika;</w:t>
            </w:r>
          </w:p>
          <w:p w14:paraId="47849B3B" w14:textId="20009DCC" w:rsidR="00674E1E" w:rsidRPr="0012097B" w:rsidRDefault="00674E1E" w:rsidP="00674E1E">
            <w:pPr>
              <w:pStyle w:val="Parasts1"/>
              <w:tabs>
                <w:tab w:val="left" w:pos="6521"/>
              </w:tabs>
            </w:pPr>
            <w:r w:rsidRPr="0012097B">
              <w:rPr>
                <w:b/>
                <w:bCs/>
              </w:rPr>
              <w:t>i) citas fonda stratēģijā noteiktās jomas</w:t>
            </w:r>
          </w:p>
        </w:tc>
      </w:tr>
      <w:tr w:rsidR="007D7B2C" w:rsidRPr="0012097B" w14:paraId="245DD999" w14:textId="77777777" w:rsidTr="00040639">
        <w:tc>
          <w:tcPr>
            <w:tcW w:w="706" w:type="dxa"/>
          </w:tcPr>
          <w:p w14:paraId="787758B4" w14:textId="1781FC4A" w:rsidR="00227BBD" w:rsidRPr="0012097B" w:rsidRDefault="007D7B2C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2</w:t>
            </w:r>
            <w:r w:rsidR="00227BBD" w:rsidRPr="0012097B">
              <w:t>.1.</w:t>
            </w:r>
          </w:p>
        </w:tc>
        <w:tc>
          <w:tcPr>
            <w:tcW w:w="6519" w:type="dxa"/>
          </w:tcPr>
          <w:p w14:paraId="1592E216" w14:textId="1BB5FCAE" w:rsidR="00227BBD" w:rsidRPr="0012097B" w:rsidRDefault="00674E1E" w:rsidP="00000711">
            <w:pPr>
              <w:pStyle w:val="Parasts1"/>
              <w:tabs>
                <w:tab w:val="left" w:pos="6521"/>
              </w:tabs>
            </w:pPr>
            <w:r w:rsidRPr="0012097B">
              <w:t>k</w:t>
            </w:r>
            <w:r w:rsidR="00227BBD" w:rsidRPr="0012097B">
              <w:t>andidāta</w:t>
            </w:r>
            <w:r w:rsidR="00262197" w:rsidRPr="0012097B">
              <w:t xml:space="preserve"> vai viņa aizvietotāja</w:t>
            </w:r>
            <w:r w:rsidR="00227BBD" w:rsidRPr="0012097B">
              <w:t xml:space="preserve"> pieredze un izpratne vienā vai vairākās no minētajām jomām ir vērtējama kā vāja</w:t>
            </w:r>
          </w:p>
        </w:tc>
        <w:tc>
          <w:tcPr>
            <w:tcW w:w="1842" w:type="dxa"/>
          </w:tcPr>
          <w:p w14:paraId="3EF820A9" w14:textId="77777777" w:rsidR="00227BBD" w:rsidRPr="0012097B" w:rsidRDefault="00227BBD" w:rsidP="00F030BB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1</w:t>
            </w:r>
          </w:p>
        </w:tc>
      </w:tr>
      <w:tr w:rsidR="007D7B2C" w:rsidRPr="0012097B" w14:paraId="2E073BDF" w14:textId="77777777" w:rsidTr="00040639">
        <w:tc>
          <w:tcPr>
            <w:tcW w:w="706" w:type="dxa"/>
          </w:tcPr>
          <w:p w14:paraId="3F718E69" w14:textId="6ACD397B" w:rsidR="00227BBD" w:rsidRPr="0012097B" w:rsidRDefault="007D7B2C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2</w:t>
            </w:r>
            <w:r w:rsidR="00227BBD" w:rsidRPr="0012097B">
              <w:t>.2.</w:t>
            </w:r>
          </w:p>
        </w:tc>
        <w:tc>
          <w:tcPr>
            <w:tcW w:w="6519" w:type="dxa"/>
          </w:tcPr>
          <w:p w14:paraId="02712518" w14:textId="5D309D58" w:rsidR="00227BBD" w:rsidRPr="0012097B" w:rsidRDefault="00674E1E" w:rsidP="00000711">
            <w:pPr>
              <w:pStyle w:val="Parasts1"/>
              <w:tabs>
                <w:tab w:val="left" w:pos="6521"/>
              </w:tabs>
            </w:pPr>
            <w:r w:rsidRPr="0012097B">
              <w:t>k</w:t>
            </w:r>
            <w:r w:rsidR="00227BBD" w:rsidRPr="0012097B">
              <w:t>andidāta</w:t>
            </w:r>
            <w:r w:rsidR="00262197" w:rsidRPr="0012097B">
              <w:t xml:space="preserve"> vai viņa aizvietotāja</w:t>
            </w:r>
            <w:r w:rsidR="00227BBD" w:rsidRPr="0012097B">
              <w:t xml:space="preserve"> pieredze un izpratne vienā vai vairākās no minētajām jomām ir vērtējama kā viduvēja</w:t>
            </w:r>
          </w:p>
        </w:tc>
        <w:tc>
          <w:tcPr>
            <w:tcW w:w="1842" w:type="dxa"/>
          </w:tcPr>
          <w:p w14:paraId="49A8C01E" w14:textId="77777777" w:rsidR="00227BBD" w:rsidRPr="0012097B" w:rsidRDefault="00227BBD" w:rsidP="00F030BB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2</w:t>
            </w:r>
          </w:p>
        </w:tc>
      </w:tr>
      <w:tr w:rsidR="007D7B2C" w:rsidRPr="0012097B" w14:paraId="542FB4C9" w14:textId="77777777" w:rsidTr="00040639">
        <w:tc>
          <w:tcPr>
            <w:tcW w:w="706" w:type="dxa"/>
          </w:tcPr>
          <w:p w14:paraId="6690ADC8" w14:textId="0130BABD" w:rsidR="00227BBD" w:rsidRPr="0012097B" w:rsidRDefault="007D7B2C" w:rsidP="00040639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2</w:t>
            </w:r>
            <w:r w:rsidR="00227BBD" w:rsidRPr="0012097B">
              <w:t>.3.</w:t>
            </w:r>
          </w:p>
        </w:tc>
        <w:tc>
          <w:tcPr>
            <w:tcW w:w="6519" w:type="dxa"/>
          </w:tcPr>
          <w:p w14:paraId="5767AE57" w14:textId="07F0A87D" w:rsidR="00227BBD" w:rsidRPr="0012097B" w:rsidRDefault="00674E1E" w:rsidP="00000711">
            <w:pPr>
              <w:pStyle w:val="Parasts1"/>
              <w:tabs>
                <w:tab w:val="left" w:pos="6521"/>
              </w:tabs>
            </w:pPr>
            <w:r w:rsidRPr="0012097B">
              <w:t>k</w:t>
            </w:r>
            <w:r w:rsidR="00227BBD" w:rsidRPr="0012097B">
              <w:t>andidāta</w:t>
            </w:r>
            <w:r w:rsidR="00262197" w:rsidRPr="0012097B">
              <w:t xml:space="preserve"> vai viņa aizvietotāja</w:t>
            </w:r>
            <w:r w:rsidR="00227BBD" w:rsidRPr="0012097B">
              <w:t xml:space="preserve"> pieredze un izpratne vienā vai vairākās no minētajām jomām ir vērtējama kā augsta</w:t>
            </w:r>
          </w:p>
        </w:tc>
        <w:tc>
          <w:tcPr>
            <w:tcW w:w="1842" w:type="dxa"/>
          </w:tcPr>
          <w:p w14:paraId="3F9833E5" w14:textId="77777777" w:rsidR="00227BBD" w:rsidRPr="0012097B" w:rsidRDefault="00227BBD" w:rsidP="00F030BB">
            <w:pPr>
              <w:pStyle w:val="Parasts1"/>
              <w:tabs>
                <w:tab w:val="left" w:pos="6521"/>
              </w:tabs>
              <w:jc w:val="center"/>
            </w:pPr>
            <w:r w:rsidRPr="0012097B">
              <w:t>3</w:t>
            </w:r>
          </w:p>
        </w:tc>
      </w:tr>
      <w:tr w:rsidR="007D7B2C" w:rsidRPr="0012097B" w14:paraId="7CE4C37C" w14:textId="77777777" w:rsidTr="00040639">
        <w:tc>
          <w:tcPr>
            <w:tcW w:w="706" w:type="dxa"/>
          </w:tcPr>
          <w:p w14:paraId="45376267" w14:textId="3E57698D" w:rsidR="00227BBD" w:rsidRPr="0012097B" w:rsidRDefault="007D7B2C" w:rsidP="00040639">
            <w:pPr>
              <w:jc w:val="center"/>
            </w:pPr>
            <w:r w:rsidRPr="0012097B">
              <w:t>3</w:t>
            </w:r>
            <w:r w:rsidR="00227BBD" w:rsidRPr="0012097B">
              <w:t>.</w:t>
            </w:r>
          </w:p>
        </w:tc>
        <w:tc>
          <w:tcPr>
            <w:tcW w:w="6519" w:type="dxa"/>
          </w:tcPr>
          <w:p w14:paraId="78C6EC05" w14:textId="367C7CBB" w:rsidR="00227BBD" w:rsidRPr="0012097B" w:rsidRDefault="00227BBD" w:rsidP="00000711">
            <w:pPr>
              <w:rPr>
                <w:b/>
                <w:bCs/>
              </w:rPr>
            </w:pPr>
            <w:r w:rsidRPr="0012097B">
              <w:rPr>
                <w:b/>
                <w:bCs/>
              </w:rPr>
              <w:t>Kandidāta</w:t>
            </w:r>
            <w:r w:rsidR="00262197" w:rsidRPr="0012097B">
              <w:rPr>
                <w:b/>
                <w:bCs/>
              </w:rPr>
              <w:t xml:space="preserve"> vai viņa aizvietotāja</w:t>
            </w:r>
            <w:r w:rsidRPr="0012097B">
              <w:rPr>
                <w:b/>
                <w:bCs/>
              </w:rPr>
              <w:t xml:space="preserve"> vadības, komunikācijas, argumentācijas, sadarbības un stratēģiskās plānošanas prasmes</w:t>
            </w:r>
            <w:r w:rsidR="00674E1E" w:rsidRPr="0012097B">
              <w:rPr>
                <w:b/>
                <w:bCs/>
              </w:rPr>
              <w:t>:</w:t>
            </w:r>
          </w:p>
        </w:tc>
        <w:tc>
          <w:tcPr>
            <w:tcW w:w="1842" w:type="dxa"/>
          </w:tcPr>
          <w:p w14:paraId="02597D85" w14:textId="77777777" w:rsidR="00227BBD" w:rsidRPr="0012097B" w:rsidRDefault="00227BBD" w:rsidP="00F030BB">
            <w:pPr>
              <w:jc w:val="center"/>
            </w:pPr>
          </w:p>
        </w:tc>
      </w:tr>
      <w:tr w:rsidR="007D7B2C" w:rsidRPr="0012097B" w14:paraId="3183D79B" w14:textId="77777777" w:rsidTr="00040639">
        <w:tc>
          <w:tcPr>
            <w:tcW w:w="706" w:type="dxa"/>
          </w:tcPr>
          <w:p w14:paraId="6F2C54A5" w14:textId="554586AC" w:rsidR="00227BBD" w:rsidRPr="0012097B" w:rsidRDefault="007D7B2C" w:rsidP="00040639">
            <w:pPr>
              <w:jc w:val="center"/>
            </w:pPr>
            <w:r w:rsidRPr="0012097B">
              <w:t>3</w:t>
            </w:r>
            <w:r w:rsidR="00227BBD" w:rsidRPr="0012097B">
              <w:t>.1.</w:t>
            </w:r>
          </w:p>
        </w:tc>
        <w:tc>
          <w:tcPr>
            <w:tcW w:w="6519" w:type="dxa"/>
          </w:tcPr>
          <w:p w14:paraId="12B82DAA" w14:textId="4AA851CE" w:rsidR="00227BBD" w:rsidRPr="0012097B" w:rsidRDefault="00674E1E" w:rsidP="00764B2C">
            <w:r w:rsidRPr="0012097B">
              <w:t>k</w:t>
            </w:r>
            <w:r w:rsidR="00227BBD" w:rsidRPr="0012097B">
              <w:t>andidāta</w:t>
            </w:r>
            <w:r w:rsidR="00262197" w:rsidRPr="0012097B">
              <w:t xml:space="preserve"> vai viņa aizvietotāja</w:t>
            </w:r>
            <w:r w:rsidR="00227BBD" w:rsidRPr="0012097B">
              <w:t xml:space="preserve"> vadības, komunikācijas, argumentācijas, sadarbības un stratēģiskās plānošanas prasmes ir vērtējamas kā zemas</w:t>
            </w:r>
            <w:r w:rsidR="00A1409B" w:rsidRPr="0012097B">
              <w:t xml:space="preserve"> (</w:t>
            </w:r>
            <w:r w:rsidR="00000711" w:rsidRPr="0012097B">
              <w:rPr>
                <w:iCs/>
              </w:rPr>
              <w:t>k</w:t>
            </w:r>
            <w:r w:rsidR="003D5405" w:rsidRPr="0012097B">
              <w:rPr>
                <w:iCs/>
              </w:rPr>
              <w:t>andidāts</w:t>
            </w:r>
            <w:r w:rsidR="00262197" w:rsidRPr="0012097B">
              <w:rPr>
                <w:iCs/>
              </w:rPr>
              <w:t xml:space="preserve"> vai viņa aizvietotājs</w:t>
            </w:r>
            <w:r w:rsidR="003D5405" w:rsidRPr="0012097B">
              <w:rPr>
                <w:iCs/>
              </w:rPr>
              <w:t xml:space="preserve"> </w:t>
            </w:r>
            <w:r w:rsidR="004110DF" w:rsidRPr="0012097B">
              <w:rPr>
                <w:iCs/>
              </w:rPr>
              <w:t>nevēlas uzņemties komandas vadību vai atbildību par citiem komandas dalībniekiem. Lēmumu pieņemšanā paļaujas uz sava amata autoritāti un uzspiež savu viedokli. Kandidāts</w:t>
            </w:r>
            <w:r w:rsidR="00262197" w:rsidRPr="0012097B">
              <w:rPr>
                <w:iCs/>
              </w:rPr>
              <w:t xml:space="preserve"> vai viņa aizvietotājs</w:t>
            </w:r>
            <w:r w:rsidR="004110DF" w:rsidRPr="0012097B">
              <w:rPr>
                <w:iCs/>
              </w:rPr>
              <w:t xml:space="preserve"> </w:t>
            </w:r>
            <w:r w:rsidR="003D5405" w:rsidRPr="0012097B">
              <w:rPr>
                <w:iCs/>
              </w:rPr>
              <w:t>nespēj formulēt savas domas, aizstāvēt savu viedokli, atbildēt uz jautājumiem</w:t>
            </w:r>
            <w:r w:rsidR="004110DF" w:rsidRPr="0012097B">
              <w:rPr>
                <w:iCs/>
              </w:rPr>
              <w:t>. Kandidātam</w:t>
            </w:r>
            <w:r w:rsidR="00262197" w:rsidRPr="0012097B">
              <w:rPr>
                <w:iCs/>
              </w:rPr>
              <w:t xml:space="preserve"> vai viņa aizvietotājam</w:t>
            </w:r>
            <w:r w:rsidR="004110DF" w:rsidRPr="0012097B">
              <w:rPr>
                <w:iCs/>
              </w:rPr>
              <w:t xml:space="preserve"> </w:t>
            </w:r>
            <w:r w:rsidR="004110DF" w:rsidRPr="0012097B">
              <w:rPr>
                <w:iCs/>
              </w:rPr>
              <w:lastRenderedPageBreak/>
              <w:t>trūkst stratēģiska redzējuma vai vēl</w:t>
            </w:r>
            <w:r w:rsidR="00764B2C" w:rsidRPr="0012097B">
              <w:rPr>
                <w:iCs/>
              </w:rPr>
              <w:t>me</w:t>
            </w:r>
            <w:r w:rsidR="004110DF" w:rsidRPr="0012097B">
              <w:rPr>
                <w:iCs/>
              </w:rPr>
              <w:t>s apzināt jaunus stratēģiskos virzienus</w:t>
            </w:r>
            <w:r w:rsidR="00A1409B" w:rsidRPr="0012097B">
              <w:t>)</w:t>
            </w:r>
          </w:p>
        </w:tc>
        <w:tc>
          <w:tcPr>
            <w:tcW w:w="1842" w:type="dxa"/>
          </w:tcPr>
          <w:p w14:paraId="3EBC7FA4" w14:textId="77777777" w:rsidR="00227BBD" w:rsidRPr="0012097B" w:rsidRDefault="00227BBD" w:rsidP="00F030BB">
            <w:pPr>
              <w:jc w:val="center"/>
            </w:pPr>
            <w:r w:rsidRPr="0012097B">
              <w:lastRenderedPageBreak/>
              <w:t>1</w:t>
            </w:r>
          </w:p>
        </w:tc>
      </w:tr>
      <w:tr w:rsidR="007D7B2C" w:rsidRPr="0012097B" w14:paraId="197602EA" w14:textId="77777777" w:rsidTr="00040639">
        <w:tc>
          <w:tcPr>
            <w:tcW w:w="706" w:type="dxa"/>
          </w:tcPr>
          <w:p w14:paraId="29F328EE" w14:textId="75881645" w:rsidR="00227BBD" w:rsidRPr="0012097B" w:rsidRDefault="007D7B2C" w:rsidP="00040639">
            <w:pPr>
              <w:jc w:val="center"/>
            </w:pPr>
            <w:r w:rsidRPr="0012097B">
              <w:t>3</w:t>
            </w:r>
            <w:r w:rsidR="00227BBD" w:rsidRPr="0012097B">
              <w:t>.2.</w:t>
            </w:r>
          </w:p>
        </w:tc>
        <w:tc>
          <w:tcPr>
            <w:tcW w:w="6519" w:type="dxa"/>
          </w:tcPr>
          <w:p w14:paraId="70760135" w14:textId="56340A8A" w:rsidR="00227BBD" w:rsidRPr="0012097B" w:rsidRDefault="00674E1E" w:rsidP="00000711">
            <w:r w:rsidRPr="0012097B">
              <w:t>k</w:t>
            </w:r>
            <w:r w:rsidR="00227BBD" w:rsidRPr="0012097B">
              <w:t>andidāta</w:t>
            </w:r>
            <w:r w:rsidR="00262197" w:rsidRPr="0012097B">
              <w:t xml:space="preserve"> vai viņa aizvietotāja</w:t>
            </w:r>
            <w:r w:rsidR="00227BBD" w:rsidRPr="0012097B">
              <w:t xml:space="preserve"> vadības, komunikācijas, argumentācijas, sadarbības un stratēģiskās plānošanas prasmes ir vērtējamas kā viduvējas</w:t>
            </w:r>
            <w:r w:rsidR="004110DF" w:rsidRPr="0012097B">
              <w:t xml:space="preserve"> (</w:t>
            </w:r>
            <w:r w:rsidR="00000711" w:rsidRPr="0012097B">
              <w:rPr>
                <w:iCs/>
              </w:rPr>
              <w:t>k</w:t>
            </w:r>
            <w:r w:rsidR="004110DF" w:rsidRPr="0012097B">
              <w:rPr>
                <w:iCs/>
              </w:rPr>
              <w:t>andidāts</w:t>
            </w:r>
            <w:r w:rsidR="00262197" w:rsidRPr="0012097B">
              <w:rPr>
                <w:iCs/>
              </w:rPr>
              <w:t xml:space="preserve"> vai viņa aizvietotājs</w:t>
            </w:r>
            <w:r w:rsidR="004110DF" w:rsidRPr="0012097B">
              <w:rPr>
                <w:iCs/>
              </w:rPr>
              <w:t xml:space="preserve"> informē un iesaista komandas dalībniekus kopīgo lēmumu pieņemšanā, izskaidro sarežģītas idejas un plānus vienkāršā veidā. Kandidāts</w:t>
            </w:r>
            <w:r w:rsidR="00262197" w:rsidRPr="0012097B">
              <w:rPr>
                <w:iCs/>
              </w:rPr>
              <w:t xml:space="preserve"> vai viņa aizvietotājs</w:t>
            </w:r>
            <w:r w:rsidR="004110DF" w:rsidRPr="0012097B">
              <w:rPr>
                <w:iCs/>
              </w:rPr>
              <w:t xml:space="preserve"> spēj formulēt un aizstāvēt savu viedokli, skaidri atbild uz jautājumiem. Kandidāts</w:t>
            </w:r>
            <w:r w:rsidR="00262197" w:rsidRPr="0012097B">
              <w:rPr>
                <w:iCs/>
              </w:rPr>
              <w:t xml:space="preserve"> vai viņa aizvietotājs</w:t>
            </w:r>
            <w:r w:rsidR="004110DF" w:rsidRPr="0012097B">
              <w:rPr>
                <w:iCs/>
              </w:rPr>
              <w:t xml:space="preserve"> spēj noteikt darbības mērķus un plānus, lai nodrošinātu atbilstību stratēģiskajam virzienam. Spēj novērtēt atšķirību starp esošo stāvokli un vēlamo attīstības virzienu nākotnē</w:t>
            </w:r>
            <w:r w:rsidR="004110DF" w:rsidRPr="0012097B">
              <w:t>)</w:t>
            </w:r>
          </w:p>
        </w:tc>
        <w:tc>
          <w:tcPr>
            <w:tcW w:w="1842" w:type="dxa"/>
          </w:tcPr>
          <w:p w14:paraId="7A194AC8" w14:textId="77777777" w:rsidR="00227BBD" w:rsidRPr="0012097B" w:rsidRDefault="00227BBD" w:rsidP="00F030BB">
            <w:pPr>
              <w:jc w:val="center"/>
            </w:pPr>
            <w:r w:rsidRPr="0012097B">
              <w:t>2</w:t>
            </w:r>
          </w:p>
        </w:tc>
      </w:tr>
      <w:tr w:rsidR="007D7B2C" w:rsidRPr="0012097B" w14:paraId="054961FE" w14:textId="77777777" w:rsidTr="00040639">
        <w:tc>
          <w:tcPr>
            <w:tcW w:w="706" w:type="dxa"/>
          </w:tcPr>
          <w:p w14:paraId="5F5A859A" w14:textId="11D85DBC" w:rsidR="00227BBD" w:rsidRPr="0012097B" w:rsidRDefault="007D7B2C" w:rsidP="00040639">
            <w:pPr>
              <w:jc w:val="center"/>
            </w:pPr>
            <w:r w:rsidRPr="0012097B">
              <w:t>3</w:t>
            </w:r>
            <w:r w:rsidR="00227BBD" w:rsidRPr="0012097B">
              <w:t>.3.</w:t>
            </w:r>
          </w:p>
        </w:tc>
        <w:tc>
          <w:tcPr>
            <w:tcW w:w="6519" w:type="dxa"/>
          </w:tcPr>
          <w:p w14:paraId="2EC4406F" w14:textId="4B460C59" w:rsidR="00227BBD" w:rsidRPr="0012097B" w:rsidRDefault="00227BBD" w:rsidP="00000711">
            <w:r w:rsidRPr="0012097B">
              <w:t>Kandidāta</w:t>
            </w:r>
            <w:r w:rsidR="00262197" w:rsidRPr="0012097B">
              <w:t xml:space="preserve"> vai viņa aizvietotāja</w:t>
            </w:r>
            <w:r w:rsidRPr="0012097B">
              <w:t xml:space="preserve"> vadības, komunikācijas, argumentācijas, sadarbības un stratēģiskās plānošanas prasmes ir vērtējamas kā augstas</w:t>
            </w:r>
            <w:r w:rsidR="004110DF" w:rsidRPr="0012097B">
              <w:t xml:space="preserve"> (</w:t>
            </w:r>
            <w:r w:rsidR="00000711" w:rsidRPr="0012097B">
              <w:rPr>
                <w:iCs/>
              </w:rPr>
              <w:t>k</w:t>
            </w:r>
            <w:r w:rsidR="00125AB3" w:rsidRPr="0012097B">
              <w:rPr>
                <w:iCs/>
              </w:rPr>
              <w:t>andidāts</w:t>
            </w:r>
            <w:r w:rsidR="00262197" w:rsidRPr="0012097B">
              <w:rPr>
                <w:iCs/>
              </w:rPr>
              <w:t xml:space="preserve"> vai viņa aizvietotājs</w:t>
            </w:r>
            <w:r w:rsidR="00125AB3" w:rsidRPr="0012097B">
              <w:rPr>
                <w:iCs/>
              </w:rPr>
              <w:t xml:space="preserve"> aktīvi un pēc paša iniciatīvas uzņemas līdera lomu un spēj efektīvi organizēt komandas darbu</w:t>
            </w:r>
            <w:r w:rsidR="00693067" w:rsidRPr="0012097B">
              <w:rPr>
                <w:iCs/>
              </w:rPr>
              <w:t xml:space="preserve">. </w:t>
            </w:r>
            <w:r w:rsidR="00125AB3" w:rsidRPr="0012097B">
              <w:rPr>
                <w:iCs/>
              </w:rPr>
              <w:t>Uzņemas pilnu atbildību par komandas darba rezultātiem.</w:t>
            </w:r>
            <w:r w:rsidR="00693067" w:rsidRPr="0012097B">
              <w:rPr>
                <w:iCs/>
              </w:rPr>
              <w:t xml:space="preserve"> Kandidāts</w:t>
            </w:r>
            <w:r w:rsidR="00262197" w:rsidRPr="0012097B">
              <w:rPr>
                <w:iCs/>
              </w:rPr>
              <w:t xml:space="preserve"> vai viņa aizvietotājs</w:t>
            </w:r>
            <w:r w:rsidR="00693067" w:rsidRPr="0012097B">
              <w:rPr>
                <w:iCs/>
              </w:rPr>
              <w:t xml:space="preserve"> spēj formulēt un argumentēt savu viedokli, skaidri un paplašināti atbild uz jautājumiem. Kandidāts</w:t>
            </w:r>
            <w:r w:rsidR="00262197" w:rsidRPr="0012097B">
              <w:rPr>
                <w:iCs/>
              </w:rPr>
              <w:t xml:space="preserve"> vai viņa aizvietotājs</w:t>
            </w:r>
            <w:r w:rsidR="00693067" w:rsidRPr="0012097B">
              <w:rPr>
                <w:iCs/>
              </w:rPr>
              <w:t xml:space="preserve"> spēj definēt vīziju un stratēģiju plašāku valsts attīstības mērķu kontekstā, spēj raksturot vīziju un vērtības saprotamā un viegli uztveramā veidā, lai panāktu komandas līdzdalību</w:t>
            </w:r>
            <w:r w:rsidR="004110DF" w:rsidRPr="0012097B">
              <w:t>)</w:t>
            </w:r>
          </w:p>
        </w:tc>
        <w:tc>
          <w:tcPr>
            <w:tcW w:w="1842" w:type="dxa"/>
          </w:tcPr>
          <w:p w14:paraId="39E8B3D9" w14:textId="77777777" w:rsidR="00227BBD" w:rsidRPr="0012097B" w:rsidRDefault="00227BBD" w:rsidP="00F030BB">
            <w:pPr>
              <w:jc w:val="center"/>
            </w:pPr>
            <w:r w:rsidRPr="0012097B">
              <w:t>3</w:t>
            </w:r>
          </w:p>
        </w:tc>
      </w:tr>
      <w:tr w:rsidR="007D7B2C" w:rsidRPr="0012097B" w14:paraId="48423734" w14:textId="77777777" w:rsidTr="00040639">
        <w:tc>
          <w:tcPr>
            <w:tcW w:w="7225" w:type="dxa"/>
            <w:gridSpan w:val="2"/>
          </w:tcPr>
          <w:p w14:paraId="6B40F1E9" w14:textId="77777777" w:rsidR="00227BBD" w:rsidRPr="0012097B" w:rsidRDefault="00227BBD" w:rsidP="00000711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  <w:r w:rsidRPr="0012097B">
              <w:rPr>
                <w:b/>
                <w:bCs/>
              </w:rPr>
              <w:t>Maksimālais punktu skaits</w:t>
            </w:r>
          </w:p>
        </w:tc>
        <w:tc>
          <w:tcPr>
            <w:tcW w:w="1842" w:type="dxa"/>
          </w:tcPr>
          <w:p w14:paraId="358D7108" w14:textId="2B01041E" w:rsidR="00227BBD" w:rsidRPr="0012097B" w:rsidRDefault="007D7B2C" w:rsidP="00F030BB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12097B">
              <w:rPr>
                <w:b/>
                <w:bCs/>
              </w:rPr>
              <w:t>9</w:t>
            </w:r>
          </w:p>
        </w:tc>
      </w:tr>
    </w:tbl>
    <w:p w14:paraId="64F5DF91" w14:textId="77777777" w:rsidR="00581C7F" w:rsidRPr="0012097B" w:rsidRDefault="00581C7F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8EBB55" w14:textId="0895A2BD" w:rsidR="00581C7F" w:rsidRPr="0012097B" w:rsidRDefault="00581C7F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90EA2C" w14:textId="77777777" w:rsidR="00000711" w:rsidRPr="0012097B" w:rsidRDefault="00000711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B576CF" w14:textId="77777777" w:rsidR="00581C7F" w:rsidRPr="000B2AF8" w:rsidRDefault="00581C7F" w:rsidP="00000711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12097B">
        <w:rPr>
          <w:sz w:val="28"/>
          <w:szCs w:val="28"/>
        </w:rPr>
        <w:t xml:space="preserve">Kultūras ministrs </w:t>
      </w:r>
      <w:r w:rsidRPr="0012097B">
        <w:rPr>
          <w:sz w:val="28"/>
          <w:szCs w:val="28"/>
        </w:rPr>
        <w:tab/>
        <w:t>N. Puntulis</w:t>
      </w:r>
    </w:p>
    <w:sectPr w:rsidR="00581C7F" w:rsidRPr="000B2AF8" w:rsidSect="0026219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08A51" w14:textId="77777777" w:rsidR="003A5AAE" w:rsidRDefault="003A5AAE" w:rsidP="00FF6617">
      <w:r>
        <w:separator/>
      </w:r>
    </w:p>
  </w:endnote>
  <w:endnote w:type="continuationSeparator" w:id="0">
    <w:p w14:paraId="3FDAE1F1" w14:textId="77777777" w:rsidR="003A5AAE" w:rsidRDefault="003A5AAE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EF08" w14:textId="5642E132" w:rsidR="0045170F" w:rsidRPr="00581C7F" w:rsidRDefault="00581C7F" w:rsidP="00E841B2">
    <w:pPr>
      <w:pStyle w:val="Footer"/>
      <w:rPr>
        <w:sz w:val="16"/>
        <w:szCs w:val="16"/>
      </w:rPr>
    </w:pPr>
    <w:r>
      <w:rPr>
        <w:iCs/>
        <w:sz w:val="16"/>
        <w:szCs w:val="16"/>
      </w:rPr>
      <w:t>N0746_1p3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D7AE" w14:textId="27BA5930" w:rsidR="0045170F" w:rsidRPr="00581C7F" w:rsidRDefault="00581C7F" w:rsidP="00581C7F">
    <w:pPr>
      <w:pStyle w:val="Footer"/>
      <w:rPr>
        <w:sz w:val="16"/>
        <w:szCs w:val="16"/>
      </w:rPr>
    </w:pPr>
    <w:r>
      <w:rPr>
        <w:iCs/>
        <w:sz w:val="16"/>
        <w:szCs w:val="16"/>
      </w:rPr>
      <w:t>N0746_1p3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E088" w14:textId="77777777" w:rsidR="003A5AAE" w:rsidRDefault="003A5AAE" w:rsidP="00FF6617">
      <w:r>
        <w:separator/>
      </w:r>
    </w:p>
  </w:footnote>
  <w:footnote w:type="continuationSeparator" w:id="0">
    <w:p w14:paraId="5B7D058C" w14:textId="77777777" w:rsidR="003A5AAE" w:rsidRDefault="003A5AAE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4FEA" w14:textId="0C5DAA3B" w:rsidR="00E33326" w:rsidRPr="00BE557D" w:rsidRDefault="00664405">
    <w:pPr>
      <w:pStyle w:val="Header"/>
      <w:jc w:val="center"/>
      <w:rPr>
        <w:sz w:val="22"/>
        <w:szCs w:val="22"/>
      </w:rPr>
    </w:pPr>
    <w:r w:rsidRPr="00BE557D">
      <w:rPr>
        <w:sz w:val="22"/>
        <w:szCs w:val="22"/>
      </w:rPr>
      <w:fldChar w:fldCharType="begin"/>
    </w:r>
    <w:r w:rsidR="007A20CB" w:rsidRPr="00BE557D">
      <w:rPr>
        <w:sz w:val="22"/>
        <w:szCs w:val="22"/>
      </w:rPr>
      <w:instrText xml:space="preserve"> PAGE   \* MERGEFORMAT </w:instrText>
    </w:r>
    <w:r w:rsidRPr="00BE557D">
      <w:rPr>
        <w:sz w:val="22"/>
        <w:szCs w:val="22"/>
      </w:rPr>
      <w:fldChar w:fldCharType="separate"/>
    </w:r>
    <w:r w:rsidR="0012097B">
      <w:rPr>
        <w:noProof/>
        <w:sz w:val="22"/>
        <w:szCs w:val="22"/>
      </w:rPr>
      <w:t>2</w:t>
    </w:r>
    <w:r w:rsidRPr="00BE557D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0711"/>
    <w:rsid w:val="00002CBF"/>
    <w:rsid w:val="00012172"/>
    <w:rsid w:val="000127DD"/>
    <w:rsid w:val="00033B6A"/>
    <w:rsid w:val="00040639"/>
    <w:rsid w:val="00047B72"/>
    <w:rsid w:val="00071D82"/>
    <w:rsid w:val="00073230"/>
    <w:rsid w:val="00091E82"/>
    <w:rsid w:val="00095230"/>
    <w:rsid w:val="000A59F4"/>
    <w:rsid w:val="000B4E62"/>
    <w:rsid w:val="000C0470"/>
    <w:rsid w:val="000C2AA3"/>
    <w:rsid w:val="000C48DB"/>
    <w:rsid w:val="000D45AB"/>
    <w:rsid w:val="000F672C"/>
    <w:rsid w:val="0012097B"/>
    <w:rsid w:val="001235C8"/>
    <w:rsid w:val="00123FE4"/>
    <w:rsid w:val="00125AB3"/>
    <w:rsid w:val="00132627"/>
    <w:rsid w:val="00142313"/>
    <w:rsid w:val="0015046C"/>
    <w:rsid w:val="001544D3"/>
    <w:rsid w:val="001630C2"/>
    <w:rsid w:val="001654EE"/>
    <w:rsid w:val="0017198E"/>
    <w:rsid w:val="00185437"/>
    <w:rsid w:val="001873F4"/>
    <w:rsid w:val="0018760A"/>
    <w:rsid w:val="00190A42"/>
    <w:rsid w:val="0019408B"/>
    <w:rsid w:val="001940B4"/>
    <w:rsid w:val="00194C78"/>
    <w:rsid w:val="001A021B"/>
    <w:rsid w:val="001A0FE9"/>
    <w:rsid w:val="001B1355"/>
    <w:rsid w:val="001B5B18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27BBD"/>
    <w:rsid w:val="0023794F"/>
    <w:rsid w:val="0024213D"/>
    <w:rsid w:val="00242F4E"/>
    <w:rsid w:val="00250510"/>
    <w:rsid w:val="00262197"/>
    <w:rsid w:val="0027055D"/>
    <w:rsid w:val="002726AC"/>
    <w:rsid w:val="00272E1E"/>
    <w:rsid w:val="00273F3C"/>
    <w:rsid w:val="00274D77"/>
    <w:rsid w:val="00274E7D"/>
    <w:rsid w:val="00281AAD"/>
    <w:rsid w:val="002A10EC"/>
    <w:rsid w:val="002A2FEC"/>
    <w:rsid w:val="002B15FC"/>
    <w:rsid w:val="002C311B"/>
    <w:rsid w:val="002C609A"/>
    <w:rsid w:val="002E12BA"/>
    <w:rsid w:val="002E6741"/>
    <w:rsid w:val="002E7F52"/>
    <w:rsid w:val="002F0240"/>
    <w:rsid w:val="002F1F5C"/>
    <w:rsid w:val="00301042"/>
    <w:rsid w:val="003135C9"/>
    <w:rsid w:val="00316740"/>
    <w:rsid w:val="0034067E"/>
    <w:rsid w:val="00357559"/>
    <w:rsid w:val="00357F29"/>
    <w:rsid w:val="003670FB"/>
    <w:rsid w:val="003704F8"/>
    <w:rsid w:val="00371B5A"/>
    <w:rsid w:val="00376BE8"/>
    <w:rsid w:val="003867D7"/>
    <w:rsid w:val="003A1415"/>
    <w:rsid w:val="003A5AAE"/>
    <w:rsid w:val="003B3418"/>
    <w:rsid w:val="003B563F"/>
    <w:rsid w:val="003C27C9"/>
    <w:rsid w:val="003C44F2"/>
    <w:rsid w:val="003C503D"/>
    <w:rsid w:val="003C6545"/>
    <w:rsid w:val="003D1BDD"/>
    <w:rsid w:val="003D2081"/>
    <w:rsid w:val="003D5405"/>
    <w:rsid w:val="003D5AEF"/>
    <w:rsid w:val="003E0BB8"/>
    <w:rsid w:val="003E1318"/>
    <w:rsid w:val="003E6A2E"/>
    <w:rsid w:val="00402FC7"/>
    <w:rsid w:val="004110DF"/>
    <w:rsid w:val="0042689A"/>
    <w:rsid w:val="00430D45"/>
    <w:rsid w:val="0043303B"/>
    <w:rsid w:val="00437462"/>
    <w:rsid w:val="00437D1A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4D0D94"/>
    <w:rsid w:val="00502906"/>
    <w:rsid w:val="0050358F"/>
    <w:rsid w:val="005151AE"/>
    <w:rsid w:val="00522742"/>
    <w:rsid w:val="00531796"/>
    <w:rsid w:val="00542F7C"/>
    <w:rsid w:val="00561C85"/>
    <w:rsid w:val="00561E8A"/>
    <w:rsid w:val="00581C7F"/>
    <w:rsid w:val="005920DD"/>
    <w:rsid w:val="005A4B8C"/>
    <w:rsid w:val="005B539D"/>
    <w:rsid w:val="005B78FC"/>
    <w:rsid w:val="005C258B"/>
    <w:rsid w:val="005D6086"/>
    <w:rsid w:val="00606649"/>
    <w:rsid w:val="00626AB7"/>
    <w:rsid w:val="00633C9A"/>
    <w:rsid w:val="006434A1"/>
    <w:rsid w:val="00664405"/>
    <w:rsid w:val="00667637"/>
    <w:rsid w:val="00670EAC"/>
    <w:rsid w:val="00674E1E"/>
    <w:rsid w:val="00680144"/>
    <w:rsid w:val="006904C1"/>
    <w:rsid w:val="00690DA3"/>
    <w:rsid w:val="00693067"/>
    <w:rsid w:val="00694DE7"/>
    <w:rsid w:val="006A3524"/>
    <w:rsid w:val="006B2A9F"/>
    <w:rsid w:val="006B2E7F"/>
    <w:rsid w:val="006B4316"/>
    <w:rsid w:val="006C6616"/>
    <w:rsid w:val="006C722A"/>
    <w:rsid w:val="006D7401"/>
    <w:rsid w:val="006E252D"/>
    <w:rsid w:val="006F0335"/>
    <w:rsid w:val="006F10B0"/>
    <w:rsid w:val="006F26AB"/>
    <w:rsid w:val="00716D52"/>
    <w:rsid w:val="0072046D"/>
    <w:rsid w:val="00736B3E"/>
    <w:rsid w:val="00742CEE"/>
    <w:rsid w:val="0075224E"/>
    <w:rsid w:val="0076043F"/>
    <w:rsid w:val="00764B2C"/>
    <w:rsid w:val="007651F0"/>
    <w:rsid w:val="007660EE"/>
    <w:rsid w:val="00777663"/>
    <w:rsid w:val="00781964"/>
    <w:rsid w:val="0079611B"/>
    <w:rsid w:val="00796440"/>
    <w:rsid w:val="007A20CB"/>
    <w:rsid w:val="007B18AC"/>
    <w:rsid w:val="007D47B1"/>
    <w:rsid w:val="007D7B2C"/>
    <w:rsid w:val="007E2209"/>
    <w:rsid w:val="007E4E2D"/>
    <w:rsid w:val="007E5290"/>
    <w:rsid w:val="007E5424"/>
    <w:rsid w:val="007F0571"/>
    <w:rsid w:val="008030C8"/>
    <w:rsid w:val="00804641"/>
    <w:rsid w:val="0081163A"/>
    <w:rsid w:val="00820FC3"/>
    <w:rsid w:val="00823F0C"/>
    <w:rsid w:val="00826C30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E01E7"/>
    <w:rsid w:val="008E1C25"/>
    <w:rsid w:val="0090653E"/>
    <w:rsid w:val="00911C6E"/>
    <w:rsid w:val="009255FF"/>
    <w:rsid w:val="00926C0D"/>
    <w:rsid w:val="00930ADC"/>
    <w:rsid w:val="0097112A"/>
    <w:rsid w:val="00975C55"/>
    <w:rsid w:val="00977048"/>
    <w:rsid w:val="00986F39"/>
    <w:rsid w:val="00990082"/>
    <w:rsid w:val="009A0C54"/>
    <w:rsid w:val="009B1519"/>
    <w:rsid w:val="009B3ADE"/>
    <w:rsid w:val="009C30EE"/>
    <w:rsid w:val="009C587B"/>
    <w:rsid w:val="009D1B70"/>
    <w:rsid w:val="009D2E2D"/>
    <w:rsid w:val="009D3290"/>
    <w:rsid w:val="009E5C89"/>
    <w:rsid w:val="00A1125B"/>
    <w:rsid w:val="00A1409B"/>
    <w:rsid w:val="00A161BD"/>
    <w:rsid w:val="00A23116"/>
    <w:rsid w:val="00A27C20"/>
    <w:rsid w:val="00A34479"/>
    <w:rsid w:val="00A37C59"/>
    <w:rsid w:val="00A51E53"/>
    <w:rsid w:val="00A70DF9"/>
    <w:rsid w:val="00A71D5B"/>
    <w:rsid w:val="00A74928"/>
    <w:rsid w:val="00A75571"/>
    <w:rsid w:val="00A77619"/>
    <w:rsid w:val="00A85F8C"/>
    <w:rsid w:val="00A86A0B"/>
    <w:rsid w:val="00A94033"/>
    <w:rsid w:val="00A948AE"/>
    <w:rsid w:val="00A94B60"/>
    <w:rsid w:val="00A95B78"/>
    <w:rsid w:val="00AA73DF"/>
    <w:rsid w:val="00AB02C9"/>
    <w:rsid w:val="00AD106B"/>
    <w:rsid w:val="00AD10E9"/>
    <w:rsid w:val="00AE01E9"/>
    <w:rsid w:val="00AE3E38"/>
    <w:rsid w:val="00AE6BF5"/>
    <w:rsid w:val="00AF0667"/>
    <w:rsid w:val="00B01C6F"/>
    <w:rsid w:val="00B2125E"/>
    <w:rsid w:val="00B32016"/>
    <w:rsid w:val="00B33584"/>
    <w:rsid w:val="00B4615C"/>
    <w:rsid w:val="00B4676C"/>
    <w:rsid w:val="00B53B5A"/>
    <w:rsid w:val="00B64E67"/>
    <w:rsid w:val="00B72C30"/>
    <w:rsid w:val="00BA779C"/>
    <w:rsid w:val="00BA7FF6"/>
    <w:rsid w:val="00BD1A7B"/>
    <w:rsid w:val="00BD457C"/>
    <w:rsid w:val="00BD6692"/>
    <w:rsid w:val="00BE46E1"/>
    <w:rsid w:val="00BE557D"/>
    <w:rsid w:val="00BF4FF6"/>
    <w:rsid w:val="00C008E6"/>
    <w:rsid w:val="00C01298"/>
    <w:rsid w:val="00C02E00"/>
    <w:rsid w:val="00C1427F"/>
    <w:rsid w:val="00C16412"/>
    <w:rsid w:val="00C44442"/>
    <w:rsid w:val="00C461B7"/>
    <w:rsid w:val="00C52E35"/>
    <w:rsid w:val="00C5311D"/>
    <w:rsid w:val="00C54D78"/>
    <w:rsid w:val="00C6426B"/>
    <w:rsid w:val="00C71A46"/>
    <w:rsid w:val="00C71AAA"/>
    <w:rsid w:val="00C8569D"/>
    <w:rsid w:val="00C93FB3"/>
    <w:rsid w:val="00CA1A34"/>
    <w:rsid w:val="00CB29C2"/>
    <w:rsid w:val="00CB68B7"/>
    <w:rsid w:val="00CC4273"/>
    <w:rsid w:val="00CE4304"/>
    <w:rsid w:val="00D14B14"/>
    <w:rsid w:val="00D23883"/>
    <w:rsid w:val="00D25E51"/>
    <w:rsid w:val="00D3202E"/>
    <w:rsid w:val="00D338D0"/>
    <w:rsid w:val="00D629F8"/>
    <w:rsid w:val="00D65EC0"/>
    <w:rsid w:val="00D87FC3"/>
    <w:rsid w:val="00DB14BF"/>
    <w:rsid w:val="00DB45B7"/>
    <w:rsid w:val="00DC4927"/>
    <w:rsid w:val="00DE2B5C"/>
    <w:rsid w:val="00DE5AAF"/>
    <w:rsid w:val="00E005B4"/>
    <w:rsid w:val="00E218F3"/>
    <w:rsid w:val="00E3089C"/>
    <w:rsid w:val="00E315F1"/>
    <w:rsid w:val="00E32B50"/>
    <w:rsid w:val="00E33326"/>
    <w:rsid w:val="00E47850"/>
    <w:rsid w:val="00E51215"/>
    <w:rsid w:val="00E631D7"/>
    <w:rsid w:val="00E76F31"/>
    <w:rsid w:val="00E841B2"/>
    <w:rsid w:val="00E95D7E"/>
    <w:rsid w:val="00EA2B5B"/>
    <w:rsid w:val="00EA3B6E"/>
    <w:rsid w:val="00EA6058"/>
    <w:rsid w:val="00EA6548"/>
    <w:rsid w:val="00EB5AEA"/>
    <w:rsid w:val="00EB5D6F"/>
    <w:rsid w:val="00EC460A"/>
    <w:rsid w:val="00ED0466"/>
    <w:rsid w:val="00F030BB"/>
    <w:rsid w:val="00F050A4"/>
    <w:rsid w:val="00F10A85"/>
    <w:rsid w:val="00F155CD"/>
    <w:rsid w:val="00F172C4"/>
    <w:rsid w:val="00F24893"/>
    <w:rsid w:val="00F349F4"/>
    <w:rsid w:val="00F3675B"/>
    <w:rsid w:val="00F4373F"/>
    <w:rsid w:val="00F53600"/>
    <w:rsid w:val="00F5392E"/>
    <w:rsid w:val="00F61544"/>
    <w:rsid w:val="00F67110"/>
    <w:rsid w:val="00F74F4F"/>
    <w:rsid w:val="00F90393"/>
    <w:rsid w:val="00F90C41"/>
    <w:rsid w:val="00F91129"/>
    <w:rsid w:val="00F94A89"/>
    <w:rsid w:val="00F94E4B"/>
    <w:rsid w:val="00FA13CB"/>
    <w:rsid w:val="00FA2091"/>
    <w:rsid w:val="00FA33F4"/>
    <w:rsid w:val="00FB1336"/>
    <w:rsid w:val="00FC2C60"/>
    <w:rsid w:val="00FE457D"/>
    <w:rsid w:val="00FF661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76C8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F5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1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11B"/>
    <w:rPr>
      <w:rFonts w:ascii="Times New Roman" w:eastAsia="Times New Roman" w:hAnsi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A7F7-C21A-49D3-9AB0-0F32D3E6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Ilona Jekele</dc:creator>
  <dc:description>67012345, vards.uzvards@mk.gov.lv</dc:description>
  <cp:lastModifiedBy>Leontīne Babkina</cp:lastModifiedBy>
  <cp:revision>16</cp:revision>
  <cp:lastPrinted>2015-02-09T12:49:00Z</cp:lastPrinted>
  <dcterms:created xsi:type="dcterms:W3CDTF">2021-03-10T13:42:00Z</dcterms:created>
  <dcterms:modified xsi:type="dcterms:W3CDTF">2021-04-06T06:26:00Z</dcterms:modified>
</cp:coreProperties>
</file>