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791B" w14:textId="77777777" w:rsidR="00C84B73" w:rsidRPr="00CA1C6E" w:rsidRDefault="00C84B73" w:rsidP="00C84B73">
      <w:pPr>
        <w:pStyle w:val="Heading3"/>
        <w:spacing w:before="0" w:beforeAutospacing="0" w:after="0" w:afterAutospacing="0"/>
        <w:ind w:left="6480" w:hanging="101"/>
        <w:jc w:val="right"/>
        <w:rPr>
          <w:b w:val="0"/>
          <w:bCs w:val="0"/>
          <w:sz w:val="28"/>
          <w:szCs w:val="32"/>
        </w:rPr>
      </w:pPr>
      <w:bookmarkStart w:id="0" w:name="_Hlk44922966"/>
      <w:r w:rsidRPr="00CA1C6E">
        <w:rPr>
          <w:b w:val="0"/>
          <w:sz w:val="28"/>
          <w:szCs w:val="32"/>
        </w:rPr>
        <w:t>Pielikums</w:t>
      </w:r>
    </w:p>
    <w:p w14:paraId="76A1C810" w14:textId="77777777" w:rsidR="00C84B73" w:rsidRPr="008126E6" w:rsidRDefault="00C84B73" w:rsidP="00C84B73">
      <w:pPr>
        <w:pStyle w:val="List"/>
        <w:ind w:left="6763" w:hanging="101"/>
        <w:jc w:val="right"/>
        <w:rPr>
          <w:sz w:val="28"/>
          <w:szCs w:val="28"/>
          <w:lang w:val="lv-LV"/>
        </w:rPr>
      </w:pPr>
      <w:r w:rsidRPr="008126E6">
        <w:rPr>
          <w:sz w:val="28"/>
          <w:szCs w:val="28"/>
          <w:lang w:val="lv-LV"/>
        </w:rPr>
        <w:t>Ministru kabineta</w:t>
      </w:r>
    </w:p>
    <w:p w14:paraId="3785040D" w14:textId="0A0F1D39" w:rsidR="00C84B73" w:rsidRPr="008126E6" w:rsidRDefault="00C84B73" w:rsidP="00C84B73">
      <w:pPr>
        <w:pStyle w:val="List"/>
        <w:ind w:left="6804" w:hanging="567"/>
        <w:jc w:val="right"/>
        <w:rPr>
          <w:sz w:val="28"/>
          <w:szCs w:val="28"/>
          <w:lang w:val="lv-LV"/>
        </w:rPr>
      </w:pPr>
      <w:r w:rsidRPr="008126E6">
        <w:rPr>
          <w:sz w:val="28"/>
          <w:szCs w:val="28"/>
          <w:lang w:val="lv-LV"/>
        </w:rPr>
        <w:t>20</w:t>
      </w:r>
      <w:r>
        <w:rPr>
          <w:sz w:val="28"/>
          <w:szCs w:val="28"/>
          <w:lang w:val="lv-LV"/>
        </w:rPr>
        <w:t>21. gada </w:t>
      </w:r>
      <w:r w:rsidR="004902CD">
        <w:rPr>
          <w:sz w:val="28"/>
          <w:szCs w:val="28"/>
          <w:lang w:val="lv-LV"/>
        </w:rPr>
        <w:t>29.</w:t>
      </w:r>
      <w:r>
        <w:rPr>
          <w:sz w:val="28"/>
          <w:szCs w:val="28"/>
          <w:lang w:val="lv-LV"/>
        </w:rPr>
        <w:t> </w:t>
      </w:r>
      <w:r w:rsidR="004902CD">
        <w:rPr>
          <w:sz w:val="28"/>
          <w:szCs w:val="28"/>
          <w:lang w:val="lv-LV"/>
        </w:rPr>
        <w:t>aprīļa</w:t>
      </w:r>
    </w:p>
    <w:p w14:paraId="04F9327B" w14:textId="23FCCFCA" w:rsidR="00C84B73" w:rsidRPr="008126E6" w:rsidRDefault="00C84B73" w:rsidP="00C84B73">
      <w:pPr>
        <w:pStyle w:val="List"/>
        <w:tabs>
          <w:tab w:val="left" w:pos="6804"/>
        </w:tabs>
        <w:ind w:hanging="101"/>
        <w:jc w:val="right"/>
        <w:rPr>
          <w:sz w:val="28"/>
          <w:szCs w:val="28"/>
          <w:lang w:val="lv-LV"/>
        </w:rPr>
      </w:pPr>
      <w:r w:rsidRPr="008126E6">
        <w:rPr>
          <w:sz w:val="28"/>
          <w:szCs w:val="28"/>
          <w:lang w:val="lv-LV"/>
        </w:rPr>
        <w:t>rīkojumam Nr.</w:t>
      </w:r>
      <w:r>
        <w:rPr>
          <w:sz w:val="28"/>
          <w:szCs w:val="28"/>
          <w:lang w:val="lv-LV"/>
        </w:rPr>
        <w:t> </w:t>
      </w:r>
      <w:r w:rsidR="004902CD">
        <w:rPr>
          <w:sz w:val="28"/>
          <w:szCs w:val="28"/>
          <w:lang w:val="lv-LV"/>
        </w:rPr>
        <w:t>285</w:t>
      </w:r>
    </w:p>
    <w:bookmarkEnd w:id="0"/>
    <w:p w14:paraId="67123E4C" w14:textId="77777777" w:rsidR="00C84B73" w:rsidRPr="00F659B6" w:rsidRDefault="00C84B73" w:rsidP="00C84B73">
      <w:pPr>
        <w:pStyle w:val="VPBody"/>
        <w:numPr>
          <w:ilvl w:val="0"/>
          <w:numId w:val="1"/>
        </w:numPr>
        <w:spacing w:after="0" w:line="240" w:lineRule="auto"/>
        <w:ind w:left="0" w:firstLine="709"/>
        <w:jc w:val="right"/>
        <w:rPr>
          <w:sz w:val="28"/>
          <w:szCs w:val="28"/>
        </w:rPr>
      </w:pPr>
    </w:p>
    <w:p w14:paraId="41ECCA7E" w14:textId="77777777" w:rsidR="00C84B73" w:rsidRPr="00A6298A" w:rsidRDefault="00C84B73" w:rsidP="00C84B73">
      <w:pPr>
        <w:pStyle w:val="VPBody"/>
        <w:numPr>
          <w:ilvl w:val="0"/>
          <w:numId w:val="1"/>
        </w:numPr>
        <w:spacing w:after="0" w:line="240" w:lineRule="auto"/>
        <w:ind w:left="0" w:firstLine="709"/>
        <w:jc w:val="right"/>
        <w:rPr>
          <w:sz w:val="28"/>
          <w:szCs w:val="28"/>
        </w:rPr>
      </w:pPr>
      <w:r w:rsidRPr="00A6298A">
        <w:rPr>
          <w:sz w:val="28"/>
          <w:szCs w:val="28"/>
          <w:shd w:val="clear" w:color="auto" w:fill="FFFFFF"/>
        </w:rPr>
        <w:t>"(Apstiprināts ar</w:t>
      </w:r>
    </w:p>
    <w:p w14:paraId="3421184B" w14:textId="77777777" w:rsidR="00C84B73" w:rsidRPr="00A6298A" w:rsidRDefault="00C84B73" w:rsidP="00C84B73">
      <w:pPr>
        <w:pStyle w:val="VPBody"/>
        <w:numPr>
          <w:ilvl w:val="0"/>
          <w:numId w:val="1"/>
        </w:numPr>
        <w:spacing w:after="0" w:line="240" w:lineRule="auto"/>
        <w:jc w:val="right"/>
        <w:rPr>
          <w:sz w:val="28"/>
          <w:szCs w:val="28"/>
        </w:rPr>
      </w:pPr>
      <w:r w:rsidRPr="00A6298A">
        <w:rPr>
          <w:sz w:val="28"/>
          <w:szCs w:val="28"/>
          <w:shd w:val="clear" w:color="auto" w:fill="FFFFFF"/>
        </w:rPr>
        <w:t>Ministru kabineta</w:t>
      </w:r>
    </w:p>
    <w:p w14:paraId="74ADCAE3" w14:textId="77777777" w:rsidR="00C84B73" w:rsidRPr="00A6298A" w:rsidRDefault="00C84B73" w:rsidP="00C84B73">
      <w:pPr>
        <w:pStyle w:val="VPBody"/>
        <w:numPr>
          <w:ilvl w:val="0"/>
          <w:numId w:val="1"/>
        </w:numPr>
        <w:spacing w:after="0" w:line="240" w:lineRule="auto"/>
        <w:jc w:val="right"/>
        <w:rPr>
          <w:sz w:val="28"/>
          <w:szCs w:val="28"/>
        </w:rPr>
      </w:pPr>
      <w:r w:rsidRPr="00A6298A">
        <w:rPr>
          <w:sz w:val="28"/>
          <w:szCs w:val="28"/>
          <w:shd w:val="clear" w:color="auto" w:fill="FFFFFF"/>
        </w:rPr>
        <w:t>2017.</w:t>
      </w:r>
      <w:r w:rsidRPr="00A6298A">
        <w:rPr>
          <w:sz w:val="28"/>
          <w:szCs w:val="28"/>
        </w:rPr>
        <w:t> </w:t>
      </w:r>
      <w:r w:rsidRPr="00A6298A">
        <w:rPr>
          <w:sz w:val="28"/>
          <w:szCs w:val="28"/>
          <w:shd w:val="clear" w:color="auto" w:fill="FFFFFF"/>
        </w:rPr>
        <w:t>gada 23.</w:t>
      </w:r>
      <w:r w:rsidRPr="00A6298A">
        <w:rPr>
          <w:sz w:val="28"/>
          <w:szCs w:val="28"/>
        </w:rPr>
        <w:t> augusta</w:t>
      </w:r>
    </w:p>
    <w:p w14:paraId="4A4D57E8" w14:textId="77777777" w:rsidR="00C84B73" w:rsidRPr="00A6298A" w:rsidRDefault="00C84B73" w:rsidP="00C84B73">
      <w:pPr>
        <w:spacing w:after="0" w:line="240" w:lineRule="auto"/>
        <w:jc w:val="right"/>
        <w:rPr>
          <w:rFonts w:ascii="Times New Roman" w:hAnsi="Times New Roman" w:cs="Times New Roman"/>
          <w:sz w:val="28"/>
          <w:szCs w:val="28"/>
          <w:shd w:val="clear" w:color="auto" w:fill="FFFFFF"/>
        </w:rPr>
      </w:pPr>
      <w:r w:rsidRPr="00A6298A">
        <w:rPr>
          <w:rFonts w:ascii="Times New Roman" w:hAnsi="Times New Roman" w:cs="Times New Roman"/>
          <w:sz w:val="28"/>
          <w:szCs w:val="28"/>
          <w:shd w:val="clear" w:color="auto" w:fill="FFFFFF"/>
        </w:rPr>
        <w:t>rīkojumu Nr.</w:t>
      </w:r>
      <w:r w:rsidRPr="00A6298A">
        <w:rPr>
          <w:rFonts w:ascii="Times New Roman" w:hAnsi="Times New Roman" w:cs="Times New Roman"/>
          <w:sz w:val="28"/>
          <w:szCs w:val="28"/>
        </w:rPr>
        <w:t> 448</w:t>
      </w:r>
      <w:r w:rsidRPr="00A6298A">
        <w:rPr>
          <w:rFonts w:ascii="Times New Roman" w:hAnsi="Times New Roman" w:cs="Times New Roman"/>
          <w:sz w:val="28"/>
          <w:szCs w:val="28"/>
          <w:shd w:val="clear" w:color="auto" w:fill="FFFFFF"/>
        </w:rPr>
        <w:t>)</w:t>
      </w:r>
    </w:p>
    <w:p w14:paraId="1432396C" w14:textId="77777777" w:rsidR="00C84B73" w:rsidRPr="00A6298A" w:rsidRDefault="00C84B73" w:rsidP="00C84B73">
      <w:pPr>
        <w:spacing w:after="0" w:line="240" w:lineRule="auto"/>
        <w:jc w:val="right"/>
        <w:rPr>
          <w:rFonts w:ascii="Times New Roman" w:hAnsi="Times New Roman" w:cs="Times New Roman"/>
          <w:sz w:val="28"/>
          <w:szCs w:val="28"/>
        </w:rPr>
      </w:pPr>
    </w:p>
    <w:p w14:paraId="65D1AB6A" w14:textId="77777777" w:rsidR="00C84B73" w:rsidRPr="00A6298A" w:rsidRDefault="00C84B73" w:rsidP="00C84B73">
      <w:pPr>
        <w:spacing w:after="0" w:line="240" w:lineRule="auto"/>
        <w:jc w:val="center"/>
        <w:rPr>
          <w:rFonts w:ascii="Times New Roman" w:hAnsi="Times New Roman" w:cs="Times New Roman"/>
          <w:b/>
          <w:bCs/>
          <w:sz w:val="28"/>
          <w:szCs w:val="28"/>
        </w:rPr>
      </w:pPr>
      <w:bookmarkStart w:id="1" w:name="_Toc465333697"/>
      <w:r w:rsidRPr="00A6298A">
        <w:rPr>
          <w:rFonts w:ascii="Times New Roman" w:hAnsi="Times New Roman" w:cs="Times New Roman"/>
          <w:b/>
          <w:bCs/>
          <w:sz w:val="28"/>
          <w:szCs w:val="28"/>
          <w:shd w:val="clear" w:color="auto" w:fill="FFFFFF"/>
        </w:rPr>
        <w:t>Veselības ministrijas un padotības iestāžu IKT centralizācijas atbalsts</w:t>
      </w:r>
      <w:r w:rsidRPr="00A6298A">
        <w:rPr>
          <w:rFonts w:ascii="Times New Roman" w:hAnsi="Times New Roman" w:cs="Times New Roman"/>
          <w:b/>
          <w:bCs/>
          <w:sz w:val="28"/>
          <w:szCs w:val="28"/>
        </w:rPr>
        <w:t xml:space="preserve"> </w:t>
      </w:r>
    </w:p>
    <w:p w14:paraId="37A9F0C7" w14:textId="77777777" w:rsidR="00C84B73" w:rsidRPr="00A6298A" w:rsidRDefault="00C84B73" w:rsidP="00C84B73">
      <w:pPr>
        <w:spacing w:after="0" w:line="240" w:lineRule="auto"/>
        <w:jc w:val="center"/>
        <w:rPr>
          <w:rFonts w:ascii="Times New Roman" w:hAnsi="Times New Roman" w:cs="Times New Roman"/>
          <w:b/>
          <w:bCs/>
          <w:sz w:val="28"/>
          <w:szCs w:val="28"/>
        </w:rPr>
      </w:pPr>
      <w:r w:rsidRPr="00A6298A">
        <w:rPr>
          <w:rFonts w:ascii="Times New Roman" w:hAnsi="Times New Roman" w:cs="Times New Roman"/>
          <w:b/>
          <w:bCs/>
          <w:sz w:val="28"/>
          <w:szCs w:val="28"/>
        </w:rPr>
        <w:t>Projekta apraksts (kopsavilkums)</w:t>
      </w:r>
      <w:bookmarkEnd w:id="1"/>
    </w:p>
    <w:p w14:paraId="0D86D205" w14:textId="77777777" w:rsidR="00C84B73" w:rsidRPr="00A6298A" w:rsidRDefault="00C84B73" w:rsidP="00C84B73">
      <w:pPr>
        <w:pStyle w:val="VPBody"/>
        <w:spacing w:after="0" w:line="240" w:lineRule="auto"/>
        <w:jc w:val="center"/>
        <w:rPr>
          <w:sz w:val="28"/>
          <w:szCs w:val="28"/>
        </w:rPr>
      </w:pPr>
    </w:p>
    <w:p w14:paraId="0833C77C" w14:textId="1C4BB5F0" w:rsidR="00C84B73" w:rsidRPr="00A6298A" w:rsidRDefault="00C84B73" w:rsidP="00C84B73">
      <w:pPr>
        <w:pStyle w:val="tvhtml"/>
        <w:shd w:val="clear" w:color="auto" w:fill="FFFFFF"/>
        <w:spacing w:before="0" w:beforeAutospacing="0" w:after="0" w:afterAutospacing="0"/>
        <w:ind w:firstLine="709"/>
        <w:jc w:val="both"/>
        <w:rPr>
          <w:sz w:val="28"/>
          <w:szCs w:val="28"/>
        </w:rPr>
      </w:pPr>
      <w:bookmarkStart w:id="2" w:name="_Hlk19544440"/>
      <w:r w:rsidRPr="00A6298A">
        <w:rPr>
          <w:sz w:val="28"/>
          <w:szCs w:val="28"/>
        </w:rPr>
        <w:t xml:space="preserve">Veselības ministrijas īstenojamā projekta "Veselības ministrijas un padotības iestāžu IKT centralizācijas atbalsts" (turpmāk </w:t>
      </w:r>
      <w:r w:rsidRPr="00A6298A">
        <w:rPr>
          <w:bCs/>
          <w:sz w:val="28"/>
          <w:szCs w:val="28"/>
        </w:rPr>
        <w:t>–</w:t>
      </w:r>
      <w:r w:rsidRPr="00A6298A">
        <w:rPr>
          <w:sz w:val="28"/>
          <w:szCs w:val="28"/>
        </w:rPr>
        <w:t xml:space="preserve"> projekts) uzdevums ir uzlabot Veselības ministrijas un Veselības ministrijas padotībā esošo iestāžu darbību, nodrošinot lietotājiem draudzīgākus iekšējos elektronizētos pakalpojumus, uzlabojot resora darbības efektivitāti un radot priekšnosacījumus publiskās pārvaldes rīcībā esošās informācijas plašākai izmantošanai.</w:t>
      </w:r>
      <w:bookmarkStart w:id="3" w:name="_Hlk58420878"/>
      <w:bookmarkEnd w:id="2"/>
      <w:bookmarkEnd w:id="3"/>
      <w:r w:rsidRPr="00A6298A">
        <w:rPr>
          <w:sz w:val="28"/>
          <w:szCs w:val="28"/>
        </w:rPr>
        <w:t xml:space="preserve"> </w:t>
      </w:r>
    </w:p>
    <w:p w14:paraId="4578A654"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p>
    <w:p w14:paraId="4091CCE4"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A6298A">
        <w:rPr>
          <w:rFonts w:ascii="Times New Roman" w:eastAsia="Times New Roman" w:hAnsi="Times New Roman" w:cs="Times New Roman"/>
          <w:b/>
          <w:sz w:val="28"/>
          <w:szCs w:val="28"/>
          <w:lang w:eastAsia="lv-LV"/>
        </w:rPr>
        <w:t>Projekta mērķi</w:t>
      </w:r>
    </w:p>
    <w:p w14:paraId="346E21A4"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p>
    <w:p w14:paraId="000D701E" w14:textId="77777777" w:rsidR="00C84B73" w:rsidRPr="00A6298A" w:rsidRDefault="00C84B73" w:rsidP="00C84B73">
      <w:pPr>
        <w:pStyle w:val="VPTitle"/>
        <w:spacing w:line="240" w:lineRule="auto"/>
        <w:ind w:firstLine="709"/>
        <w:jc w:val="both"/>
        <w:rPr>
          <w:rFonts w:cs="Times New Roman"/>
          <w:b w:val="0"/>
          <w:spacing w:val="0"/>
          <w:sz w:val="28"/>
          <w:szCs w:val="28"/>
        </w:rPr>
      </w:pPr>
      <w:r w:rsidRPr="00A6298A">
        <w:rPr>
          <w:rFonts w:cs="Times New Roman"/>
          <w:b w:val="0"/>
          <w:spacing w:val="0"/>
          <w:sz w:val="28"/>
          <w:szCs w:val="28"/>
        </w:rPr>
        <w:t xml:space="preserve">1. Veselības ministrijas resora (turpmāk </w:t>
      </w:r>
      <w:r w:rsidRPr="00A6298A">
        <w:rPr>
          <w:rFonts w:cs="Times New Roman"/>
          <w:b w:val="0"/>
          <w:bCs/>
          <w:spacing w:val="0"/>
          <w:sz w:val="28"/>
          <w:szCs w:val="28"/>
        </w:rPr>
        <w:t>– resors)</w:t>
      </w:r>
      <w:r w:rsidRPr="00A6298A">
        <w:rPr>
          <w:rFonts w:cs="Times New Roman"/>
          <w:b w:val="0"/>
          <w:spacing w:val="0"/>
          <w:sz w:val="28"/>
          <w:szCs w:val="28"/>
        </w:rPr>
        <w:t xml:space="preserve"> informācijas aprites un lēmumu pieņemšanas procesu pilnveidošana, izveidojot vienotu dokumentu vadības sistēmu un kopdarbības un informācijas apmaiņas vidi.</w:t>
      </w:r>
    </w:p>
    <w:p w14:paraId="1E92D2B7" w14:textId="77777777" w:rsidR="00C84B73" w:rsidRPr="00A6298A" w:rsidRDefault="00C84B73" w:rsidP="00C84B73">
      <w:pPr>
        <w:pStyle w:val="VPTitle"/>
        <w:spacing w:before="0" w:line="240" w:lineRule="auto"/>
        <w:ind w:firstLine="709"/>
        <w:jc w:val="both"/>
        <w:rPr>
          <w:rFonts w:cs="Times New Roman"/>
          <w:b w:val="0"/>
          <w:spacing w:val="0"/>
          <w:sz w:val="28"/>
          <w:szCs w:val="28"/>
        </w:rPr>
      </w:pPr>
    </w:p>
    <w:p w14:paraId="01AA8995" w14:textId="77777777" w:rsidR="00C84B73" w:rsidRPr="00A6298A" w:rsidRDefault="00C84B73" w:rsidP="00C84B73">
      <w:pPr>
        <w:pStyle w:val="VPTitle"/>
        <w:spacing w:line="240" w:lineRule="auto"/>
        <w:ind w:firstLine="709"/>
        <w:jc w:val="both"/>
        <w:rPr>
          <w:rFonts w:cs="Times New Roman"/>
          <w:b w:val="0"/>
          <w:spacing w:val="0"/>
          <w:sz w:val="28"/>
          <w:szCs w:val="28"/>
        </w:rPr>
      </w:pPr>
      <w:r w:rsidRPr="00A6298A">
        <w:rPr>
          <w:rFonts w:cs="Times New Roman"/>
          <w:b w:val="0"/>
          <w:spacing w:val="0"/>
          <w:sz w:val="28"/>
          <w:szCs w:val="28"/>
        </w:rPr>
        <w:t>2. Nozares informācijas pieejamības un izmantošanas uzlabošana, izveidojot resorā vienotu resursu vadības sistēmu, kā arī budžeta vadības risinājumu.</w:t>
      </w:r>
    </w:p>
    <w:p w14:paraId="066CC4BE" w14:textId="77777777" w:rsidR="00C84B73" w:rsidRPr="00A6298A" w:rsidRDefault="00C84B73" w:rsidP="00C84B73">
      <w:pPr>
        <w:pStyle w:val="VPTitle"/>
        <w:spacing w:before="0" w:line="240" w:lineRule="auto"/>
        <w:ind w:firstLine="709"/>
        <w:jc w:val="both"/>
        <w:rPr>
          <w:rFonts w:cs="Times New Roman"/>
          <w:b w:val="0"/>
          <w:bCs/>
          <w:spacing w:val="0"/>
          <w:sz w:val="28"/>
          <w:szCs w:val="28"/>
        </w:rPr>
      </w:pPr>
    </w:p>
    <w:p w14:paraId="15C45591" w14:textId="77777777" w:rsidR="00C84B73" w:rsidRPr="00A6298A" w:rsidRDefault="00C84B73" w:rsidP="00C84B73">
      <w:pPr>
        <w:pStyle w:val="VPTitle"/>
        <w:spacing w:line="240" w:lineRule="auto"/>
        <w:ind w:firstLine="709"/>
        <w:jc w:val="both"/>
        <w:rPr>
          <w:rFonts w:cs="Times New Roman"/>
          <w:b w:val="0"/>
          <w:spacing w:val="0"/>
          <w:sz w:val="28"/>
          <w:szCs w:val="28"/>
        </w:rPr>
      </w:pPr>
      <w:r w:rsidRPr="00A6298A">
        <w:rPr>
          <w:rFonts w:cs="Times New Roman"/>
          <w:b w:val="0"/>
          <w:bCs/>
          <w:spacing w:val="0"/>
          <w:sz w:val="28"/>
          <w:szCs w:val="28"/>
        </w:rPr>
        <w:t>3. Resora iestāžu informācijas sistēmu darbināšanai un attīstībai nepieciešamās informācijas un komunikācijas tehnoloģiju (turpmāk – IKT) infrastruktūras nodrošināšana efektīvā, valsts un resora IKT politikām atbilstošā veidā.</w:t>
      </w:r>
    </w:p>
    <w:p w14:paraId="28134A0C" w14:textId="77777777" w:rsidR="00C84B73" w:rsidRPr="00A6298A" w:rsidRDefault="00C84B73" w:rsidP="00C84B73">
      <w:pPr>
        <w:pStyle w:val="VPTitle"/>
        <w:spacing w:before="0" w:line="240" w:lineRule="auto"/>
        <w:ind w:left="720"/>
        <w:jc w:val="both"/>
        <w:rPr>
          <w:rFonts w:cs="Times New Roman"/>
          <w:b w:val="0"/>
          <w:spacing w:val="0"/>
          <w:sz w:val="28"/>
          <w:szCs w:val="28"/>
        </w:rPr>
      </w:pPr>
    </w:p>
    <w:p w14:paraId="070C89AA"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A6298A">
        <w:rPr>
          <w:rFonts w:ascii="Times New Roman" w:eastAsia="Times New Roman" w:hAnsi="Times New Roman" w:cs="Times New Roman"/>
          <w:b/>
          <w:sz w:val="28"/>
          <w:szCs w:val="28"/>
          <w:lang w:eastAsia="lv-LV"/>
        </w:rPr>
        <w:t xml:space="preserve">Darbības projekta mērķu sasniegšanai </w:t>
      </w:r>
    </w:p>
    <w:p w14:paraId="0709EBAE"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p>
    <w:p w14:paraId="22A334C9" w14:textId="77777777" w:rsidR="00C84B73" w:rsidRPr="00A6298A" w:rsidRDefault="00C84B73" w:rsidP="00C84B73">
      <w:pPr>
        <w:pStyle w:val="VPBullet1"/>
        <w:tabs>
          <w:tab w:val="left" w:pos="0"/>
        </w:tabs>
        <w:spacing w:after="0"/>
        <w:ind w:left="0" w:firstLine="709"/>
        <w:rPr>
          <w:rFonts w:ascii="Times New Roman" w:hAnsi="Times New Roman" w:cs="Times New Roman"/>
          <w:sz w:val="28"/>
          <w:szCs w:val="28"/>
        </w:rPr>
      </w:pPr>
      <w:r w:rsidRPr="00A6298A">
        <w:rPr>
          <w:rFonts w:ascii="Times New Roman" w:hAnsi="Times New Roman" w:cs="Times New Roman"/>
          <w:sz w:val="28"/>
          <w:szCs w:val="28"/>
        </w:rPr>
        <w:t>1. Vienotas dokumentu vadības sistēmas (platformas) ieviešana visās resora iestādēs, izmantojot standarta programmatūras risinājumus, kā arī vienotas resora kopdarbības un informācijas apmaiņas vides un e-pasta risinājuma ieviešana.</w:t>
      </w:r>
    </w:p>
    <w:p w14:paraId="6A2CD88C" w14:textId="77777777" w:rsidR="00C84B73" w:rsidRPr="00A6298A" w:rsidRDefault="00C84B73" w:rsidP="00C84B73">
      <w:pPr>
        <w:pStyle w:val="VPBullet1"/>
        <w:tabs>
          <w:tab w:val="left" w:pos="0"/>
        </w:tabs>
        <w:spacing w:before="0" w:after="0"/>
        <w:ind w:left="0" w:firstLine="709"/>
        <w:rPr>
          <w:rFonts w:ascii="Times New Roman" w:hAnsi="Times New Roman" w:cs="Times New Roman"/>
          <w:sz w:val="28"/>
          <w:szCs w:val="28"/>
        </w:rPr>
      </w:pPr>
    </w:p>
    <w:p w14:paraId="557C6D07" w14:textId="77777777" w:rsidR="00C84B73" w:rsidRPr="00A6298A" w:rsidRDefault="00C84B73" w:rsidP="00C84B73">
      <w:pPr>
        <w:pStyle w:val="VPBullet1"/>
        <w:tabs>
          <w:tab w:val="left" w:pos="0"/>
        </w:tabs>
        <w:spacing w:after="0"/>
        <w:ind w:left="0" w:firstLine="709"/>
        <w:rPr>
          <w:rFonts w:ascii="Times New Roman" w:hAnsi="Times New Roman" w:cs="Times New Roman"/>
          <w:sz w:val="28"/>
          <w:szCs w:val="28"/>
        </w:rPr>
      </w:pPr>
      <w:r w:rsidRPr="00A6298A">
        <w:rPr>
          <w:rFonts w:ascii="Times New Roman" w:hAnsi="Times New Roman" w:cs="Times New Roman"/>
          <w:sz w:val="28"/>
          <w:szCs w:val="28"/>
        </w:rPr>
        <w:lastRenderedPageBreak/>
        <w:t xml:space="preserve">2. Resora budžeta vadības risinājuma izveidošana, izstrādājot prasības resora iestāžu finanšu datu apkopošanai un analīzei, kas nodrošinās Veselības ministrijai un resora iestādēm nepieciešamo informāciju nozares politikas plānošanai un resora iestāžu darbības pilnveidošanai. </w:t>
      </w:r>
    </w:p>
    <w:p w14:paraId="216F98EF" w14:textId="77777777" w:rsidR="00C84B73" w:rsidRPr="00A6298A" w:rsidRDefault="00C84B73" w:rsidP="00C84B73">
      <w:pPr>
        <w:pStyle w:val="VPBullet1"/>
        <w:tabs>
          <w:tab w:val="left" w:pos="0"/>
        </w:tabs>
        <w:overflowPunct w:val="0"/>
        <w:autoSpaceDE w:val="0"/>
        <w:autoSpaceDN w:val="0"/>
        <w:adjustRightInd w:val="0"/>
        <w:spacing w:before="0" w:after="0"/>
        <w:ind w:left="0" w:firstLine="709"/>
        <w:textAlignment w:val="baseline"/>
        <w:rPr>
          <w:rFonts w:ascii="Times New Roman" w:eastAsia="Times New Roman" w:hAnsi="Times New Roman" w:cs="Times New Roman"/>
          <w:color w:val="000000"/>
          <w:sz w:val="28"/>
          <w:szCs w:val="28"/>
        </w:rPr>
      </w:pPr>
    </w:p>
    <w:p w14:paraId="514AD82C" w14:textId="77777777" w:rsidR="00C84B73" w:rsidRPr="00A6298A" w:rsidRDefault="00C84B73" w:rsidP="00C84B73">
      <w:pPr>
        <w:pStyle w:val="VPBullet1"/>
        <w:tabs>
          <w:tab w:val="left" w:pos="0"/>
        </w:tabs>
        <w:overflowPunct w:val="0"/>
        <w:autoSpaceDE w:val="0"/>
        <w:autoSpaceDN w:val="0"/>
        <w:adjustRightInd w:val="0"/>
        <w:spacing w:after="0"/>
        <w:ind w:left="0" w:firstLine="709"/>
        <w:textAlignment w:val="baseline"/>
        <w:rPr>
          <w:rFonts w:ascii="Times New Roman" w:hAnsi="Times New Roman" w:cs="Times New Roman"/>
          <w:bCs/>
          <w:sz w:val="28"/>
          <w:szCs w:val="28"/>
        </w:rPr>
      </w:pPr>
      <w:r w:rsidRPr="00A6298A">
        <w:rPr>
          <w:rFonts w:ascii="Times New Roman" w:eastAsia="Times New Roman" w:hAnsi="Times New Roman" w:cs="Times New Roman"/>
          <w:color w:val="000000"/>
          <w:sz w:val="28"/>
          <w:szCs w:val="28"/>
        </w:rPr>
        <w:t xml:space="preserve">3. Nodrošināt iespēju resora iestādēm izmantot centralizēti ar IKT infrastruktūru saistītos pakalpojumus. </w:t>
      </w:r>
    </w:p>
    <w:p w14:paraId="3F53F789" w14:textId="77777777" w:rsidR="00C84B73" w:rsidRPr="00A6298A" w:rsidRDefault="00C84B73" w:rsidP="00C84B73">
      <w:pPr>
        <w:pStyle w:val="VPBullet1"/>
        <w:tabs>
          <w:tab w:val="left" w:pos="0"/>
        </w:tabs>
        <w:overflowPunct w:val="0"/>
        <w:autoSpaceDE w:val="0"/>
        <w:autoSpaceDN w:val="0"/>
        <w:adjustRightInd w:val="0"/>
        <w:spacing w:before="0" w:after="0"/>
        <w:ind w:left="0" w:firstLine="709"/>
        <w:textAlignment w:val="baseline"/>
        <w:rPr>
          <w:rFonts w:ascii="Times New Roman" w:hAnsi="Times New Roman" w:cs="Times New Roman"/>
          <w:bCs/>
          <w:sz w:val="28"/>
          <w:szCs w:val="28"/>
        </w:rPr>
      </w:pPr>
    </w:p>
    <w:p w14:paraId="134C1DA9"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A6298A">
        <w:rPr>
          <w:rFonts w:ascii="Times New Roman" w:eastAsia="Times New Roman" w:hAnsi="Times New Roman" w:cs="Times New Roman"/>
          <w:b/>
          <w:sz w:val="28"/>
          <w:szCs w:val="28"/>
          <w:lang w:eastAsia="lv-LV"/>
        </w:rPr>
        <w:t>Plānotie rezultāta rādītāji</w:t>
      </w:r>
    </w:p>
    <w:p w14:paraId="6A1A9C88"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p>
    <w:tbl>
      <w:tblPr>
        <w:tblStyle w:val="TableGrid"/>
        <w:tblW w:w="9209" w:type="dxa"/>
        <w:tblLook w:val="04A0" w:firstRow="1" w:lastRow="0" w:firstColumn="1" w:lastColumn="0" w:noHBand="0" w:noVBand="1"/>
      </w:tblPr>
      <w:tblGrid>
        <w:gridCol w:w="867"/>
        <w:gridCol w:w="2156"/>
        <w:gridCol w:w="1507"/>
        <w:gridCol w:w="1321"/>
        <w:gridCol w:w="1678"/>
        <w:gridCol w:w="1680"/>
      </w:tblGrid>
      <w:tr w:rsidR="00C84B73" w:rsidRPr="00A6298A" w14:paraId="2CFE1B81" w14:textId="77777777" w:rsidTr="00F659B6">
        <w:tc>
          <w:tcPr>
            <w:tcW w:w="867" w:type="dxa"/>
            <w:vAlign w:val="center"/>
          </w:tcPr>
          <w:p w14:paraId="19F3F9D5" w14:textId="77777777" w:rsidR="00C84B73" w:rsidRPr="00A6298A" w:rsidRDefault="00C84B73" w:rsidP="00F659B6">
            <w:pPr>
              <w:pStyle w:val="VPBody"/>
              <w:spacing w:before="0"/>
              <w:jc w:val="center"/>
              <w:rPr>
                <w:sz w:val="28"/>
                <w:szCs w:val="28"/>
              </w:rPr>
            </w:pPr>
            <w:r w:rsidRPr="00A6298A">
              <w:rPr>
                <w:sz w:val="28"/>
                <w:szCs w:val="28"/>
              </w:rPr>
              <w:t>Nr.</w:t>
            </w:r>
          </w:p>
          <w:p w14:paraId="3FC40D7C" w14:textId="77777777" w:rsidR="00C84B73" w:rsidRPr="00A6298A" w:rsidRDefault="00C84B73" w:rsidP="00F659B6">
            <w:pPr>
              <w:pStyle w:val="VPBody"/>
              <w:spacing w:before="0"/>
              <w:jc w:val="center"/>
              <w:rPr>
                <w:sz w:val="28"/>
                <w:szCs w:val="28"/>
              </w:rPr>
            </w:pPr>
            <w:r w:rsidRPr="00A6298A">
              <w:rPr>
                <w:sz w:val="28"/>
                <w:szCs w:val="28"/>
              </w:rPr>
              <w:t>p. k.</w:t>
            </w:r>
          </w:p>
        </w:tc>
        <w:tc>
          <w:tcPr>
            <w:tcW w:w="2156" w:type="dxa"/>
            <w:vAlign w:val="center"/>
          </w:tcPr>
          <w:p w14:paraId="5F463539" w14:textId="77777777" w:rsidR="00C84B73" w:rsidRPr="00A6298A" w:rsidRDefault="00C84B73" w:rsidP="00F659B6">
            <w:pPr>
              <w:pStyle w:val="VPBody"/>
              <w:spacing w:before="0" w:line="240" w:lineRule="auto"/>
              <w:jc w:val="center"/>
              <w:rPr>
                <w:sz w:val="28"/>
                <w:szCs w:val="28"/>
              </w:rPr>
            </w:pPr>
            <w:r w:rsidRPr="00A6298A">
              <w:rPr>
                <w:sz w:val="28"/>
                <w:szCs w:val="28"/>
              </w:rPr>
              <w:t>Rezultāta rādītājs</w:t>
            </w:r>
          </w:p>
        </w:tc>
        <w:tc>
          <w:tcPr>
            <w:tcW w:w="1507" w:type="dxa"/>
            <w:vAlign w:val="center"/>
          </w:tcPr>
          <w:p w14:paraId="2374AA1E" w14:textId="77777777" w:rsidR="00C84B73" w:rsidRPr="00A6298A" w:rsidRDefault="00C84B73" w:rsidP="00F659B6">
            <w:pPr>
              <w:pStyle w:val="VPBody"/>
              <w:spacing w:before="0" w:line="240" w:lineRule="auto"/>
              <w:jc w:val="center"/>
              <w:rPr>
                <w:sz w:val="28"/>
                <w:szCs w:val="28"/>
              </w:rPr>
            </w:pPr>
            <w:r w:rsidRPr="00A6298A">
              <w:rPr>
                <w:sz w:val="28"/>
                <w:szCs w:val="28"/>
              </w:rPr>
              <w:t>Mērvienība</w:t>
            </w:r>
          </w:p>
        </w:tc>
        <w:tc>
          <w:tcPr>
            <w:tcW w:w="1321" w:type="dxa"/>
            <w:vAlign w:val="center"/>
          </w:tcPr>
          <w:p w14:paraId="4DAF15A4" w14:textId="77777777" w:rsidR="00C84B73" w:rsidRPr="00A6298A" w:rsidRDefault="00C84B73" w:rsidP="00F659B6">
            <w:pPr>
              <w:pStyle w:val="VPBody"/>
              <w:spacing w:before="0" w:line="240" w:lineRule="auto"/>
              <w:jc w:val="center"/>
              <w:rPr>
                <w:sz w:val="28"/>
                <w:szCs w:val="28"/>
              </w:rPr>
            </w:pPr>
            <w:r w:rsidRPr="00A6298A">
              <w:rPr>
                <w:sz w:val="28"/>
                <w:szCs w:val="28"/>
              </w:rPr>
              <w:t>Sākotnējā vērtība</w:t>
            </w:r>
          </w:p>
        </w:tc>
        <w:tc>
          <w:tcPr>
            <w:tcW w:w="1678" w:type="dxa"/>
            <w:vAlign w:val="center"/>
          </w:tcPr>
          <w:p w14:paraId="50DE1F20" w14:textId="77777777" w:rsidR="00C84B73" w:rsidRPr="00A6298A" w:rsidRDefault="00C84B73" w:rsidP="00F659B6">
            <w:pPr>
              <w:pStyle w:val="VPBody"/>
              <w:spacing w:before="0"/>
              <w:jc w:val="center"/>
              <w:rPr>
                <w:sz w:val="28"/>
                <w:szCs w:val="28"/>
              </w:rPr>
            </w:pPr>
            <w:r w:rsidRPr="00A6298A">
              <w:rPr>
                <w:sz w:val="28"/>
                <w:szCs w:val="28"/>
              </w:rPr>
              <w:t>Sasniedzamā  vērtība divus gadus pēc projekta beigām</w:t>
            </w:r>
          </w:p>
        </w:tc>
        <w:tc>
          <w:tcPr>
            <w:tcW w:w="1680" w:type="dxa"/>
            <w:vAlign w:val="center"/>
          </w:tcPr>
          <w:p w14:paraId="745CF3B3" w14:textId="77777777" w:rsidR="00C84B73" w:rsidRPr="00A6298A" w:rsidRDefault="00C84B73" w:rsidP="00F659B6">
            <w:pPr>
              <w:pStyle w:val="VPBody"/>
              <w:spacing w:before="0"/>
              <w:jc w:val="center"/>
              <w:rPr>
                <w:sz w:val="28"/>
                <w:szCs w:val="28"/>
              </w:rPr>
            </w:pPr>
            <w:r w:rsidRPr="00A6298A">
              <w:rPr>
                <w:sz w:val="28"/>
                <w:szCs w:val="28"/>
              </w:rPr>
              <w:t>Sasniedzamā vērtība trīs gadus pēc projekta beigām</w:t>
            </w:r>
          </w:p>
        </w:tc>
      </w:tr>
      <w:tr w:rsidR="00C84B73" w:rsidRPr="00A6298A" w14:paraId="016DE4D0" w14:textId="77777777" w:rsidTr="00F659B6">
        <w:tc>
          <w:tcPr>
            <w:tcW w:w="867" w:type="dxa"/>
          </w:tcPr>
          <w:p w14:paraId="2B71F8E9" w14:textId="77777777" w:rsidR="00C84B73" w:rsidRPr="00F659B6" w:rsidRDefault="00C84B73" w:rsidP="00F659B6">
            <w:pPr>
              <w:pStyle w:val="VPBody"/>
              <w:spacing w:before="0" w:line="240" w:lineRule="auto"/>
              <w:jc w:val="both"/>
              <w:rPr>
                <w:bCs/>
                <w:sz w:val="28"/>
                <w:szCs w:val="28"/>
              </w:rPr>
            </w:pPr>
            <w:r w:rsidRPr="00F659B6">
              <w:rPr>
                <w:bCs/>
                <w:sz w:val="28"/>
                <w:szCs w:val="28"/>
              </w:rPr>
              <w:t>1.</w:t>
            </w:r>
          </w:p>
        </w:tc>
        <w:tc>
          <w:tcPr>
            <w:tcW w:w="2156" w:type="dxa"/>
          </w:tcPr>
          <w:p w14:paraId="4E66BC57" w14:textId="77777777" w:rsidR="00C84B73" w:rsidRPr="00A6298A" w:rsidRDefault="00C84B73" w:rsidP="00F659B6">
            <w:pPr>
              <w:pStyle w:val="VPBody"/>
              <w:spacing w:before="0"/>
              <w:rPr>
                <w:sz w:val="28"/>
                <w:szCs w:val="28"/>
              </w:rPr>
            </w:pPr>
            <w:r w:rsidRPr="00A6298A">
              <w:rPr>
                <w:sz w:val="28"/>
                <w:szCs w:val="28"/>
              </w:rPr>
              <w:t>Lēmumu pieņemšanai būtiskās informācijas aprites starp resora iestādēm vidējā laika samazinājums attiecībā pret 2016. gada rādītājiem</w:t>
            </w:r>
          </w:p>
        </w:tc>
        <w:tc>
          <w:tcPr>
            <w:tcW w:w="1507" w:type="dxa"/>
          </w:tcPr>
          <w:p w14:paraId="56542A33" w14:textId="77777777" w:rsidR="00C84B73" w:rsidRPr="00A6298A" w:rsidRDefault="00C84B73" w:rsidP="00F659B6">
            <w:pPr>
              <w:pStyle w:val="VPBody"/>
              <w:spacing w:before="0" w:line="240" w:lineRule="auto"/>
              <w:jc w:val="center"/>
              <w:rPr>
                <w:sz w:val="28"/>
                <w:szCs w:val="28"/>
              </w:rPr>
            </w:pPr>
            <w:r w:rsidRPr="00A6298A">
              <w:rPr>
                <w:sz w:val="28"/>
                <w:szCs w:val="28"/>
              </w:rPr>
              <w:t>%</w:t>
            </w:r>
          </w:p>
        </w:tc>
        <w:tc>
          <w:tcPr>
            <w:tcW w:w="1321" w:type="dxa"/>
          </w:tcPr>
          <w:p w14:paraId="75E3C323" w14:textId="77777777" w:rsidR="00C84B73" w:rsidRPr="00A6298A" w:rsidRDefault="00C84B73" w:rsidP="00F659B6">
            <w:pPr>
              <w:pStyle w:val="VPBody"/>
              <w:spacing w:before="0" w:line="240" w:lineRule="auto"/>
              <w:jc w:val="center"/>
              <w:rPr>
                <w:sz w:val="28"/>
                <w:szCs w:val="28"/>
              </w:rPr>
            </w:pPr>
            <w:r w:rsidRPr="00A6298A">
              <w:rPr>
                <w:sz w:val="28"/>
                <w:szCs w:val="28"/>
              </w:rPr>
              <w:t>100</w:t>
            </w:r>
          </w:p>
        </w:tc>
        <w:tc>
          <w:tcPr>
            <w:tcW w:w="1678" w:type="dxa"/>
          </w:tcPr>
          <w:p w14:paraId="3DC20309" w14:textId="77777777" w:rsidR="00C84B73" w:rsidRPr="00A6298A" w:rsidRDefault="00C84B73" w:rsidP="00F659B6">
            <w:pPr>
              <w:pStyle w:val="VPBody"/>
              <w:spacing w:before="0" w:line="240" w:lineRule="auto"/>
              <w:jc w:val="center"/>
              <w:rPr>
                <w:sz w:val="28"/>
                <w:szCs w:val="28"/>
              </w:rPr>
            </w:pPr>
            <w:r w:rsidRPr="00A6298A">
              <w:rPr>
                <w:bCs/>
                <w:sz w:val="28"/>
                <w:szCs w:val="28"/>
              </w:rPr>
              <w:t>–</w:t>
            </w:r>
            <w:r w:rsidRPr="00A6298A">
              <w:rPr>
                <w:sz w:val="28"/>
                <w:szCs w:val="28"/>
              </w:rPr>
              <w:t>5</w:t>
            </w:r>
          </w:p>
        </w:tc>
        <w:tc>
          <w:tcPr>
            <w:tcW w:w="1680" w:type="dxa"/>
          </w:tcPr>
          <w:p w14:paraId="56FB4AB5" w14:textId="77777777" w:rsidR="00C84B73" w:rsidRPr="00A6298A" w:rsidRDefault="00C84B73" w:rsidP="00F659B6">
            <w:pPr>
              <w:pStyle w:val="VPBody"/>
              <w:spacing w:before="0" w:line="240" w:lineRule="auto"/>
              <w:jc w:val="center"/>
              <w:rPr>
                <w:sz w:val="28"/>
                <w:szCs w:val="28"/>
              </w:rPr>
            </w:pPr>
            <w:r w:rsidRPr="00A6298A">
              <w:rPr>
                <w:bCs/>
                <w:sz w:val="28"/>
                <w:szCs w:val="28"/>
              </w:rPr>
              <w:t>–</w:t>
            </w:r>
            <w:r w:rsidRPr="00A6298A">
              <w:rPr>
                <w:sz w:val="28"/>
                <w:szCs w:val="28"/>
              </w:rPr>
              <w:t>10</w:t>
            </w:r>
          </w:p>
        </w:tc>
      </w:tr>
      <w:tr w:rsidR="00C84B73" w:rsidRPr="00A6298A" w14:paraId="1000BD3F" w14:textId="77777777" w:rsidTr="00F659B6">
        <w:tc>
          <w:tcPr>
            <w:tcW w:w="867" w:type="dxa"/>
          </w:tcPr>
          <w:p w14:paraId="6FEFB7FB" w14:textId="77777777" w:rsidR="00C84B73" w:rsidRPr="00F659B6" w:rsidRDefault="00C84B73" w:rsidP="00C84B73">
            <w:pPr>
              <w:pStyle w:val="VPBody"/>
              <w:numPr>
                <w:ilvl w:val="0"/>
                <w:numId w:val="2"/>
              </w:numPr>
              <w:tabs>
                <w:tab w:val="left" w:pos="0"/>
              </w:tabs>
              <w:suppressAutoHyphens w:val="0"/>
              <w:spacing w:before="0" w:line="240" w:lineRule="auto"/>
              <w:ind w:left="0"/>
              <w:jc w:val="both"/>
              <w:rPr>
                <w:bCs/>
                <w:sz w:val="28"/>
                <w:szCs w:val="28"/>
              </w:rPr>
            </w:pPr>
            <w:r w:rsidRPr="00F659B6">
              <w:rPr>
                <w:bCs/>
                <w:sz w:val="28"/>
                <w:szCs w:val="28"/>
              </w:rPr>
              <w:t>2.</w:t>
            </w:r>
          </w:p>
        </w:tc>
        <w:tc>
          <w:tcPr>
            <w:tcW w:w="2156" w:type="dxa"/>
          </w:tcPr>
          <w:p w14:paraId="5A720FC5" w14:textId="77777777" w:rsidR="00C84B73" w:rsidRPr="00A6298A" w:rsidRDefault="00C84B73" w:rsidP="00F659B6">
            <w:pPr>
              <w:pStyle w:val="VPBody"/>
              <w:spacing w:before="0"/>
              <w:rPr>
                <w:sz w:val="28"/>
                <w:szCs w:val="28"/>
              </w:rPr>
            </w:pPr>
            <w:r w:rsidRPr="00A6298A">
              <w:rPr>
                <w:sz w:val="28"/>
                <w:szCs w:val="28"/>
              </w:rPr>
              <w:t>Resora budžeta (arī grozījumu) izstrādei patērētā laika samazinājums attiecībā pret 2016. gada rādītājiem</w:t>
            </w:r>
          </w:p>
        </w:tc>
        <w:tc>
          <w:tcPr>
            <w:tcW w:w="1507" w:type="dxa"/>
          </w:tcPr>
          <w:p w14:paraId="64D3DA0C" w14:textId="77777777" w:rsidR="00C84B73" w:rsidRPr="00A6298A" w:rsidRDefault="00C84B73" w:rsidP="00F659B6">
            <w:pPr>
              <w:pStyle w:val="VPBody"/>
              <w:spacing w:before="0" w:line="240" w:lineRule="auto"/>
              <w:jc w:val="center"/>
              <w:rPr>
                <w:sz w:val="28"/>
                <w:szCs w:val="28"/>
              </w:rPr>
            </w:pPr>
            <w:r w:rsidRPr="00A6298A">
              <w:rPr>
                <w:sz w:val="28"/>
                <w:szCs w:val="28"/>
              </w:rPr>
              <w:t>%</w:t>
            </w:r>
          </w:p>
        </w:tc>
        <w:tc>
          <w:tcPr>
            <w:tcW w:w="1321" w:type="dxa"/>
          </w:tcPr>
          <w:p w14:paraId="2E60E443" w14:textId="77777777" w:rsidR="00C84B73" w:rsidRPr="00A6298A" w:rsidRDefault="00C84B73" w:rsidP="00F659B6">
            <w:pPr>
              <w:pStyle w:val="VPBody"/>
              <w:spacing w:before="0" w:line="240" w:lineRule="auto"/>
              <w:jc w:val="center"/>
              <w:rPr>
                <w:sz w:val="28"/>
                <w:szCs w:val="28"/>
              </w:rPr>
            </w:pPr>
            <w:r w:rsidRPr="00A6298A">
              <w:rPr>
                <w:sz w:val="28"/>
                <w:szCs w:val="28"/>
              </w:rPr>
              <w:t>100</w:t>
            </w:r>
          </w:p>
        </w:tc>
        <w:tc>
          <w:tcPr>
            <w:tcW w:w="1678" w:type="dxa"/>
          </w:tcPr>
          <w:p w14:paraId="5621B960" w14:textId="77777777" w:rsidR="00C84B73" w:rsidRPr="00A6298A" w:rsidRDefault="00C84B73" w:rsidP="00F659B6">
            <w:pPr>
              <w:pStyle w:val="VPBody"/>
              <w:spacing w:before="0" w:line="240" w:lineRule="auto"/>
              <w:jc w:val="center"/>
              <w:rPr>
                <w:sz w:val="28"/>
                <w:szCs w:val="28"/>
              </w:rPr>
            </w:pPr>
            <w:r w:rsidRPr="00A6298A">
              <w:rPr>
                <w:bCs/>
                <w:sz w:val="28"/>
                <w:szCs w:val="28"/>
              </w:rPr>
              <w:t>–</w:t>
            </w:r>
            <w:r w:rsidRPr="00A6298A">
              <w:rPr>
                <w:sz w:val="28"/>
                <w:szCs w:val="28"/>
              </w:rPr>
              <w:t>3</w:t>
            </w:r>
          </w:p>
        </w:tc>
        <w:tc>
          <w:tcPr>
            <w:tcW w:w="1680" w:type="dxa"/>
          </w:tcPr>
          <w:p w14:paraId="66D18C50" w14:textId="77777777" w:rsidR="00C84B73" w:rsidRPr="00A6298A" w:rsidRDefault="00C84B73" w:rsidP="00F659B6">
            <w:pPr>
              <w:pStyle w:val="VPBody"/>
              <w:spacing w:before="0" w:line="240" w:lineRule="auto"/>
              <w:jc w:val="center"/>
              <w:rPr>
                <w:sz w:val="28"/>
                <w:szCs w:val="28"/>
              </w:rPr>
            </w:pPr>
            <w:r w:rsidRPr="00A6298A">
              <w:rPr>
                <w:bCs/>
                <w:sz w:val="28"/>
                <w:szCs w:val="28"/>
              </w:rPr>
              <w:t>–</w:t>
            </w:r>
            <w:r w:rsidRPr="00A6298A">
              <w:rPr>
                <w:sz w:val="28"/>
                <w:szCs w:val="28"/>
              </w:rPr>
              <w:t>5</w:t>
            </w:r>
          </w:p>
        </w:tc>
      </w:tr>
    </w:tbl>
    <w:p w14:paraId="0768C7BF"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p>
    <w:p w14:paraId="59C3A428"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A6298A">
        <w:rPr>
          <w:rFonts w:ascii="Times New Roman" w:eastAsia="Times New Roman" w:hAnsi="Times New Roman" w:cs="Times New Roman"/>
          <w:b/>
          <w:sz w:val="28"/>
          <w:szCs w:val="28"/>
          <w:lang w:eastAsia="lv-LV"/>
        </w:rPr>
        <w:t>Plānotie iznākuma rādītāji</w:t>
      </w:r>
    </w:p>
    <w:p w14:paraId="417D6E18" w14:textId="77777777" w:rsidR="00C84B73" w:rsidRPr="00A6298A" w:rsidRDefault="00C84B73" w:rsidP="00C84B73">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p>
    <w:tbl>
      <w:tblPr>
        <w:tblStyle w:val="TableGrid"/>
        <w:tblW w:w="5000" w:type="pct"/>
        <w:tblLook w:val="04A0" w:firstRow="1" w:lastRow="0" w:firstColumn="1" w:lastColumn="0" w:noHBand="0" w:noVBand="1"/>
      </w:tblPr>
      <w:tblGrid>
        <w:gridCol w:w="926"/>
        <w:gridCol w:w="3195"/>
        <w:gridCol w:w="1507"/>
        <w:gridCol w:w="1755"/>
        <w:gridCol w:w="1678"/>
      </w:tblGrid>
      <w:tr w:rsidR="00C84B73" w:rsidRPr="00A6298A" w14:paraId="15E03BA3" w14:textId="77777777" w:rsidTr="00F659B6">
        <w:tc>
          <w:tcPr>
            <w:tcW w:w="546" w:type="pct"/>
            <w:vAlign w:val="center"/>
          </w:tcPr>
          <w:p w14:paraId="03F56737" w14:textId="77777777" w:rsidR="00C84B73" w:rsidRPr="00A6298A" w:rsidRDefault="00C84B73" w:rsidP="00F659B6">
            <w:pPr>
              <w:tabs>
                <w:tab w:val="left" w:pos="0"/>
              </w:tabs>
              <w:jc w:val="center"/>
              <w:rPr>
                <w:rFonts w:ascii="Times New Roman" w:hAnsi="Times New Roman" w:cs="Times New Roman"/>
                <w:bCs/>
                <w:sz w:val="28"/>
                <w:szCs w:val="28"/>
              </w:rPr>
            </w:pPr>
            <w:r w:rsidRPr="00A6298A">
              <w:rPr>
                <w:rFonts w:ascii="Times New Roman" w:hAnsi="Times New Roman" w:cs="Times New Roman"/>
                <w:bCs/>
                <w:sz w:val="28"/>
                <w:szCs w:val="28"/>
              </w:rPr>
              <w:t>Nr.</w:t>
            </w:r>
          </w:p>
          <w:p w14:paraId="788549F2" w14:textId="77777777" w:rsidR="00C84B73" w:rsidRPr="00A6298A" w:rsidRDefault="00C84B73" w:rsidP="00F659B6">
            <w:pPr>
              <w:tabs>
                <w:tab w:val="left" w:pos="0"/>
              </w:tabs>
              <w:jc w:val="center"/>
              <w:rPr>
                <w:rFonts w:ascii="Times New Roman" w:hAnsi="Times New Roman" w:cs="Times New Roman"/>
                <w:bCs/>
                <w:sz w:val="28"/>
                <w:szCs w:val="28"/>
              </w:rPr>
            </w:pPr>
            <w:r w:rsidRPr="00A6298A">
              <w:rPr>
                <w:rFonts w:ascii="Times New Roman" w:hAnsi="Times New Roman" w:cs="Times New Roman"/>
                <w:bCs/>
                <w:sz w:val="28"/>
                <w:szCs w:val="28"/>
              </w:rPr>
              <w:t>p. k.</w:t>
            </w:r>
          </w:p>
        </w:tc>
        <w:tc>
          <w:tcPr>
            <w:tcW w:w="1798" w:type="pct"/>
            <w:vAlign w:val="center"/>
          </w:tcPr>
          <w:p w14:paraId="2C72C61F" w14:textId="77777777" w:rsidR="00C84B73" w:rsidRPr="00A6298A" w:rsidRDefault="00C84B73" w:rsidP="00F659B6">
            <w:pPr>
              <w:tabs>
                <w:tab w:val="left" w:pos="0"/>
              </w:tabs>
              <w:jc w:val="center"/>
              <w:rPr>
                <w:rFonts w:ascii="Times New Roman" w:hAnsi="Times New Roman" w:cs="Times New Roman"/>
                <w:bCs/>
                <w:sz w:val="28"/>
                <w:szCs w:val="28"/>
              </w:rPr>
            </w:pPr>
            <w:r w:rsidRPr="00A6298A">
              <w:rPr>
                <w:rFonts w:ascii="Times New Roman" w:hAnsi="Times New Roman" w:cs="Times New Roman"/>
                <w:bCs/>
                <w:sz w:val="28"/>
                <w:szCs w:val="28"/>
              </w:rPr>
              <w:t>Iznākuma rādītājs</w:t>
            </w:r>
          </w:p>
        </w:tc>
        <w:tc>
          <w:tcPr>
            <w:tcW w:w="721" w:type="pct"/>
            <w:vAlign w:val="center"/>
          </w:tcPr>
          <w:p w14:paraId="4A275AD1" w14:textId="77777777" w:rsidR="00C84B73" w:rsidRPr="00A6298A" w:rsidRDefault="00C84B73" w:rsidP="00F659B6">
            <w:pPr>
              <w:tabs>
                <w:tab w:val="left" w:pos="0"/>
              </w:tabs>
              <w:jc w:val="center"/>
              <w:rPr>
                <w:rFonts w:ascii="Times New Roman" w:hAnsi="Times New Roman" w:cs="Times New Roman"/>
                <w:bCs/>
                <w:sz w:val="28"/>
                <w:szCs w:val="28"/>
              </w:rPr>
            </w:pPr>
            <w:r w:rsidRPr="00A6298A">
              <w:rPr>
                <w:rFonts w:ascii="Times New Roman" w:hAnsi="Times New Roman" w:cs="Times New Roman"/>
                <w:bCs/>
                <w:sz w:val="28"/>
                <w:szCs w:val="28"/>
              </w:rPr>
              <w:t>Mērvienība</w:t>
            </w:r>
          </w:p>
        </w:tc>
        <w:tc>
          <w:tcPr>
            <w:tcW w:w="1003" w:type="pct"/>
            <w:vAlign w:val="center"/>
          </w:tcPr>
          <w:p w14:paraId="62D3EFAC" w14:textId="77777777" w:rsidR="00C84B73" w:rsidRPr="00A6298A" w:rsidRDefault="00C84B73" w:rsidP="00F659B6">
            <w:pPr>
              <w:tabs>
                <w:tab w:val="left" w:pos="0"/>
              </w:tabs>
              <w:jc w:val="center"/>
              <w:rPr>
                <w:rFonts w:ascii="Times New Roman" w:hAnsi="Times New Roman" w:cs="Times New Roman"/>
                <w:bCs/>
                <w:sz w:val="28"/>
                <w:szCs w:val="28"/>
              </w:rPr>
            </w:pPr>
            <w:proofErr w:type="spellStart"/>
            <w:r w:rsidRPr="00A6298A">
              <w:rPr>
                <w:rFonts w:ascii="Times New Roman" w:hAnsi="Times New Roman" w:cs="Times New Roman"/>
                <w:bCs/>
                <w:sz w:val="28"/>
                <w:szCs w:val="28"/>
              </w:rPr>
              <w:t>Starpvērtība</w:t>
            </w:r>
            <w:proofErr w:type="spellEnd"/>
            <w:r w:rsidRPr="00A6298A">
              <w:rPr>
                <w:rFonts w:ascii="Times New Roman" w:hAnsi="Times New Roman" w:cs="Times New Roman"/>
                <w:bCs/>
                <w:sz w:val="28"/>
                <w:szCs w:val="28"/>
              </w:rPr>
              <w:t xml:space="preserve"> (divus gadus pēc projekta sākuma)</w:t>
            </w:r>
          </w:p>
        </w:tc>
        <w:tc>
          <w:tcPr>
            <w:tcW w:w="932" w:type="pct"/>
            <w:vAlign w:val="center"/>
          </w:tcPr>
          <w:p w14:paraId="779E7AF7" w14:textId="77777777" w:rsidR="00C84B73" w:rsidRPr="00A6298A" w:rsidRDefault="00C84B73" w:rsidP="00F659B6">
            <w:pPr>
              <w:tabs>
                <w:tab w:val="left" w:pos="0"/>
              </w:tabs>
              <w:jc w:val="center"/>
              <w:rPr>
                <w:rFonts w:ascii="Times New Roman" w:hAnsi="Times New Roman" w:cs="Times New Roman"/>
                <w:bCs/>
                <w:sz w:val="28"/>
                <w:szCs w:val="28"/>
              </w:rPr>
            </w:pPr>
            <w:r w:rsidRPr="00A6298A">
              <w:rPr>
                <w:rFonts w:ascii="Times New Roman" w:hAnsi="Times New Roman" w:cs="Times New Roman"/>
                <w:bCs/>
                <w:sz w:val="28"/>
                <w:szCs w:val="28"/>
              </w:rPr>
              <w:t>Sasniedzamā vērtība projekta beigās</w:t>
            </w:r>
          </w:p>
        </w:tc>
      </w:tr>
      <w:tr w:rsidR="00C84B73" w:rsidRPr="00A6298A" w14:paraId="01BA353D" w14:textId="77777777" w:rsidTr="00F659B6">
        <w:tc>
          <w:tcPr>
            <w:tcW w:w="546" w:type="pct"/>
          </w:tcPr>
          <w:p w14:paraId="565C90E3" w14:textId="77777777" w:rsidR="00C84B73" w:rsidRPr="00A6298A" w:rsidRDefault="00C84B73" w:rsidP="00F659B6">
            <w:pPr>
              <w:tabs>
                <w:tab w:val="left" w:pos="0"/>
              </w:tabs>
              <w:jc w:val="both"/>
              <w:rPr>
                <w:rFonts w:ascii="Times New Roman" w:hAnsi="Times New Roman" w:cs="Times New Roman"/>
                <w:bCs/>
                <w:sz w:val="28"/>
                <w:szCs w:val="28"/>
              </w:rPr>
            </w:pPr>
            <w:r w:rsidRPr="00A6298A">
              <w:rPr>
                <w:rFonts w:ascii="Times New Roman" w:hAnsi="Times New Roman" w:cs="Times New Roman"/>
                <w:bCs/>
                <w:sz w:val="28"/>
                <w:szCs w:val="28"/>
              </w:rPr>
              <w:lastRenderedPageBreak/>
              <w:t>1.</w:t>
            </w:r>
          </w:p>
        </w:tc>
        <w:tc>
          <w:tcPr>
            <w:tcW w:w="1798" w:type="pct"/>
          </w:tcPr>
          <w:p w14:paraId="382F48E7" w14:textId="77777777" w:rsidR="00C84B73" w:rsidRPr="00A6298A" w:rsidRDefault="00C84B73" w:rsidP="00F659B6">
            <w:pPr>
              <w:tabs>
                <w:tab w:val="left" w:pos="0"/>
              </w:tabs>
              <w:spacing w:before="0"/>
              <w:rPr>
                <w:rFonts w:ascii="Times New Roman" w:hAnsi="Times New Roman" w:cs="Times New Roman"/>
                <w:sz w:val="28"/>
                <w:szCs w:val="28"/>
              </w:rPr>
            </w:pPr>
            <w:r w:rsidRPr="00A6298A">
              <w:rPr>
                <w:rFonts w:ascii="Times New Roman" w:hAnsi="Times New Roman" w:cs="Times New Roman"/>
                <w:sz w:val="28"/>
                <w:szCs w:val="28"/>
              </w:rPr>
              <w:t>Pilnveidoti darbības procesi:</w:t>
            </w:r>
          </w:p>
          <w:p w14:paraId="090CAA1A" w14:textId="77777777" w:rsidR="00C84B73" w:rsidRPr="00F659B6"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*r</w:t>
            </w:r>
            <w:r w:rsidRPr="00F659B6">
              <w:rPr>
                <w:rFonts w:ascii="Times New Roman" w:hAnsi="Times New Roman" w:cs="Times New Roman"/>
                <w:sz w:val="28"/>
                <w:szCs w:val="28"/>
              </w:rPr>
              <w:t>esora iestāžu iekšējās dokumentu aprites nodrošināšana</w:t>
            </w:r>
          </w:p>
          <w:p w14:paraId="45E6554D" w14:textId="77777777" w:rsidR="00C84B73" w:rsidRPr="00F659B6"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*s</w:t>
            </w:r>
            <w:r w:rsidRPr="00F659B6">
              <w:rPr>
                <w:rFonts w:ascii="Times New Roman" w:hAnsi="Times New Roman" w:cs="Times New Roman"/>
                <w:sz w:val="28"/>
                <w:szCs w:val="28"/>
              </w:rPr>
              <w:t>tarpinstitūciju dokumentu aprites nodrošināšana</w:t>
            </w:r>
          </w:p>
          <w:p w14:paraId="30634B1B" w14:textId="77777777" w:rsidR="00C84B73" w:rsidRPr="00F659B6"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*r</w:t>
            </w:r>
            <w:r w:rsidRPr="00F659B6">
              <w:rPr>
                <w:rFonts w:ascii="Times New Roman" w:hAnsi="Times New Roman" w:cs="Times New Roman"/>
                <w:sz w:val="28"/>
                <w:szCs w:val="28"/>
              </w:rPr>
              <w:t>esora finanšu  un saimniecisko resursu centralizēta pārvaldība</w:t>
            </w:r>
          </w:p>
          <w:p w14:paraId="6C45265E" w14:textId="77777777" w:rsidR="00C84B73" w:rsidRPr="00F659B6"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*r</w:t>
            </w:r>
            <w:r w:rsidRPr="00F659B6">
              <w:rPr>
                <w:rFonts w:ascii="Times New Roman" w:hAnsi="Times New Roman" w:cs="Times New Roman"/>
                <w:sz w:val="28"/>
                <w:szCs w:val="28"/>
              </w:rPr>
              <w:t>esora budžeta vadība</w:t>
            </w:r>
          </w:p>
          <w:p w14:paraId="33DDE301" w14:textId="77777777" w:rsidR="00C84B73" w:rsidRPr="00F659B6"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*n</w:t>
            </w:r>
            <w:r w:rsidRPr="00F659B6">
              <w:rPr>
                <w:rFonts w:ascii="Times New Roman" w:hAnsi="Times New Roman" w:cs="Times New Roman"/>
                <w:sz w:val="28"/>
                <w:szCs w:val="28"/>
              </w:rPr>
              <w:t>ozares politikas plānošanas un normatīvo dokumentu izstrāde, saskaņošana un darbinieku iepazīstināšana</w:t>
            </w:r>
            <w:r w:rsidRPr="00F659B6" w:rsidDel="002A0818">
              <w:rPr>
                <w:rFonts w:ascii="Times New Roman" w:hAnsi="Times New Roman" w:cs="Times New Roman"/>
                <w:sz w:val="28"/>
                <w:szCs w:val="28"/>
              </w:rPr>
              <w:t xml:space="preserve"> </w:t>
            </w:r>
          </w:p>
          <w:p w14:paraId="625A64C5" w14:textId="77777777" w:rsidR="00C84B73" w:rsidRPr="00F659B6"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*r</w:t>
            </w:r>
            <w:r w:rsidRPr="00F659B6">
              <w:rPr>
                <w:rFonts w:ascii="Times New Roman" w:hAnsi="Times New Roman" w:cs="Times New Roman"/>
                <w:sz w:val="28"/>
                <w:szCs w:val="28"/>
              </w:rPr>
              <w:t xml:space="preserve">esora </w:t>
            </w:r>
            <w:r w:rsidRPr="00F659B6" w:rsidDel="00E13E26">
              <w:rPr>
                <w:rFonts w:ascii="Times New Roman" w:hAnsi="Times New Roman" w:cs="Times New Roman"/>
                <w:sz w:val="28"/>
                <w:szCs w:val="28"/>
              </w:rPr>
              <w:t xml:space="preserve">IKT </w:t>
            </w:r>
            <w:r w:rsidRPr="00F659B6">
              <w:rPr>
                <w:rFonts w:ascii="Times New Roman" w:hAnsi="Times New Roman" w:cs="Times New Roman"/>
                <w:sz w:val="28"/>
                <w:szCs w:val="28"/>
              </w:rPr>
              <w:t xml:space="preserve">projektu pārvaldība </w:t>
            </w:r>
          </w:p>
          <w:p w14:paraId="40D8B760" w14:textId="77777777" w:rsidR="00C84B73" w:rsidRPr="00F659B6"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*r</w:t>
            </w:r>
            <w:r w:rsidRPr="00F659B6">
              <w:rPr>
                <w:rFonts w:ascii="Times New Roman" w:hAnsi="Times New Roman" w:cs="Times New Roman"/>
                <w:sz w:val="28"/>
                <w:szCs w:val="28"/>
              </w:rPr>
              <w:t>esora IKT infrastruk</w:t>
            </w:r>
            <w:r w:rsidRPr="00A6298A">
              <w:rPr>
                <w:rFonts w:ascii="Times New Roman" w:hAnsi="Times New Roman" w:cs="Times New Roman"/>
                <w:sz w:val="28"/>
                <w:szCs w:val="28"/>
              </w:rPr>
              <w:softHyphen/>
            </w:r>
            <w:r w:rsidRPr="00F659B6">
              <w:rPr>
                <w:rFonts w:ascii="Times New Roman" w:hAnsi="Times New Roman" w:cs="Times New Roman"/>
                <w:sz w:val="28"/>
                <w:szCs w:val="28"/>
              </w:rPr>
              <w:t>tūras pakalpojumu nodrošināšana</w:t>
            </w:r>
          </w:p>
        </w:tc>
        <w:tc>
          <w:tcPr>
            <w:tcW w:w="721" w:type="pct"/>
          </w:tcPr>
          <w:p w14:paraId="54FFC799" w14:textId="77777777" w:rsidR="00C84B73" w:rsidRPr="00A6298A" w:rsidRDefault="00C84B73" w:rsidP="00F659B6">
            <w:pPr>
              <w:tabs>
                <w:tab w:val="left" w:pos="0"/>
              </w:tabs>
              <w:jc w:val="center"/>
              <w:rPr>
                <w:rFonts w:ascii="Times New Roman" w:hAnsi="Times New Roman" w:cs="Times New Roman"/>
                <w:bCs/>
                <w:sz w:val="28"/>
                <w:szCs w:val="28"/>
              </w:rPr>
            </w:pPr>
            <w:r w:rsidRPr="00A6298A">
              <w:rPr>
                <w:rFonts w:ascii="Times New Roman" w:hAnsi="Times New Roman" w:cs="Times New Roman"/>
                <w:bCs/>
                <w:sz w:val="28"/>
                <w:szCs w:val="28"/>
              </w:rPr>
              <w:t>Skaits</w:t>
            </w:r>
          </w:p>
        </w:tc>
        <w:tc>
          <w:tcPr>
            <w:tcW w:w="1003" w:type="pct"/>
          </w:tcPr>
          <w:p w14:paraId="73991DBB" w14:textId="77777777" w:rsidR="00C84B73" w:rsidRPr="00A6298A" w:rsidRDefault="00C84B73" w:rsidP="00F659B6">
            <w:pPr>
              <w:tabs>
                <w:tab w:val="left" w:pos="0"/>
              </w:tabs>
              <w:jc w:val="center"/>
              <w:rPr>
                <w:rFonts w:ascii="Times New Roman" w:hAnsi="Times New Roman" w:cs="Times New Roman"/>
                <w:bCs/>
                <w:sz w:val="28"/>
                <w:szCs w:val="28"/>
              </w:rPr>
            </w:pPr>
            <w:r w:rsidRPr="00A6298A">
              <w:rPr>
                <w:rFonts w:ascii="Times New Roman" w:hAnsi="Times New Roman" w:cs="Times New Roman"/>
                <w:sz w:val="28"/>
                <w:szCs w:val="28"/>
              </w:rPr>
              <w:t>5</w:t>
            </w:r>
          </w:p>
        </w:tc>
        <w:tc>
          <w:tcPr>
            <w:tcW w:w="932" w:type="pct"/>
          </w:tcPr>
          <w:p w14:paraId="54169761" w14:textId="77777777" w:rsidR="00C84B73" w:rsidRPr="00A6298A" w:rsidRDefault="00C84B73" w:rsidP="00F659B6">
            <w:pPr>
              <w:tabs>
                <w:tab w:val="left" w:pos="0"/>
              </w:tabs>
              <w:jc w:val="center"/>
              <w:rPr>
                <w:rFonts w:ascii="Times New Roman" w:hAnsi="Times New Roman" w:cs="Times New Roman"/>
                <w:bCs/>
                <w:sz w:val="28"/>
                <w:szCs w:val="28"/>
              </w:rPr>
            </w:pPr>
            <w:r w:rsidRPr="00A6298A">
              <w:rPr>
                <w:rFonts w:ascii="Times New Roman" w:hAnsi="Times New Roman" w:cs="Times New Roman"/>
                <w:sz w:val="28"/>
                <w:szCs w:val="28"/>
              </w:rPr>
              <w:t>7</w:t>
            </w:r>
          </w:p>
        </w:tc>
      </w:tr>
      <w:tr w:rsidR="00C84B73" w:rsidRPr="00A6298A" w14:paraId="5B58B3C3" w14:textId="77777777" w:rsidTr="00F659B6">
        <w:tc>
          <w:tcPr>
            <w:tcW w:w="546" w:type="pct"/>
          </w:tcPr>
          <w:p w14:paraId="5F992632" w14:textId="77777777" w:rsidR="00C84B73" w:rsidRPr="00A6298A" w:rsidRDefault="00C84B73" w:rsidP="00F659B6">
            <w:pPr>
              <w:tabs>
                <w:tab w:val="left" w:pos="0"/>
              </w:tabs>
              <w:jc w:val="both"/>
              <w:rPr>
                <w:rFonts w:ascii="Times New Roman" w:hAnsi="Times New Roman" w:cs="Times New Roman"/>
                <w:bCs/>
                <w:sz w:val="28"/>
                <w:szCs w:val="28"/>
              </w:rPr>
            </w:pPr>
            <w:r w:rsidRPr="00A6298A">
              <w:rPr>
                <w:rFonts w:ascii="Times New Roman" w:hAnsi="Times New Roman" w:cs="Times New Roman"/>
                <w:bCs/>
                <w:sz w:val="28"/>
                <w:szCs w:val="28"/>
              </w:rPr>
              <w:t>2.</w:t>
            </w:r>
          </w:p>
        </w:tc>
        <w:tc>
          <w:tcPr>
            <w:tcW w:w="1798" w:type="pct"/>
          </w:tcPr>
          <w:p w14:paraId="115B3F7C" w14:textId="77777777" w:rsidR="00C84B73" w:rsidRPr="00A6298A"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Centralizētas atvērtas informācijas sistēmu platformas</w:t>
            </w:r>
          </w:p>
        </w:tc>
        <w:tc>
          <w:tcPr>
            <w:tcW w:w="721" w:type="pct"/>
          </w:tcPr>
          <w:p w14:paraId="749F3110" w14:textId="77777777" w:rsidR="00C84B73" w:rsidRPr="00A6298A" w:rsidRDefault="00C84B73" w:rsidP="00F659B6">
            <w:pPr>
              <w:tabs>
                <w:tab w:val="left" w:pos="0"/>
              </w:tabs>
              <w:jc w:val="center"/>
              <w:rPr>
                <w:rFonts w:ascii="Times New Roman" w:hAnsi="Times New Roman" w:cs="Times New Roman"/>
                <w:sz w:val="28"/>
                <w:szCs w:val="28"/>
              </w:rPr>
            </w:pPr>
          </w:p>
          <w:p w14:paraId="1A2A3BC9" w14:textId="77777777" w:rsidR="00C84B73" w:rsidRPr="00A6298A" w:rsidRDefault="00C84B73" w:rsidP="00F659B6">
            <w:pPr>
              <w:tabs>
                <w:tab w:val="left" w:pos="0"/>
              </w:tabs>
              <w:jc w:val="center"/>
              <w:rPr>
                <w:rFonts w:ascii="Times New Roman" w:hAnsi="Times New Roman" w:cs="Times New Roman"/>
                <w:sz w:val="28"/>
                <w:szCs w:val="28"/>
              </w:rPr>
            </w:pPr>
            <w:r w:rsidRPr="00A6298A">
              <w:rPr>
                <w:rFonts w:ascii="Times New Roman" w:hAnsi="Times New Roman" w:cs="Times New Roman"/>
                <w:sz w:val="28"/>
                <w:szCs w:val="28"/>
              </w:rPr>
              <w:t>Skaits</w:t>
            </w:r>
          </w:p>
        </w:tc>
        <w:tc>
          <w:tcPr>
            <w:tcW w:w="1003" w:type="pct"/>
          </w:tcPr>
          <w:p w14:paraId="614442FE" w14:textId="77777777" w:rsidR="00C84B73" w:rsidRPr="00A6298A" w:rsidRDefault="00C84B73" w:rsidP="00F659B6">
            <w:pPr>
              <w:tabs>
                <w:tab w:val="left" w:pos="0"/>
              </w:tabs>
              <w:jc w:val="center"/>
              <w:rPr>
                <w:rFonts w:ascii="Times New Roman" w:hAnsi="Times New Roman" w:cs="Times New Roman"/>
                <w:sz w:val="28"/>
                <w:szCs w:val="28"/>
              </w:rPr>
            </w:pPr>
          </w:p>
          <w:p w14:paraId="12CAF43A" w14:textId="77777777" w:rsidR="00C84B73" w:rsidRPr="00A6298A" w:rsidRDefault="00C84B73" w:rsidP="00F659B6">
            <w:pPr>
              <w:tabs>
                <w:tab w:val="left" w:pos="0"/>
              </w:tabs>
              <w:jc w:val="center"/>
              <w:rPr>
                <w:rFonts w:ascii="Times New Roman" w:hAnsi="Times New Roman" w:cs="Times New Roman"/>
                <w:sz w:val="28"/>
                <w:szCs w:val="28"/>
              </w:rPr>
            </w:pPr>
            <w:r w:rsidRPr="00A6298A">
              <w:rPr>
                <w:rFonts w:ascii="Times New Roman" w:hAnsi="Times New Roman" w:cs="Times New Roman"/>
                <w:sz w:val="28"/>
                <w:szCs w:val="28"/>
              </w:rPr>
              <w:t>1</w:t>
            </w:r>
          </w:p>
        </w:tc>
        <w:tc>
          <w:tcPr>
            <w:tcW w:w="932" w:type="pct"/>
          </w:tcPr>
          <w:p w14:paraId="0F080268" w14:textId="77777777" w:rsidR="00C84B73" w:rsidRPr="00A6298A" w:rsidRDefault="00C84B73" w:rsidP="00F659B6">
            <w:pPr>
              <w:tabs>
                <w:tab w:val="left" w:pos="0"/>
              </w:tabs>
              <w:jc w:val="center"/>
              <w:rPr>
                <w:rFonts w:ascii="Times New Roman" w:hAnsi="Times New Roman" w:cs="Times New Roman"/>
                <w:sz w:val="28"/>
                <w:szCs w:val="28"/>
              </w:rPr>
            </w:pPr>
          </w:p>
          <w:p w14:paraId="4150FF23" w14:textId="77777777" w:rsidR="00C84B73" w:rsidRPr="00A6298A" w:rsidRDefault="00C84B73" w:rsidP="00F659B6">
            <w:pPr>
              <w:tabs>
                <w:tab w:val="left" w:pos="0"/>
              </w:tabs>
              <w:jc w:val="center"/>
              <w:rPr>
                <w:rFonts w:ascii="Times New Roman" w:hAnsi="Times New Roman" w:cs="Times New Roman"/>
                <w:sz w:val="28"/>
                <w:szCs w:val="28"/>
              </w:rPr>
            </w:pPr>
            <w:r w:rsidRPr="00A6298A">
              <w:rPr>
                <w:rFonts w:ascii="Times New Roman" w:hAnsi="Times New Roman" w:cs="Times New Roman"/>
                <w:sz w:val="28"/>
                <w:szCs w:val="28"/>
              </w:rPr>
              <w:t>2</w:t>
            </w:r>
          </w:p>
        </w:tc>
      </w:tr>
      <w:tr w:rsidR="00C84B73" w:rsidRPr="00A6298A" w14:paraId="39CB6325" w14:textId="77777777" w:rsidTr="00F659B6">
        <w:tc>
          <w:tcPr>
            <w:tcW w:w="546" w:type="pct"/>
          </w:tcPr>
          <w:p w14:paraId="74F515B4" w14:textId="77777777" w:rsidR="00C84B73" w:rsidRPr="00A6298A" w:rsidRDefault="00C84B73" w:rsidP="00F659B6">
            <w:pPr>
              <w:tabs>
                <w:tab w:val="left" w:pos="0"/>
              </w:tabs>
              <w:jc w:val="both"/>
              <w:rPr>
                <w:rFonts w:ascii="Times New Roman" w:hAnsi="Times New Roman" w:cs="Times New Roman"/>
                <w:bCs/>
                <w:sz w:val="28"/>
                <w:szCs w:val="28"/>
              </w:rPr>
            </w:pPr>
            <w:r w:rsidRPr="00A6298A">
              <w:rPr>
                <w:rFonts w:ascii="Times New Roman" w:hAnsi="Times New Roman" w:cs="Times New Roman"/>
                <w:bCs/>
                <w:sz w:val="28"/>
                <w:szCs w:val="28"/>
              </w:rPr>
              <w:t>3.</w:t>
            </w:r>
          </w:p>
        </w:tc>
        <w:tc>
          <w:tcPr>
            <w:tcW w:w="1798" w:type="pct"/>
          </w:tcPr>
          <w:p w14:paraId="794EA0BC" w14:textId="77777777" w:rsidR="00C84B73" w:rsidRPr="00A6298A" w:rsidRDefault="00C84B73" w:rsidP="00F659B6">
            <w:pPr>
              <w:tabs>
                <w:tab w:val="left" w:pos="0"/>
              </w:tabs>
              <w:rPr>
                <w:rFonts w:ascii="Times New Roman" w:hAnsi="Times New Roman" w:cs="Times New Roman"/>
                <w:sz w:val="28"/>
                <w:szCs w:val="28"/>
              </w:rPr>
            </w:pPr>
            <w:r w:rsidRPr="00A6298A">
              <w:rPr>
                <w:rFonts w:ascii="Times New Roman" w:hAnsi="Times New Roman" w:cs="Times New Roman"/>
                <w:sz w:val="28"/>
                <w:szCs w:val="28"/>
              </w:rPr>
              <w:t>Attīstītas informācijas sistēmas</w:t>
            </w:r>
          </w:p>
        </w:tc>
        <w:tc>
          <w:tcPr>
            <w:tcW w:w="721" w:type="pct"/>
          </w:tcPr>
          <w:p w14:paraId="5879405C" w14:textId="77777777" w:rsidR="00C84B73" w:rsidRPr="00A6298A" w:rsidRDefault="00C84B73" w:rsidP="00F659B6">
            <w:pPr>
              <w:tabs>
                <w:tab w:val="left" w:pos="0"/>
              </w:tabs>
              <w:jc w:val="center"/>
              <w:rPr>
                <w:rFonts w:ascii="Times New Roman" w:hAnsi="Times New Roman" w:cs="Times New Roman"/>
                <w:sz w:val="28"/>
                <w:szCs w:val="28"/>
              </w:rPr>
            </w:pPr>
            <w:r w:rsidRPr="00A6298A">
              <w:rPr>
                <w:rFonts w:ascii="Times New Roman" w:hAnsi="Times New Roman" w:cs="Times New Roman"/>
                <w:sz w:val="28"/>
                <w:szCs w:val="28"/>
              </w:rPr>
              <w:t>Skaits</w:t>
            </w:r>
          </w:p>
        </w:tc>
        <w:tc>
          <w:tcPr>
            <w:tcW w:w="1003" w:type="pct"/>
          </w:tcPr>
          <w:p w14:paraId="3EA6F133" w14:textId="77777777" w:rsidR="00C84B73" w:rsidRPr="00A6298A" w:rsidRDefault="00C84B73" w:rsidP="00F659B6">
            <w:pPr>
              <w:tabs>
                <w:tab w:val="left" w:pos="0"/>
              </w:tabs>
              <w:jc w:val="center"/>
              <w:rPr>
                <w:rFonts w:ascii="Times New Roman" w:hAnsi="Times New Roman" w:cs="Times New Roman"/>
                <w:sz w:val="28"/>
                <w:szCs w:val="28"/>
              </w:rPr>
            </w:pPr>
            <w:r w:rsidRPr="00A6298A">
              <w:rPr>
                <w:rFonts w:ascii="Times New Roman" w:hAnsi="Times New Roman" w:cs="Times New Roman"/>
                <w:sz w:val="28"/>
                <w:szCs w:val="28"/>
              </w:rPr>
              <w:t>3</w:t>
            </w:r>
          </w:p>
        </w:tc>
        <w:tc>
          <w:tcPr>
            <w:tcW w:w="932" w:type="pct"/>
          </w:tcPr>
          <w:p w14:paraId="257FFAF6" w14:textId="77777777" w:rsidR="00C84B73" w:rsidRPr="00A6298A" w:rsidRDefault="00C84B73" w:rsidP="00F659B6">
            <w:pPr>
              <w:tabs>
                <w:tab w:val="left" w:pos="0"/>
              </w:tabs>
              <w:jc w:val="center"/>
              <w:rPr>
                <w:rFonts w:ascii="Times New Roman" w:hAnsi="Times New Roman" w:cs="Times New Roman"/>
                <w:sz w:val="28"/>
                <w:szCs w:val="28"/>
              </w:rPr>
            </w:pPr>
            <w:r w:rsidRPr="00A6298A">
              <w:rPr>
                <w:rFonts w:ascii="Times New Roman" w:hAnsi="Times New Roman" w:cs="Times New Roman"/>
                <w:sz w:val="28"/>
                <w:szCs w:val="28"/>
              </w:rPr>
              <w:t>4</w:t>
            </w:r>
          </w:p>
        </w:tc>
      </w:tr>
    </w:tbl>
    <w:p w14:paraId="4AA7499F" w14:textId="77777777" w:rsidR="00C84B73" w:rsidRPr="00A6298A" w:rsidRDefault="00C84B73" w:rsidP="00C84B73">
      <w:pPr>
        <w:spacing w:after="0"/>
        <w:jc w:val="both"/>
        <w:rPr>
          <w:rFonts w:ascii="Times New Roman" w:eastAsia="PMingLiU" w:hAnsi="Times New Roman" w:cs="Times New Roman"/>
          <w:sz w:val="28"/>
          <w:szCs w:val="28"/>
        </w:rPr>
      </w:pPr>
    </w:p>
    <w:p w14:paraId="0EC04809" w14:textId="77777777" w:rsidR="00C84B73" w:rsidRPr="00A6298A" w:rsidRDefault="00C84B73" w:rsidP="00C84B73">
      <w:pPr>
        <w:spacing w:after="0"/>
        <w:ind w:firstLine="709"/>
        <w:jc w:val="both"/>
        <w:rPr>
          <w:rFonts w:ascii="Times New Roman" w:hAnsi="Times New Roman" w:cs="Times New Roman"/>
          <w:sz w:val="28"/>
          <w:szCs w:val="28"/>
        </w:rPr>
      </w:pPr>
      <w:r w:rsidRPr="00A6298A">
        <w:rPr>
          <w:rFonts w:ascii="Times New Roman" w:eastAsia="PMingLiU" w:hAnsi="Times New Roman" w:cs="Times New Roman"/>
          <w:sz w:val="28"/>
          <w:szCs w:val="28"/>
        </w:rPr>
        <w:t>Projekta kopējais plānotais finansējuma apjoms ir</w:t>
      </w:r>
      <w:r w:rsidRPr="00A6298A">
        <w:rPr>
          <w:rFonts w:ascii="Times New Roman" w:hAnsi="Times New Roman" w:cs="Times New Roman"/>
          <w:sz w:val="28"/>
          <w:szCs w:val="28"/>
        </w:rPr>
        <w:t xml:space="preserve"> 1 544 765 </w:t>
      </w:r>
      <w:r w:rsidRPr="00A6298A">
        <w:rPr>
          <w:rFonts w:ascii="Times New Roman" w:hAnsi="Times New Roman" w:cs="Times New Roman"/>
          <w:i/>
          <w:iCs/>
          <w:sz w:val="28"/>
          <w:szCs w:val="28"/>
        </w:rPr>
        <w:t>euro</w:t>
      </w:r>
      <w:r w:rsidRPr="00A6298A">
        <w:rPr>
          <w:rFonts w:ascii="Times New Roman" w:hAnsi="Times New Roman" w:cs="Times New Roman"/>
          <w:sz w:val="28"/>
          <w:szCs w:val="28"/>
        </w:rPr>
        <w:t xml:space="preserve">, tai skaitā Eiropas Reģionālās attīstības fonda atbalsts </w:t>
      </w:r>
      <w:r w:rsidRPr="00A6298A">
        <w:rPr>
          <w:rFonts w:ascii="Times New Roman" w:hAnsi="Times New Roman" w:cs="Times New Roman"/>
          <w:sz w:val="28"/>
          <w:szCs w:val="28"/>
          <w:shd w:val="clear" w:color="auto" w:fill="FFFFFF"/>
        </w:rPr>
        <w:t xml:space="preserve">1 313 050 </w:t>
      </w:r>
      <w:r w:rsidRPr="00A6298A">
        <w:rPr>
          <w:rFonts w:ascii="Times New Roman" w:hAnsi="Times New Roman" w:cs="Times New Roman"/>
          <w:i/>
          <w:iCs/>
          <w:sz w:val="28"/>
          <w:szCs w:val="28"/>
        </w:rPr>
        <w:t>euro</w:t>
      </w:r>
      <w:r w:rsidRPr="00A6298A">
        <w:rPr>
          <w:rFonts w:ascii="Times New Roman" w:hAnsi="Times New Roman" w:cs="Times New Roman"/>
          <w:sz w:val="28"/>
          <w:szCs w:val="28"/>
        </w:rPr>
        <w:t xml:space="preserve"> un valsts budžeta finansējums 231 715 </w:t>
      </w:r>
      <w:r w:rsidRPr="00A6298A">
        <w:rPr>
          <w:rFonts w:ascii="Times New Roman" w:hAnsi="Times New Roman" w:cs="Times New Roman"/>
          <w:i/>
          <w:iCs/>
          <w:sz w:val="28"/>
          <w:szCs w:val="28"/>
        </w:rPr>
        <w:t>euro</w:t>
      </w:r>
      <w:r w:rsidRPr="00A6298A">
        <w:rPr>
          <w:rFonts w:ascii="Times New Roman" w:hAnsi="Times New Roman" w:cs="Times New Roman"/>
          <w:sz w:val="28"/>
          <w:szCs w:val="28"/>
        </w:rPr>
        <w:t>.</w:t>
      </w:r>
    </w:p>
    <w:p w14:paraId="01982AA2" w14:textId="77777777" w:rsidR="00C84B73" w:rsidRPr="00F659B6" w:rsidRDefault="00C84B73" w:rsidP="00C84B73">
      <w:pPr>
        <w:spacing w:after="0"/>
        <w:ind w:firstLine="709"/>
        <w:jc w:val="both"/>
        <w:rPr>
          <w:rFonts w:ascii="Times New Roman" w:eastAsia="PMingLiU" w:hAnsi="Times New Roman" w:cs="Times New Roman"/>
          <w:sz w:val="28"/>
          <w:szCs w:val="28"/>
        </w:rPr>
      </w:pPr>
      <w:r w:rsidRPr="00A6298A">
        <w:rPr>
          <w:rFonts w:ascii="Times New Roman" w:hAnsi="Times New Roman" w:cs="Times New Roman"/>
          <w:sz w:val="28"/>
          <w:szCs w:val="28"/>
        </w:rPr>
        <w:t xml:space="preserve">Projekta kopējais īstenošanas laiks ir 36 mēneši, </w:t>
      </w:r>
      <w:r w:rsidRPr="00A6298A">
        <w:rPr>
          <w:rFonts w:ascii="Times New Roman" w:eastAsia="PMingLiU" w:hAnsi="Times New Roman" w:cs="Times New Roman"/>
          <w:sz w:val="28"/>
          <w:szCs w:val="28"/>
        </w:rPr>
        <w:t>bet ne ilgāk kā līdz 2021. gada 15. martam.</w:t>
      </w:r>
    </w:p>
    <w:p w14:paraId="45A84684" w14:textId="77777777" w:rsidR="00C84B73" w:rsidRPr="00A6298A" w:rsidRDefault="00C84B73" w:rsidP="00C84B73">
      <w:pPr>
        <w:spacing w:after="0" w:line="240" w:lineRule="auto"/>
        <w:ind w:firstLine="709"/>
        <w:jc w:val="both"/>
        <w:rPr>
          <w:rFonts w:ascii="Times New Roman" w:hAnsi="Times New Roman" w:cs="Times New Roman"/>
          <w:sz w:val="28"/>
          <w:szCs w:val="28"/>
        </w:rPr>
      </w:pPr>
      <w:r w:rsidRPr="00A6298A">
        <w:rPr>
          <w:rFonts w:ascii="Times New Roman" w:hAnsi="Times New Roman" w:cs="Times New Roman"/>
          <w:sz w:val="28"/>
          <w:szCs w:val="28"/>
        </w:rPr>
        <w:t xml:space="preserve">Plānotās izmaksas izveidoto informācijas sistēmu un infrastruktūras uzturēšanai (bez personāla izmaksām un tikai tās izmaksas, kas attiecas uz projekta ietvaros maināmajām sistēmām) ir </w:t>
      </w:r>
      <w:r w:rsidRPr="00A6298A">
        <w:rPr>
          <w:rFonts w:ascii="Times New Roman" w:eastAsia="Times New Roman" w:hAnsi="Times New Roman" w:cs="Times New Roman"/>
          <w:sz w:val="28"/>
          <w:szCs w:val="28"/>
        </w:rPr>
        <w:t>143 696</w:t>
      </w:r>
      <w:r w:rsidRPr="00A6298A">
        <w:rPr>
          <w:rFonts w:ascii="Times New Roman" w:hAnsi="Times New Roman" w:cs="Times New Roman"/>
          <w:sz w:val="28"/>
          <w:szCs w:val="28"/>
        </w:rPr>
        <w:t xml:space="preserve"> </w:t>
      </w:r>
      <w:r w:rsidRPr="00A6298A">
        <w:rPr>
          <w:rFonts w:ascii="Times New Roman" w:hAnsi="Times New Roman" w:cs="Times New Roman"/>
          <w:i/>
          <w:iCs/>
          <w:sz w:val="28"/>
          <w:szCs w:val="28"/>
        </w:rPr>
        <w:t>euro</w:t>
      </w:r>
      <w:r w:rsidRPr="00A6298A">
        <w:rPr>
          <w:rFonts w:ascii="Times New Roman" w:hAnsi="Times New Roman" w:cs="Times New Roman"/>
          <w:sz w:val="28"/>
          <w:szCs w:val="28"/>
        </w:rPr>
        <w:t xml:space="preserve"> gadā.</w:t>
      </w:r>
    </w:p>
    <w:p w14:paraId="63A62299" w14:textId="77777777" w:rsidR="00C84B73" w:rsidRPr="00A6298A" w:rsidRDefault="00C84B73" w:rsidP="00C84B73">
      <w:pPr>
        <w:pStyle w:val="VPBody"/>
        <w:spacing w:after="0" w:line="240" w:lineRule="auto"/>
        <w:jc w:val="both"/>
        <w:rPr>
          <w:b/>
          <w:sz w:val="28"/>
          <w:szCs w:val="28"/>
        </w:rPr>
      </w:pPr>
    </w:p>
    <w:p w14:paraId="778A3B6B" w14:textId="77777777" w:rsidR="00C84B73" w:rsidRDefault="00C84B73">
      <w:pPr>
        <w:rPr>
          <w:rFonts w:ascii="Times New Roman" w:eastAsia="Times New Roman" w:hAnsi="Times New Roman" w:cs="Times New Roman"/>
          <w:b/>
          <w:sz w:val="28"/>
          <w:szCs w:val="28"/>
          <w:lang w:eastAsia="zh-CN"/>
        </w:rPr>
      </w:pPr>
      <w:r>
        <w:rPr>
          <w:b/>
          <w:sz w:val="28"/>
          <w:szCs w:val="28"/>
        </w:rPr>
        <w:br w:type="page"/>
      </w:r>
    </w:p>
    <w:p w14:paraId="0D167109" w14:textId="77777777" w:rsidR="00C84B73" w:rsidRPr="00A6298A" w:rsidRDefault="00C84B73" w:rsidP="00C84B73">
      <w:pPr>
        <w:pStyle w:val="VPBody"/>
        <w:ind w:firstLine="709"/>
        <w:jc w:val="both"/>
        <w:rPr>
          <w:b/>
          <w:sz w:val="28"/>
          <w:szCs w:val="28"/>
        </w:rPr>
      </w:pPr>
      <w:r w:rsidRPr="00A6298A">
        <w:rPr>
          <w:b/>
          <w:sz w:val="28"/>
          <w:szCs w:val="28"/>
        </w:rPr>
        <w:lastRenderedPageBreak/>
        <w:t>Saistība ar iepriekšējā plānošanas perioda projektiem</w:t>
      </w:r>
    </w:p>
    <w:p w14:paraId="30FB0ECF" w14:textId="77777777" w:rsidR="00C84B73" w:rsidRPr="00A6298A" w:rsidRDefault="00C84B73" w:rsidP="00C84B73">
      <w:pPr>
        <w:pStyle w:val="VPBody"/>
        <w:spacing w:after="0" w:line="240" w:lineRule="auto"/>
        <w:jc w:val="both"/>
        <w:rPr>
          <w:sz w:val="28"/>
          <w:szCs w:val="28"/>
        </w:rPr>
      </w:pPr>
    </w:p>
    <w:p w14:paraId="2A73D8F1" w14:textId="77777777" w:rsidR="00C84B73" w:rsidRPr="00A6298A" w:rsidRDefault="00C84B73" w:rsidP="00C84B73">
      <w:pPr>
        <w:pStyle w:val="VPBody"/>
        <w:ind w:firstLine="709"/>
        <w:jc w:val="both"/>
        <w:rPr>
          <w:sz w:val="28"/>
          <w:szCs w:val="28"/>
        </w:rPr>
      </w:pPr>
      <w:r w:rsidRPr="00A6298A">
        <w:rPr>
          <w:sz w:val="28"/>
          <w:szCs w:val="28"/>
        </w:rPr>
        <w:t>P</w:t>
      </w:r>
      <w:r w:rsidRPr="00A6298A" w:rsidDel="0023305B">
        <w:rPr>
          <w:sz w:val="28"/>
          <w:szCs w:val="28"/>
        </w:rPr>
        <w:t xml:space="preserve">rojekta </w:t>
      </w:r>
      <w:r w:rsidRPr="00A6298A">
        <w:rPr>
          <w:sz w:val="28"/>
          <w:szCs w:val="28"/>
        </w:rPr>
        <w:t>īstenošanā</w:t>
      </w:r>
      <w:r w:rsidRPr="00A6298A" w:rsidDel="0023305B">
        <w:rPr>
          <w:sz w:val="28"/>
          <w:szCs w:val="28"/>
        </w:rPr>
        <w:t xml:space="preserve"> tiks </w:t>
      </w:r>
      <w:r w:rsidRPr="00A6298A">
        <w:rPr>
          <w:sz w:val="28"/>
          <w:szCs w:val="28"/>
        </w:rPr>
        <w:t>izmantoti</w:t>
      </w:r>
      <w:r w:rsidRPr="00A6298A" w:rsidDel="0023305B">
        <w:rPr>
          <w:sz w:val="28"/>
          <w:szCs w:val="28"/>
        </w:rPr>
        <w:t xml:space="preserve"> projekta Nr.</w:t>
      </w:r>
      <w:r w:rsidRPr="00A6298A">
        <w:rPr>
          <w:sz w:val="28"/>
          <w:szCs w:val="28"/>
        </w:rPr>
        <w:t> </w:t>
      </w:r>
      <w:r w:rsidRPr="00A6298A" w:rsidDel="0023305B">
        <w:rPr>
          <w:sz w:val="28"/>
          <w:szCs w:val="28"/>
        </w:rPr>
        <w:t xml:space="preserve">3DP/3.1.5.2.0/09/IPISA/VSMTVA/001 </w:t>
      </w:r>
      <w:r w:rsidRPr="00A6298A">
        <w:rPr>
          <w:sz w:val="28"/>
          <w:szCs w:val="28"/>
        </w:rPr>
        <w:t>"</w:t>
      </w:r>
      <w:r w:rsidRPr="00A6298A" w:rsidDel="0023305B">
        <w:rPr>
          <w:sz w:val="28"/>
          <w:szCs w:val="28"/>
        </w:rPr>
        <w:t>Vienota neatliekamās medicīniskās palīdzības un katastrofu medicīnas vadības informācijas sistēmas un dispečeru centra izveide</w:t>
      </w:r>
      <w:r w:rsidRPr="00A6298A">
        <w:rPr>
          <w:sz w:val="28"/>
          <w:szCs w:val="28"/>
        </w:rPr>
        <w:t>"</w:t>
      </w:r>
      <w:r w:rsidRPr="00A6298A" w:rsidDel="0023305B">
        <w:rPr>
          <w:sz w:val="28"/>
          <w:szCs w:val="28"/>
        </w:rPr>
        <w:t xml:space="preserve"> ietvaros </w:t>
      </w:r>
      <w:r w:rsidRPr="00A6298A">
        <w:rPr>
          <w:sz w:val="28"/>
          <w:szCs w:val="28"/>
        </w:rPr>
        <w:t>izstrādātajā</w:t>
      </w:r>
      <w:r w:rsidRPr="00A6298A" w:rsidDel="0023305B">
        <w:rPr>
          <w:sz w:val="28"/>
          <w:szCs w:val="28"/>
        </w:rPr>
        <w:t xml:space="preserve"> Neatliekamās medicīniskās palīdzības dienesta Resursu vadības </w:t>
      </w:r>
      <w:r w:rsidRPr="00A6298A">
        <w:rPr>
          <w:sz w:val="28"/>
          <w:szCs w:val="28"/>
        </w:rPr>
        <w:t>sistēmā uzkrātie dati.</w:t>
      </w:r>
    </w:p>
    <w:p w14:paraId="395662CD" w14:textId="77777777" w:rsidR="00C84B73" w:rsidRPr="00A6298A" w:rsidRDefault="00C84B73" w:rsidP="00C84B73">
      <w:pPr>
        <w:spacing w:beforeLines="80" w:before="192" w:afterLines="80" w:after="192"/>
        <w:ind w:firstLine="709"/>
        <w:jc w:val="both"/>
        <w:rPr>
          <w:rFonts w:ascii="Times New Roman" w:hAnsi="Times New Roman" w:cs="Times New Roman"/>
          <w:b/>
          <w:bCs/>
          <w:sz w:val="28"/>
          <w:szCs w:val="28"/>
        </w:rPr>
      </w:pPr>
      <w:r w:rsidRPr="00A6298A">
        <w:rPr>
          <w:rFonts w:ascii="Times New Roman" w:hAnsi="Times New Roman" w:cs="Times New Roman"/>
          <w:b/>
          <w:sz w:val="28"/>
          <w:szCs w:val="28"/>
        </w:rPr>
        <w:t>Projekta lietderība</w:t>
      </w:r>
    </w:p>
    <w:p w14:paraId="421936BA" w14:textId="77777777" w:rsidR="00C84B73" w:rsidRPr="00A6298A" w:rsidRDefault="00C84B73" w:rsidP="00C84B73">
      <w:pPr>
        <w:pStyle w:val="VPBody"/>
        <w:ind w:firstLine="709"/>
        <w:jc w:val="both"/>
        <w:rPr>
          <w:sz w:val="28"/>
          <w:szCs w:val="28"/>
        </w:rPr>
      </w:pPr>
      <w:r w:rsidRPr="00A6298A">
        <w:rPr>
          <w:sz w:val="28"/>
          <w:szCs w:val="28"/>
        </w:rPr>
        <w:t xml:space="preserve">Projekta īstenošana nodrošinās šādus sociālekonomiskos ieguvumus,  kuru kopējā diskontētā vērtība 10 gadu laikā pēc projekta īstenošanas ir 5,15 milj. </w:t>
      </w:r>
      <w:r w:rsidRPr="00A6298A">
        <w:rPr>
          <w:i/>
          <w:iCs/>
          <w:sz w:val="28"/>
          <w:szCs w:val="28"/>
        </w:rPr>
        <w:t>euro</w:t>
      </w:r>
      <w:r w:rsidRPr="00A6298A">
        <w:rPr>
          <w:sz w:val="28"/>
          <w:szCs w:val="28"/>
        </w:rPr>
        <w:t>:</w:t>
      </w:r>
    </w:p>
    <w:p w14:paraId="5C5558C2" w14:textId="77777777" w:rsidR="00C84B73" w:rsidRPr="00A6298A" w:rsidRDefault="00C84B73" w:rsidP="00C84B73">
      <w:pPr>
        <w:pStyle w:val="VPBullet1"/>
        <w:tabs>
          <w:tab w:val="left" w:pos="0"/>
        </w:tabs>
        <w:spacing w:after="0"/>
        <w:ind w:left="0" w:firstLine="709"/>
        <w:rPr>
          <w:rFonts w:ascii="Times New Roman" w:hAnsi="Times New Roman" w:cs="Times New Roman"/>
          <w:sz w:val="28"/>
          <w:szCs w:val="28"/>
        </w:rPr>
      </w:pPr>
      <w:r w:rsidRPr="00A6298A">
        <w:rPr>
          <w:rFonts w:ascii="Times New Roman" w:hAnsi="Times New Roman" w:cs="Times New Roman"/>
          <w:sz w:val="28"/>
          <w:szCs w:val="28"/>
        </w:rPr>
        <w:t xml:space="preserve">1) dokumentu sagatavošanai un saskaņošanai patērētā laika (resursu) samazinājums ir aptuveni 1,95 milj. </w:t>
      </w:r>
      <w:r w:rsidRPr="00A6298A">
        <w:rPr>
          <w:rFonts w:ascii="Times New Roman" w:hAnsi="Times New Roman" w:cs="Times New Roman"/>
          <w:i/>
          <w:iCs/>
          <w:sz w:val="28"/>
          <w:szCs w:val="28"/>
        </w:rPr>
        <w:t xml:space="preserve">euro </w:t>
      </w:r>
      <w:r w:rsidRPr="00F659B6">
        <w:rPr>
          <w:rFonts w:ascii="Times New Roman" w:hAnsi="Times New Roman" w:cs="Times New Roman"/>
          <w:sz w:val="28"/>
          <w:szCs w:val="28"/>
        </w:rPr>
        <w:t>(diskontētā vērtība)</w:t>
      </w:r>
      <w:r w:rsidRPr="00A6298A">
        <w:rPr>
          <w:rFonts w:ascii="Times New Roman" w:hAnsi="Times New Roman" w:cs="Times New Roman"/>
          <w:sz w:val="28"/>
          <w:szCs w:val="28"/>
        </w:rPr>
        <w:t>;</w:t>
      </w:r>
    </w:p>
    <w:p w14:paraId="513AE67D" w14:textId="77777777" w:rsidR="00C84B73" w:rsidRPr="00A6298A" w:rsidRDefault="00C84B73" w:rsidP="00C84B73">
      <w:pPr>
        <w:pStyle w:val="VPBullet1"/>
        <w:tabs>
          <w:tab w:val="left" w:pos="0"/>
        </w:tabs>
        <w:spacing w:after="0"/>
        <w:ind w:left="0" w:firstLine="709"/>
        <w:rPr>
          <w:rFonts w:ascii="Times New Roman" w:hAnsi="Times New Roman" w:cs="Times New Roman"/>
          <w:sz w:val="28"/>
          <w:szCs w:val="28"/>
        </w:rPr>
      </w:pPr>
      <w:r w:rsidRPr="00A6298A">
        <w:rPr>
          <w:rFonts w:ascii="Times New Roman" w:hAnsi="Times New Roman" w:cs="Times New Roman"/>
          <w:sz w:val="28"/>
          <w:szCs w:val="28"/>
        </w:rPr>
        <w:t xml:space="preserve">2) budžeta sagatavošanai, izpildei un kontrolei patērētā laika (resursu) samazinājums ir aptuveni 1,08 milj. </w:t>
      </w:r>
      <w:r w:rsidRPr="00A6298A">
        <w:rPr>
          <w:rFonts w:ascii="Times New Roman" w:hAnsi="Times New Roman" w:cs="Times New Roman"/>
          <w:i/>
          <w:iCs/>
          <w:sz w:val="28"/>
          <w:szCs w:val="28"/>
        </w:rPr>
        <w:t xml:space="preserve">euro </w:t>
      </w:r>
      <w:r w:rsidRPr="00F659B6">
        <w:rPr>
          <w:rFonts w:ascii="Times New Roman" w:hAnsi="Times New Roman" w:cs="Times New Roman"/>
          <w:sz w:val="28"/>
          <w:szCs w:val="28"/>
        </w:rPr>
        <w:t>(diskontētā vērtība)</w:t>
      </w:r>
      <w:r w:rsidRPr="00A6298A">
        <w:rPr>
          <w:rFonts w:ascii="Times New Roman" w:hAnsi="Times New Roman" w:cs="Times New Roman"/>
          <w:sz w:val="28"/>
          <w:szCs w:val="28"/>
        </w:rPr>
        <w:t>;</w:t>
      </w:r>
    </w:p>
    <w:p w14:paraId="5BA92559" w14:textId="77777777" w:rsidR="00C84B73" w:rsidRPr="00A6298A" w:rsidRDefault="00C84B73" w:rsidP="00C84B73">
      <w:pPr>
        <w:pStyle w:val="VPBullet1"/>
        <w:tabs>
          <w:tab w:val="left" w:pos="0"/>
        </w:tabs>
        <w:spacing w:before="0" w:after="0"/>
        <w:ind w:left="0" w:firstLine="709"/>
        <w:rPr>
          <w:rFonts w:ascii="Times New Roman" w:hAnsi="Times New Roman" w:cs="Times New Roman"/>
          <w:sz w:val="28"/>
          <w:szCs w:val="28"/>
        </w:rPr>
      </w:pPr>
      <w:r w:rsidRPr="00A6298A">
        <w:rPr>
          <w:rFonts w:ascii="Times New Roman" w:hAnsi="Times New Roman" w:cs="Times New Roman"/>
          <w:sz w:val="28"/>
          <w:szCs w:val="28"/>
        </w:rPr>
        <w:t xml:space="preserve">3) ieguvums no budžeta izlietojuma lietderīguma pieauguma ir aptuveni 2,11 milj. </w:t>
      </w:r>
      <w:r w:rsidRPr="00A6298A">
        <w:rPr>
          <w:rFonts w:ascii="Times New Roman" w:hAnsi="Times New Roman" w:cs="Times New Roman"/>
          <w:i/>
          <w:iCs/>
          <w:sz w:val="28"/>
          <w:szCs w:val="28"/>
        </w:rPr>
        <w:t xml:space="preserve">euro </w:t>
      </w:r>
      <w:r w:rsidRPr="00F659B6">
        <w:rPr>
          <w:rFonts w:ascii="Times New Roman" w:hAnsi="Times New Roman" w:cs="Times New Roman"/>
          <w:sz w:val="28"/>
          <w:szCs w:val="28"/>
        </w:rPr>
        <w:t>(diskontētā vērtība)</w:t>
      </w:r>
      <w:r w:rsidRPr="00A6298A">
        <w:rPr>
          <w:rFonts w:ascii="Times New Roman" w:hAnsi="Times New Roman" w:cs="Times New Roman"/>
          <w:sz w:val="28"/>
          <w:szCs w:val="28"/>
        </w:rPr>
        <w:t>.</w:t>
      </w:r>
    </w:p>
    <w:p w14:paraId="030A9C4E" w14:textId="77777777" w:rsidR="00C84B73" w:rsidRPr="00A6298A" w:rsidRDefault="00C84B73" w:rsidP="00C84B73">
      <w:pPr>
        <w:pStyle w:val="VPBullet1"/>
        <w:tabs>
          <w:tab w:val="left" w:pos="0"/>
        </w:tabs>
        <w:spacing w:after="0"/>
        <w:ind w:firstLine="709"/>
        <w:rPr>
          <w:rFonts w:ascii="Times New Roman" w:hAnsi="Times New Roman" w:cs="Times New Roman"/>
          <w:sz w:val="28"/>
          <w:szCs w:val="28"/>
        </w:rPr>
      </w:pPr>
    </w:p>
    <w:tbl>
      <w:tblPr>
        <w:tblStyle w:val="TableGrid"/>
        <w:tblW w:w="5000" w:type="pct"/>
        <w:tblInd w:w="-5" w:type="dxa"/>
        <w:tblLook w:val="04A0" w:firstRow="1" w:lastRow="0" w:firstColumn="1" w:lastColumn="0" w:noHBand="0" w:noVBand="1"/>
      </w:tblPr>
      <w:tblGrid>
        <w:gridCol w:w="710"/>
        <w:gridCol w:w="2834"/>
        <w:gridCol w:w="1856"/>
        <w:gridCol w:w="3661"/>
      </w:tblGrid>
      <w:tr w:rsidR="00C84B73" w:rsidRPr="00A6298A" w14:paraId="1AEBE9C1" w14:textId="77777777" w:rsidTr="00F659B6">
        <w:trPr>
          <w:trHeight w:val="1283"/>
        </w:trPr>
        <w:tc>
          <w:tcPr>
            <w:tcW w:w="392" w:type="pct"/>
            <w:vAlign w:val="center"/>
          </w:tcPr>
          <w:p w14:paraId="491B0F10" w14:textId="77777777" w:rsidR="00C84B73" w:rsidRPr="00A6298A" w:rsidRDefault="00C84B73" w:rsidP="00F659B6">
            <w:pPr>
              <w:jc w:val="center"/>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Nr.</w:t>
            </w:r>
          </w:p>
          <w:p w14:paraId="2E1DB188" w14:textId="77777777" w:rsidR="00C84B73" w:rsidRPr="00A6298A" w:rsidRDefault="00C84B73" w:rsidP="00F659B6">
            <w:pPr>
              <w:jc w:val="center"/>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p. k.</w:t>
            </w:r>
          </w:p>
        </w:tc>
        <w:tc>
          <w:tcPr>
            <w:tcW w:w="1564" w:type="pct"/>
            <w:vAlign w:val="center"/>
            <w:hideMark/>
          </w:tcPr>
          <w:p w14:paraId="44307B48" w14:textId="77777777" w:rsidR="00C84B73" w:rsidRPr="00A6298A" w:rsidRDefault="00C84B73" w:rsidP="00F659B6">
            <w:pPr>
              <w:jc w:val="center"/>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Sociālekonomiskais ieguvums</w:t>
            </w:r>
          </w:p>
        </w:tc>
        <w:tc>
          <w:tcPr>
            <w:tcW w:w="1024" w:type="pct"/>
            <w:vAlign w:val="center"/>
            <w:hideMark/>
          </w:tcPr>
          <w:p w14:paraId="12F660EF" w14:textId="77777777" w:rsidR="00C84B73" w:rsidRPr="00A6298A" w:rsidRDefault="00C84B73" w:rsidP="00F659B6">
            <w:pPr>
              <w:jc w:val="center"/>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Ekvivalents naudas izteiksmē (</w:t>
            </w:r>
            <w:r w:rsidRPr="00A6298A">
              <w:rPr>
                <w:rFonts w:ascii="Times New Roman" w:eastAsia="MS Mincho" w:hAnsi="Times New Roman" w:cs="Times New Roman"/>
                <w:bCs/>
                <w:i/>
                <w:kern w:val="12"/>
                <w:sz w:val="28"/>
                <w:szCs w:val="28"/>
              </w:rPr>
              <w:t>euro</w:t>
            </w:r>
            <w:r w:rsidRPr="00A6298A">
              <w:rPr>
                <w:rFonts w:ascii="Times New Roman" w:eastAsia="MS Mincho" w:hAnsi="Times New Roman" w:cs="Times New Roman"/>
                <w:bCs/>
                <w:kern w:val="12"/>
                <w:sz w:val="28"/>
                <w:szCs w:val="28"/>
              </w:rPr>
              <w:t>) (nediskontēts)</w:t>
            </w:r>
          </w:p>
        </w:tc>
        <w:tc>
          <w:tcPr>
            <w:tcW w:w="2020" w:type="pct"/>
            <w:vAlign w:val="center"/>
            <w:hideMark/>
          </w:tcPr>
          <w:p w14:paraId="10F17A42" w14:textId="77777777" w:rsidR="00C84B73" w:rsidRPr="00A6298A" w:rsidRDefault="00C84B73" w:rsidP="00F659B6">
            <w:pPr>
              <w:jc w:val="center"/>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Aprēķins</w:t>
            </w:r>
          </w:p>
        </w:tc>
      </w:tr>
      <w:tr w:rsidR="00C84B73" w:rsidRPr="00A6298A" w14:paraId="5693D39D" w14:textId="77777777" w:rsidTr="00F659B6">
        <w:trPr>
          <w:trHeight w:val="630"/>
        </w:trPr>
        <w:tc>
          <w:tcPr>
            <w:tcW w:w="392" w:type="pct"/>
            <w:vMerge w:val="restart"/>
          </w:tcPr>
          <w:p w14:paraId="6773584B"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1.</w:t>
            </w:r>
          </w:p>
        </w:tc>
        <w:tc>
          <w:tcPr>
            <w:tcW w:w="1564" w:type="pct"/>
            <w:vMerge w:val="restart"/>
          </w:tcPr>
          <w:p w14:paraId="4F0F2484"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Dokumentu sagatavošanai un saskaņošanai patērētā laika (resursu) samazinājums, ieviešot  resorā vienotu dokumentu pārvaldības sistēmu, "e-lietas"/virtuālās lietas  risinājumu un kopdarbības un informācijas apmaiņas risinājumu</w:t>
            </w:r>
          </w:p>
        </w:tc>
        <w:tc>
          <w:tcPr>
            <w:tcW w:w="1024" w:type="pct"/>
            <w:vMerge w:val="restart"/>
          </w:tcPr>
          <w:p w14:paraId="12F8ABAE" w14:textId="77777777" w:rsidR="00C84B73" w:rsidRPr="00A6298A" w:rsidRDefault="00C84B73" w:rsidP="00F659B6">
            <w:pPr>
              <w:spacing w:before="0"/>
              <w:rPr>
                <w:rFonts w:ascii="Times New Roman" w:hAnsi="Times New Roman" w:cs="Times New Roman"/>
                <w:color w:val="000000"/>
                <w:sz w:val="28"/>
                <w:szCs w:val="28"/>
              </w:rPr>
            </w:pPr>
            <w:r w:rsidRPr="00A6298A">
              <w:rPr>
                <w:rFonts w:ascii="Times New Roman" w:eastAsia="MS Mincho" w:hAnsi="Times New Roman" w:cs="Times New Roman"/>
                <w:bCs/>
                <w:kern w:val="12"/>
                <w:sz w:val="28"/>
                <w:szCs w:val="28"/>
              </w:rPr>
              <w:t xml:space="preserve">2 971 238,40 </w:t>
            </w:r>
          </w:p>
          <w:p w14:paraId="68DEEFE0" w14:textId="77777777" w:rsidR="00C84B73" w:rsidRPr="00A6298A" w:rsidRDefault="00C84B73" w:rsidP="00F659B6">
            <w:pPr>
              <w:spacing w:before="0"/>
              <w:jc w:val="right"/>
              <w:rPr>
                <w:rFonts w:ascii="Times New Roman" w:hAnsi="Times New Roman" w:cs="Times New Roman"/>
                <w:color w:val="000000"/>
                <w:sz w:val="28"/>
                <w:szCs w:val="28"/>
              </w:rPr>
            </w:pPr>
          </w:p>
          <w:p w14:paraId="4BA55105" w14:textId="77777777" w:rsidR="00C84B73" w:rsidRPr="00A6298A" w:rsidRDefault="00C84B73" w:rsidP="00F659B6">
            <w:pPr>
              <w:spacing w:before="0"/>
              <w:jc w:val="right"/>
              <w:rPr>
                <w:rFonts w:ascii="Times New Roman" w:eastAsia="MS Mincho" w:hAnsi="Times New Roman" w:cs="Times New Roman"/>
                <w:bCs/>
                <w:kern w:val="12"/>
                <w:sz w:val="28"/>
                <w:szCs w:val="28"/>
              </w:rPr>
            </w:pPr>
          </w:p>
        </w:tc>
        <w:tc>
          <w:tcPr>
            <w:tcW w:w="2020" w:type="pct"/>
          </w:tcPr>
          <w:p w14:paraId="20221532" w14:textId="77777777" w:rsidR="00C84B73" w:rsidRPr="00A6298A" w:rsidRDefault="00C84B73" w:rsidP="00F659B6">
            <w:pPr>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Resorā strādājošo, dokumentu sagatavošanas un saskaņošanas procesos iesaistīto darbinieku skaits (D) </w:t>
            </w:r>
            <w:r w:rsidRPr="00F659B6">
              <w:rPr>
                <w:rFonts w:ascii="Times New Roman" w:hAnsi="Times New Roman" w:cs="Times New Roman"/>
                <w:bCs/>
                <w:sz w:val="28"/>
                <w:szCs w:val="28"/>
              </w:rPr>
              <w:t>–</w:t>
            </w:r>
            <w:r w:rsidRPr="00A6298A">
              <w:rPr>
                <w:rFonts w:ascii="Times New Roman" w:eastAsia="MS Mincho" w:hAnsi="Times New Roman" w:cs="Times New Roman"/>
                <w:bCs/>
                <w:kern w:val="12"/>
                <w:sz w:val="28"/>
                <w:szCs w:val="28"/>
              </w:rPr>
              <w:t xml:space="preserve"> 640</w:t>
            </w:r>
          </w:p>
        </w:tc>
      </w:tr>
      <w:tr w:rsidR="00C84B73" w:rsidRPr="00A6298A" w14:paraId="11B7B3CA" w14:textId="77777777" w:rsidTr="00F659B6">
        <w:trPr>
          <w:trHeight w:val="315"/>
        </w:trPr>
        <w:tc>
          <w:tcPr>
            <w:tcW w:w="392" w:type="pct"/>
            <w:vMerge/>
          </w:tcPr>
          <w:p w14:paraId="002A0D93"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68576437"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7BAC8B70"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256E40C6" w14:textId="77777777" w:rsidR="00C84B73" w:rsidRPr="00A6298A" w:rsidRDefault="00C84B73" w:rsidP="00F659B6">
            <w:pPr>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Patērētais darba laiks (T) (h/</w:t>
            </w:r>
            <w:proofErr w:type="spellStart"/>
            <w:r w:rsidRPr="00A6298A">
              <w:rPr>
                <w:rFonts w:ascii="Times New Roman" w:eastAsia="MS Mincho" w:hAnsi="Times New Roman" w:cs="Times New Roman"/>
                <w:bCs/>
                <w:kern w:val="12"/>
                <w:sz w:val="28"/>
                <w:szCs w:val="28"/>
              </w:rPr>
              <w:t>mēn</w:t>
            </w:r>
            <w:proofErr w:type="spellEnd"/>
            <w:r w:rsidRPr="00A6298A">
              <w:rPr>
                <w:rFonts w:ascii="Times New Roman" w:eastAsia="MS Mincho" w:hAnsi="Times New Roman" w:cs="Times New Roman"/>
                <w:bCs/>
                <w:kern w:val="12"/>
                <w:sz w:val="28"/>
                <w:szCs w:val="28"/>
              </w:rPr>
              <w:t xml:space="preserve">.) </w:t>
            </w:r>
            <w:r w:rsidRPr="00F659B6">
              <w:rPr>
                <w:rFonts w:ascii="Times New Roman" w:hAnsi="Times New Roman" w:cs="Times New Roman"/>
                <w:bCs/>
                <w:sz w:val="28"/>
                <w:szCs w:val="28"/>
              </w:rPr>
              <w:t>–</w:t>
            </w:r>
            <w:r w:rsidRPr="00A6298A">
              <w:rPr>
                <w:rFonts w:ascii="Times New Roman" w:eastAsia="MS Mincho" w:hAnsi="Times New Roman" w:cs="Times New Roman"/>
                <w:bCs/>
                <w:kern w:val="12"/>
                <w:sz w:val="28"/>
                <w:szCs w:val="28"/>
              </w:rPr>
              <w:t xml:space="preserve"> 32</w:t>
            </w:r>
          </w:p>
        </w:tc>
      </w:tr>
      <w:tr w:rsidR="00C84B73" w:rsidRPr="00A6298A" w14:paraId="0F5A436B" w14:textId="77777777" w:rsidTr="00F659B6">
        <w:trPr>
          <w:trHeight w:val="315"/>
        </w:trPr>
        <w:tc>
          <w:tcPr>
            <w:tcW w:w="392" w:type="pct"/>
            <w:vMerge/>
          </w:tcPr>
          <w:p w14:paraId="4F790747"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7118FFCA"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6719CFC8"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64451EF8"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Darbinieka stundas likme (bruto ar darba devēja valsts sociālās apdrošināšanas obligātajām iemaksām) (L) (</w:t>
            </w:r>
            <w:r w:rsidRPr="00F659B6">
              <w:rPr>
                <w:rFonts w:ascii="Times New Roman" w:eastAsia="MS Mincho" w:hAnsi="Times New Roman" w:cs="Times New Roman"/>
                <w:bCs/>
                <w:i/>
                <w:iCs/>
                <w:kern w:val="12"/>
                <w:sz w:val="28"/>
                <w:szCs w:val="28"/>
              </w:rPr>
              <w:t>euro</w:t>
            </w:r>
            <w:r w:rsidRPr="00A6298A">
              <w:rPr>
                <w:rFonts w:ascii="Times New Roman" w:eastAsia="MS Mincho" w:hAnsi="Times New Roman" w:cs="Times New Roman"/>
                <w:bCs/>
                <w:kern w:val="12"/>
                <w:sz w:val="28"/>
                <w:szCs w:val="28"/>
              </w:rPr>
              <w:t>/h) </w:t>
            </w:r>
            <w:r w:rsidRPr="00F659B6">
              <w:rPr>
                <w:rFonts w:ascii="Times New Roman" w:hAnsi="Times New Roman" w:cs="Times New Roman"/>
                <w:bCs/>
                <w:sz w:val="28"/>
                <w:szCs w:val="28"/>
              </w:rPr>
              <w:t>–</w:t>
            </w:r>
            <w:r w:rsidRPr="00A6298A">
              <w:rPr>
                <w:rFonts w:ascii="Times New Roman" w:eastAsia="MS Mincho" w:hAnsi="Times New Roman" w:cs="Times New Roman"/>
                <w:bCs/>
                <w:kern w:val="12"/>
                <w:sz w:val="28"/>
                <w:szCs w:val="28"/>
              </w:rPr>
              <w:t xml:space="preserve"> 9,30 </w:t>
            </w:r>
          </w:p>
          <w:p w14:paraId="4AC1FED6"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(strādājošo mēneša vidējā darba samaksa pa mēnešiem saskaņā ar Centrālās statistikas pārvaldes  2016. gada datiem)</w:t>
            </w:r>
          </w:p>
        </w:tc>
      </w:tr>
      <w:tr w:rsidR="00C84B73" w:rsidRPr="00A6298A" w14:paraId="279D7BAE" w14:textId="77777777" w:rsidTr="00F659B6">
        <w:trPr>
          <w:trHeight w:val="315"/>
        </w:trPr>
        <w:tc>
          <w:tcPr>
            <w:tcW w:w="392" w:type="pct"/>
            <w:vMerge/>
          </w:tcPr>
          <w:p w14:paraId="14D91406"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66E1EDD6"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046E2BC6"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1191F62B"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 xml:space="preserve">Produktivitātes uzlabojums (U) </w:t>
            </w:r>
            <w:r w:rsidRPr="00A6298A">
              <w:rPr>
                <w:rFonts w:ascii="Times New Roman" w:hAnsi="Times New Roman" w:cs="Times New Roman"/>
                <w:bCs/>
                <w:sz w:val="28"/>
                <w:szCs w:val="28"/>
              </w:rPr>
              <w:t>–</w:t>
            </w:r>
            <w:r w:rsidRPr="00A6298A">
              <w:rPr>
                <w:rFonts w:ascii="Times New Roman" w:eastAsia="MS Mincho" w:hAnsi="Times New Roman" w:cs="Times New Roman"/>
                <w:bCs/>
                <w:kern w:val="12"/>
                <w:sz w:val="28"/>
                <w:szCs w:val="28"/>
              </w:rPr>
              <w:t xml:space="preserve"> 10 % jeb 0,1</w:t>
            </w:r>
          </w:p>
        </w:tc>
      </w:tr>
      <w:tr w:rsidR="00C84B73" w:rsidRPr="00A6298A" w14:paraId="2AE6CF6A" w14:textId="77777777" w:rsidTr="00F659B6">
        <w:trPr>
          <w:trHeight w:val="315"/>
        </w:trPr>
        <w:tc>
          <w:tcPr>
            <w:tcW w:w="392" w:type="pct"/>
            <w:vMerge/>
          </w:tcPr>
          <w:p w14:paraId="5F9E948E"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61B5FD53"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1DC44F04"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0F181B95"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Projekta dzīvescikls (C) – 13 gadu</w:t>
            </w:r>
          </w:p>
        </w:tc>
      </w:tr>
      <w:tr w:rsidR="00C84B73" w:rsidRPr="00A6298A" w14:paraId="48C72EC2" w14:textId="77777777" w:rsidTr="00F659B6">
        <w:trPr>
          <w:trHeight w:val="330"/>
        </w:trPr>
        <w:tc>
          <w:tcPr>
            <w:tcW w:w="392" w:type="pct"/>
            <w:vMerge/>
          </w:tcPr>
          <w:p w14:paraId="73AFD665"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3BC0C612"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6D7B713C"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33B3FCB0"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 xml:space="preserve">D x T x 12 x L x U x C =  640 x (32 x 12) x 9,30 x </w:t>
            </w:r>
          </w:p>
          <w:p w14:paraId="1AF1C960"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 xml:space="preserve">0,1 x 13 = 2 971 238,40 </w:t>
            </w:r>
            <w:r w:rsidRPr="00F659B6">
              <w:rPr>
                <w:rFonts w:ascii="Times New Roman" w:eastAsia="MS Mincho" w:hAnsi="Times New Roman" w:cs="Times New Roman"/>
                <w:bCs/>
                <w:i/>
                <w:iCs/>
                <w:kern w:val="12"/>
                <w:sz w:val="28"/>
                <w:szCs w:val="28"/>
              </w:rPr>
              <w:t>euro</w:t>
            </w:r>
          </w:p>
        </w:tc>
      </w:tr>
      <w:tr w:rsidR="00C84B73" w:rsidRPr="00A6298A" w14:paraId="26681018" w14:textId="77777777" w:rsidTr="00F659B6">
        <w:trPr>
          <w:trHeight w:val="315"/>
        </w:trPr>
        <w:tc>
          <w:tcPr>
            <w:tcW w:w="392" w:type="pct"/>
            <w:vMerge w:val="restart"/>
          </w:tcPr>
          <w:p w14:paraId="1C599BE0"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2.</w:t>
            </w:r>
          </w:p>
        </w:tc>
        <w:tc>
          <w:tcPr>
            <w:tcW w:w="1564" w:type="pct"/>
            <w:vMerge w:val="restart"/>
            <w:hideMark/>
          </w:tcPr>
          <w:p w14:paraId="34BD9A38"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Resora (Veselības ministrijas un padotības iestāžu) budžeta sagatavošanai, izpildei un kontrolei patērētā laika (resursu) samazinājums</w:t>
            </w:r>
          </w:p>
        </w:tc>
        <w:tc>
          <w:tcPr>
            <w:tcW w:w="1024" w:type="pct"/>
            <w:vMerge w:val="restart"/>
            <w:hideMark/>
          </w:tcPr>
          <w:p w14:paraId="68D238DF"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1 785 600,00</w:t>
            </w:r>
          </w:p>
        </w:tc>
        <w:tc>
          <w:tcPr>
            <w:tcW w:w="2020" w:type="pct"/>
          </w:tcPr>
          <w:p w14:paraId="63DCBDBE"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Budžeta sagatavošanas, izpildes un kontroles procesos iesaistīto darbinieku skaits (D) – 100</w:t>
            </w:r>
          </w:p>
        </w:tc>
      </w:tr>
      <w:tr w:rsidR="00C84B73" w:rsidRPr="00A6298A" w14:paraId="735EC98D" w14:textId="77777777" w:rsidTr="00F659B6">
        <w:trPr>
          <w:trHeight w:val="630"/>
        </w:trPr>
        <w:tc>
          <w:tcPr>
            <w:tcW w:w="392" w:type="pct"/>
            <w:vMerge/>
          </w:tcPr>
          <w:p w14:paraId="013E3C0B"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hideMark/>
          </w:tcPr>
          <w:p w14:paraId="4B9224DF"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hideMark/>
          </w:tcPr>
          <w:p w14:paraId="409D65AA"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71520A37"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Patērētais darba laiks budžeta sagatavošanas, izpildes un kontroles procesos/</w:t>
            </w:r>
            <w:proofErr w:type="spellStart"/>
            <w:r w:rsidRPr="00A6298A">
              <w:rPr>
                <w:rFonts w:ascii="Times New Roman" w:eastAsia="MS Mincho" w:hAnsi="Times New Roman" w:cs="Times New Roman"/>
                <w:bCs/>
                <w:kern w:val="12"/>
                <w:sz w:val="28"/>
                <w:szCs w:val="28"/>
              </w:rPr>
              <w:t>mēn</w:t>
            </w:r>
            <w:proofErr w:type="spellEnd"/>
            <w:r w:rsidRPr="00A6298A">
              <w:rPr>
                <w:rFonts w:ascii="Times New Roman" w:eastAsia="MS Mincho" w:hAnsi="Times New Roman" w:cs="Times New Roman"/>
                <w:bCs/>
                <w:kern w:val="12"/>
                <w:sz w:val="28"/>
                <w:szCs w:val="28"/>
              </w:rPr>
              <w:t xml:space="preserve"> (T) (h/</w:t>
            </w:r>
            <w:proofErr w:type="spellStart"/>
            <w:r w:rsidRPr="00A6298A">
              <w:rPr>
                <w:rFonts w:ascii="Times New Roman" w:eastAsia="MS Mincho" w:hAnsi="Times New Roman" w:cs="Times New Roman"/>
                <w:bCs/>
                <w:kern w:val="12"/>
                <w:sz w:val="28"/>
                <w:szCs w:val="28"/>
              </w:rPr>
              <w:t>mēn</w:t>
            </w:r>
            <w:proofErr w:type="spellEnd"/>
            <w:r w:rsidRPr="00A6298A">
              <w:rPr>
                <w:rFonts w:ascii="Times New Roman" w:eastAsia="MS Mincho" w:hAnsi="Times New Roman" w:cs="Times New Roman"/>
                <w:bCs/>
                <w:kern w:val="12"/>
                <w:sz w:val="28"/>
                <w:szCs w:val="28"/>
              </w:rPr>
              <w:t>.) – 80</w:t>
            </w:r>
          </w:p>
        </w:tc>
      </w:tr>
      <w:tr w:rsidR="00C84B73" w:rsidRPr="00A6298A" w14:paraId="49103E58" w14:textId="77777777" w:rsidTr="00F659B6">
        <w:trPr>
          <w:trHeight w:val="315"/>
        </w:trPr>
        <w:tc>
          <w:tcPr>
            <w:tcW w:w="392" w:type="pct"/>
            <w:vMerge/>
          </w:tcPr>
          <w:p w14:paraId="166723E1"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hideMark/>
          </w:tcPr>
          <w:p w14:paraId="0DD839BF"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hideMark/>
          </w:tcPr>
          <w:p w14:paraId="3B2C010B"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2230E6BA"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Darbinieka stundas likme (bruto ar darba devēja valsts sociālās apdrošināšanas obligātajām iemaksām) (L) (</w:t>
            </w:r>
            <w:r w:rsidRPr="00F659B6">
              <w:rPr>
                <w:rFonts w:ascii="Times New Roman" w:eastAsia="MS Mincho" w:hAnsi="Times New Roman" w:cs="Times New Roman"/>
                <w:bCs/>
                <w:i/>
                <w:iCs/>
                <w:kern w:val="12"/>
                <w:sz w:val="28"/>
                <w:szCs w:val="28"/>
              </w:rPr>
              <w:t>euro</w:t>
            </w:r>
            <w:r w:rsidRPr="00A6298A">
              <w:rPr>
                <w:rFonts w:ascii="Times New Roman" w:eastAsia="MS Mincho" w:hAnsi="Times New Roman" w:cs="Times New Roman"/>
                <w:bCs/>
                <w:kern w:val="12"/>
                <w:sz w:val="28"/>
                <w:szCs w:val="28"/>
              </w:rPr>
              <w:t xml:space="preserve">/h) – 9,30 </w:t>
            </w:r>
          </w:p>
        </w:tc>
      </w:tr>
      <w:tr w:rsidR="00C84B73" w:rsidRPr="00A6298A" w14:paraId="6FEA6D67" w14:textId="77777777" w:rsidTr="00F659B6">
        <w:trPr>
          <w:trHeight w:val="315"/>
        </w:trPr>
        <w:tc>
          <w:tcPr>
            <w:tcW w:w="392" w:type="pct"/>
            <w:vMerge/>
          </w:tcPr>
          <w:p w14:paraId="0F348878"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hideMark/>
          </w:tcPr>
          <w:p w14:paraId="6D64168B"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hideMark/>
          </w:tcPr>
          <w:p w14:paraId="33C1C01E"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2AF40ED9"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Produktivitātes uzlabojums (U) – 20 % jeb 0,2</w:t>
            </w:r>
          </w:p>
        </w:tc>
      </w:tr>
      <w:tr w:rsidR="00C84B73" w:rsidRPr="00A6298A" w14:paraId="348D3E85" w14:textId="77777777" w:rsidTr="00F659B6">
        <w:trPr>
          <w:trHeight w:val="315"/>
        </w:trPr>
        <w:tc>
          <w:tcPr>
            <w:tcW w:w="392" w:type="pct"/>
            <w:vMerge/>
          </w:tcPr>
          <w:p w14:paraId="0F73E8B4"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6CB30499"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2AC45F2A"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4A839238"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Projekta dzīvescikla daļa, kurā plānots ieguvums (C) – 10 gadu</w:t>
            </w:r>
          </w:p>
        </w:tc>
      </w:tr>
      <w:tr w:rsidR="00C84B73" w:rsidRPr="00A6298A" w14:paraId="48949596" w14:textId="77777777" w:rsidTr="00F659B6">
        <w:trPr>
          <w:trHeight w:val="330"/>
        </w:trPr>
        <w:tc>
          <w:tcPr>
            <w:tcW w:w="392" w:type="pct"/>
            <w:vMerge/>
          </w:tcPr>
          <w:p w14:paraId="29A4356E"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hideMark/>
          </w:tcPr>
          <w:p w14:paraId="1BA290E2"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hideMark/>
          </w:tcPr>
          <w:p w14:paraId="469CF25C"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0E0A9F79"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 xml:space="preserve">D x T x 12 x L x U x C= 100 x (80 x 12) x 9,30 x 0,2 x 10 = 1 785 600,00 </w:t>
            </w:r>
            <w:r w:rsidRPr="00F659B6">
              <w:rPr>
                <w:rFonts w:ascii="Times New Roman" w:eastAsia="MS Mincho" w:hAnsi="Times New Roman" w:cs="Times New Roman"/>
                <w:bCs/>
                <w:i/>
                <w:iCs/>
                <w:kern w:val="12"/>
                <w:sz w:val="28"/>
                <w:szCs w:val="28"/>
              </w:rPr>
              <w:t>euro</w:t>
            </w:r>
          </w:p>
        </w:tc>
      </w:tr>
      <w:tr w:rsidR="00C84B73" w:rsidRPr="00A6298A" w14:paraId="3A22A953" w14:textId="77777777" w:rsidTr="00F659B6">
        <w:trPr>
          <w:trHeight w:val="330"/>
        </w:trPr>
        <w:tc>
          <w:tcPr>
            <w:tcW w:w="392" w:type="pct"/>
            <w:vMerge w:val="restart"/>
          </w:tcPr>
          <w:p w14:paraId="073B70EA"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3.</w:t>
            </w:r>
          </w:p>
        </w:tc>
        <w:tc>
          <w:tcPr>
            <w:tcW w:w="1564" w:type="pct"/>
            <w:vMerge w:val="restart"/>
          </w:tcPr>
          <w:p w14:paraId="0E67772F"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Ieguvums no resora (Veselības ministrijas un padotības iestāžu)  budžeta izlietojuma lietderīguma pieauguma</w:t>
            </w:r>
          </w:p>
        </w:tc>
        <w:tc>
          <w:tcPr>
            <w:tcW w:w="1024" w:type="pct"/>
            <w:vMerge w:val="restart"/>
          </w:tcPr>
          <w:p w14:paraId="32540610"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3 500 000,00</w:t>
            </w:r>
          </w:p>
        </w:tc>
        <w:tc>
          <w:tcPr>
            <w:tcW w:w="2020" w:type="pct"/>
          </w:tcPr>
          <w:p w14:paraId="5C79724C"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Resora budžeta apjoms (gadā) (B) – 35</w:t>
            </w:r>
            <w:r w:rsidRPr="00F659B6">
              <w:rPr>
                <w:rFonts w:ascii="Times New Roman" w:eastAsia="MS Mincho" w:hAnsi="Times New Roman" w:cs="Times New Roman"/>
                <w:bCs/>
                <w:kern w:val="12"/>
                <w:sz w:val="28"/>
                <w:szCs w:val="28"/>
              </w:rPr>
              <w:t> </w:t>
            </w:r>
            <w:r w:rsidRPr="00A6298A">
              <w:rPr>
                <w:rFonts w:ascii="Times New Roman" w:eastAsia="MS Mincho" w:hAnsi="Times New Roman" w:cs="Times New Roman"/>
                <w:bCs/>
                <w:kern w:val="12"/>
                <w:sz w:val="28"/>
                <w:szCs w:val="28"/>
              </w:rPr>
              <w:t xml:space="preserve">000 000 </w:t>
            </w:r>
            <w:r w:rsidRPr="00F659B6">
              <w:rPr>
                <w:rFonts w:ascii="Times New Roman" w:eastAsia="MS Mincho" w:hAnsi="Times New Roman" w:cs="Times New Roman"/>
                <w:bCs/>
                <w:i/>
                <w:iCs/>
                <w:kern w:val="12"/>
                <w:sz w:val="28"/>
                <w:szCs w:val="28"/>
              </w:rPr>
              <w:t>euro</w:t>
            </w:r>
          </w:p>
        </w:tc>
      </w:tr>
      <w:tr w:rsidR="00C84B73" w:rsidRPr="00A6298A" w14:paraId="378FF722" w14:textId="77777777" w:rsidTr="00F659B6">
        <w:trPr>
          <w:trHeight w:val="330"/>
        </w:trPr>
        <w:tc>
          <w:tcPr>
            <w:tcW w:w="392" w:type="pct"/>
            <w:vMerge/>
          </w:tcPr>
          <w:p w14:paraId="5EC69537"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03574470"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45E92DEA"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1D9350D0"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Izmaksu samazinājums, ko rada lietderīguma pieaugums (efektivitātes palielināšanās) (U) – 1 % jeb 0,01</w:t>
            </w:r>
          </w:p>
        </w:tc>
      </w:tr>
      <w:tr w:rsidR="00C84B73" w:rsidRPr="00A6298A" w14:paraId="0F17D329" w14:textId="77777777" w:rsidTr="00F659B6">
        <w:trPr>
          <w:trHeight w:val="330"/>
        </w:trPr>
        <w:tc>
          <w:tcPr>
            <w:tcW w:w="392" w:type="pct"/>
            <w:vMerge/>
          </w:tcPr>
          <w:p w14:paraId="29089657"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497C49EB"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402C8CB2"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081E57B8"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Projekta dzīvescikla daļa, kurā plānots ieguvums (C) – 10 gadu</w:t>
            </w:r>
          </w:p>
        </w:tc>
      </w:tr>
      <w:tr w:rsidR="00C84B73" w:rsidRPr="00A6298A" w14:paraId="642C6099" w14:textId="77777777" w:rsidTr="00F659B6">
        <w:trPr>
          <w:trHeight w:val="330"/>
        </w:trPr>
        <w:tc>
          <w:tcPr>
            <w:tcW w:w="392" w:type="pct"/>
            <w:vMerge/>
          </w:tcPr>
          <w:p w14:paraId="200C90E8" w14:textId="77777777" w:rsidR="00C84B73" w:rsidRPr="00A6298A" w:rsidRDefault="00C84B73" w:rsidP="00F659B6">
            <w:pPr>
              <w:rPr>
                <w:rFonts w:ascii="Times New Roman" w:eastAsia="MS Mincho" w:hAnsi="Times New Roman" w:cs="Times New Roman"/>
                <w:bCs/>
                <w:kern w:val="12"/>
                <w:sz w:val="28"/>
                <w:szCs w:val="28"/>
              </w:rPr>
            </w:pPr>
          </w:p>
        </w:tc>
        <w:tc>
          <w:tcPr>
            <w:tcW w:w="1564" w:type="pct"/>
            <w:vMerge/>
          </w:tcPr>
          <w:p w14:paraId="1D1FD2EC" w14:textId="77777777" w:rsidR="00C84B73" w:rsidRPr="00A6298A" w:rsidRDefault="00C84B73" w:rsidP="00F659B6">
            <w:pPr>
              <w:rPr>
                <w:rFonts w:ascii="Times New Roman" w:eastAsia="MS Mincho" w:hAnsi="Times New Roman" w:cs="Times New Roman"/>
                <w:bCs/>
                <w:kern w:val="12"/>
                <w:sz w:val="28"/>
                <w:szCs w:val="28"/>
              </w:rPr>
            </w:pPr>
          </w:p>
        </w:tc>
        <w:tc>
          <w:tcPr>
            <w:tcW w:w="1024" w:type="pct"/>
            <w:vMerge/>
          </w:tcPr>
          <w:p w14:paraId="68EB7BE0" w14:textId="77777777" w:rsidR="00C84B73" w:rsidRPr="00A6298A" w:rsidRDefault="00C84B73" w:rsidP="00F659B6">
            <w:pPr>
              <w:rPr>
                <w:rFonts w:ascii="Times New Roman" w:eastAsia="MS Mincho" w:hAnsi="Times New Roman" w:cs="Times New Roman"/>
                <w:bCs/>
                <w:kern w:val="12"/>
                <w:sz w:val="28"/>
                <w:szCs w:val="28"/>
              </w:rPr>
            </w:pPr>
          </w:p>
        </w:tc>
        <w:tc>
          <w:tcPr>
            <w:tcW w:w="2020" w:type="pct"/>
          </w:tcPr>
          <w:p w14:paraId="2CFC3FE8" w14:textId="77777777" w:rsidR="00C84B73" w:rsidRPr="00A6298A" w:rsidRDefault="00C84B73" w:rsidP="00F659B6">
            <w:pPr>
              <w:spacing w:before="0"/>
              <w:rPr>
                <w:rFonts w:ascii="Times New Roman" w:eastAsia="MS Mincho" w:hAnsi="Times New Roman" w:cs="Times New Roman"/>
                <w:bCs/>
                <w:kern w:val="12"/>
                <w:sz w:val="28"/>
                <w:szCs w:val="28"/>
              </w:rPr>
            </w:pPr>
            <w:r w:rsidRPr="00A6298A">
              <w:rPr>
                <w:rFonts w:ascii="Times New Roman" w:eastAsia="MS Mincho" w:hAnsi="Times New Roman" w:cs="Times New Roman"/>
                <w:bCs/>
                <w:kern w:val="12"/>
                <w:sz w:val="28"/>
                <w:szCs w:val="28"/>
              </w:rPr>
              <w:t xml:space="preserve">B x U x C = 35 000 000 x 0,01 x 10 = 3 500 000,00 </w:t>
            </w:r>
            <w:r w:rsidRPr="00F659B6">
              <w:rPr>
                <w:rFonts w:ascii="Times New Roman" w:eastAsia="MS Mincho" w:hAnsi="Times New Roman" w:cs="Times New Roman"/>
                <w:bCs/>
                <w:i/>
                <w:iCs/>
                <w:kern w:val="12"/>
                <w:sz w:val="28"/>
                <w:szCs w:val="28"/>
              </w:rPr>
              <w:t>euro</w:t>
            </w:r>
          </w:p>
        </w:tc>
      </w:tr>
    </w:tbl>
    <w:p w14:paraId="1582CC10" w14:textId="77777777" w:rsidR="00C84B73" w:rsidRPr="00A6298A" w:rsidRDefault="00C84B73" w:rsidP="00C84B73">
      <w:pPr>
        <w:pStyle w:val="VPBody"/>
        <w:spacing w:after="0" w:line="240" w:lineRule="auto"/>
        <w:jc w:val="both"/>
        <w:rPr>
          <w:sz w:val="28"/>
          <w:szCs w:val="28"/>
        </w:rPr>
      </w:pPr>
    </w:p>
    <w:p w14:paraId="55DB4CAA" w14:textId="77777777" w:rsidR="00C84B73" w:rsidRPr="00A6298A" w:rsidRDefault="00C84B73" w:rsidP="00C84B73">
      <w:pPr>
        <w:pStyle w:val="VPBody"/>
        <w:ind w:firstLine="709"/>
        <w:jc w:val="both"/>
        <w:rPr>
          <w:sz w:val="28"/>
          <w:szCs w:val="28"/>
        </w:rPr>
      </w:pPr>
      <w:r w:rsidRPr="00A6298A">
        <w:rPr>
          <w:sz w:val="28"/>
          <w:szCs w:val="28"/>
        </w:rPr>
        <w:t xml:space="preserve">Projekta kopējā diskontēto izdevumu (ieguldījumi un uzturēšanas izmaksas) apjoms ir 2,247 milj. </w:t>
      </w:r>
      <w:r w:rsidRPr="00A6298A">
        <w:rPr>
          <w:i/>
          <w:iCs/>
          <w:sz w:val="28"/>
          <w:szCs w:val="28"/>
        </w:rPr>
        <w:t>euro</w:t>
      </w:r>
      <w:r w:rsidRPr="00A6298A">
        <w:rPr>
          <w:sz w:val="28"/>
          <w:szCs w:val="28"/>
        </w:rPr>
        <w:t xml:space="preserve">. Tādējādi diskontēto ieguvumu apjoms </w:t>
      </w:r>
      <w:r w:rsidRPr="00A6298A">
        <w:rPr>
          <w:sz w:val="28"/>
          <w:szCs w:val="28"/>
        </w:rPr>
        <w:lastRenderedPageBreak/>
        <w:t>pārsniedz izdevumus 2,29 reizes, un tas apliecina projekta izdevīgumu sabiedrībai kopumā."</w:t>
      </w:r>
    </w:p>
    <w:p w14:paraId="59190134" w14:textId="77777777" w:rsidR="00C84B73" w:rsidRPr="00F659B6" w:rsidRDefault="00C84B73" w:rsidP="00C84B73">
      <w:pPr>
        <w:tabs>
          <w:tab w:val="left" w:pos="6521"/>
        </w:tabs>
        <w:spacing w:after="0" w:line="240" w:lineRule="auto"/>
        <w:jc w:val="both"/>
        <w:rPr>
          <w:rFonts w:ascii="Times New Roman" w:eastAsia="Times New Roman" w:hAnsi="Times New Roman" w:cs="Times New Roman"/>
          <w:sz w:val="28"/>
          <w:szCs w:val="28"/>
          <w:lang w:eastAsia="zh-TW"/>
        </w:rPr>
      </w:pPr>
    </w:p>
    <w:p w14:paraId="2F5013DD" w14:textId="77777777" w:rsidR="00C84B73" w:rsidRPr="00F659B6" w:rsidRDefault="00C84B73" w:rsidP="00C84B73">
      <w:pPr>
        <w:tabs>
          <w:tab w:val="left" w:pos="6521"/>
        </w:tabs>
        <w:spacing w:after="0" w:line="240" w:lineRule="auto"/>
        <w:jc w:val="both"/>
        <w:rPr>
          <w:rFonts w:ascii="Times New Roman" w:eastAsia="Times New Roman" w:hAnsi="Times New Roman" w:cs="Times New Roman"/>
          <w:sz w:val="28"/>
          <w:szCs w:val="28"/>
          <w:lang w:eastAsia="zh-TW"/>
        </w:rPr>
      </w:pPr>
    </w:p>
    <w:p w14:paraId="2E16D54F" w14:textId="77777777" w:rsidR="00C84B73" w:rsidRPr="00A6298A" w:rsidRDefault="00C84B73" w:rsidP="00C84B73">
      <w:pPr>
        <w:pStyle w:val="naisf"/>
        <w:tabs>
          <w:tab w:val="right" w:pos="9000"/>
        </w:tabs>
        <w:spacing w:before="0" w:after="0"/>
        <w:ind w:firstLine="0"/>
        <w:rPr>
          <w:sz w:val="28"/>
          <w:szCs w:val="28"/>
        </w:rPr>
      </w:pPr>
    </w:p>
    <w:p w14:paraId="3D02113D" w14:textId="77777777" w:rsidR="00C84B73" w:rsidRPr="00C84B73" w:rsidRDefault="00C84B73" w:rsidP="00C84B73">
      <w:pPr>
        <w:tabs>
          <w:tab w:val="left" w:pos="6521"/>
        </w:tabs>
        <w:spacing w:after="0" w:line="240" w:lineRule="auto"/>
        <w:ind w:firstLine="709"/>
        <w:jc w:val="both"/>
        <w:rPr>
          <w:rFonts w:ascii="Times New Roman" w:hAnsi="Times New Roman" w:cs="Times New Roman"/>
          <w:sz w:val="28"/>
          <w:szCs w:val="28"/>
        </w:rPr>
      </w:pPr>
      <w:r w:rsidRPr="00F659B6">
        <w:rPr>
          <w:rFonts w:ascii="Times New Roman" w:hAnsi="Times New Roman" w:cs="Times New Roman"/>
          <w:sz w:val="28"/>
          <w:szCs w:val="28"/>
        </w:rPr>
        <w:t>Veselības ministrs</w:t>
      </w:r>
      <w:r w:rsidRPr="00F659B6">
        <w:rPr>
          <w:rFonts w:ascii="Times New Roman" w:hAnsi="Times New Roman" w:cs="Times New Roman"/>
          <w:sz w:val="28"/>
          <w:szCs w:val="28"/>
        </w:rPr>
        <w:tab/>
        <w:t>D. Pavļuts</w:t>
      </w:r>
    </w:p>
    <w:sectPr w:rsidR="00C84B73" w:rsidRPr="00C84B73" w:rsidSect="007D2D5B">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4D98" w14:textId="77777777" w:rsidR="00C84B73" w:rsidRDefault="00C84B73" w:rsidP="00C84B73">
      <w:pPr>
        <w:spacing w:after="0" w:line="240" w:lineRule="auto"/>
      </w:pPr>
      <w:r>
        <w:separator/>
      </w:r>
    </w:p>
  </w:endnote>
  <w:endnote w:type="continuationSeparator" w:id="0">
    <w:p w14:paraId="7B372668" w14:textId="77777777" w:rsidR="00C84B73" w:rsidRDefault="00C84B73" w:rsidP="00C8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4D34" w14:textId="31E7DC0D" w:rsidR="00642CC7" w:rsidRPr="00C84B73" w:rsidRDefault="00472663" w:rsidP="00C84B73">
    <w:pPr>
      <w:pStyle w:val="Footer"/>
      <w:rPr>
        <w:rFonts w:ascii="Times New Roman" w:hAnsi="Times New Roman" w:cs="Times New Roman"/>
        <w:sz w:val="16"/>
        <w:szCs w:val="16"/>
      </w:rPr>
    </w:pPr>
    <w:r>
      <w:rPr>
        <w:rFonts w:ascii="Times New Roman" w:hAnsi="Times New Roman" w:cs="Times New Roman"/>
        <w:sz w:val="16"/>
        <w:szCs w:val="16"/>
      </w:rPr>
      <w:t>R</w:t>
    </w:r>
    <w:r w:rsidR="00C84B73" w:rsidRPr="007D2D5B">
      <w:rPr>
        <w:rFonts w:ascii="Times New Roman" w:hAnsi="Times New Roman" w:cs="Times New Roman"/>
        <w:sz w:val="16"/>
        <w:szCs w:val="16"/>
      </w:rPr>
      <w:t>0664_1</w:t>
    </w:r>
    <w:r w:rsidR="00C84B73">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D652" w14:textId="4BF541EC" w:rsidR="007D2D5B" w:rsidRPr="007D2D5B" w:rsidRDefault="00472663">
    <w:pPr>
      <w:pStyle w:val="Footer"/>
      <w:rPr>
        <w:rFonts w:ascii="Times New Roman" w:hAnsi="Times New Roman" w:cs="Times New Roman"/>
        <w:sz w:val="16"/>
        <w:szCs w:val="16"/>
      </w:rPr>
    </w:pPr>
    <w:r>
      <w:rPr>
        <w:rFonts w:ascii="Times New Roman" w:hAnsi="Times New Roman" w:cs="Times New Roman"/>
        <w:sz w:val="16"/>
        <w:szCs w:val="16"/>
      </w:rPr>
      <w:t>R</w:t>
    </w:r>
    <w:r w:rsidR="00C84B73" w:rsidRPr="007D2D5B">
      <w:rPr>
        <w:rFonts w:ascii="Times New Roman" w:hAnsi="Times New Roman" w:cs="Times New Roman"/>
        <w:sz w:val="16"/>
        <w:szCs w:val="16"/>
      </w:rPr>
      <w:t>0664_1</w:t>
    </w:r>
    <w:r w:rsidR="00C84B73">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D469" w14:textId="77777777" w:rsidR="00C84B73" w:rsidRDefault="00C84B73" w:rsidP="00C84B73">
      <w:pPr>
        <w:spacing w:after="0" w:line="240" w:lineRule="auto"/>
      </w:pPr>
      <w:r>
        <w:separator/>
      </w:r>
    </w:p>
  </w:footnote>
  <w:footnote w:type="continuationSeparator" w:id="0">
    <w:p w14:paraId="55D00A17" w14:textId="77777777" w:rsidR="00C84B73" w:rsidRDefault="00C84B73" w:rsidP="00C8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202833"/>
      <w:docPartObj>
        <w:docPartGallery w:val="Page Numbers (Top of Page)"/>
        <w:docPartUnique/>
      </w:docPartObj>
    </w:sdtPr>
    <w:sdtEndPr>
      <w:rPr>
        <w:rFonts w:ascii="Times New Roman" w:hAnsi="Times New Roman" w:cs="Times New Roman"/>
        <w:noProof/>
        <w:sz w:val="24"/>
        <w:szCs w:val="24"/>
      </w:rPr>
    </w:sdtEndPr>
    <w:sdtContent>
      <w:p w14:paraId="02DC82FC" w14:textId="77777777" w:rsidR="009712B3" w:rsidRPr="007D2D5B" w:rsidRDefault="00C84B73">
        <w:pPr>
          <w:pStyle w:val="Header"/>
          <w:jc w:val="center"/>
          <w:rPr>
            <w:rFonts w:ascii="Times New Roman" w:hAnsi="Times New Roman" w:cs="Times New Roman"/>
            <w:sz w:val="24"/>
            <w:szCs w:val="24"/>
          </w:rPr>
        </w:pPr>
        <w:r w:rsidRPr="007D2D5B">
          <w:rPr>
            <w:rFonts w:ascii="Times New Roman" w:hAnsi="Times New Roman" w:cs="Times New Roman"/>
            <w:sz w:val="24"/>
            <w:szCs w:val="24"/>
          </w:rPr>
          <w:fldChar w:fldCharType="begin"/>
        </w:r>
        <w:r w:rsidRPr="007D2D5B">
          <w:rPr>
            <w:rFonts w:ascii="Times New Roman" w:hAnsi="Times New Roman" w:cs="Times New Roman"/>
            <w:sz w:val="24"/>
            <w:szCs w:val="24"/>
          </w:rPr>
          <w:instrText xml:space="preserve"> PAGE   \* MERGEFORMAT </w:instrText>
        </w:r>
        <w:r w:rsidRPr="007D2D5B">
          <w:rPr>
            <w:rFonts w:ascii="Times New Roman" w:hAnsi="Times New Roman" w:cs="Times New Roman"/>
            <w:sz w:val="24"/>
            <w:szCs w:val="24"/>
          </w:rPr>
          <w:fldChar w:fldCharType="separate"/>
        </w:r>
        <w:r>
          <w:rPr>
            <w:rFonts w:ascii="Times New Roman" w:hAnsi="Times New Roman" w:cs="Times New Roman"/>
            <w:noProof/>
            <w:sz w:val="24"/>
            <w:szCs w:val="24"/>
          </w:rPr>
          <w:t>6</w:t>
        </w:r>
        <w:r w:rsidRPr="007D2D5B">
          <w:rPr>
            <w:rFonts w:ascii="Times New Roman" w:hAnsi="Times New Roman" w:cs="Times New Roman"/>
            <w:noProof/>
            <w:sz w:val="24"/>
            <w:szCs w:val="24"/>
          </w:rPr>
          <w:fldChar w:fldCharType="end"/>
        </w:r>
      </w:p>
    </w:sdtContent>
  </w:sdt>
  <w:p w14:paraId="6099C1BB" w14:textId="77777777" w:rsidR="009712B3" w:rsidRPr="007D2D5B" w:rsidRDefault="004902C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111780"/>
    <w:multiLevelType w:val="hybridMultilevel"/>
    <w:tmpl w:val="0FD84180"/>
    <w:lvl w:ilvl="0" w:tplc="A46C2D2A">
      <w:start w:val="1"/>
      <w:numFmt w:val="decimal"/>
      <w:lvlText w:val="%1."/>
      <w:lvlJc w:val="left"/>
      <w:pPr>
        <w:ind w:left="1080" w:hanging="720"/>
      </w:pPr>
      <w:rPr>
        <w:rFonts w:hint="default"/>
      </w:rPr>
    </w:lvl>
    <w:lvl w:ilvl="1" w:tplc="130E7FCA" w:tentative="1">
      <w:start w:val="1"/>
      <w:numFmt w:val="lowerLetter"/>
      <w:lvlText w:val="%2."/>
      <w:lvlJc w:val="left"/>
      <w:pPr>
        <w:ind w:left="1440" w:hanging="360"/>
      </w:pPr>
    </w:lvl>
    <w:lvl w:ilvl="2" w:tplc="0A966242" w:tentative="1">
      <w:start w:val="1"/>
      <w:numFmt w:val="lowerRoman"/>
      <w:lvlText w:val="%3."/>
      <w:lvlJc w:val="right"/>
      <w:pPr>
        <w:ind w:left="2160" w:hanging="180"/>
      </w:pPr>
    </w:lvl>
    <w:lvl w:ilvl="3" w:tplc="D3C607EE" w:tentative="1">
      <w:start w:val="1"/>
      <w:numFmt w:val="decimal"/>
      <w:lvlText w:val="%4."/>
      <w:lvlJc w:val="left"/>
      <w:pPr>
        <w:ind w:left="2880" w:hanging="360"/>
      </w:pPr>
    </w:lvl>
    <w:lvl w:ilvl="4" w:tplc="B03C6530" w:tentative="1">
      <w:start w:val="1"/>
      <w:numFmt w:val="lowerLetter"/>
      <w:lvlText w:val="%5."/>
      <w:lvlJc w:val="left"/>
      <w:pPr>
        <w:ind w:left="3600" w:hanging="360"/>
      </w:pPr>
    </w:lvl>
    <w:lvl w:ilvl="5" w:tplc="5D38A0D0" w:tentative="1">
      <w:start w:val="1"/>
      <w:numFmt w:val="lowerRoman"/>
      <w:lvlText w:val="%6."/>
      <w:lvlJc w:val="right"/>
      <w:pPr>
        <w:ind w:left="4320" w:hanging="180"/>
      </w:pPr>
    </w:lvl>
    <w:lvl w:ilvl="6" w:tplc="CEF2DA90" w:tentative="1">
      <w:start w:val="1"/>
      <w:numFmt w:val="decimal"/>
      <w:lvlText w:val="%7."/>
      <w:lvlJc w:val="left"/>
      <w:pPr>
        <w:ind w:left="5040" w:hanging="360"/>
      </w:pPr>
    </w:lvl>
    <w:lvl w:ilvl="7" w:tplc="7EDC541A" w:tentative="1">
      <w:start w:val="1"/>
      <w:numFmt w:val="lowerLetter"/>
      <w:lvlText w:val="%8."/>
      <w:lvlJc w:val="left"/>
      <w:pPr>
        <w:ind w:left="5760" w:hanging="360"/>
      </w:pPr>
    </w:lvl>
    <w:lvl w:ilvl="8" w:tplc="ECDEB030"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73"/>
    <w:rsid w:val="00472663"/>
    <w:rsid w:val="004902CD"/>
    <w:rsid w:val="00C84B73"/>
    <w:rsid w:val="00EA3094"/>
    <w:rsid w:val="00F76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B49A"/>
  <w15:chartTrackingRefBased/>
  <w15:docId w15:val="{4F9F08CF-BEDD-4D9B-8982-3958D710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73"/>
  </w:style>
  <w:style w:type="paragraph" w:styleId="Heading3">
    <w:name w:val="heading 3"/>
    <w:basedOn w:val="Normal"/>
    <w:link w:val="Heading3Char"/>
    <w:qFormat/>
    <w:rsid w:val="00C84B7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4B73"/>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C84B73"/>
    <w:rPr>
      <w:sz w:val="16"/>
      <w:szCs w:val="16"/>
    </w:rPr>
  </w:style>
  <w:style w:type="paragraph" w:styleId="CommentText">
    <w:name w:val="annotation text"/>
    <w:basedOn w:val="Normal"/>
    <w:link w:val="CommentTextChar"/>
    <w:uiPriority w:val="99"/>
    <w:semiHidden/>
    <w:unhideWhenUsed/>
    <w:rsid w:val="00C84B73"/>
    <w:pPr>
      <w:spacing w:line="240" w:lineRule="auto"/>
    </w:pPr>
    <w:rPr>
      <w:sz w:val="20"/>
      <w:szCs w:val="20"/>
    </w:rPr>
  </w:style>
  <w:style w:type="character" w:customStyle="1" w:styleId="CommentTextChar">
    <w:name w:val="Comment Text Char"/>
    <w:basedOn w:val="DefaultParagraphFont"/>
    <w:link w:val="CommentText"/>
    <w:uiPriority w:val="99"/>
    <w:semiHidden/>
    <w:rsid w:val="00C84B73"/>
    <w:rPr>
      <w:sz w:val="20"/>
      <w:szCs w:val="20"/>
    </w:rPr>
  </w:style>
  <w:style w:type="paragraph" w:styleId="Header">
    <w:name w:val="header"/>
    <w:basedOn w:val="Normal"/>
    <w:link w:val="HeaderChar"/>
    <w:uiPriority w:val="99"/>
    <w:unhideWhenUsed/>
    <w:rsid w:val="00C84B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4B73"/>
  </w:style>
  <w:style w:type="paragraph" w:styleId="Footer">
    <w:name w:val="footer"/>
    <w:basedOn w:val="Normal"/>
    <w:link w:val="FooterChar"/>
    <w:uiPriority w:val="99"/>
    <w:unhideWhenUsed/>
    <w:rsid w:val="00C84B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4B73"/>
  </w:style>
  <w:style w:type="paragraph" w:customStyle="1" w:styleId="VPBody">
    <w:name w:val="VP Body"/>
    <w:basedOn w:val="Normal"/>
    <w:link w:val="VPBodyChar"/>
    <w:qFormat/>
    <w:rsid w:val="00C84B73"/>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C84B73"/>
    <w:rPr>
      <w:rFonts w:ascii="Times New Roman" w:eastAsia="Times New Roman" w:hAnsi="Times New Roman" w:cs="Times New Roman"/>
      <w:lang w:eastAsia="zh-CN"/>
    </w:rPr>
  </w:style>
  <w:style w:type="table" w:styleId="TableGrid">
    <w:name w:val="Table Grid"/>
    <w:basedOn w:val="TableNormal"/>
    <w:uiPriority w:val="39"/>
    <w:rsid w:val="00C84B73"/>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Bullet1">
    <w:name w:val="VP Bullet 1"/>
    <w:basedOn w:val="VPBody"/>
    <w:qFormat/>
    <w:rsid w:val="00C84B73"/>
    <w:pPr>
      <w:suppressAutoHyphens w:val="0"/>
      <w:spacing w:before="80" w:after="80" w:line="240" w:lineRule="auto"/>
      <w:ind w:left="360" w:hanging="360"/>
      <w:jc w:val="both"/>
    </w:pPr>
    <w:rPr>
      <w:rFonts w:ascii="Calibri" w:eastAsia="Calibri" w:hAnsi="Calibri" w:cs="Calibri"/>
      <w:sz w:val="20"/>
      <w:szCs w:val="20"/>
      <w:lang w:eastAsia="lv-LV"/>
    </w:rPr>
  </w:style>
  <w:style w:type="paragraph" w:customStyle="1" w:styleId="tvhtml">
    <w:name w:val="tv_html"/>
    <w:basedOn w:val="Normal"/>
    <w:rsid w:val="00C84B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VPTitle">
    <w:name w:val="VP Title"/>
    <w:basedOn w:val="Title"/>
    <w:qFormat/>
    <w:rsid w:val="00C84B73"/>
    <w:pPr>
      <w:spacing w:before="80" w:line="360" w:lineRule="auto"/>
      <w:jc w:val="center"/>
    </w:pPr>
    <w:rPr>
      <w:rFonts w:ascii="Times New Roman" w:hAnsi="Times New Roman"/>
      <w:b/>
      <w:sz w:val="48"/>
    </w:rPr>
  </w:style>
  <w:style w:type="paragraph" w:customStyle="1" w:styleId="naisf">
    <w:name w:val="naisf"/>
    <w:basedOn w:val="Normal"/>
    <w:rsid w:val="00C84B7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
    <w:name w:val="List"/>
    <w:basedOn w:val="Normal"/>
    <w:semiHidden/>
    <w:rsid w:val="00C84B73"/>
    <w:pPr>
      <w:spacing w:after="0" w:line="240" w:lineRule="auto"/>
      <w:ind w:left="283" w:hanging="283"/>
    </w:pPr>
    <w:rPr>
      <w:rFonts w:ascii="Times New Roman" w:eastAsia="Times New Roman" w:hAnsi="Times New Roman" w:cs="Times New Roman"/>
      <w:sz w:val="24"/>
      <w:szCs w:val="20"/>
      <w:lang w:val="en-AU"/>
    </w:rPr>
  </w:style>
  <w:style w:type="paragraph" w:styleId="Title">
    <w:name w:val="Title"/>
    <w:basedOn w:val="Normal"/>
    <w:next w:val="Normal"/>
    <w:link w:val="TitleChar"/>
    <w:uiPriority w:val="10"/>
    <w:qFormat/>
    <w:rsid w:val="00C84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B7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4333</Words>
  <Characters>2471</Characters>
  <Application>Microsoft Office Word</Application>
  <DocSecurity>0</DocSecurity>
  <Lines>20</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Putāne</dc:creator>
  <cp:keywords/>
  <dc:description/>
  <cp:lastModifiedBy>Leontīne Babkina</cp:lastModifiedBy>
  <cp:revision>5</cp:revision>
  <dcterms:created xsi:type="dcterms:W3CDTF">2021-04-13T10:43:00Z</dcterms:created>
  <dcterms:modified xsi:type="dcterms:W3CDTF">2021-04-29T07:56:00Z</dcterms:modified>
</cp:coreProperties>
</file>