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0D07" w:rsidP="001B0D07" w:rsidRDefault="001B0D07" w14:paraId="311E2AC1" w14:textId="77777777">
      <w:pPr>
        <w:pStyle w:val="naisnod"/>
        <w:spacing w:before="0" w:after="0"/>
      </w:pPr>
      <w:r w:rsidRPr="00022D01">
        <w:t>Izziņa par atzinumos sniegtajiem iebildumiem</w:t>
      </w:r>
    </w:p>
    <w:p w:rsidRPr="001C4D08" w:rsidR="001B0D07" w:rsidP="001B0D07" w:rsidRDefault="001B0D07" w14:paraId="6D5AF9F0" w14:textId="57BDFFD4">
      <w:pPr>
        <w:tabs>
          <w:tab w:val="left" w:pos="993"/>
        </w:tabs>
        <w:suppressAutoHyphens/>
        <w:jc w:val="center"/>
        <w:rPr>
          <w:b/>
          <w:sz w:val="24"/>
          <w:szCs w:val="24"/>
          <w:lang w:eastAsia="ar-SA"/>
        </w:rPr>
      </w:pPr>
      <w:bookmarkStart w:name="_Hlk55461683" w:id="0"/>
      <w:r>
        <w:rPr>
          <w:b/>
          <w:sz w:val="24"/>
          <w:szCs w:val="24"/>
          <w:lang w:eastAsia="ar-SA"/>
        </w:rPr>
        <w:t xml:space="preserve">par </w:t>
      </w:r>
      <w:r w:rsidR="005F52A6">
        <w:rPr>
          <w:b/>
          <w:sz w:val="24"/>
          <w:szCs w:val="24"/>
          <w:lang w:eastAsia="ar-SA"/>
        </w:rPr>
        <w:t>likumprojektu</w:t>
      </w:r>
      <w:r w:rsidRPr="00583593">
        <w:rPr>
          <w:b/>
          <w:sz w:val="24"/>
          <w:szCs w:val="24"/>
          <w:lang w:eastAsia="ar-SA"/>
        </w:rPr>
        <w:t xml:space="preserve"> </w:t>
      </w:r>
      <w:r>
        <w:rPr>
          <w:b/>
          <w:sz w:val="24"/>
          <w:szCs w:val="24"/>
          <w:lang w:eastAsia="ar-SA"/>
        </w:rPr>
        <w:t>"</w:t>
      </w:r>
      <w:r w:rsidR="005F52A6">
        <w:rPr>
          <w:b/>
          <w:sz w:val="24"/>
          <w:szCs w:val="24"/>
          <w:lang w:eastAsia="ar-SA"/>
        </w:rPr>
        <w:t>Grozījums Latvijas Sodu izpildes kodeksā</w:t>
      </w:r>
      <w:r>
        <w:rPr>
          <w:b/>
          <w:sz w:val="24"/>
          <w:szCs w:val="24"/>
          <w:lang w:eastAsia="ar-SA"/>
        </w:rPr>
        <w:t>"</w:t>
      </w:r>
    </w:p>
    <w:bookmarkEnd w:id="0"/>
    <w:p w:rsidRPr="00022D01" w:rsidR="001B0D07" w:rsidP="001B0D07" w:rsidRDefault="001B0D07" w14:paraId="5633657F" w14:textId="77777777">
      <w:pPr>
        <w:pStyle w:val="naisf"/>
        <w:spacing w:before="0" w:after="0"/>
        <w:ind w:firstLine="720"/>
      </w:pPr>
    </w:p>
    <w:p w:rsidR="001B0D07" w:rsidP="001B0D07" w:rsidRDefault="001B0D07" w14:paraId="0CC995FA" w14:textId="77777777">
      <w:pPr>
        <w:pStyle w:val="naisf"/>
        <w:spacing w:before="0" w:after="0"/>
        <w:ind w:firstLine="0"/>
        <w:jc w:val="center"/>
        <w:rPr>
          <w:b/>
        </w:rPr>
      </w:pPr>
      <w:r>
        <w:rPr>
          <w:b/>
        </w:rPr>
        <w:t>I. </w:t>
      </w:r>
      <w:r w:rsidRPr="00712B66">
        <w:rPr>
          <w:b/>
        </w:rPr>
        <w:t>Jautājumi, par kuriem saskaņošanā vienošanās nav panākta</w:t>
      </w:r>
    </w:p>
    <w:p w:rsidRPr="00712B66" w:rsidR="001B0D07" w:rsidP="001B0D07" w:rsidRDefault="001B0D07" w14:paraId="2C8B4D52" w14:textId="77777777">
      <w:pPr>
        <w:pStyle w:val="naisf"/>
        <w:spacing w:before="0" w:after="0"/>
        <w:ind w:left="360" w:firstLine="0"/>
        <w:rPr>
          <w:b/>
        </w:rPr>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93"/>
        <w:gridCol w:w="2126"/>
        <w:gridCol w:w="4253"/>
        <w:gridCol w:w="2551"/>
        <w:gridCol w:w="2127"/>
        <w:gridCol w:w="2510"/>
      </w:tblGrid>
      <w:tr w:rsidRPr="00712B66" w:rsidR="001B0D07" w:rsidTr="00E36B2B" w14:paraId="3FB542F0" w14:textId="77777777">
        <w:tc>
          <w:tcPr>
            <w:tcW w:w="593" w:type="dxa"/>
            <w:tcBorders>
              <w:top w:val="single" w:color="000000" w:sz="6" w:space="0"/>
              <w:left w:val="single" w:color="000000" w:sz="6" w:space="0"/>
              <w:bottom w:val="single" w:color="000000" w:sz="6" w:space="0"/>
              <w:right w:val="single" w:color="000000" w:sz="6" w:space="0"/>
            </w:tcBorders>
            <w:vAlign w:val="center"/>
          </w:tcPr>
          <w:p w:rsidRPr="00712B66" w:rsidR="001B0D07" w:rsidP="00C53C7E" w:rsidRDefault="001B0D07" w14:paraId="772210C9" w14:textId="77777777">
            <w:pPr>
              <w:pStyle w:val="naisc"/>
              <w:spacing w:before="0" w:after="0"/>
            </w:pPr>
            <w:r w:rsidRPr="00712B66">
              <w:t>Nr. p.k.</w:t>
            </w:r>
          </w:p>
        </w:tc>
        <w:tc>
          <w:tcPr>
            <w:tcW w:w="2126" w:type="dxa"/>
            <w:tcBorders>
              <w:top w:val="single" w:color="000000" w:sz="6" w:space="0"/>
              <w:left w:val="single" w:color="000000" w:sz="6" w:space="0"/>
              <w:bottom w:val="single" w:color="000000" w:sz="6" w:space="0"/>
              <w:right w:val="single" w:color="000000" w:sz="6" w:space="0"/>
            </w:tcBorders>
            <w:vAlign w:val="center"/>
          </w:tcPr>
          <w:p w:rsidRPr="00712B66" w:rsidR="001B0D07" w:rsidP="00C53C7E" w:rsidRDefault="001B0D07" w14:paraId="70EAF297" w14:textId="77777777">
            <w:pPr>
              <w:pStyle w:val="naisc"/>
              <w:spacing w:before="0" w:after="0"/>
              <w:ind w:firstLine="12"/>
            </w:pPr>
            <w:r w:rsidRPr="00712B66">
              <w:t>Saskaņošanai nosūtītā projekta redakcija (konkrēta punkta (panta) redakcija)</w:t>
            </w:r>
          </w:p>
        </w:tc>
        <w:tc>
          <w:tcPr>
            <w:tcW w:w="4253" w:type="dxa"/>
            <w:tcBorders>
              <w:top w:val="single" w:color="000000" w:sz="6" w:space="0"/>
              <w:left w:val="single" w:color="000000" w:sz="6" w:space="0"/>
              <w:bottom w:val="single" w:color="000000" w:sz="6" w:space="0"/>
              <w:right w:val="single" w:color="000000" w:sz="6" w:space="0"/>
            </w:tcBorders>
            <w:vAlign w:val="center"/>
          </w:tcPr>
          <w:p w:rsidRPr="00712B66" w:rsidR="001B0D07" w:rsidP="00C53C7E" w:rsidRDefault="001B0D07" w14:paraId="00698990" w14:textId="77777777">
            <w:pPr>
              <w:pStyle w:val="naisc"/>
              <w:spacing w:before="0" w:after="0"/>
              <w:ind w:right="3"/>
            </w:pPr>
            <w:r w:rsidRPr="00712B66">
              <w:t>Atzinumā norādītais ministrijas (citas institūcijas) iebildums</w:t>
            </w:r>
            <w:r>
              <w:t>,</w:t>
            </w:r>
            <w:r w:rsidRPr="00712B66">
              <w:t xml:space="preserve"> kā arī saskaņošanā papildus izteiktais iebildums par projekta konkrēto punktu (pantu)</w:t>
            </w:r>
          </w:p>
        </w:tc>
        <w:tc>
          <w:tcPr>
            <w:tcW w:w="2551" w:type="dxa"/>
            <w:tcBorders>
              <w:top w:val="single" w:color="000000" w:sz="6" w:space="0"/>
              <w:left w:val="single" w:color="000000" w:sz="6" w:space="0"/>
              <w:bottom w:val="single" w:color="000000" w:sz="6" w:space="0"/>
              <w:right w:val="single" w:color="000000" w:sz="6" w:space="0"/>
            </w:tcBorders>
            <w:vAlign w:val="center"/>
          </w:tcPr>
          <w:p w:rsidRPr="00712B66" w:rsidR="001B0D07" w:rsidP="00C53C7E" w:rsidRDefault="001B0D07" w14:paraId="6BCF12C8" w14:textId="77777777">
            <w:pPr>
              <w:pStyle w:val="naisc"/>
              <w:spacing w:before="0" w:after="0"/>
              <w:ind w:firstLine="21"/>
            </w:pPr>
            <w:r w:rsidRPr="00712B66">
              <w:t>Atbildīgās ministrijas pamatojums iebilduma noraidījumam</w:t>
            </w:r>
          </w:p>
        </w:tc>
        <w:tc>
          <w:tcPr>
            <w:tcW w:w="2127" w:type="dxa"/>
            <w:tcBorders>
              <w:top w:val="single" w:color="auto" w:sz="4" w:space="0"/>
              <w:left w:val="single" w:color="auto" w:sz="4" w:space="0"/>
              <w:bottom w:val="single" w:color="auto" w:sz="4" w:space="0"/>
              <w:right w:val="single" w:color="auto" w:sz="4" w:space="0"/>
            </w:tcBorders>
            <w:vAlign w:val="center"/>
          </w:tcPr>
          <w:p w:rsidRPr="00712B66" w:rsidR="001B0D07" w:rsidP="00C53C7E" w:rsidRDefault="001B0D07" w14:paraId="021068B7" w14:textId="77777777">
            <w:pPr>
              <w:pStyle w:val="Parastais"/>
              <w:jc w:val="center"/>
            </w:pPr>
            <w:r w:rsidRPr="00712B66">
              <w:t>Atzinuma sniedzēja uzturētais iebildums, ja tas atšķiras no atzinumā norādītā iebilduma pamatojuma</w:t>
            </w:r>
          </w:p>
        </w:tc>
        <w:tc>
          <w:tcPr>
            <w:tcW w:w="2510" w:type="dxa"/>
            <w:tcBorders>
              <w:top w:val="single" w:color="auto" w:sz="4" w:space="0"/>
              <w:left w:val="single" w:color="auto" w:sz="4" w:space="0"/>
              <w:bottom w:val="single" w:color="auto" w:sz="4" w:space="0"/>
            </w:tcBorders>
            <w:vAlign w:val="center"/>
          </w:tcPr>
          <w:p w:rsidRPr="00712B66" w:rsidR="001B0D07" w:rsidP="00C53C7E" w:rsidRDefault="001B0D07" w14:paraId="4A8DDF1D" w14:textId="77777777">
            <w:pPr>
              <w:pStyle w:val="Parastais"/>
              <w:jc w:val="center"/>
            </w:pPr>
            <w:r w:rsidRPr="00712B66">
              <w:t>Projekta attiecīgā punkta (panta) galīgā redakcija</w:t>
            </w:r>
          </w:p>
        </w:tc>
      </w:tr>
      <w:tr w:rsidRPr="008A36C9" w:rsidR="001B0D07" w:rsidTr="00E36B2B" w14:paraId="3B3DE0C8" w14:textId="77777777">
        <w:tc>
          <w:tcPr>
            <w:tcW w:w="593" w:type="dxa"/>
            <w:tcBorders>
              <w:top w:val="single" w:color="000000" w:sz="6" w:space="0"/>
              <w:left w:val="single" w:color="000000" w:sz="6" w:space="0"/>
              <w:bottom w:val="single" w:color="000000" w:sz="6" w:space="0"/>
              <w:right w:val="single" w:color="000000" w:sz="6" w:space="0"/>
            </w:tcBorders>
          </w:tcPr>
          <w:p w:rsidRPr="008A36C9" w:rsidR="001B0D07" w:rsidP="00C53C7E" w:rsidRDefault="001B0D07" w14:paraId="27D5D525" w14:textId="77777777">
            <w:pPr>
              <w:pStyle w:val="naisc"/>
              <w:spacing w:before="0" w:after="0"/>
              <w:rPr>
                <w:sz w:val="20"/>
                <w:szCs w:val="20"/>
              </w:rPr>
            </w:pPr>
            <w:r w:rsidRPr="008A36C9">
              <w:rPr>
                <w:sz w:val="20"/>
                <w:szCs w:val="20"/>
              </w:rPr>
              <w:t>1</w:t>
            </w:r>
          </w:p>
        </w:tc>
        <w:tc>
          <w:tcPr>
            <w:tcW w:w="2126" w:type="dxa"/>
            <w:tcBorders>
              <w:top w:val="single" w:color="000000" w:sz="6" w:space="0"/>
              <w:left w:val="single" w:color="000000" w:sz="6" w:space="0"/>
              <w:bottom w:val="single" w:color="000000" w:sz="6" w:space="0"/>
              <w:right w:val="single" w:color="000000" w:sz="6" w:space="0"/>
            </w:tcBorders>
          </w:tcPr>
          <w:p w:rsidRPr="008A36C9" w:rsidR="001B0D07" w:rsidP="00C53C7E" w:rsidRDefault="001B0D07" w14:paraId="515EABC1" w14:textId="77777777">
            <w:pPr>
              <w:pStyle w:val="naisc"/>
              <w:spacing w:before="0" w:after="0"/>
              <w:rPr>
                <w:sz w:val="20"/>
                <w:szCs w:val="20"/>
              </w:rPr>
            </w:pPr>
            <w:r w:rsidRPr="008A36C9">
              <w:rPr>
                <w:sz w:val="20"/>
                <w:szCs w:val="20"/>
              </w:rPr>
              <w:t>2</w:t>
            </w:r>
          </w:p>
        </w:tc>
        <w:tc>
          <w:tcPr>
            <w:tcW w:w="4253" w:type="dxa"/>
            <w:tcBorders>
              <w:top w:val="single" w:color="000000" w:sz="6" w:space="0"/>
              <w:left w:val="single" w:color="000000" w:sz="6" w:space="0"/>
              <w:bottom w:val="single" w:color="000000" w:sz="6" w:space="0"/>
              <w:right w:val="single" w:color="000000" w:sz="6" w:space="0"/>
            </w:tcBorders>
          </w:tcPr>
          <w:p w:rsidRPr="008A36C9" w:rsidR="001B0D07" w:rsidP="00C53C7E" w:rsidRDefault="001B0D07" w14:paraId="37EFF79C" w14:textId="77777777">
            <w:pPr>
              <w:pStyle w:val="naisc"/>
              <w:spacing w:before="0" w:after="0"/>
              <w:rPr>
                <w:sz w:val="20"/>
                <w:szCs w:val="20"/>
              </w:rPr>
            </w:pPr>
            <w:r w:rsidRPr="008A36C9">
              <w:rPr>
                <w:sz w:val="20"/>
                <w:szCs w:val="20"/>
              </w:rPr>
              <w:t>3</w:t>
            </w:r>
          </w:p>
        </w:tc>
        <w:tc>
          <w:tcPr>
            <w:tcW w:w="2551" w:type="dxa"/>
            <w:tcBorders>
              <w:top w:val="single" w:color="000000" w:sz="6" w:space="0"/>
              <w:left w:val="single" w:color="000000" w:sz="6" w:space="0"/>
              <w:bottom w:val="single" w:color="000000" w:sz="6" w:space="0"/>
              <w:right w:val="single" w:color="000000" w:sz="6" w:space="0"/>
            </w:tcBorders>
          </w:tcPr>
          <w:p w:rsidRPr="008A36C9" w:rsidR="001B0D07" w:rsidP="00C53C7E" w:rsidRDefault="001B0D07" w14:paraId="0BFAF61D" w14:textId="77777777">
            <w:pPr>
              <w:pStyle w:val="naisc"/>
              <w:spacing w:before="0" w:after="0"/>
              <w:rPr>
                <w:sz w:val="20"/>
                <w:szCs w:val="20"/>
              </w:rPr>
            </w:pPr>
            <w:r w:rsidRPr="008A36C9">
              <w:rPr>
                <w:sz w:val="20"/>
                <w:szCs w:val="20"/>
              </w:rPr>
              <w:t>4</w:t>
            </w:r>
          </w:p>
        </w:tc>
        <w:tc>
          <w:tcPr>
            <w:tcW w:w="2127" w:type="dxa"/>
            <w:tcBorders>
              <w:top w:val="single" w:color="auto" w:sz="4" w:space="0"/>
              <w:left w:val="single" w:color="auto" w:sz="4" w:space="0"/>
              <w:bottom w:val="single" w:color="auto" w:sz="4" w:space="0"/>
              <w:right w:val="single" w:color="auto" w:sz="4" w:space="0"/>
            </w:tcBorders>
          </w:tcPr>
          <w:p w:rsidRPr="008A36C9" w:rsidR="001B0D07" w:rsidP="00C53C7E" w:rsidRDefault="001B0D07" w14:paraId="35C0733A" w14:textId="77777777">
            <w:pPr>
              <w:pStyle w:val="Parastais"/>
              <w:jc w:val="center"/>
              <w:rPr>
                <w:sz w:val="20"/>
                <w:szCs w:val="20"/>
              </w:rPr>
            </w:pPr>
            <w:r w:rsidRPr="008A36C9">
              <w:rPr>
                <w:sz w:val="20"/>
                <w:szCs w:val="20"/>
              </w:rPr>
              <w:t>5</w:t>
            </w:r>
          </w:p>
        </w:tc>
        <w:tc>
          <w:tcPr>
            <w:tcW w:w="2510" w:type="dxa"/>
            <w:tcBorders>
              <w:top w:val="single" w:color="auto" w:sz="4" w:space="0"/>
              <w:left w:val="single" w:color="auto" w:sz="4" w:space="0"/>
              <w:bottom w:val="single" w:color="auto" w:sz="4" w:space="0"/>
            </w:tcBorders>
          </w:tcPr>
          <w:p w:rsidRPr="008A36C9" w:rsidR="001B0D07" w:rsidP="00C53C7E" w:rsidRDefault="001B0D07" w14:paraId="331156DB" w14:textId="77777777">
            <w:pPr>
              <w:pStyle w:val="Parastais"/>
              <w:jc w:val="center"/>
              <w:rPr>
                <w:sz w:val="20"/>
                <w:szCs w:val="20"/>
              </w:rPr>
            </w:pPr>
            <w:r w:rsidRPr="008A36C9">
              <w:rPr>
                <w:sz w:val="20"/>
                <w:szCs w:val="20"/>
              </w:rPr>
              <w:t>6</w:t>
            </w:r>
          </w:p>
        </w:tc>
      </w:tr>
      <w:tr w:rsidRPr="008A36C9" w:rsidR="001B0D07" w:rsidTr="00C53C7E" w14:paraId="26398A89" w14:textId="77777777">
        <w:tc>
          <w:tcPr>
            <w:tcW w:w="14160" w:type="dxa"/>
            <w:gridSpan w:val="6"/>
            <w:tcBorders>
              <w:top w:val="single" w:color="000000" w:sz="6" w:space="0"/>
              <w:left w:val="single" w:color="000000" w:sz="6" w:space="0"/>
              <w:bottom w:val="single" w:color="000000" w:sz="6" w:space="0"/>
            </w:tcBorders>
          </w:tcPr>
          <w:p w:rsidRPr="00021C69" w:rsidR="001B0D07" w:rsidP="00C53C7E" w:rsidRDefault="001B0D07" w14:paraId="4FE52E99" w14:textId="77777777">
            <w:pPr>
              <w:pStyle w:val="Parastais"/>
              <w:jc w:val="center"/>
              <w:rPr>
                <w:b/>
                <w:bCs/>
              </w:rPr>
            </w:pPr>
            <w:r>
              <w:rPr>
                <w:b/>
                <w:bCs/>
              </w:rPr>
              <w:t>Tiesībsargs</w:t>
            </w:r>
          </w:p>
        </w:tc>
      </w:tr>
      <w:tr w:rsidRPr="00712B66" w:rsidR="001B0D07" w:rsidTr="00E36B2B" w14:paraId="77AB5CCD" w14:textId="77777777">
        <w:tc>
          <w:tcPr>
            <w:tcW w:w="593" w:type="dxa"/>
            <w:tcBorders>
              <w:left w:val="single" w:color="000000" w:sz="6" w:space="0"/>
              <w:right w:val="single" w:color="000000" w:sz="6" w:space="0"/>
            </w:tcBorders>
          </w:tcPr>
          <w:p w:rsidR="001B0D07" w:rsidP="00C53C7E" w:rsidRDefault="001B0D07" w14:paraId="08847347" w14:textId="77777777">
            <w:pPr>
              <w:pStyle w:val="naisc"/>
              <w:spacing w:before="0" w:after="0"/>
              <w:ind w:firstLine="720"/>
              <w:jc w:val="both"/>
            </w:pPr>
          </w:p>
          <w:p w:rsidRPr="00B14FE7" w:rsidR="001B0D07" w:rsidP="00C53C7E" w:rsidRDefault="001B0D07" w14:paraId="5C472589" w14:textId="77777777">
            <w:pPr>
              <w:rPr>
                <w:sz w:val="24"/>
                <w:szCs w:val="24"/>
              </w:rPr>
            </w:pPr>
            <w:r w:rsidRPr="00B14FE7">
              <w:rPr>
                <w:sz w:val="24"/>
                <w:szCs w:val="24"/>
              </w:rPr>
              <w:t>1.</w:t>
            </w:r>
          </w:p>
        </w:tc>
        <w:tc>
          <w:tcPr>
            <w:tcW w:w="2126" w:type="dxa"/>
            <w:tcBorders>
              <w:left w:val="single" w:color="000000" w:sz="6" w:space="0"/>
              <w:right w:val="single" w:color="auto" w:sz="4" w:space="0"/>
            </w:tcBorders>
          </w:tcPr>
          <w:p w:rsidR="001B0D07" w:rsidP="00850FD9" w:rsidRDefault="005F52A6" w14:paraId="658E2E62" w14:textId="607754D9">
            <w:pPr>
              <w:pStyle w:val="naisc"/>
              <w:spacing w:before="0" w:after="0"/>
              <w:jc w:val="both"/>
            </w:pPr>
            <w:r w:rsidRPr="004E7935">
              <w:t>Likumprojekts</w:t>
            </w:r>
            <w:r w:rsidRPr="004E7935" w:rsidR="004E7935">
              <w:t>:</w:t>
            </w:r>
          </w:p>
          <w:p w:rsidRPr="004E7935" w:rsidR="00850FD9" w:rsidP="00850FD9" w:rsidRDefault="00850FD9" w14:paraId="5CFEE0CC" w14:textId="77777777">
            <w:pPr>
              <w:pStyle w:val="naisc"/>
              <w:spacing w:before="0" w:after="0"/>
              <w:jc w:val="both"/>
            </w:pPr>
          </w:p>
          <w:p w:rsidRPr="004E7935" w:rsidR="004E7935" w:rsidP="00E36B2B" w:rsidRDefault="004E7935" w14:paraId="14743E1D" w14:textId="44BD3671">
            <w:pPr>
              <w:jc w:val="both"/>
              <w:rPr>
                <w:color w:val="000000"/>
                <w:sz w:val="24"/>
                <w:szCs w:val="24"/>
              </w:rPr>
            </w:pPr>
            <w:r w:rsidRPr="004E7935">
              <w:rPr>
                <w:sz w:val="24"/>
                <w:szCs w:val="24"/>
              </w:rPr>
              <w:t>"</w:t>
            </w:r>
            <w:r w:rsidRPr="004E7935">
              <w:rPr>
                <w:color w:val="000000"/>
                <w:sz w:val="24"/>
                <w:szCs w:val="24"/>
              </w:rPr>
              <w:t xml:space="preserve">Papildināt </w:t>
            </w:r>
            <w:r w:rsidR="00850FD9">
              <w:rPr>
                <w:color w:val="000000"/>
                <w:sz w:val="24"/>
                <w:szCs w:val="24"/>
              </w:rPr>
              <w:t>p</w:t>
            </w:r>
            <w:r w:rsidRPr="004E7935">
              <w:rPr>
                <w:color w:val="000000"/>
                <w:sz w:val="24"/>
                <w:szCs w:val="24"/>
              </w:rPr>
              <w:t>ārejas noteikumus ar 36.</w:t>
            </w:r>
            <w:r w:rsidR="00850FD9">
              <w:rPr>
                <w:color w:val="000000"/>
                <w:sz w:val="24"/>
                <w:szCs w:val="24"/>
              </w:rPr>
              <w:t> </w:t>
            </w:r>
            <w:r w:rsidRPr="004E7935">
              <w:rPr>
                <w:color w:val="000000"/>
                <w:sz w:val="24"/>
                <w:szCs w:val="24"/>
              </w:rPr>
              <w:t>punktu šādā redakcijā:</w:t>
            </w:r>
          </w:p>
          <w:p w:rsidRPr="004E7935" w:rsidR="004E7935" w:rsidP="00E36B2B" w:rsidRDefault="004E7935" w14:paraId="4A7F9515" w14:textId="29DE6A1D">
            <w:pPr>
              <w:jc w:val="both"/>
              <w:rPr>
                <w:sz w:val="24"/>
                <w:szCs w:val="24"/>
              </w:rPr>
            </w:pPr>
            <w:r w:rsidRPr="004E7935">
              <w:rPr>
                <w:color w:val="000000"/>
                <w:sz w:val="24"/>
                <w:szCs w:val="24"/>
              </w:rPr>
              <w:t>"</w:t>
            </w:r>
            <w:proofErr w:type="gramStart"/>
            <w:r w:rsidRPr="004E7935">
              <w:rPr>
                <w:color w:val="000000"/>
                <w:sz w:val="24"/>
                <w:szCs w:val="24"/>
              </w:rPr>
              <w:t>36.</w:t>
            </w:r>
            <w:r w:rsidR="00850FD9">
              <w:rPr>
                <w:color w:val="000000"/>
                <w:sz w:val="24"/>
                <w:szCs w:val="24"/>
              </w:rPr>
              <w:t> </w:t>
            </w:r>
            <w:r w:rsidRPr="004E7935">
              <w:rPr>
                <w:sz w:val="24"/>
                <w:szCs w:val="24"/>
              </w:rPr>
              <w:t>Pilngadīgi vīrieši</w:t>
            </w:r>
            <w:proofErr w:type="gramEnd"/>
            <w:r w:rsidRPr="004E7935">
              <w:rPr>
                <w:sz w:val="24"/>
                <w:szCs w:val="24"/>
              </w:rPr>
              <w:t xml:space="preserve"> no 2021. gada 1. maija līdz 2025. gada 1. jūlijam slēgtajā cietumā sodu izcieš atbilstoši šajā kodeksā noteiktajai kārtībai par soda izciešanu slēgtajā cietumā, kura bija spēkā līdz </w:t>
            </w:r>
            <w:r w:rsidRPr="004E7935">
              <w:rPr>
                <w:sz w:val="24"/>
                <w:szCs w:val="24"/>
              </w:rPr>
              <w:lastRenderedPageBreak/>
              <w:t>2021. gada 30. aprīlim, ja viņi:</w:t>
            </w:r>
          </w:p>
          <w:p w:rsidRPr="004E7935" w:rsidR="004E7935" w:rsidP="00E36B2B" w:rsidRDefault="004E7935" w14:paraId="1B872976" w14:textId="5499A4F0">
            <w:pPr>
              <w:jc w:val="both"/>
              <w:rPr>
                <w:sz w:val="24"/>
                <w:szCs w:val="24"/>
              </w:rPr>
            </w:pPr>
            <w:r w:rsidRPr="004E7935">
              <w:rPr>
                <w:sz w:val="24"/>
                <w:szCs w:val="24"/>
              </w:rPr>
              <w:t>1)</w:t>
            </w:r>
            <w:r w:rsidR="00850FD9">
              <w:rPr>
                <w:sz w:val="24"/>
                <w:szCs w:val="24"/>
              </w:rPr>
              <w:t> </w:t>
            </w:r>
            <w:r w:rsidRPr="004E7935">
              <w:rPr>
                <w:sz w:val="24"/>
                <w:szCs w:val="24"/>
              </w:rPr>
              <w:t>minētajā laika periodā uzsāk soda izciešanu par smaga un sevišķi smaga nozieguma izdarīšanu;</w:t>
            </w:r>
          </w:p>
          <w:p w:rsidRPr="004E7935" w:rsidR="004E7935" w:rsidP="00E36B2B" w:rsidRDefault="004E7935" w14:paraId="2B4E5DC0" w14:textId="25597331">
            <w:pPr>
              <w:jc w:val="both"/>
              <w:rPr>
                <w:sz w:val="24"/>
                <w:szCs w:val="24"/>
              </w:rPr>
            </w:pPr>
            <w:r w:rsidRPr="004E7935">
              <w:rPr>
                <w:sz w:val="24"/>
                <w:szCs w:val="24"/>
              </w:rPr>
              <w:t>2)</w:t>
            </w:r>
            <w:r w:rsidR="00850FD9">
              <w:rPr>
                <w:sz w:val="24"/>
                <w:szCs w:val="24"/>
              </w:rPr>
              <w:t> </w:t>
            </w:r>
            <w:r w:rsidRPr="004E7935">
              <w:rPr>
                <w:sz w:val="24"/>
                <w:szCs w:val="24"/>
              </w:rPr>
              <w:t>minētajā laika periodā uz slēgto cietumu pārvietoti no daļēji slēgtā cietuma;</w:t>
            </w:r>
          </w:p>
          <w:p w:rsidRPr="004E7935" w:rsidR="004E7935" w:rsidP="00E36B2B" w:rsidRDefault="004E7935" w14:paraId="786F45F8" w14:textId="73A4D6C5">
            <w:pPr>
              <w:jc w:val="both"/>
              <w:rPr>
                <w:sz w:val="24"/>
                <w:szCs w:val="24"/>
              </w:rPr>
            </w:pPr>
            <w:r w:rsidRPr="004E7935">
              <w:rPr>
                <w:sz w:val="24"/>
                <w:szCs w:val="24"/>
              </w:rPr>
              <w:t>3)</w:t>
            </w:r>
            <w:r w:rsidR="00850FD9">
              <w:rPr>
                <w:sz w:val="24"/>
                <w:szCs w:val="24"/>
              </w:rPr>
              <w:t> </w:t>
            </w:r>
            <w:r w:rsidRPr="004E7935">
              <w:rPr>
                <w:sz w:val="24"/>
                <w:szCs w:val="24"/>
              </w:rPr>
              <w:t>2021. gada 30. aprīlī atrodas slēgtajā cietumā.</w:t>
            </w:r>
            <w:r w:rsidRPr="004E7935">
              <w:rPr>
                <w:color w:val="000000"/>
                <w:sz w:val="24"/>
                <w:szCs w:val="24"/>
              </w:rPr>
              <w:t>"</w:t>
            </w:r>
          </w:p>
          <w:p w:rsidRPr="004E7935" w:rsidR="004E7935" w:rsidP="00E36B2B" w:rsidRDefault="004E7935" w14:paraId="5FDC3646" w14:textId="77777777">
            <w:pPr>
              <w:jc w:val="both"/>
              <w:rPr>
                <w:color w:val="000000"/>
                <w:sz w:val="24"/>
                <w:szCs w:val="24"/>
              </w:rPr>
            </w:pPr>
          </w:p>
          <w:p w:rsidRPr="004E7935" w:rsidR="004E7935" w:rsidP="00E36B2B" w:rsidRDefault="004E7935" w14:paraId="3077E232" w14:textId="1E1B0CF3">
            <w:pPr>
              <w:pStyle w:val="naisc"/>
              <w:spacing w:before="0" w:after="0"/>
              <w:jc w:val="both"/>
            </w:pPr>
            <w:r w:rsidRPr="004E7935">
              <w:rPr>
                <w:color w:val="000000"/>
              </w:rPr>
              <w:t>Likums stājas spēkā 2021. gada 1. maijā.</w:t>
            </w:r>
            <w:r w:rsidRPr="004E7935">
              <w:t>"</w:t>
            </w:r>
          </w:p>
        </w:tc>
        <w:tc>
          <w:tcPr>
            <w:tcW w:w="4253" w:type="dxa"/>
            <w:tcBorders>
              <w:top w:val="single" w:color="auto" w:sz="4" w:space="0"/>
              <w:left w:val="single" w:color="auto" w:sz="4" w:space="0"/>
              <w:bottom w:val="single" w:color="auto" w:sz="4" w:space="0"/>
              <w:right w:val="single" w:color="auto" w:sz="4" w:space="0"/>
            </w:tcBorders>
          </w:tcPr>
          <w:p w:rsidRPr="00867CAE" w:rsidR="001B0D07" w:rsidP="00C53C7E" w:rsidRDefault="001B0D07" w14:paraId="022D6173" w14:textId="083E05D4">
            <w:pPr>
              <w:pStyle w:val="Parastais"/>
              <w:ind w:firstLine="720"/>
              <w:jc w:val="both"/>
              <w:rPr>
                <w:b/>
              </w:rPr>
            </w:pPr>
            <w:r w:rsidRPr="00867CAE">
              <w:rPr>
                <w:b/>
              </w:rPr>
              <w:lastRenderedPageBreak/>
              <w:t>Tiesībsarga 202</w:t>
            </w:r>
            <w:r w:rsidRPr="00867CAE" w:rsidR="005F52A6">
              <w:rPr>
                <w:b/>
              </w:rPr>
              <w:t>1</w:t>
            </w:r>
            <w:r w:rsidRPr="00867CAE">
              <w:rPr>
                <w:b/>
              </w:rPr>
              <w:t xml:space="preserve">. gada </w:t>
            </w:r>
            <w:r w:rsidRPr="00867CAE" w:rsidR="004E7935">
              <w:rPr>
                <w:b/>
              </w:rPr>
              <w:t>25. </w:t>
            </w:r>
            <w:r w:rsidRPr="00867CAE" w:rsidR="005F52A6">
              <w:rPr>
                <w:b/>
              </w:rPr>
              <w:t>marta</w:t>
            </w:r>
            <w:r w:rsidRPr="00867CAE">
              <w:rPr>
                <w:b/>
              </w:rPr>
              <w:t xml:space="preserve"> </w:t>
            </w:r>
            <w:r w:rsidRPr="00867CAE" w:rsidR="004E7935">
              <w:rPr>
                <w:b/>
              </w:rPr>
              <w:t>atzinums</w:t>
            </w:r>
            <w:r w:rsidRPr="00867CAE">
              <w:rPr>
                <w:b/>
              </w:rPr>
              <w:t xml:space="preserve"> Nr. </w:t>
            </w:r>
            <w:r w:rsidRPr="00867CAE" w:rsidR="004E7935">
              <w:rPr>
                <w:b/>
              </w:rPr>
              <w:t>1-8/14</w:t>
            </w:r>
            <w:r w:rsidRPr="00867CAE">
              <w:rPr>
                <w:b/>
              </w:rPr>
              <w:t xml:space="preserve"> (TM reģ. Nr. </w:t>
            </w:r>
            <w:r w:rsidRPr="00867CAE" w:rsidR="004D4742">
              <w:rPr>
                <w:b/>
              </w:rPr>
              <w:t>1-9.3/763</w:t>
            </w:r>
            <w:r w:rsidRPr="00867CAE">
              <w:rPr>
                <w:b/>
              </w:rPr>
              <w:t>):</w:t>
            </w:r>
          </w:p>
          <w:p w:rsidRPr="00867CAE" w:rsidR="004E7935" w:rsidP="004E7935" w:rsidRDefault="004E7935" w14:paraId="7EAB7DAF" w14:textId="1A26BC6D">
            <w:pPr>
              <w:jc w:val="both"/>
              <w:rPr>
                <w:bCs/>
                <w:sz w:val="24"/>
                <w:szCs w:val="24"/>
              </w:rPr>
            </w:pPr>
            <w:r w:rsidRPr="00867CAE">
              <w:rPr>
                <w:bCs/>
                <w:sz w:val="24"/>
                <w:szCs w:val="24"/>
              </w:rPr>
              <w:t xml:space="preserve">Ar Satversmes tiesas 2019.gada 7.novembra spriedumu lietā Nr.2018-25-01 </w:t>
            </w:r>
            <w:r w:rsidRPr="00867CAE" w:rsidR="000743CD">
              <w:rPr>
                <w:bCs/>
                <w:sz w:val="24"/>
                <w:szCs w:val="24"/>
              </w:rPr>
              <w:t>"</w:t>
            </w:r>
            <w:r w:rsidRPr="00867CAE">
              <w:rPr>
                <w:bCs/>
                <w:sz w:val="24"/>
                <w:szCs w:val="24"/>
              </w:rPr>
              <w:t>Par Latvijas Sodu izpildes kodeksa 50.</w:t>
            </w:r>
            <w:r w:rsidRPr="00867CAE">
              <w:rPr>
                <w:bCs/>
                <w:sz w:val="24"/>
                <w:szCs w:val="24"/>
                <w:vertAlign w:val="superscript"/>
              </w:rPr>
              <w:t>4</w:t>
            </w:r>
            <w:r w:rsidRPr="00867CAE">
              <w:rPr>
                <w:bCs/>
                <w:sz w:val="24"/>
                <w:szCs w:val="24"/>
              </w:rPr>
              <w:t>panta atbilstību Latvijas Republikas Satversmes 91.pantam</w:t>
            </w:r>
            <w:r w:rsidRPr="00867CAE" w:rsidR="000743CD">
              <w:rPr>
                <w:bCs/>
                <w:sz w:val="24"/>
                <w:szCs w:val="24"/>
              </w:rPr>
              <w:t>"</w:t>
            </w:r>
            <w:r w:rsidRPr="00867CAE">
              <w:rPr>
                <w:bCs/>
                <w:sz w:val="24"/>
                <w:szCs w:val="24"/>
              </w:rPr>
              <w:t xml:space="preserve"> LSIK 50.</w:t>
            </w:r>
            <w:r w:rsidRPr="00867CAE">
              <w:rPr>
                <w:bCs/>
                <w:sz w:val="24"/>
                <w:szCs w:val="24"/>
                <w:vertAlign w:val="superscript"/>
              </w:rPr>
              <w:t>4</w:t>
            </w:r>
            <w:r w:rsidRPr="00867CAE">
              <w:rPr>
                <w:bCs/>
                <w:sz w:val="24"/>
                <w:szCs w:val="24"/>
              </w:rPr>
              <w:t xml:space="preserve">pants, ciktāl tajā paredzētajai atšķirīgajai attieksmei pret notiesātajiem vīriešiem nav objektīva un saprātīga pamata, tika atzīts par neatbilstošu Latvijas Republikas Satversmes 91.pantam un spēkā neesošu no 2021.gada 1.maija. Atbilstoši Likumprojekta anotācijā norādītajam Tieslietu ministrija Satversmes tiesas sprieduma izpildei jau ir veikusi vai veic atsevišķus pasākumus, kurus bija </w:t>
            </w:r>
            <w:r w:rsidRPr="00867CAE">
              <w:rPr>
                <w:bCs/>
                <w:sz w:val="24"/>
                <w:szCs w:val="24"/>
              </w:rPr>
              <w:lastRenderedPageBreak/>
              <w:t>iespējams īstenot esošajā ieslodzījuma vietu infrastruktūrā, tomēr sprieduma izpilde pilnā apjomā var tikt nodrošināta pēc jaunā Liepājas cietuma darbības uzsākšanas, bet ne vēlāk kā līdz 2025.gada 1.jūlijam. Līdz ar to šī Likumprojekta mērķis ir nodrošināt brīvības atņemšanas soda izpildes nepārtrauktību arī pēc 2021.gada 1.maija, kad atbilstoši Satversmes tiesas spriedumam, LSIK 50.</w:t>
            </w:r>
            <w:r w:rsidRPr="00867CAE">
              <w:rPr>
                <w:bCs/>
                <w:sz w:val="24"/>
                <w:szCs w:val="24"/>
                <w:vertAlign w:val="superscript"/>
              </w:rPr>
              <w:t xml:space="preserve">4 </w:t>
            </w:r>
            <w:r w:rsidRPr="00867CAE">
              <w:rPr>
                <w:bCs/>
                <w:sz w:val="24"/>
                <w:szCs w:val="24"/>
              </w:rPr>
              <w:t>pants, ciktāl tajā paredzētajai atšķirīgajai attieksmei pret notiesātajiem vīriešiem nav objektīva un saprātīga pamata, būs spēkā neesošs.</w:t>
            </w:r>
          </w:p>
          <w:p w:rsidRPr="00867CAE" w:rsidR="004E7935" w:rsidP="004E7935" w:rsidRDefault="004E7935" w14:paraId="1401A69A" w14:textId="2DB1A1B9">
            <w:pPr>
              <w:pStyle w:val="Paraststmeklis"/>
              <w:shd w:val="clear" w:color="auto" w:fill="FFFFFF"/>
              <w:spacing w:before="0" w:beforeAutospacing="0" w:after="0" w:afterAutospacing="0"/>
              <w:jc w:val="both"/>
              <w:rPr>
                <w:color w:val="000000"/>
                <w:lang w:val="lv-LV"/>
              </w:rPr>
            </w:pPr>
            <w:r w:rsidRPr="00867CAE">
              <w:rPr>
                <w:bCs/>
                <w:lang w:val="lv-LV"/>
              </w:rPr>
              <w:tab/>
              <w:t xml:space="preserve">Saprotams, ka Likumprojekts paredz nodrošināt soda izpildes nepārtrauktību arī pēc minētā  datuma, jo paredzams, ka līdz Satversmes tiesas noteiktajam laikam, spriedums pilnā apjomā netiks izpildīts. No Likumprojekta anotācijas izriet, ka problemātiskie sprieduma izpildes aspekti ir saistīti ar saskarsmes tiesību apjoma paplašināšanu un individualizācijas principa ieviešanu. Jau iepriekš tiesībsargs sniedzot viedokli par Tieslietu ministrijas informatīvo ziņojumu </w:t>
            </w:r>
            <w:r w:rsidR="00867CAE">
              <w:rPr>
                <w:bCs/>
                <w:lang w:val="lv-LV"/>
              </w:rPr>
              <w:t>"</w:t>
            </w:r>
            <w:r w:rsidRPr="00867CAE">
              <w:rPr>
                <w:bCs/>
                <w:lang w:val="lv-LV"/>
              </w:rPr>
              <w:t xml:space="preserve">Par turpmāko rīcību saistībā ar Satversmes tiesas 2019.gada 7.novembra spriedumu lietā Nr.2018-25-01 </w:t>
            </w:r>
            <w:r w:rsidR="00867CAE">
              <w:rPr>
                <w:bCs/>
                <w:lang w:val="lv-LV"/>
              </w:rPr>
              <w:t>"</w:t>
            </w:r>
            <w:r w:rsidRPr="00867CAE">
              <w:rPr>
                <w:bCs/>
                <w:lang w:val="lv-LV"/>
              </w:rPr>
              <w:t>Par Latvijas Sodu izpildes kodeksa 50.</w:t>
            </w:r>
            <w:r w:rsidRPr="00867CAE">
              <w:rPr>
                <w:bCs/>
                <w:vertAlign w:val="superscript"/>
                <w:lang w:val="lv-LV"/>
              </w:rPr>
              <w:t>4</w:t>
            </w:r>
            <w:r w:rsidRPr="00867CAE">
              <w:rPr>
                <w:bCs/>
                <w:lang w:val="lv-LV"/>
              </w:rPr>
              <w:t>panta atbilstību Latvijas Republikas Satversmes 91.pantam</w:t>
            </w:r>
            <w:r w:rsidR="00867CAE">
              <w:rPr>
                <w:bCs/>
                <w:lang w:val="lv-LV"/>
              </w:rPr>
              <w:t>""</w:t>
            </w:r>
            <w:r w:rsidRPr="00867CAE">
              <w:rPr>
                <w:bCs/>
                <w:lang w:val="lv-LV"/>
              </w:rPr>
              <w:t xml:space="preserve"> ir norādījis, ka j</w:t>
            </w:r>
            <w:r w:rsidRPr="00867CAE">
              <w:rPr>
                <w:color w:val="000000"/>
                <w:lang w:val="lv-LV"/>
              </w:rPr>
              <w:t xml:space="preserve">au pie </w:t>
            </w:r>
            <w:r w:rsidRPr="00867CAE">
              <w:rPr>
                <w:color w:val="000000"/>
                <w:lang w:val="lv-LV"/>
              </w:rPr>
              <w:lastRenderedPageBreak/>
              <w:t xml:space="preserve">pašreizējās ieslodzījuma vietu infrastruktūras ir nepieciešams meklēt alternatīvu risinājumus Satversmes tiesas sprieduma izpildei, pārskatot slēgtā cietuma soda izciešanas režīmu un no tā izrietošās tiesības un ierobežojumus, īpaši ierobežojumus, kas saistīti ar saskarsmes tiesībām. Nav pieļaujams, ka atšķirīga attieksme pret notiesātajiem vīriešiem, kas izriet no Satversmes tiesas sprieduma, netiks novērsta vēl vairākus gadus. Nešaubīgi sprieduma izpilde pašreizējā ieslodzījuma vietu infrastruktūrā ir sarežģīta, tomēr vēlos vērst uzmanību, ka Satversmes tiesa šajā spriedumā pamatoti ir atzīmējusi, </w:t>
            </w:r>
            <w:r w:rsidRPr="00867CAE">
              <w:rPr>
                <w:bCs/>
                <w:color w:val="000000"/>
                <w:lang w:val="lv-LV"/>
              </w:rPr>
              <w:t>ka veidojot sodu izpildes sistēmu, likumdevējam citstarp jāņem vērā valstī pieejamie resursi, tomēr attiecībā uz ieslodzīto personu tiesībām valstij nav tiesību, aizbildinoties ar ekonomiska rakstura apsvērumiem, atteikties no tās pamatpienākuma izpildes, ja tā rezultātā netiek ievērotas minimālās cilvēktiesību aizsardzības prasības. Likumdevējs nedrīkst ar ekonomiska rakstura apsvērumiem pamatot to, kādēļ gadiem ilgi nav pārskatīts tāds regulējums, kas paredz atšķirīgu attieksmi pret notiesātajiem vīriešiem</w:t>
            </w:r>
            <w:r w:rsidRPr="00867CAE">
              <w:rPr>
                <w:rStyle w:val="Vresatsauce"/>
                <w:bCs/>
                <w:color w:val="000000"/>
                <w:lang w:val="lv-LV"/>
              </w:rPr>
              <w:footnoteReference w:id="1"/>
            </w:r>
            <w:r w:rsidRPr="00867CAE">
              <w:rPr>
                <w:bCs/>
                <w:color w:val="000000"/>
                <w:lang w:val="lv-LV"/>
              </w:rPr>
              <w:t xml:space="preserve">. Tiesībsarga ieskatā risinājums veikt grozījumus </w:t>
            </w:r>
            <w:r w:rsidRPr="00867CAE">
              <w:rPr>
                <w:bCs/>
                <w:color w:val="000000"/>
                <w:lang w:val="lv-LV"/>
              </w:rPr>
              <w:lastRenderedPageBreak/>
              <w:t>normatīvajā regulējumā, ar mērķi  atlikt Satversmes tiesas sprieduma izpildi uz vairākiem gadiem, ir vērtējams kritiski.</w:t>
            </w:r>
          </w:p>
          <w:p w:rsidRPr="00867CAE" w:rsidR="001B0D07" w:rsidP="00C53C7E" w:rsidRDefault="001B0D07" w14:paraId="644B752B" w14:textId="77777777">
            <w:pPr>
              <w:jc w:val="both"/>
              <w:rPr>
                <w:sz w:val="24"/>
                <w:szCs w:val="24"/>
                <w:lang w:eastAsia="en-US"/>
              </w:rPr>
            </w:pPr>
          </w:p>
          <w:p w:rsidRPr="00867CAE" w:rsidR="001B0D07" w:rsidP="00C53C7E" w:rsidRDefault="001B0D07" w14:paraId="3DDAD8C0" w14:textId="77777777">
            <w:pPr>
              <w:jc w:val="both"/>
              <w:rPr>
                <w:sz w:val="24"/>
                <w:szCs w:val="24"/>
              </w:rPr>
            </w:pPr>
          </w:p>
          <w:p w:rsidRPr="00867CAE" w:rsidR="001B0D07" w:rsidP="00C53C7E" w:rsidRDefault="001B0D07" w14:paraId="0FBA0755" w14:textId="77777777">
            <w:pPr>
              <w:jc w:val="both"/>
              <w:rPr>
                <w:sz w:val="24"/>
                <w:szCs w:val="24"/>
              </w:rPr>
            </w:pPr>
          </w:p>
          <w:p w:rsidRPr="00867CAE" w:rsidR="001B0D07" w:rsidP="00C53C7E" w:rsidRDefault="001B0D07" w14:paraId="6EB80997" w14:textId="77777777">
            <w:pPr>
              <w:jc w:val="both"/>
              <w:rPr>
                <w:sz w:val="24"/>
                <w:szCs w:val="24"/>
                <w:lang w:eastAsia="en-US"/>
              </w:rPr>
            </w:pPr>
          </w:p>
        </w:tc>
        <w:tc>
          <w:tcPr>
            <w:tcW w:w="2551" w:type="dxa"/>
            <w:tcBorders>
              <w:left w:val="single" w:color="auto" w:sz="4" w:space="0"/>
              <w:bottom w:val="single" w:color="auto" w:sz="4" w:space="0"/>
              <w:right w:val="single" w:color="000000" w:sz="6" w:space="0"/>
            </w:tcBorders>
          </w:tcPr>
          <w:p w:rsidRPr="000743CD" w:rsidR="001B0D07" w:rsidP="000743CD" w:rsidRDefault="001B0D07" w14:paraId="2554CB29" w14:textId="77777777">
            <w:pPr>
              <w:pStyle w:val="naisc"/>
              <w:spacing w:before="0" w:after="0"/>
              <w:jc w:val="both"/>
              <w:rPr>
                <w:b/>
                <w:bCs/>
              </w:rPr>
            </w:pPr>
            <w:r w:rsidRPr="000743CD">
              <w:rPr>
                <w:b/>
                <w:bCs/>
              </w:rPr>
              <w:lastRenderedPageBreak/>
              <w:t>Nav ņemts vērā</w:t>
            </w:r>
          </w:p>
          <w:p w:rsidRPr="000743CD" w:rsidR="000743CD" w:rsidP="000743CD" w:rsidRDefault="000743CD" w14:paraId="5B1761CF" w14:textId="6D9AAB25">
            <w:pPr>
              <w:tabs>
                <w:tab w:val="left" w:pos="709"/>
                <w:tab w:val="left" w:pos="993"/>
                <w:tab w:val="left" w:pos="1276"/>
              </w:tabs>
              <w:suppressAutoHyphens/>
              <w:ind w:firstLine="709"/>
              <w:jc w:val="both"/>
              <w:rPr>
                <w:sz w:val="24"/>
                <w:szCs w:val="24"/>
                <w:lang w:eastAsia="ar-SA"/>
              </w:rPr>
            </w:pPr>
            <w:r w:rsidRPr="000743CD">
              <w:rPr>
                <w:sz w:val="24"/>
                <w:szCs w:val="24"/>
                <w:lang w:eastAsia="ar-SA"/>
              </w:rPr>
              <w:t xml:space="preserve">Ar </w:t>
            </w:r>
            <w:r w:rsidRPr="000743CD">
              <w:rPr>
                <w:bCs/>
                <w:sz w:val="24"/>
                <w:szCs w:val="24"/>
              </w:rPr>
              <w:t>Satversmes tiesas 2019.</w:t>
            </w:r>
            <w:r>
              <w:t> </w:t>
            </w:r>
            <w:r w:rsidRPr="000743CD">
              <w:rPr>
                <w:bCs/>
                <w:sz w:val="24"/>
                <w:szCs w:val="24"/>
              </w:rPr>
              <w:t>gada 7.</w:t>
            </w:r>
            <w:r>
              <w:rPr>
                <w:bCs/>
                <w:sz w:val="24"/>
                <w:szCs w:val="24"/>
              </w:rPr>
              <w:t> </w:t>
            </w:r>
            <w:r w:rsidRPr="000743CD">
              <w:rPr>
                <w:bCs/>
                <w:sz w:val="24"/>
                <w:szCs w:val="24"/>
              </w:rPr>
              <w:t>novembra spriedumu lietā Nr.</w:t>
            </w:r>
            <w:r>
              <w:t xml:space="preserve"> </w:t>
            </w:r>
            <w:r w:rsidRPr="000743CD">
              <w:rPr>
                <w:bCs/>
                <w:sz w:val="24"/>
                <w:szCs w:val="24"/>
              </w:rPr>
              <w:t>2018-25-01 "Par Latvijas Sodu izpildes kodeksa 50.</w:t>
            </w:r>
            <w:r w:rsidRPr="000743CD">
              <w:rPr>
                <w:bCs/>
                <w:sz w:val="24"/>
                <w:szCs w:val="24"/>
                <w:vertAlign w:val="superscript"/>
              </w:rPr>
              <w:t>4</w:t>
            </w:r>
            <w:r>
              <w:rPr>
                <w:bCs/>
                <w:sz w:val="24"/>
                <w:szCs w:val="24"/>
                <w:vertAlign w:val="superscript"/>
              </w:rPr>
              <w:t> </w:t>
            </w:r>
            <w:r w:rsidRPr="000743CD">
              <w:rPr>
                <w:bCs/>
                <w:sz w:val="24"/>
                <w:szCs w:val="24"/>
              </w:rPr>
              <w:t>panta atbilstību Latvijas Republikas Satversmes 91.</w:t>
            </w:r>
            <w:r>
              <w:rPr>
                <w:bCs/>
                <w:sz w:val="24"/>
                <w:szCs w:val="24"/>
              </w:rPr>
              <w:t> </w:t>
            </w:r>
            <w:r w:rsidRPr="000743CD">
              <w:rPr>
                <w:bCs/>
                <w:sz w:val="24"/>
                <w:szCs w:val="24"/>
              </w:rPr>
              <w:t>pantam"</w:t>
            </w:r>
            <w:r>
              <w:rPr>
                <w:bCs/>
                <w:sz w:val="24"/>
                <w:szCs w:val="24"/>
              </w:rPr>
              <w:t xml:space="preserve"> (turpmāk – ST spriedums)</w:t>
            </w:r>
            <w:r w:rsidRPr="000743CD">
              <w:rPr>
                <w:bCs/>
                <w:sz w:val="24"/>
                <w:szCs w:val="24"/>
              </w:rPr>
              <w:t xml:space="preserve"> </w:t>
            </w:r>
            <w:r w:rsidRPr="000743CD">
              <w:rPr>
                <w:sz w:val="24"/>
                <w:szCs w:val="24"/>
                <w:lang w:eastAsia="ar-SA"/>
              </w:rPr>
              <w:t>Latvijas Sodu izpildes kodeksa (turpmāk – Kodekss) 50.</w:t>
            </w:r>
            <w:r w:rsidRPr="000743CD">
              <w:rPr>
                <w:sz w:val="24"/>
                <w:szCs w:val="24"/>
                <w:vertAlign w:val="superscript"/>
                <w:lang w:eastAsia="ar-SA"/>
              </w:rPr>
              <w:t>4</w:t>
            </w:r>
            <w:r w:rsidRPr="000743CD">
              <w:rPr>
                <w:sz w:val="24"/>
                <w:szCs w:val="24"/>
                <w:lang w:eastAsia="ar-SA"/>
              </w:rPr>
              <w:t xml:space="preserve"> pants, ciktāl tajā paredzētajai atšķirīgajai attieksmei pret notiesātajiem vīriešiem </w:t>
            </w:r>
            <w:r w:rsidRPr="000743CD">
              <w:rPr>
                <w:sz w:val="24"/>
                <w:szCs w:val="24"/>
                <w:lang w:eastAsia="ar-SA"/>
              </w:rPr>
              <w:lastRenderedPageBreak/>
              <w:t xml:space="preserve">nav objektīva un saprātīga pamata, tika atzīts par neatbilstošu Latvijas Republikas Satversmes 91. pantam un spēkā neesošu no 2021. gada 1. maija. </w:t>
            </w:r>
          </w:p>
          <w:p w:rsidRPr="000743CD" w:rsidR="001B0D07" w:rsidP="000743CD" w:rsidRDefault="000743CD" w14:paraId="2961A71C" w14:textId="10418635">
            <w:pPr>
              <w:tabs>
                <w:tab w:val="left" w:pos="709"/>
                <w:tab w:val="left" w:pos="993"/>
                <w:tab w:val="left" w:pos="1276"/>
              </w:tabs>
              <w:suppressAutoHyphens/>
              <w:ind w:firstLine="720"/>
              <w:jc w:val="both"/>
              <w:rPr>
                <w:sz w:val="24"/>
                <w:szCs w:val="24"/>
                <w:lang w:eastAsia="ar-SA"/>
              </w:rPr>
            </w:pPr>
            <w:r w:rsidRPr="000743CD">
              <w:rPr>
                <w:iCs/>
                <w:sz w:val="24"/>
                <w:szCs w:val="24"/>
              </w:rPr>
              <w:t xml:space="preserve">Ņemot vērā minēto, Tieslietu ministrija sagatavoja informatīvo ziņojumu </w:t>
            </w:r>
            <w:r w:rsidRPr="000743CD">
              <w:rPr>
                <w:sz w:val="24"/>
                <w:szCs w:val="24"/>
                <w:lang w:eastAsia="ar-SA"/>
              </w:rPr>
              <w:t>"Par turpmāko rīcību saistībā ar Satversmes tiesas 2019. gada 7. novembra spriedumu lietā Nr. 2018-25-01 "Par Latvijas Sodu izpildes kodeksa 50.</w:t>
            </w:r>
            <w:r w:rsidRPr="000743CD">
              <w:rPr>
                <w:sz w:val="24"/>
                <w:szCs w:val="24"/>
                <w:vertAlign w:val="superscript"/>
                <w:lang w:eastAsia="ar-SA"/>
              </w:rPr>
              <w:t>4</w:t>
            </w:r>
            <w:r w:rsidRPr="000743CD">
              <w:rPr>
                <w:sz w:val="24"/>
                <w:szCs w:val="24"/>
                <w:lang w:eastAsia="ar-SA"/>
              </w:rPr>
              <w:t xml:space="preserve"> panta atbilstību Latvijas Republikas Satversmes 91. pantam"" </w:t>
            </w:r>
            <w:r w:rsidRPr="000743CD">
              <w:rPr>
                <w:sz w:val="24"/>
                <w:szCs w:val="24"/>
              </w:rPr>
              <w:t>(turpmāk – informatīvais ziņojums), kurā</w:t>
            </w:r>
            <w:r w:rsidRPr="000743CD" w:rsidDel="000D050A">
              <w:rPr>
                <w:sz w:val="24"/>
                <w:szCs w:val="24"/>
                <w:lang w:eastAsia="ar-SA"/>
              </w:rPr>
              <w:t xml:space="preserve"> </w:t>
            </w:r>
            <w:r w:rsidRPr="000743CD">
              <w:rPr>
                <w:sz w:val="24"/>
                <w:szCs w:val="24"/>
                <w:lang w:eastAsia="ar-SA"/>
              </w:rPr>
              <w:t>secināts</w:t>
            </w:r>
            <w:r w:rsidRPr="000743CD">
              <w:rPr>
                <w:sz w:val="24"/>
                <w:szCs w:val="24"/>
              </w:rPr>
              <w:t xml:space="preserve">, ka ST spriedumā ietvertie secinājumi ieslodzījuma izpildes sistēmu skar tik būtiski, ka ST sprieduma izpilde esošajā ieslodzījuma </w:t>
            </w:r>
            <w:r w:rsidRPr="000743CD">
              <w:rPr>
                <w:sz w:val="24"/>
                <w:szCs w:val="24"/>
              </w:rPr>
              <w:lastRenderedPageBreak/>
              <w:t xml:space="preserve">vietu infrastruktūrā un esošā Kodeksa regulējuma ietvaros nav iespējama, tāpēc </w:t>
            </w:r>
            <w:r w:rsidRPr="000743CD">
              <w:rPr>
                <w:iCs/>
                <w:sz w:val="24"/>
                <w:szCs w:val="24"/>
              </w:rPr>
              <w:t xml:space="preserve">informatīvajā ziņojumā tika piedāvāts </w:t>
            </w:r>
            <w:r w:rsidRPr="000743CD">
              <w:rPr>
                <w:sz w:val="24"/>
                <w:szCs w:val="24"/>
              </w:rPr>
              <w:t xml:space="preserve">valdībai lemt par turpmāko rīcību saistībā ar ST spriedumu. </w:t>
            </w:r>
            <w:r w:rsidRPr="000743CD">
              <w:rPr>
                <w:bCs/>
                <w:sz w:val="24"/>
                <w:szCs w:val="24"/>
                <w:lang w:eastAsia="ar-SA"/>
              </w:rPr>
              <w:t>Tieslietu ministrija jau ir veikusi visus pasākumus, t.sk. likumdošanas pilnveidojumus, kas ir iespējami esošajā ieslodzījuma vietu infrastruktūrā, tādējādi daļēji izpildot ST spriedumu, tomēr ST sprieduma izpildi var pabeigt tikai pēc jaunā Liepājas cietuma būvniecības pabeigšanas. Minēt</w:t>
            </w:r>
            <w:r>
              <w:rPr>
                <w:bCs/>
                <w:sz w:val="24"/>
                <w:szCs w:val="24"/>
                <w:lang w:eastAsia="ar-SA"/>
              </w:rPr>
              <w:t>ie</w:t>
            </w:r>
            <w:r w:rsidRPr="000743CD">
              <w:rPr>
                <w:bCs/>
                <w:sz w:val="24"/>
                <w:szCs w:val="24"/>
                <w:lang w:eastAsia="ar-SA"/>
              </w:rPr>
              <w:t xml:space="preserve"> </w:t>
            </w:r>
            <w:r>
              <w:rPr>
                <w:bCs/>
                <w:sz w:val="24"/>
                <w:szCs w:val="24"/>
                <w:lang w:eastAsia="ar-SA"/>
              </w:rPr>
              <w:t>pasākumi norādīti arī likumprojekta sākotnējās ietekmes novērtējuma ziņojumā (anotācijā)</w:t>
            </w:r>
            <w:r w:rsidRPr="000743CD">
              <w:rPr>
                <w:bCs/>
                <w:sz w:val="24"/>
                <w:szCs w:val="24"/>
                <w:lang w:eastAsia="ar-SA"/>
              </w:rPr>
              <w:t xml:space="preserve">. </w:t>
            </w:r>
            <w:r w:rsidRPr="007F1E8F">
              <w:rPr>
                <w:sz w:val="24"/>
                <w:szCs w:val="24"/>
              </w:rPr>
              <w:t>Ņemot vērā minēto</w:t>
            </w:r>
            <w:r w:rsidRPr="00775393">
              <w:rPr>
                <w:sz w:val="24"/>
                <w:szCs w:val="24"/>
              </w:rPr>
              <w:t>,</w:t>
            </w:r>
            <w:r w:rsidRPr="007F1E8F">
              <w:rPr>
                <w:sz w:val="24"/>
                <w:szCs w:val="24"/>
                <w:lang w:eastAsia="ar-SA"/>
              </w:rPr>
              <w:t xml:space="preserve"> ST sprieduma izpilde </w:t>
            </w:r>
            <w:r w:rsidRPr="00775393">
              <w:rPr>
                <w:sz w:val="24"/>
                <w:szCs w:val="24"/>
                <w:lang w:eastAsia="ar-SA"/>
              </w:rPr>
              <w:t xml:space="preserve">pilnā apjomā var </w:t>
            </w:r>
            <w:r w:rsidRPr="007F1E8F">
              <w:rPr>
                <w:sz w:val="24"/>
                <w:szCs w:val="24"/>
                <w:lang w:eastAsia="ar-SA"/>
              </w:rPr>
              <w:lastRenderedPageBreak/>
              <w:t>ti</w:t>
            </w:r>
            <w:r w:rsidRPr="00775393">
              <w:rPr>
                <w:sz w:val="24"/>
                <w:szCs w:val="24"/>
                <w:lang w:eastAsia="ar-SA"/>
              </w:rPr>
              <w:t>kt</w:t>
            </w:r>
            <w:r w:rsidRPr="007F1E8F">
              <w:rPr>
                <w:sz w:val="24"/>
                <w:szCs w:val="24"/>
                <w:lang w:eastAsia="ar-SA"/>
              </w:rPr>
              <w:t xml:space="preserve"> nodrošināta</w:t>
            </w:r>
            <w:r w:rsidRPr="007F1E8F">
              <w:rPr>
                <w:bCs/>
                <w:sz w:val="24"/>
                <w:szCs w:val="24"/>
                <w:lang w:eastAsia="ar-SA"/>
              </w:rPr>
              <w:t xml:space="preserve"> pēc jaunā Liepājas cietuma darbības uzsākšanas, bet ne vēlāk kā līdz 2025. gada 1. jūlijam</w:t>
            </w:r>
            <w:r w:rsidRPr="007F1E8F">
              <w:rPr>
                <w:sz w:val="24"/>
                <w:szCs w:val="24"/>
                <w:lang w:eastAsia="ar-SA"/>
              </w:rPr>
              <w:t xml:space="preserve">. </w:t>
            </w:r>
            <w:r w:rsidR="00A03288">
              <w:rPr>
                <w:sz w:val="24"/>
                <w:szCs w:val="24"/>
                <w:lang w:eastAsia="ar-SA"/>
              </w:rPr>
              <w:t>Līdz ar to</w:t>
            </w:r>
            <w:r>
              <w:rPr>
                <w:sz w:val="24"/>
                <w:szCs w:val="24"/>
                <w:lang w:eastAsia="ar-SA"/>
              </w:rPr>
              <w:t xml:space="preserve"> bija nepieciešama </w:t>
            </w:r>
            <w:r w:rsidRPr="000743CD">
              <w:rPr>
                <w:sz w:val="24"/>
                <w:szCs w:val="24"/>
                <w:lang w:eastAsia="ar-SA"/>
              </w:rPr>
              <w:t>likumprojekta izstrāde, lai nodrošinātu brīvības atņemšanas soda izpildes nepārtrauktību arī pēc 2021. gada 1. maija</w:t>
            </w:r>
            <w:r>
              <w:rPr>
                <w:sz w:val="24"/>
                <w:szCs w:val="24"/>
                <w:lang w:eastAsia="ar-SA"/>
              </w:rPr>
              <w:t>.</w:t>
            </w:r>
          </w:p>
        </w:tc>
        <w:tc>
          <w:tcPr>
            <w:tcW w:w="2127" w:type="dxa"/>
            <w:tcBorders>
              <w:top w:val="single" w:color="auto" w:sz="4" w:space="0"/>
              <w:left w:val="single" w:color="auto" w:sz="4" w:space="0"/>
              <w:bottom w:val="single" w:color="auto" w:sz="4" w:space="0"/>
              <w:right w:val="single" w:color="auto" w:sz="4" w:space="0"/>
            </w:tcBorders>
          </w:tcPr>
          <w:p w:rsidRPr="00712B66" w:rsidR="001B0D07" w:rsidP="00C53C7E" w:rsidRDefault="001B0D07" w14:paraId="2254B331" w14:textId="77777777">
            <w:pPr>
              <w:pStyle w:val="Parastais"/>
              <w:jc w:val="both"/>
            </w:pPr>
          </w:p>
        </w:tc>
        <w:tc>
          <w:tcPr>
            <w:tcW w:w="2510" w:type="dxa"/>
            <w:tcBorders>
              <w:top w:val="single" w:color="auto" w:sz="4" w:space="0"/>
              <w:left w:val="single" w:color="auto" w:sz="4" w:space="0"/>
              <w:bottom w:val="single" w:color="auto" w:sz="4" w:space="0"/>
            </w:tcBorders>
          </w:tcPr>
          <w:p w:rsidR="00850FD9" w:rsidP="00850FD9" w:rsidRDefault="00850FD9" w14:paraId="75083BB2" w14:textId="77777777">
            <w:pPr>
              <w:jc w:val="both"/>
              <w:rPr>
                <w:color w:val="000000"/>
                <w:sz w:val="24"/>
                <w:szCs w:val="24"/>
              </w:rPr>
            </w:pPr>
          </w:p>
          <w:p w:rsidR="009B6117" w:rsidP="00E36B2B" w:rsidRDefault="009B6117" w14:paraId="14A440C8" w14:textId="5E336721">
            <w:pPr>
              <w:jc w:val="both"/>
              <w:rPr>
                <w:color w:val="000000"/>
                <w:sz w:val="24"/>
                <w:szCs w:val="24"/>
              </w:rPr>
            </w:pPr>
            <w:r>
              <w:rPr>
                <w:color w:val="000000"/>
                <w:sz w:val="24"/>
                <w:szCs w:val="24"/>
              </w:rPr>
              <w:t>Likumprojekts:</w:t>
            </w:r>
          </w:p>
          <w:p w:rsidRPr="009B6117" w:rsidR="009B6117" w:rsidP="00E36B2B" w:rsidRDefault="009B6117" w14:paraId="40F93FF0" w14:textId="15D037B5">
            <w:pPr>
              <w:jc w:val="both"/>
              <w:rPr>
                <w:color w:val="000000"/>
                <w:sz w:val="24"/>
                <w:szCs w:val="24"/>
              </w:rPr>
            </w:pPr>
            <w:r>
              <w:rPr>
                <w:color w:val="000000"/>
                <w:sz w:val="24"/>
                <w:szCs w:val="24"/>
              </w:rPr>
              <w:t>"</w:t>
            </w:r>
            <w:r w:rsidRPr="009B6117">
              <w:rPr>
                <w:color w:val="000000"/>
                <w:sz w:val="24"/>
                <w:szCs w:val="24"/>
              </w:rPr>
              <w:t xml:space="preserve">Papildināt </w:t>
            </w:r>
            <w:r w:rsidR="00850FD9">
              <w:rPr>
                <w:color w:val="000000"/>
                <w:sz w:val="24"/>
                <w:szCs w:val="24"/>
              </w:rPr>
              <w:t>p</w:t>
            </w:r>
            <w:r w:rsidRPr="009B6117">
              <w:rPr>
                <w:color w:val="000000"/>
                <w:sz w:val="24"/>
                <w:szCs w:val="24"/>
              </w:rPr>
              <w:t>ārejas noteikumus ar 36.</w:t>
            </w:r>
            <w:r w:rsidR="00850FD9">
              <w:rPr>
                <w:color w:val="000000"/>
                <w:sz w:val="24"/>
                <w:szCs w:val="24"/>
              </w:rPr>
              <w:t> </w:t>
            </w:r>
            <w:r w:rsidRPr="009B6117">
              <w:rPr>
                <w:color w:val="000000"/>
                <w:sz w:val="24"/>
                <w:szCs w:val="24"/>
              </w:rPr>
              <w:t>punktu šādā redakcijā:</w:t>
            </w:r>
          </w:p>
          <w:p w:rsidRPr="009B6117" w:rsidR="009B6117" w:rsidP="00E36B2B" w:rsidRDefault="009B6117" w14:paraId="3516C004" w14:textId="6FF5E335">
            <w:pPr>
              <w:jc w:val="both"/>
              <w:rPr>
                <w:sz w:val="24"/>
                <w:szCs w:val="24"/>
              </w:rPr>
            </w:pPr>
            <w:r w:rsidRPr="009B6117">
              <w:rPr>
                <w:color w:val="000000"/>
                <w:sz w:val="24"/>
                <w:szCs w:val="24"/>
              </w:rPr>
              <w:t>"</w:t>
            </w:r>
            <w:proofErr w:type="gramStart"/>
            <w:r w:rsidRPr="009B6117">
              <w:rPr>
                <w:color w:val="000000"/>
                <w:sz w:val="24"/>
                <w:szCs w:val="24"/>
              </w:rPr>
              <w:t>36.</w:t>
            </w:r>
            <w:r w:rsidR="00850FD9">
              <w:rPr>
                <w:color w:val="000000"/>
                <w:sz w:val="24"/>
                <w:szCs w:val="24"/>
              </w:rPr>
              <w:t> </w:t>
            </w:r>
            <w:r w:rsidRPr="009B6117">
              <w:rPr>
                <w:sz w:val="24"/>
                <w:szCs w:val="24"/>
              </w:rPr>
              <w:t>Pilngadīgi vīrieši</w:t>
            </w:r>
            <w:proofErr w:type="gramEnd"/>
            <w:r w:rsidRPr="009B6117">
              <w:rPr>
                <w:sz w:val="24"/>
                <w:szCs w:val="24"/>
              </w:rPr>
              <w:t xml:space="preserve"> no 2021. gada 1. maija līdz 2025. gada 1. jūlijam slēgtajā cietumā sodu izcieš atbilstoši šajā kodeksā noteiktajai kārtībai par soda izciešanu slēgtajā cietumā, kura bija spēkā līdz 2021. gada 30. aprīlim, ja viņi:</w:t>
            </w:r>
          </w:p>
          <w:p w:rsidRPr="009B6117" w:rsidR="009B6117" w:rsidP="00E36B2B" w:rsidRDefault="009B6117" w14:paraId="44D12D86" w14:textId="471A5AE5">
            <w:pPr>
              <w:jc w:val="both"/>
              <w:rPr>
                <w:sz w:val="24"/>
                <w:szCs w:val="24"/>
              </w:rPr>
            </w:pPr>
            <w:r w:rsidRPr="009B6117">
              <w:rPr>
                <w:sz w:val="24"/>
                <w:szCs w:val="24"/>
              </w:rPr>
              <w:lastRenderedPageBreak/>
              <w:t>1)</w:t>
            </w:r>
            <w:r w:rsidR="00850FD9">
              <w:rPr>
                <w:sz w:val="24"/>
                <w:szCs w:val="24"/>
              </w:rPr>
              <w:t> </w:t>
            </w:r>
            <w:r w:rsidRPr="009B6117">
              <w:rPr>
                <w:sz w:val="24"/>
                <w:szCs w:val="24"/>
              </w:rPr>
              <w:t xml:space="preserve">minētajā laika periodā uzsāk soda izciešanu </w:t>
            </w:r>
            <w:r w:rsidRPr="009B6117">
              <w:rPr>
                <w:sz w:val="24"/>
                <w:szCs w:val="24"/>
                <w:u w:val="single"/>
              </w:rPr>
              <w:t>slēgtajā cietumā</w:t>
            </w:r>
            <w:r w:rsidRPr="009B6117">
              <w:rPr>
                <w:sz w:val="24"/>
                <w:szCs w:val="24"/>
              </w:rPr>
              <w:t xml:space="preserve"> par smaga un sevišķi smaga nozieguma izdarīšanu;</w:t>
            </w:r>
          </w:p>
          <w:p w:rsidRPr="009B6117" w:rsidR="009B6117" w:rsidP="00E36B2B" w:rsidRDefault="009B6117" w14:paraId="27CC3FE1" w14:textId="591DD9BB">
            <w:pPr>
              <w:jc w:val="both"/>
              <w:rPr>
                <w:sz w:val="24"/>
                <w:szCs w:val="24"/>
              </w:rPr>
            </w:pPr>
            <w:r w:rsidRPr="009B6117">
              <w:rPr>
                <w:sz w:val="24"/>
                <w:szCs w:val="24"/>
              </w:rPr>
              <w:t>2)</w:t>
            </w:r>
            <w:r w:rsidR="00850FD9">
              <w:rPr>
                <w:sz w:val="24"/>
                <w:szCs w:val="24"/>
              </w:rPr>
              <w:t> </w:t>
            </w:r>
            <w:r w:rsidRPr="009B6117">
              <w:rPr>
                <w:sz w:val="24"/>
                <w:szCs w:val="24"/>
              </w:rPr>
              <w:t>minētajā laika periodā uz slēgto cietumu pārvietoti no daļēji slēgtā cietuma;</w:t>
            </w:r>
          </w:p>
          <w:p w:rsidRPr="009B6117" w:rsidR="009B6117" w:rsidP="00E36B2B" w:rsidRDefault="009B6117" w14:paraId="61BB582E" w14:textId="6936D344">
            <w:pPr>
              <w:jc w:val="both"/>
              <w:rPr>
                <w:sz w:val="24"/>
                <w:szCs w:val="24"/>
              </w:rPr>
            </w:pPr>
            <w:r w:rsidRPr="009B6117">
              <w:rPr>
                <w:sz w:val="24"/>
                <w:szCs w:val="24"/>
              </w:rPr>
              <w:t>3)</w:t>
            </w:r>
            <w:r w:rsidR="00850FD9">
              <w:rPr>
                <w:sz w:val="24"/>
                <w:szCs w:val="24"/>
              </w:rPr>
              <w:t> </w:t>
            </w:r>
            <w:r w:rsidRPr="009B6117">
              <w:rPr>
                <w:sz w:val="24"/>
                <w:szCs w:val="24"/>
              </w:rPr>
              <w:t>2021. gada 30. aprīlī atrodas slēgtajā cietumā.</w:t>
            </w:r>
            <w:r w:rsidRPr="009B6117">
              <w:rPr>
                <w:color w:val="000000"/>
                <w:sz w:val="24"/>
                <w:szCs w:val="24"/>
              </w:rPr>
              <w:t>"</w:t>
            </w:r>
          </w:p>
          <w:p w:rsidRPr="009B6117" w:rsidR="009B6117" w:rsidP="00E36B2B" w:rsidRDefault="009B6117" w14:paraId="6B32B473" w14:textId="77777777">
            <w:pPr>
              <w:jc w:val="both"/>
              <w:rPr>
                <w:color w:val="000000"/>
                <w:sz w:val="24"/>
                <w:szCs w:val="24"/>
              </w:rPr>
            </w:pPr>
          </w:p>
          <w:p w:rsidRPr="009B6117" w:rsidR="001B0D07" w:rsidP="00850FD9" w:rsidRDefault="009B6117" w14:paraId="266B265C" w14:textId="7AABF30B">
            <w:pPr>
              <w:pStyle w:val="Parastais"/>
              <w:jc w:val="both"/>
            </w:pPr>
            <w:r w:rsidRPr="009B6117">
              <w:rPr>
                <w:color w:val="000000"/>
              </w:rPr>
              <w:t>Likums stājas spēkā 2021. gada 1. maijā</w:t>
            </w:r>
            <w:r>
              <w:rPr>
                <w:color w:val="000000"/>
              </w:rPr>
              <w:t>."</w:t>
            </w:r>
          </w:p>
        </w:tc>
      </w:tr>
    </w:tbl>
    <w:p w:rsidR="001B0D07" w:rsidP="001B0D07" w:rsidRDefault="001B0D07" w14:paraId="76EF0F4F" w14:textId="77777777">
      <w:pPr>
        <w:pStyle w:val="naisf"/>
        <w:spacing w:before="0" w:after="0"/>
        <w:ind w:firstLine="0"/>
      </w:pPr>
    </w:p>
    <w:p w:rsidRPr="00712B66" w:rsidR="001B0D07" w:rsidP="001B0D07" w:rsidRDefault="001B0D07" w14:paraId="4C2B2E54" w14:textId="77777777">
      <w:pPr>
        <w:pStyle w:val="naisf"/>
        <w:spacing w:before="0" w:after="0"/>
        <w:ind w:firstLine="0"/>
        <w:rPr>
          <w:b/>
        </w:rPr>
      </w:pPr>
      <w:r w:rsidRPr="00712B66">
        <w:rPr>
          <w:b/>
        </w:rPr>
        <w:t>Informācija par starpministriju (starpinstitūciju) sanāksmi vai elektronisko saskaņošanu</w:t>
      </w:r>
    </w:p>
    <w:p w:rsidRPr="00712B66" w:rsidR="001B0D07" w:rsidP="001B0D07" w:rsidRDefault="001B0D07" w14:paraId="2F9D2442" w14:textId="77777777">
      <w:pPr>
        <w:pStyle w:val="naisf"/>
        <w:spacing w:before="0" w:after="0"/>
        <w:ind w:firstLine="0"/>
        <w:rPr>
          <w:b/>
        </w:rPr>
      </w:pPr>
    </w:p>
    <w:tbl>
      <w:tblPr>
        <w:tblW w:w="12582" w:type="dxa"/>
        <w:tblLook w:val="00A0" w:firstRow="1" w:lastRow="0" w:firstColumn="1" w:lastColumn="0" w:noHBand="0" w:noVBand="0"/>
      </w:tblPr>
      <w:tblGrid>
        <w:gridCol w:w="6345"/>
        <w:gridCol w:w="363"/>
        <w:gridCol w:w="840"/>
        <w:gridCol w:w="5034"/>
      </w:tblGrid>
      <w:tr w:rsidRPr="00712B66" w:rsidR="001B0D07" w:rsidTr="00C53C7E" w14:paraId="0EDE4DB4" w14:textId="77777777">
        <w:tc>
          <w:tcPr>
            <w:tcW w:w="6345" w:type="dxa"/>
          </w:tcPr>
          <w:p w:rsidRPr="00712B66" w:rsidR="001B0D07" w:rsidP="00C53C7E" w:rsidRDefault="001B0D07" w14:paraId="3A84C65A" w14:textId="77777777">
            <w:pPr>
              <w:pStyle w:val="naisf"/>
              <w:spacing w:before="0" w:after="0"/>
              <w:ind w:firstLine="0"/>
            </w:pPr>
            <w:r w:rsidRPr="00712B66">
              <w:t>Datums</w:t>
            </w:r>
          </w:p>
        </w:tc>
        <w:tc>
          <w:tcPr>
            <w:tcW w:w="6237" w:type="dxa"/>
            <w:gridSpan w:val="3"/>
            <w:tcBorders>
              <w:bottom w:val="single" w:color="auto" w:sz="4" w:space="0"/>
            </w:tcBorders>
          </w:tcPr>
          <w:p w:rsidRPr="00712B66" w:rsidR="001B0D07" w:rsidP="00C53C7E" w:rsidRDefault="00850FD9" w14:paraId="12BA4463" w14:textId="6ADD82EE">
            <w:pPr>
              <w:pStyle w:val="ParastaisWeb"/>
              <w:spacing w:before="0" w:beforeAutospacing="0" w:after="0" w:afterAutospacing="0"/>
              <w:ind w:firstLine="720"/>
            </w:pPr>
            <w:r>
              <w:t xml:space="preserve">Projekts tika nosūtīts saskaņošanai </w:t>
            </w:r>
            <w:r w:rsidR="001B0D07">
              <w:t>2021. gada 2</w:t>
            </w:r>
            <w:r w:rsidR="005F52A6">
              <w:t>2.</w:t>
            </w:r>
            <w:r>
              <w:t> </w:t>
            </w:r>
            <w:r w:rsidR="005F52A6">
              <w:t>mart</w:t>
            </w:r>
            <w:r>
              <w:t>ā</w:t>
            </w:r>
          </w:p>
        </w:tc>
      </w:tr>
      <w:tr w:rsidRPr="00712B66" w:rsidR="001B0D07" w:rsidTr="00C53C7E" w14:paraId="7C57B2CE" w14:textId="77777777">
        <w:tc>
          <w:tcPr>
            <w:tcW w:w="6345" w:type="dxa"/>
          </w:tcPr>
          <w:p w:rsidRPr="00712B66" w:rsidR="001B0D07" w:rsidP="00C53C7E" w:rsidRDefault="001B0D07" w14:paraId="0157ADAA" w14:textId="77777777">
            <w:pPr>
              <w:pStyle w:val="naisf"/>
              <w:spacing w:before="0" w:after="0"/>
              <w:ind w:firstLine="0"/>
            </w:pPr>
          </w:p>
        </w:tc>
        <w:tc>
          <w:tcPr>
            <w:tcW w:w="6237" w:type="dxa"/>
            <w:gridSpan w:val="3"/>
            <w:tcBorders>
              <w:top w:val="single" w:color="auto" w:sz="4" w:space="0"/>
            </w:tcBorders>
          </w:tcPr>
          <w:p w:rsidRPr="00712B66" w:rsidR="001B0D07" w:rsidP="00C53C7E" w:rsidRDefault="001B0D07" w14:paraId="1BADF9DF" w14:textId="77777777">
            <w:pPr>
              <w:pStyle w:val="ParastaisWeb"/>
              <w:spacing w:before="0" w:beforeAutospacing="0" w:after="0" w:afterAutospacing="0"/>
              <w:ind w:firstLine="720"/>
            </w:pPr>
          </w:p>
        </w:tc>
      </w:tr>
      <w:tr w:rsidRPr="00712B66" w:rsidR="001B0D07" w:rsidTr="00C53C7E" w14:paraId="0A4FF710" w14:textId="77777777">
        <w:tc>
          <w:tcPr>
            <w:tcW w:w="6345" w:type="dxa"/>
          </w:tcPr>
          <w:p w:rsidRPr="00712B66" w:rsidR="001B0D07" w:rsidP="00C53C7E" w:rsidRDefault="001B0D07" w14:paraId="4B738986" w14:textId="77777777">
            <w:pPr>
              <w:pStyle w:val="naiskr"/>
              <w:spacing w:before="0" w:after="0"/>
            </w:pPr>
            <w:r>
              <w:t>Saskaņošanas d</w:t>
            </w:r>
            <w:r w:rsidRPr="00712B66">
              <w:t>alībnieki</w:t>
            </w:r>
          </w:p>
        </w:tc>
        <w:tc>
          <w:tcPr>
            <w:tcW w:w="6237" w:type="dxa"/>
            <w:gridSpan w:val="3"/>
          </w:tcPr>
          <w:p w:rsidRPr="003C18C5" w:rsidR="001B0D07" w:rsidP="00C53C7E" w:rsidRDefault="001B0D07" w14:paraId="2A6FC581" w14:textId="526C4C96">
            <w:pPr>
              <w:widowControl w:val="0"/>
              <w:jc w:val="both"/>
              <w:rPr>
                <w:rFonts w:eastAsia="Calibri"/>
                <w:bCs/>
                <w:sz w:val="24"/>
                <w:szCs w:val="24"/>
              </w:rPr>
            </w:pPr>
            <w:r w:rsidRPr="003C18C5">
              <w:rPr>
                <w:rFonts w:eastAsia="Calibri"/>
                <w:bCs/>
                <w:sz w:val="24"/>
                <w:szCs w:val="24"/>
              </w:rPr>
              <w:t>Finanšu ministrija,</w:t>
            </w:r>
            <w:r>
              <w:rPr>
                <w:rFonts w:eastAsia="Calibri"/>
                <w:bCs/>
                <w:sz w:val="24"/>
                <w:szCs w:val="24"/>
              </w:rPr>
              <w:t xml:space="preserve"> Ārlietu ministrija,</w:t>
            </w:r>
            <w:r w:rsidRPr="003C18C5">
              <w:rPr>
                <w:rFonts w:eastAsia="Calibri"/>
                <w:bCs/>
                <w:sz w:val="24"/>
                <w:szCs w:val="24"/>
              </w:rPr>
              <w:t xml:space="preserve"> Iekšlietu ministrija, </w:t>
            </w:r>
            <w:r>
              <w:rPr>
                <w:rFonts w:eastAsia="Calibri"/>
                <w:bCs/>
                <w:sz w:val="24"/>
                <w:szCs w:val="24"/>
              </w:rPr>
              <w:t xml:space="preserve">Valsts kanceleja, </w:t>
            </w:r>
            <w:r w:rsidRPr="003C18C5">
              <w:rPr>
                <w:rFonts w:eastAsia="Calibri"/>
                <w:bCs/>
                <w:sz w:val="24"/>
                <w:szCs w:val="24"/>
              </w:rPr>
              <w:t>Tiesībsargs</w:t>
            </w:r>
          </w:p>
          <w:p w:rsidRPr="00712B66" w:rsidR="001B0D07" w:rsidP="00C53C7E" w:rsidRDefault="001B0D07" w14:paraId="1CF8A7F4" w14:textId="77777777">
            <w:pPr>
              <w:pStyle w:val="ParastaisWeb"/>
              <w:spacing w:before="0" w:beforeAutospacing="0" w:after="0" w:afterAutospacing="0"/>
              <w:ind w:firstLine="720"/>
            </w:pPr>
          </w:p>
        </w:tc>
      </w:tr>
      <w:tr w:rsidRPr="00712B66" w:rsidR="001B0D07" w:rsidTr="00C53C7E" w14:paraId="57DF8CAE" w14:textId="77777777">
        <w:tc>
          <w:tcPr>
            <w:tcW w:w="6345" w:type="dxa"/>
          </w:tcPr>
          <w:p w:rsidRPr="00712B66" w:rsidR="001B0D07" w:rsidP="00C53C7E" w:rsidRDefault="001B0D07" w14:paraId="38C5D5DD" w14:textId="77777777">
            <w:pPr>
              <w:pStyle w:val="naiskr"/>
              <w:spacing w:before="0" w:after="0"/>
              <w:ind w:firstLine="720"/>
            </w:pPr>
          </w:p>
        </w:tc>
        <w:tc>
          <w:tcPr>
            <w:tcW w:w="6237" w:type="dxa"/>
            <w:gridSpan w:val="3"/>
            <w:tcBorders>
              <w:top w:val="single" w:color="000000" w:sz="6" w:space="0"/>
              <w:bottom w:val="single" w:color="000000" w:sz="6" w:space="0"/>
            </w:tcBorders>
          </w:tcPr>
          <w:p w:rsidRPr="00712B66" w:rsidR="001B0D07" w:rsidP="00C53C7E" w:rsidRDefault="001B0D07" w14:paraId="18AA49D7" w14:textId="77777777">
            <w:pPr>
              <w:pStyle w:val="naiskr"/>
              <w:spacing w:before="0" w:after="0"/>
              <w:ind w:firstLine="720"/>
            </w:pPr>
          </w:p>
        </w:tc>
      </w:tr>
      <w:tr w:rsidRPr="00712B66" w:rsidR="001B0D07" w:rsidTr="00C53C7E" w14:paraId="4EC6A6B7" w14:textId="77777777">
        <w:trPr>
          <w:trHeight w:val="285"/>
        </w:trPr>
        <w:tc>
          <w:tcPr>
            <w:tcW w:w="6345" w:type="dxa"/>
          </w:tcPr>
          <w:p w:rsidRPr="00712B66" w:rsidR="001B0D07" w:rsidP="00C53C7E" w:rsidRDefault="001B0D07" w14:paraId="3624C54E" w14:textId="77777777">
            <w:pPr>
              <w:pStyle w:val="naiskr"/>
              <w:spacing w:before="0" w:after="0"/>
            </w:pPr>
          </w:p>
        </w:tc>
        <w:tc>
          <w:tcPr>
            <w:tcW w:w="1203" w:type="dxa"/>
            <w:gridSpan w:val="2"/>
          </w:tcPr>
          <w:p w:rsidRPr="00712B66" w:rsidR="001B0D07" w:rsidP="00C53C7E" w:rsidRDefault="001B0D07" w14:paraId="3BB20FDD" w14:textId="77777777">
            <w:pPr>
              <w:pStyle w:val="naiskr"/>
              <w:spacing w:before="0" w:after="0"/>
              <w:ind w:firstLine="720"/>
            </w:pPr>
          </w:p>
        </w:tc>
        <w:tc>
          <w:tcPr>
            <w:tcW w:w="5034" w:type="dxa"/>
          </w:tcPr>
          <w:p w:rsidRPr="00712B66" w:rsidR="001B0D07" w:rsidP="00C53C7E" w:rsidRDefault="001B0D07" w14:paraId="3917528C" w14:textId="77777777">
            <w:pPr>
              <w:pStyle w:val="naiskr"/>
              <w:spacing w:before="0" w:after="0"/>
              <w:ind w:firstLine="12"/>
            </w:pPr>
          </w:p>
        </w:tc>
      </w:tr>
      <w:tr w:rsidRPr="00712B66" w:rsidR="001B0D07" w:rsidTr="00C53C7E" w14:paraId="176FE852" w14:textId="77777777">
        <w:trPr>
          <w:trHeight w:val="285"/>
        </w:trPr>
        <w:tc>
          <w:tcPr>
            <w:tcW w:w="6708" w:type="dxa"/>
            <w:gridSpan w:val="2"/>
          </w:tcPr>
          <w:p w:rsidRPr="00712B66" w:rsidR="001B0D07" w:rsidP="00C53C7E" w:rsidRDefault="001B0D07" w14:paraId="35F69CDD" w14:textId="77777777">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840" w:type="dxa"/>
          </w:tcPr>
          <w:p w:rsidRPr="00712B66" w:rsidR="001B0D07" w:rsidP="00C53C7E" w:rsidRDefault="001B0D07" w14:paraId="50EC90B8" w14:textId="77777777">
            <w:pPr>
              <w:pStyle w:val="naiskr"/>
              <w:spacing w:before="0" w:after="0"/>
              <w:ind w:firstLine="720"/>
            </w:pPr>
          </w:p>
        </w:tc>
        <w:tc>
          <w:tcPr>
            <w:tcW w:w="5034" w:type="dxa"/>
          </w:tcPr>
          <w:p w:rsidRPr="00712B66" w:rsidR="001B0D07" w:rsidP="00C53C7E" w:rsidRDefault="001B0D07" w14:paraId="1E78B2CB" w14:textId="14525B28">
            <w:pPr>
              <w:pStyle w:val="naiskr"/>
              <w:spacing w:before="0" w:after="0"/>
              <w:ind w:firstLine="12"/>
            </w:pPr>
          </w:p>
        </w:tc>
      </w:tr>
      <w:tr w:rsidRPr="00712B66" w:rsidR="001B0D07" w:rsidTr="00C53C7E" w14:paraId="7F41B5DC" w14:textId="77777777">
        <w:trPr>
          <w:trHeight w:val="359"/>
        </w:trPr>
        <w:tc>
          <w:tcPr>
            <w:tcW w:w="6708" w:type="dxa"/>
            <w:gridSpan w:val="2"/>
          </w:tcPr>
          <w:p w:rsidRPr="00712B66" w:rsidR="001B0D07" w:rsidP="00C53C7E" w:rsidRDefault="001B0D07" w14:paraId="3B304BB6" w14:textId="77777777">
            <w:pPr>
              <w:pStyle w:val="naiskr"/>
              <w:spacing w:before="0" w:after="0"/>
              <w:ind w:firstLine="720"/>
            </w:pPr>
            <w:r w:rsidRPr="00712B66">
              <w:t>  </w:t>
            </w:r>
          </w:p>
        </w:tc>
        <w:tc>
          <w:tcPr>
            <w:tcW w:w="5874" w:type="dxa"/>
            <w:gridSpan w:val="2"/>
            <w:tcBorders>
              <w:top w:val="single" w:color="000000" w:sz="6" w:space="0"/>
              <w:bottom w:val="single" w:color="000000" w:sz="6" w:space="0"/>
            </w:tcBorders>
          </w:tcPr>
          <w:p w:rsidRPr="00712B66" w:rsidR="001B0D07" w:rsidP="00C53C7E" w:rsidRDefault="001B0D07" w14:paraId="46D54841" w14:textId="77777777">
            <w:pPr>
              <w:pStyle w:val="ParastaisWeb"/>
              <w:spacing w:before="0" w:beforeAutospacing="0" w:after="0" w:afterAutospacing="0"/>
              <w:ind w:firstLine="720"/>
            </w:pPr>
          </w:p>
        </w:tc>
      </w:tr>
      <w:tr w:rsidRPr="00712B66" w:rsidR="001B0D07" w:rsidTr="00C53C7E" w14:paraId="43239119" w14:textId="77777777">
        <w:trPr>
          <w:trHeight w:val="465"/>
        </w:trPr>
        <w:tc>
          <w:tcPr>
            <w:tcW w:w="12582" w:type="dxa"/>
            <w:gridSpan w:val="4"/>
          </w:tcPr>
          <w:p w:rsidRPr="00712B66" w:rsidR="001B0D07" w:rsidP="00C53C7E" w:rsidRDefault="001B0D07" w14:paraId="16EAA75E" w14:textId="77777777">
            <w:pPr>
              <w:pStyle w:val="naisc"/>
              <w:spacing w:before="0" w:after="0"/>
              <w:ind w:left="4820" w:firstLine="720"/>
            </w:pPr>
          </w:p>
        </w:tc>
      </w:tr>
      <w:tr w:rsidRPr="00712B66" w:rsidR="001B0D07" w:rsidTr="00C53C7E" w14:paraId="5E228FC6" w14:textId="77777777">
        <w:tc>
          <w:tcPr>
            <w:tcW w:w="6708" w:type="dxa"/>
            <w:gridSpan w:val="2"/>
          </w:tcPr>
          <w:p w:rsidRPr="00712B66" w:rsidR="001B0D07" w:rsidP="00C53C7E" w:rsidRDefault="001B0D07" w14:paraId="46823EA7" w14:textId="77777777">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rsidRPr="00712B66" w:rsidR="001B0D07" w:rsidP="00C53C7E" w:rsidRDefault="00062775" w14:paraId="0DAA6CF4" w14:textId="6BA3E670">
            <w:pPr>
              <w:pStyle w:val="naiskr"/>
              <w:spacing w:before="0" w:after="0"/>
              <w:ind w:firstLine="720"/>
            </w:pPr>
            <w:r>
              <w:t>-</w:t>
            </w:r>
          </w:p>
        </w:tc>
      </w:tr>
      <w:tr w:rsidRPr="00712B66" w:rsidR="001B0D07" w:rsidTr="00C53C7E" w14:paraId="52F8A6B7" w14:textId="77777777">
        <w:tc>
          <w:tcPr>
            <w:tcW w:w="6708" w:type="dxa"/>
            <w:gridSpan w:val="2"/>
          </w:tcPr>
          <w:p w:rsidRPr="00712B66" w:rsidR="001B0D07" w:rsidP="00C53C7E" w:rsidRDefault="001B0D07" w14:paraId="6EF2958A" w14:textId="77777777">
            <w:pPr>
              <w:pStyle w:val="naiskr"/>
              <w:spacing w:before="0" w:after="0"/>
              <w:ind w:firstLine="720"/>
            </w:pPr>
            <w:r w:rsidRPr="00712B66">
              <w:lastRenderedPageBreak/>
              <w:t>  </w:t>
            </w:r>
          </w:p>
        </w:tc>
        <w:tc>
          <w:tcPr>
            <w:tcW w:w="5874" w:type="dxa"/>
            <w:gridSpan w:val="2"/>
            <w:tcBorders>
              <w:top w:val="single" w:color="000000" w:sz="6" w:space="0"/>
              <w:bottom w:val="single" w:color="000000" w:sz="6" w:space="0"/>
            </w:tcBorders>
          </w:tcPr>
          <w:p w:rsidRPr="00712B66" w:rsidR="001B0D07" w:rsidP="00C53C7E" w:rsidRDefault="001B0D07" w14:paraId="6B5FBD93" w14:textId="77777777">
            <w:pPr>
              <w:pStyle w:val="naiskr"/>
              <w:spacing w:before="0" w:after="0"/>
              <w:ind w:firstLine="720"/>
            </w:pPr>
          </w:p>
        </w:tc>
      </w:tr>
    </w:tbl>
    <w:p w:rsidR="001B0D07" w:rsidP="001B0D07" w:rsidRDefault="001B0D07" w14:paraId="28208D21" w14:textId="77777777">
      <w:pPr>
        <w:pStyle w:val="naisf"/>
        <w:spacing w:before="0" w:after="0"/>
        <w:ind w:firstLine="0"/>
        <w:jc w:val="center"/>
        <w:rPr>
          <w:b/>
        </w:rPr>
      </w:pPr>
    </w:p>
    <w:p w:rsidR="001B0D07" w:rsidP="001B0D07" w:rsidRDefault="001B0D07" w14:paraId="03D2EBE1" w14:textId="77777777">
      <w:pPr>
        <w:pStyle w:val="naisf"/>
        <w:spacing w:before="0" w:after="0"/>
        <w:ind w:firstLine="0"/>
        <w:jc w:val="center"/>
        <w:rPr>
          <w:b/>
        </w:rPr>
      </w:pPr>
    </w:p>
    <w:p w:rsidR="001B0D07" w:rsidP="001B0D07" w:rsidRDefault="001B0D07" w14:paraId="4DAFD5C1" w14:textId="77777777">
      <w:pPr>
        <w:pStyle w:val="naisf"/>
        <w:spacing w:before="0" w:after="0"/>
        <w:ind w:firstLine="0"/>
        <w:jc w:val="center"/>
        <w:rPr>
          <w:b/>
        </w:rPr>
      </w:pPr>
      <w:r w:rsidRPr="00712B66">
        <w:rPr>
          <w:b/>
        </w:rPr>
        <w:t>II. Jautājumi, par kuriem saskaņošanā vienošan</w:t>
      </w:r>
      <w:r>
        <w:rPr>
          <w:b/>
        </w:rPr>
        <w:t>ā</w:t>
      </w:r>
      <w:r w:rsidRPr="00712B66">
        <w:rPr>
          <w:b/>
        </w:rPr>
        <w:t>s ir panākta</w:t>
      </w:r>
    </w:p>
    <w:p w:rsidRPr="00712B66" w:rsidR="001B0D07" w:rsidP="001B0D07" w:rsidRDefault="001B0D07" w14:paraId="6DA81DBC" w14:textId="77777777">
      <w:pPr>
        <w:pStyle w:val="naisf"/>
        <w:spacing w:before="0" w:after="0"/>
        <w:ind w:firstLine="0"/>
        <w:jc w:val="center"/>
        <w:rPr>
          <w:b/>
        </w:rPr>
      </w:pPr>
    </w:p>
    <w:p w:rsidRPr="00712B66" w:rsidR="001B0D07" w:rsidP="001B0D07" w:rsidRDefault="00062775" w14:paraId="2661E9F0" w14:textId="4EF4D2AE">
      <w:pPr>
        <w:pStyle w:val="naisf"/>
        <w:spacing w:before="0" w:after="0"/>
        <w:ind w:firstLine="720"/>
      </w:pPr>
      <w:r>
        <w:t>Nav</w:t>
      </w:r>
      <w:r w:rsidR="00850FD9">
        <w:t>.</w:t>
      </w:r>
    </w:p>
    <w:p w:rsidR="00062775" w:rsidP="00850FD9" w:rsidRDefault="001B0D07" w14:paraId="3138E13B" w14:textId="64EB03D5">
      <w:pPr>
        <w:pStyle w:val="naisf"/>
        <w:spacing w:before="0" w:after="0"/>
        <w:ind w:firstLine="720"/>
      </w:pPr>
      <w:r>
        <w:t xml:space="preserve">                                         </w:t>
      </w:r>
    </w:p>
    <w:p w:rsidR="00062775" w:rsidP="001B0D07" w:rsidRDefault="00062775" w14:paraId="28E55491" w14:textId="77777777">
      <w:pPr>
        <w:pStyle w:val="naisf"/>
        <w:spacing w:before="0" w:after="0"/>
        <w:ind w:firstLine="720"/>
      </w:pPr>
    </w:p>
    <w:p w:rsidRPr="00712B66" w:rsidR="001B0D07" w:rsidP="00062775" w:rsidRDefault="00062775" w14:paraId="15586E76" w14:textId="57F84CB7">
      <w:pPr>
        <w:pStyle w:val="naisf"/>
        <w:spacing w:before="0" w:after="0"/>
        <w:ind w:firstLine="720"/>
      </w:pPr>
      <w:r>
        <w:t xml:space="preserve">                                              </w:t>
      </w:r>
      <w:r w:rsidR="001B0D07">
        <w:t>Olga Zeile</w:t>
      </w:r>
    </w:p>
    <w:tbl>
      <w:tblPr>
        <w:tblW w:w="0" w:type="auto"/>
        <w:tblLook w:val="00A0" w:firstRow="1" w:lastRow="0" w:firstColumn="1" w:lastColumn="0" w:noHBand="0" w:noVBand="0"/>
      </w:tblPr>
      <w:tblGrid>
        <w:gridCol w:w="8268"/>
      </w:tblGrid>
      <w:tr w:rsidRPr="00712B66" w:rsidR="001B0D07" w:rsidTr="00C53C7E" w14:paraId="17DD9C6A" w14:textId="77777777">
        <w:tc>
          <w:tcPr>
            <w:tcW w:w="8268" w:type="dxa"/>
            <w:tcBorders>
              <w:top w:val="single" w:color="000000" w:sz="4" w:space="0"/>
            </w:tcBorders>
          </w:tcPr>
          <w:p w:rsidRPr="00712B66" w:rsidR="001B0D07" w:rsidP="00C53C7E" w:rsidRDefault="001B0D07" w14:paraId="7C926946" w14:textId="77777777">
            <w:pPr>
              <w:pStyle w:val="Parastais"/>
              <w:jc w:val="center"/>
            </w:pPr>
            <w:r>
              <w:t>(</w:t>
            </w:r>
            <w:r w:rsidRPr="00712B66">
              <w:t xml:space="preserve">par projektu atbildīgās amatpersonas </w:t>
            </w:r>
            <w:r>
              <w:t xml:space="preserve">vārds un </w:t>
            </w:r>
            <w:r w:rsidRPr="00712B66">
              <w:t>uzvārds</w:t>
            </w:r>
            <w:r>
              <w:t>)</w:t>
            </w:r>
          </w:p>
        </w:tc>
      </w:tr>
      <w:tr w:rsidRPr="00712B66" w:rsidR="001B0D07" w:rsidTr="00C53C7E" w14:paraId="73F48324" w14:textId="77777777">
        <w:tc>
          <w:tcPr>
            <w:tcW w:w="8268" w:type="dxa"/>
            <w:tcBorders>
              <w:bottom w:val="single" w:color="000000" w:sz="4" w:space="0"/>
            </w:tcBorders>
          </w:tcPr>
          <w:p w:rsidRPr="00712B66" w:rsidR="001B0D07" w:rsidP="00C53C7E" w:rsidRDefault="001B0D07" w14:paraId="2BC65D42" w14:textId="77777777">
            <w:pPr>
              <w:pStyle w:val="Parastais"/>
              <w:jc w:val="center"/>
            </w:pPr>
            <w:r>
              <w:t>Tieslietu ministrijas Nozaru politikas departamenta direktore</w:t>
            </w:r>
          </w:p>
        </w:tc>
      </w:tr>
      <w:tr w:rsidRPr="00712B66" w:rsidR="001B0D07" w:rsidTr="00C53C7E" w14:paraId="77CF6F67" w14:textId="77777777">
        <w:tc>
          <w:tcPr>
            <w:tcW w:w="8268" w:type="dxa"/>
            <w:tcBorders>
              <w:top w:val="single" w:color="000000" w:sz="4" w:space="0"/>
            </w:tcBorders>
          </w:tcPr>
          <w:p w:rsidRPr="00712B66" w:rsidR="001B0D07" w:rsidP="00C53C7E" w:rsidRDefault="001B0D07" w14:paraId="0657F7F0" w14:textId="77777777">
            <w:pPr>
              <w:pStyle w:val="Parastais"/>
              <w:jc w:val="center"/>
            </w:pPr>
            <w:r>
              <w:t>(</w:t>
            </w:r>
            <w:r w:rsidRPr="00712B66">
              <w:t>amats</w:t>
            </w:r>
            <w:r>
              <w:t>)</w:t>
            </w:r>
          </w:p>
        </w:tc>
      </w:tr>
      <w:tr w:rsidRPr="00712B66" w:rsidR="001B0D07" w:rsidTr="00C53C7E" w14:paraId="3151A723" w14:textId="77777777">
        <w:tc>
          <w:tcPr>
            <w:tcW w:w="8268" w:type="dxa"/>
            <w:tcBorders>
              <w:bottom w:val="single" w:color="000000" w:sz="4" w:space="0"/>
            </w:tcBorders>
          </w:tcPr>
          <w:p w:rsidRPr="00712B66" w:rsidR="001B0D07" w:rsidP="00C53C7E" w:rsidRDefault="001B0D07" w14:paraId="6BF1AB9D" w14:textId="77777777">
            <w:pPr>
              <w:pStyle w:val="Parastais"/>
              <w:jc w:val="center"/>
            </w:pPr>
            <w:r>
              <w:t>67046134</w:t>
            </w:r>
          </w:p>
        </w:tc>
      </w:tr>
      <w:tr w:rsidRPr="00712B66" w:rsidR="001B0D07" w:rsidTr="00C53C7E" w14:paraId="3A7DF254" w14:textId="77777777">
        <w:tc>
          <w:tcPr>
            <w:tcW w:w="8268" w:type="dxa"/>
            <w:tcBorders>
              <w:top w:val="single" w:color="000000" w:sz="4" w:space="0"/>
            </w:tcBorders>
          </w:tcPr>
          <w:p w:rsidRPr="00712B66" w:rsidR="001B0D07" w:rsidP="00C53C7E" w:rsidRDefault="001B0D07" w14:paraId="2485C25B" w14:textId="77777777">
            <w:pPr>
              <w:pStyle w:val="Parastais"/>
              <w:jc w:val="center"/>
            </w:pPr>
            <w:r>
              <w:t>(</w:t>
            </w:r>
            <w:r w:rsidRPr="00712B66">
              <w:t>tālruņa un faksa numurs</w:t>
            </w:r>
            <w:r>
              <w:t>)</w:t>
            </w:r>
          </w:p>
        </w:tc>
      </w:tr>
      <w:tr w:rsidRPr="00712B66" w:rsidR="001B0D07" w:rsidTr="00C53C7E" w14:paraId="2ED5FA21" w14:textId="77777777">
        <w:tc>
          <w:tcPr>
            <w:tcW w:w="8268" w:type="dxa"/>
            <w:tcBorders>
              <w:bottom w:val="single" w:color="000000" w:sz="4" w:space="0"/>
            </w:tcBorders>
          </w:tcPr>
          <w:p w:rsidRPr="00712B66" w:rsidR="001B0D07" w:rsidP="00C53C7E" w:rsidRDefault="00807A9D" w14:paraId="0CC64F1E" w14:textId="77777777">
            <w:pPr>
              <w:pStyle w:val="Parastais"/>
              <w:jc w:val="center"/>
            </w:pPr>
            <w:hyperlink w:history="1" r:id="rId6">
              <w:r w:rsidRPr="005E3A32" w:rsidR="001B0D07">
                <w:rPr>
                  <w:rStyle w:val="Hipersaite"/>
                </w:rPr>
                <w:t>olga.zeile@tm.gov.lv</w:t>
              </w:r>
            </w:hyperlink>
          </w:p>
        </w:tc>
      </w:tr>
      <w:tr w:rsidRPr="00712B66" w:rsidR="001B0D07" w:rsidTr="00C53C7E" w14:paraId="5AEE18F6" w14:textId="77777777">
        <w:tc>
          <w:tcPr>
            <w:tcW w:w="8268" w:type="dxa"/>
            <w:tcBorders>
              <w:top w:val="single" w:color="000000" w:sz="4" w:space="0"/>
            </w:tcBorders>
          </w:tcPr>
          <w:p w:rsidRPr="00712B66" w:rsidR="001B0D07" w:rsidP="00C53C7E" w:rsidRDefault="001B0D07" w14:paraId="61E9A1B9" w14:textId="77777777">
            <w:pPr>
              <w:pStyle w:val="Parastais"/>
              <w:jc w:val="center"/>
            </w:pPr>
            <w:r>
              <w:t>(</w:t>
            </w:r>
            <w:r w:rsidRPr="00712B66">
              <w:t>e-pasta adrese</w:t>
            </w:r>
            <w:r>
              <w:t>)</w:t>
            </w:r>
          </w:p>
        </w:tc>
      </w:tr>
    </w:tbl>
    <w:p w:rsidR="001B0D07" w:rsidP="001B0D07" w:rsidRDefault="001B0D07" w14:paraId="7B407EA3" w14:textId="77777777"/>
    <w:p w:rsidR="00C073B1" w:rsidRDefault="00C073B1" w14:paraId="74473B48" w14:textId="77777777"/>
    <w:sectPr w:rsidR="00C073B1" w:rsidSect="00863627">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9495" w14:textId="77777777" w:rsidR="00807A9D" w:rsidRDefault="00807A9D" w:rsidP="001B0D07">
      <w:r>
        <w:separator/>
      </w:r>
    </w:p>
  </w:endnote>
  <w:endnote w:type="continuationSeparator" w:id="0">
    <w:p w14:paraId="1D6EDABA" w14:textId="77777777" w:rsidR="00807A9D" w:rsidRDefault="00807A9D" w:rsidP="001B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D9C3" w14:textId="77777777" w:rsidR="008601B6" w:rsidRDefault="00807A9D" w:rsidP="008601B6">
    <w:pPr>
      <w:pStyle w:val="Parastais"/>
      <w:rPr>
        <w:sz w:val="22"/>
        <w:szCs w:val="22"/>
      </w:rPr>
    </w:pPr>
  </w:p>
  <w:p w14:paraId="4C55CAE8" w14:textId="1245D738" w:rsidR="00AB3D34" w:rsidRPr="001F3017" w:rsidRDefault="008C7FF3" w:rsidP="001F3017">
    <w:pPr>
      <w:pStyle w:val="Parastais"/>
      <w:rPr>
        <w:color w:val="808080"/>
        <w:sz w:val="20"/>
        <w:szCs w:val="20"/>
      </w:rPr>
    </w:pPr>
    <w:r>
      <w:rPr>
        <w:sz w:val="20"/>
        <w:szCs w:val="20"/>
      </w:rPr>
      <w:t>TMIzz_</w:t>
    </w:r>
    <w:r w:rsidR="005F52A6">
      <w:rPr>
        <w:sz w:val="20"/>
        <w:szCs w:val="20"/>
      </w:rPr>
      <w:t>26</w:t>
    </w:r>
    <w:r>
      <w:rPr>
        <w:sz w:val="20"/>
        <w:szCs w:val="20"/>
      </w:rPr>
      <w:t>0321_ST_spried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6147B" w14:textId="7645D6C7" w:rsidR="00AB3D34" w:rsidRPr="00295803" w:rsidRDefault="008C7FF3" w:rsidP="00295803">
    <w:pPr>
      <w:pStyle w:val="Parastais"/>
      <w:rPr>
        <w:color w:val="808080"/>
        <w:sz w:val="20"/>
        <w:szCs w:val="20"/>
      </w:rPr>
    </w:pPr>
    <w:r>
      <w:rPr>
        <w:sz w:val="20"/>
        <w:szCs w:val="20"/>
      </w:rPr>
      <w:t>TMIzz_</w:t>
    </w:r>
    <w:r w:rsidR="005F52A6">
      <w:rPr>
        <w:sz w:val="20"/>
        <w:szCs w:val="20"/>
      </w:rPr>
      <w:t>26</w:t>
    </w:r>
    <w:r>
      <w:rPr>
        <w:sz w:val="20"/>
        <w:szCs w:val="20"/>
      </w:rPr>
      <w:t>0321_ST_spried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DE38D" w14:textId="77777777" w:rsidR="00807A9D" w:rsidRDefault="00807A9D" w:rsidP="001B0D07">
      <w:r>
        <w:separator/>
      </w:r>
    </w:p>
  </w:footnote>
  <w:footnote w:type="continuationSeparator" w:id="0">
    <w:p w14:paraId="5313DF8F" w14:textId="77777777" w:rsidR="00807A9D" w:rsidRDefault="00807A9D" w:rsidP="001B0D07">
      <w:r>
        <w:continuationSeparator/>
      </w:r>
    </w:p>
  </w:footnote>
  <w:footnote w:id="1">
    <w:p w14:paraId="0DD01E4A" w14:textId="26FEF5FF" w:rsidR="004E7935" w:rsidRDefault="004E7935" w:rsidP="004E7935">
      <w:pPr>
        <w:pStyle w:val="Vresteksts"/>
        <w:rPr>
          <w:lang w:val="en-US"/>
        </w:rPr>
      </w:pPr>
      <w:r>
        <w:rPr>
          <w:rStyle w:val="Vresatsauce"/>
        </w:rPr>
        <w:footnoteRef/>
      </w:r>
      <w:r w:rsidRPr="009403D8">
        <w:rPr>
          <w:sz w:val="16"/>
          <w:szCs w:val="16"/>
        </w:rPr>
        <w:t xml:space="preserve"> </w:t>
      </w:r>
      <w:r w:rsidRPr="00E36B2B">
        <w:rPr>
          <w:sz w:val="18"/>
          <w:szCs w:val="18"/>
        </w:rPr>
        <w:t>Satversmes tiesas 2019.gada 7.novembra spriedums lietā Nr.2018-25-01 “Par Latvijas Sodu izpildes kodeksa 50.4panta atbilstību Latvijas Republikas Satversmes 91.pantam”, p. 29.3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8C7FF3" w14:paraId="1F34C675"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807A9D" w14:paraId="46AE45B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B3D34" w:rsidP="00364BB6" w:rsidRDefault="008C7FF3" w14:paraId="049BDD7F"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AB3D34" w:rsidRDefault="00807A9D" w14:paraId="6A8D1086" w14:textId="7777777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07"/>
    <w:rsid w:val="00062775"/>
    <w:rsid w:val="000743CD"/>
    <w:rsid w:val="000A1187"/>
    <w:rsid w:val="001B0D07"/>
    <w:rsid w:val="001D76E4"/>
    <w:rsid w:val="004D4742"/>
    <w:rsid w:val="004E7935"/>
    <w:rsid w:val="005F52A6"/>
    <w:rsid w:val="00807A9D"/>
    <w:rsid w:val="00850FD9"/>
    <w:rsid w:val="00867CAE"/>
    <w:rsid w:val="008C7FF3"/>
    <w:rsid w:val="009237D6"/>
    <w:rsid w:val="009B041A"/>
    <w:rsid w:val="009B6117"/>
    <w:rsid w:val="00A03288"/>
    <w:rsid w:val="00AC0443"/>
    <w:rsid w:val="00C073B1"/>
    <w:rsid w:val="00D86DD8"/>
    <w:rsid w:val="00E36B2B"/>
    <w:rsid w:val="00E80C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B9E"/>
  <w15:chartTrackingRefBased/>
  <w15:docId w15:val="{FE2D8189-9FD9-43A4-8134-3B6FFB2E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0D07"/>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B0D07"/>
    <w:pPr>
      <w:spacing w:after="0" w:line="240" w:lineRule="auto"/>
    </w:pPr>
    <w:rPr>
      <w:rFonts w:ascii="Times New Roman" w:eastAsia="Times New Roman" w:hAnsi="Times New Roman" w:cs="Times New Roman"/>
      <w:sz w:val="24"/>
      <w:szCs w:val="24"/>
      <w:lang w:eastAsia="lv-LV"/>
    </w:rPr>
  </w:style>
  <w:style w:type="character" w:styleId="Hipersaite">
    <w:name w:val="Hyperlink"/>
    <w:uiPriority w:val="99"/>
    <w:semiHidden/>
    <w:rsid w:val="001B0D07"/>
    <w:rPr>
      <w:rFonts w:cs="Times New Roman"/>
      <w:color w:val="0000FF"/>
      <w:u w:val="single"/>
    </w:rPr>
  </w:style>
  <w:style w:type="paragraph" w:customStyle="1" w:styleId="ParastaisWeb">
    <w:name w:val="Parastais (Web)"/>
    <w:basedOn w:val="Parastais"/>
    <w:uiPriority w:val="99"/>
    <w:rsid w:val="001B0D07"/>
    <w:pPr>
      <w:spacing w:before="100" w:beforeAutospacing="1" w:after="100" w:afterAutospacing="1"/>
    </w:pPr>
  </w:style>
  <w:style w:type="paragraph" w:customStyle="1" w:styleId="naisf">
    <w:name w:val="naisf"/>
    <w:basedOn w:val="Parastais"/>
    <w:rsid w:val="001B0D07"/>
    <w:pPr>
      <w:spacing w:before="75" w:after="75"/>
      <w:ind w:firstLine="375"/>
      <w:jc w:val="both"/>
    </w:pPr>
  </w:style>
  <w:style w:type="paragraph" w:customStyle="1" w:styleId="naisnod">
    <w:name w:val="naisnod"/>
    <w:basedOn w:val="Parastais"/>
    <w:uiPriority w:val="99"/>
    <w:rsid w:val="001B0D07"/>
    <w:pPr>
      <w:spacing w:before="150" w:after="150"/>
      <w:jc w:val="center"/>
    </w:pPr>
    <w:rPr>
      <w:b/>
      <w:bCs/>
    </w:rPr>
  </w:style>
  <w:style w:type="paragraph" w:customStyle="1" w:styleId="naiskr">
    <w:name w:val="naiskr"/>
    <w:basedOn w:val="Parastais"/>
    <w:rsid w:val="001B0D07"/>
    <w:pPr>
      <w:spacing w:before="75" w:after="75"/>
    </w:pPr>
  </w:style>
  <w:style w:type="paragraph" w:customStyle="1" w:styleId="naisc">
    <w:name w:val="naisc"/>
    <w:basedOn w:val="Parastais"/>
    <w:rsid w:val="001B0D07"/>
    <w:pPr>
      <w:spacing w:before="75" w:after="75"/>
      <w:jc w:val="center"/>
    </w:pPr>
  </w:style>
  <w:style w:type="paragraph" w:styleId="Galvene">
    <w:name w:val="header"/>
    <w:basedOn w:val="Parastais"/>
    <w:link w:val="GalveneRakstz"/>
    <w:uiPriority w:val="99"/>
    <w:rsid w:val="001B0D07"/>
    <w:pPr>
      <w:tabs>
        <w:tab w:val="center" w:pos="4153"/>
        <w:tab w:val="right" w:pos="8306"/>
      </w:tabs>
    </w:pPr>
  </w:style>
  <w:style w:type="character" w:customStyle="1" w:styleId="GalveneRakstz">
    <w:name w:val="Galvene Rakstz."/>
    <w:basedOn w:val="Noklusjumarindkopasfonts"/>
    <w:link w:val="Galvene"/>
    <w:uiPriority w:val="99"/>
    <w:rsid w:val="001B0D07"/>
    <w:rPr>
      <w:rFonts w:ascii="Times New Roman" w:eastAsia="Times New Roman" w:hAnsi="Times New Roman" w:cs="Times New Roman"/>
      <w:sz w:val="24"/>
      <w:szCs w:val="24"/>
      <w:lang w:eastAsia="lv-LV"/>
    </w:rPr>
  </w:style>
  <w:style w:type="character" w:styleId="Lappusesnumurs">
    <w:name w:val="page number"/>
    <w:uiPriority w:val="99"/>
    <w:rsid w:val="001B0D07"/>
    <w:rPr>
      <w:rFonts w:cs="Times New Roman"/>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
    <w:basedOn w:val="Parastais"/>
    <w:link w:val="VrestekstsRakstz"/>
    <w:uiPriority w:val="99"/>
    <w:unhideWhenUsed/>
    <w:rsid w:val="001B0D07"/>
    <w:rPr>
      <w:rFonts w:ascii="Calibri" w:eastAsia="Calibri" w:hAnsi="Calibri"/>
      <w:sz w:val="20"/>
      <w:szCs w:val="20"/>
      <w:lang w:eastAsia="en-US"/>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1B0D07"/>
    <w:rPr>
      <w:rFonts w:ascii="Calibri" w:eastAsia="Calibri" w:hAnsi="Calibri" w:cs="Times New Roman"/>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Times 10 Point,E,E FNZ"/>
    <w:uiPriority w:val="99"/>
    <w:unhideWhenUsed/>
    <w:rsid w:val="001B0D07"/>
    <w:rPr>
      <w:vertAlign w:val="superscript"/>
    </w:rPr>
  </w:style>
  <w:style w:type="paragraph" w:styleId="Bezatstarpm">
    <w:name w:val="No Spacing"/>
    <w:uiPriority w:val="1"/>
    <w:qFormat/>
    <w:rsid w:val="001B0D07"/>
    <w:pPr>
      <w:widowControl w:val="0"/>
      <w:spacing w:after="0" w:line="240" w:lineRule="auto"/>
    </w:pPr>
    <w:rPr>
      <w:rFonts w:ascii="Calibri" w:eastAsia="Calibri" w:hAnsi="Calibri" w:cs="Times New Roman"/>
      <w:lang w:val="en-US"/>
    </w:rPr>
  </w:style>
  <w:style w:type="character" w:customStyle="1" w:styleId="dlxnowrap1">
    <w:name w:val="dlxnowrap1"/>
    <w:basedOn w:val="Noklusjumarindkopasfonts"/>
    <w:rsid w:val="001B0D07"/>
  </w:style>
  <w:style w:type="paragraph" w:styleId="Kjene">
    <w:name w:val="footer"/>
    <w:basedOn w:val="Parasts"/>
    <w:link w:val="KjeneRakstz"/>
    <w:uiPriority w:val="99"/>
    <w:unhideWhenUsed/>
    <w:rsid w:val="005F52A6"/>
    <w:pPr>
      <w:tabs>
        <w:tab w:val="center" w:pos="4153"/>
        <w:tab w:val="right" w:pos="8306"/>
      </w:tabs>
    </w:pPr>
  </w:style>
  <w:style w:type="character" w:customStyle="1" w:styleId="KjeneRakstz">
    <w:name w:val="Kājene Rakstz."/>
    <w:basedOn w:val="Noklusjumarindkopasfonts"/>
    <w:link w:val="Kjene"/>
    <w:uiPriority w:val="99"/>
    <w:rsid w:val="005F52A6"/>
    <w:rPr>
      <w:rFonts w:ascii="Times New Roman" w:eastAsia="Times New Roman" w:hAnsi="Times New Roman" w:cs="Times New Roman"/>
      <w:sz w:val="20"/>
      <w:szCs w:val="20"/>
      <w:lang w:eastAsia="lv-LV"/>
    </w:rPr>
  </w:style>
  <w:style w:type="paragraph" w:styleId="Paraststmeklis">
    <w:name w:val="Normal (Web)"/>
    <w:basedOn w:val="Parasts"/>
    <w:uiPriority w:val="99"/>
    <w:unhideWhenUsed/>
    <w:rsid w:val="004E7935"/>
    <w:pPr>
      <w:spacing w:before="100" w:beforeAutospacing="1" w:after="100" w:afterAutospacing="1"/>
    </w:pPr>
    <w:rPr>
      <w:sz w:val="24"/>
      <w:szCs w:val="24"/>
      <w:lang w:val="en-US" w:eastAsia="en-US"/>
    </w:rPr>
  </w:style>
  <w:style w:type="paragraph" w:styleId="Balonteksts">
    <w:name w:val="Balloon Text"/>
    <w:basedOn w:val="Parasts"/>
    <w:link w:val="BalontekstsRakstz"/>
    <w:uiPriority w:val="99"/>
    <w:semiHidden/>
    <w:unhideWhenUsed/>
    <w:rsid w:val="00850FD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0FD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850FD9"/>
    <w:rPr>
      <w:sz w:val="16"/>
      <w:szCs w:val="16"/>
    </w:rPr>
  </w:style>
  <w:style w:type="paragraph" w:styleId="Komentrateksts">
    <w:name w:val="annotation text"/>
    <w:basedOn w:val="Parasts"/>
    <w:link w:val="KomentratekstsRakstz"/>
    <w:uiPriority w:val="99"/>
    <w:semiHidden/>
    <w:unhideWhenUsed/>
    <w:rsid w:val="00850FD9"/>
  </w:style>
  <w:style w:type="character" w:customStyle="1" w:styleId="KomentratekstsRakstz">
    <w:name w:val="Komentāra teksts Rakstz."/>
    <w:basedOn w:val="Noklusjumarindkopasfonts"/>
    <w:link w:val="Komentrateksts"/>
    <w:uiPriority w:val="99"/>
    <w:semiHidden/>
    <w:rsid w:val="00850FD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50FD9"/>
    <w:rPr>
      <w:b/>
      <w:bCs/>
    </w:rPr>
  </w:style>
  <w:style w:type="character" w:customStyle="1" w:styleId="KomentratmaRakstz">
    <w:name w:val="Komentāra tēma Rakstz."/>
    <w:basedOn w:val="KomentratekstsRakstz"/>
    <w:link w:val="Komentratma"/>
    <w:uiPriority w:val="99"/>
    <w:semiHidden/>
    <w:rsid w:val="00850FD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zeile@t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4963</Words>
  <Characters>2830</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"Grozījums Latvijas Sodu izpildes kodeksā"</vt:lpstr>
      <vt:lpstr>Izziņa par atzinumos sniegtajiem iebildumiem par likumprojektu "Grozījums Latvijas Sodu izpildes kodeksā"</vt:lpstr>
    </vt:vector>
  </TitlesOfParts>
  <Company>Tieslietu ministrija</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"Grozījums Latvijas Sodu izpildes kodeksā"</dc:title>
  <dc:subject>Izziņa par atzinumos sniegtajiem iebildumiem</dc:subject>
  <dc:creator>Laura Šileikiste</dc:creator>
  <cp:keywords/>
  <dc:description>laura.sileikiste@tm.gov.lv, 67046125</dc:description>
  <cp:lastModifiedBy>Laura Šileikiste</cp:lastModifiedBy>
  <cp:revision>2</cp:revision>
  <dcterms:created xsi:type="dcterms:W3CDTF">2021-03-26T13:52:00Z</dcterms:created>
  <dcterms:modified xsi:type="dcterms:W3CDTF">2021-03-26T13:52:00Z</dcterms:modified>
</cp:coreProperties>
</file>