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3C6981" w14:textId="69773D55" w:rsidR="00894C55" w:rsidRPr="003E2522" w:rsidRDefault="00BD4D57" w:rsidP="00894C55">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0C0EAE" w:rsidRPr="003E2522">
            <w:rPr>
              <w:rFonts w:ascii="Times New Roman" w:eastAsia="Times New Roman" w:hAnsi="Times New Roman" w:cs="Times New Roman"/>
              <w:b/>
              <w:bCs/>
              <w:sz w:val="28"/>
              <w:szCs w:val="24"/>
              <w:lang w:eastAsia="lv-LV"/>
            </w:rPr>
            <w:t>Mini</w:t>
          </w:r>
          <w:r w:rsidR="007844BF">
            <w:rPr>
              <w:rFonts w:ascii="Times New Roman" w:eastAsia="Times New Roman" w:hAnsi="Times New Roman" w:cs="Times New Roman"/>
              <w:b/>
              <w:bCs/>
              <w:sz w:val="28"/>
              <w:szCs w:val="24"/>
              <w:lang w:eastAsia="lv-LV"/>
            </w:rPr>
            <w:t>stru kabineta noteikumu projekta</w:t>
          </w:r>
          <w:r w:rsidR="000C0EAE" w:rsidRPr="003E2522">
            <w:rPr>
              <w:rFonts w:ascii="Times New Roman" w:eastAsia="Times New Roman" w:hAnsi="Times New Roman" w:cs="Times New Roman"/>
              <w:b/>
              <w:bCs/>
              <w:sz w:val="28"/>
              <w:szCs w:val="24"/>
              <w:lang w:eastAsia="lv-LV"/>
            </w:rPr>
            <w:t xml:space="preserve"> “Grozījumi</w:t>
          </w:r>
          <w:r w:rsidR="00D7619A" w:rsidRPr="003E2522">
            <w:rPr>
              <w:rFonts w:ascii="Times New Roman" w:eastAsia="Times New Roman" w:hAnsi="Times New Roman" w:cs="Times New Roman"/>
              <w:b/>
              <w:bCs/>
              <w:sz w:val="28"/>
              <w:szCs w:val="24"/>
              <w:lang w:eastAsia="lv-LV"/>
            </w:rPr>
            <w:t xml:space="preserve"> Ministru kabineta 2012. gada 13. novembra noteikumos Nr. 769 “Noteikumi par stacionāro tehnoloģisko iekārtu dalību Eiropas Savienības emisijas kvotu tirdzniecības sistēmā”</w:t>
          </w:r>
          <w:r w:rsidR="007844BF">
            <w:rPr>
              <w:rFonts w:ascii="Times New Roman" w:eastAsia="Times New Roman" w:hAnsi="Times New Roman" w:cs="Times New Roman"/>
              <w:b/>
              <w:bCs/>
              <w:sz w:val="28"/>
              <w:szCs w:val="24"/>
              <w:lang w:eastAsia="lv-LV"/>
            </w:rPr>
            <w:t>”</w:t>
          </w:r>
        </w:sdtContent>
      </w:sdt>
      <w:r w:rsidR="00894C55" w:rsidRPr="003E2522">
        <w:rPr>
          <w:rFonts w:ascii="Times New Roman" w:eastAsia="Times New Roman" w:hAnsi="Times New Roman" w:cs="Times New Roman"/>
          <w:b/>
          <w:bCs/>
          <w:sz w:val="28"/>
          <w:szCs w:val="24"/>
          <w:lang w:eastAsia="lv-LV"/>
        </w:rPr>
        <w:t xml:space="preserve"> sākotnējās ietekmes novērtējuma ziņojums (anotācija)</w:t>
      </w:r>
    </w:p>
    <w:p w14:paraId="423C6982" w14:textId="77777777" w:rsidR="00E5323B" w:rsidRPr="00DA6709"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330D38" w:rsidRPr="00330D38" w14:paraId="423C6984"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23C6983" w14:textId="77777777" w:rsidR="00655F2C" w:rsidRPr="00330D38" w:rsidRDefault="00E5323B" w:rsidP="00E5323B">
            <w:pPr>
              <w:spacing w:after="0" w:line="240" w:lineRule="auto"/>
              <w:rPr>
                <w:rFonts w:ascii="Times New Roman" w:eastAsia="Times New Roman" w:hAnsi="Times New Roman" w:cs="Times New Roman"/>
                <w:b/>
                <w:bCs/>
                <w:iCs/>
                <w:sz w:val="24"/>
                <w:szCs w:val="24"/>
                <w:lang w:eastAsia="lv-LV"/>
              </w:rPr>
            </w:pPr>
            <w:r w:rsidRPr="00330D38">
              <w:rPr>
                <w:rFonts w:ascii="Times New Roman" w:eastAsia="Times New Roman" w:hAnsi="Times New Roman" w:cs="Times New Roman"/>
                <w:b/>
                <w:bCs/>
                <w:iCs/>
                <w:sz w:val="24"/>
                <w:szCs w:val="24"/>
                <w:lang w:eastAsia="lv-LV"/>
              </w:rPr>
              <w:t>Tiesību akta projekta anotācijas kopsavilkums</w:t>
            </w:r>
          </w:p>
        </w:tc>
      </w:tr>
      <w:tr w:rsidR="00330D38" w:rsidRPr="00330D38" w14:paraId="423C6987"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23C6985" w14:textId="77777777" w:rsidR="00E5323B" w:rsidRPr="00330D38" w:rsidRDefault="00E5323B" w:rsidP="00E5323B">
            <w:pPr>
              <w:spacing w:after="0" w:line="240" w:lineRule="auto"/>
              <w:rPr>
                <w:rFonts w:ascii="Times New Roman" w:eastAsia="Times New Roman" w:hAnsi="Times New Roman" w:cs="Times New Roman"/>
                <w:iCs/>
                <w:sz w:val="24"/>
                <w:szCs w:val="24"/>
                <w:lang w:eastAsia="lv-LV"/>
              </w:rPr>
            </w:pPr>
            <w:r w:rsidRPr="00330D38">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4F028526" w14:textId="3C6C0710" w:rsidR="00330D38" w:rsidRPr="00330D38" w:rsidRDefault="00330D38" w:rsidP="009E38DE">
            <w:pPr>
              <w:spacing w:after="0" w:line="240" w:lineRule="auto"/>
              <w:jc w:val="both"/>
              <w:rPr>
                <w:rFonts w:ascii="Times New Roman" w:eastAsia="Times New Roman" w:hAnsi="Times New Roman" w:cs="Times New Roman"/>
                <w:iCs/>
                <w:sz w:val="24"/>
                <w:szCs w:val="24"/>
                <w:lang w:eastAsia="lv-LV"/>
              </w:rPr>
            </w:pPr>
            <w:r w:rsidRPr="00330D38">
              <w:rPr>
                <w:rFonts w:ascii="Times New Roman" w:eastAsia="Times New Roman" w:hAnsi="Times New Roman" w:cs="Times New Roman"/>
                <w:iCs/>
                <w:sz w:val="24"/>
                <w:szCs w:val="24"/>
                <w:lang w:eastAsia="lv-LV"/>
              </w:rPr>
              <w:t>Noteikumu projekta “Grozījumi Ministru kabineta 2012.</w:t>
            </w:r>
            <w:r w:rsidR="00D47993">
              <w:rPr>
                <w:rFonts w:ascii="Times New Roman" w:eastAsia="Times New Roman" w:hAnsi="Times New Roman" w:cs="Times New Roman"/>
                <w:iCs/>
                <w:sz w:val="24"/>
                <w:szCs w:val="24"/>
                <w:lang w:eastAsia="lv-LV"/>
              </w:rPr>
              <w:t> </w:t>
            </w:r>
            <w:r w:rsidRPr="00330D38">
              <w:rPr>
                <w:rFonts w:ascii="Times New Roman" w:eastAsia="Times New Roman" w:hAnsi="Times New Roman" w:cs="Times New Roman"/>
                <w:iCs/>
                <w:sz w:val="24"/>
                <w:szCs w:val="24"/>
                <w:lang w:eastAsia="lv-LV"/>
              </w:rPr>
              <w:t>gada 13.</w:t>
            </w:r>
            <w:r w:rsidR="00D47993">
              <w:rPr>
                <w:rFonts w:ascii="Times New Roman" w:eastAsia="Times New Roman" w:hAnsi="Times New Roman" w:cs="Times New Roman"/>
                <w:iCs/>
                <w:sz w:val="24"/>
                <w:szCs w:val="24"/>
                <w:lang w:eastAsia="lv-LV"/>
              </w:rPr>
              <w:t> </w:t>
            </w:r>
            <w:r w:rsidRPr="00330D38">
              <w:rPr>
                <w:rFonts w:ascii="Times New Roman" w:eastAsia="Times New Roman" w:hAnsi="Times New Roman" w:cs="Times New Roman"/>
                <w:iCs/>
                <w:sz w:val="24"/>
                <w:szCs w:val="24"/>
                <w:lang w:eastAsia="lv-LV"/>
              </w:rPr>
              <w:t>novembra noteikumos Nr.</w:t>
            </w:r>
            <w:r w:rsidR="00D47993">
              <w:rPr>
                <w:rFonts w:ascii="Times New Roman" w:eastAsia="Times New Roman" w:hAnsi="Times New Roman" w:cs="Times New Roman"/>
                <w:iCs/>
                <w:sz w:val="24"/>
                <w:szCs w:val="24"/>
                <w:lang w:eastAsia="lv-LV"/>
              </w:rPr>
              <w:t> </w:t>
            </w:r>
            <w:r w:rsidRPr="00330D38">
              <w:rPr>
                <w:rFonts w:ascii="Times New Roman" w:eastAsia="Times New Roman" w:hAnsi="Times New Roman" w:cs="Times New Roman"/>
                <w:iCs/>
                <w:sz w:val="24"/>
                <w:szCs w:val="24"/>
                <w:lang w:eastAsia="lv-LV"/>
              </w:rPr>
              <w:t xml:space="preserve">769 “Noteikumi par stacionāro tehnoloģisko iekārtu dalību Eiropas Savienības emisijas kvotu tirdzniecības sistēmā”” (turpmāk – Noteikumu projekts) mērķis ir nodrošināt </w:t>
            </w:r>
            <w:r w:rsidRPr="00330D38">
              <w:rPr>
                <w:rFonts w:ascii="Times New Roman" w:eastAsia="Times New Roman" w:hAnsi="Times New Roman"/>
                <w:iCs/>
                <w:sz w:val="24"/>
                <w:szCs w:val="24"/>
                <w:lang w:eastAsia="lv-LV"/>
              </w:rPr>
              <w:t>Eiropas Savienības emisijas kvotu tirdzniecības sistēmas (turpmāk – ES ETS) darbību Latvijā atbilstoši aktuālajiem Eiropas Komisijas deleģētajiem aktiem.</w:t>
            </w:r>
          </w:p>
          <w:p w14:paraId="423C6986" w14:textId="1757B30D" w:rsidR="005D03F5" w:rsidRPr="00330D38" w:rsidRDefault="005D03F5" w:rsidP="00E1613C">
            <w:pPr>
              <w:spacing w:after="0" w:line="240" w:lineRule="auto"/>
              <w:jc w:val="both"/>
              <w:rPr>
                <w:rFonts w:ascii="Times New Roman" w:eastAsia="Times New Roman" w:hAnsi="Times New Roman" w:cs="Times New Roman"/>
                <w:iCs/>
                <w:sz w:val="24"/>
                <w:szCs w:val="24"/>
                <w:lang w:eastAsia="lv-LV"/>
              </w:rPr>
            </w:pPr>
            <w:r w:rsidRPr="00E1613C">
              <w:rPr>
                <w:rFonts w:ascii="Times New Roman" w:eastAsia="Times New Roman" w:hAnsi="Times New Roman"/>
                <w:iCs/>
                <w:sz w:val="24"/>
                <w:szCs w:val="24"/>
                <w:lang w:eastAsia="lv-LV"/>
              </w:rPr>
              <w:t xml:space="preserve">Spēkā stāšanās laiks: </w:t>
            </w:r>
            <w:r w:rsidR="00E1613C">
              <w:rPr>
                <w:rFonts w:ascii="Times New Roman" w:eastAsia="Times New Roman" w:hAnsi="Times New Roman"/>
                <w:iCs/>
                <w:sz w:val="24"/>
                <w:szCs w:val="24"/>
                <w:lang w:eastAsia="lv-LV"/>
              </w:rPr>
              <w:t>N</w:t>
            </w:r>
            <w:r w:rsidR="00E1613C" w:rsidRPr="00946BEC">
              <w:rPr>
                <w:rFonts w:ascii="Times New Roman" w:eastAsia="Times New Roman" w:hAnsi="Times New Roman"/>
                <w:iCs/>
                <w:sz w:val="24"/>
                <w:szCs w:val="24"/>
                <w:lang w:eastAsia="lv-LV"/>
              </w:rPr>
              <w:t xml:space="preserve">oteikumu </w:t>
            </w:r>
            <w:r w:rsidR="00E1613C">
              <w:rPr>
                <w:rFonts w:ascii="Times New Roman" w:eastAsia="Times New Roman" w:hAnsi="Times New Roman"/>
                <w:iCs/>
                <w:sz w:val="24"/>
                <w:szCs w:val="24"/>
                <w:lang w:eastAsia="lv-LV"/>
              </w:rPr>
              <w:t xml:space="preserve">projekts </w:t>
            </w:r>
            <w:r w:rsidR="00E1613C" w:rsidRPr="00946BEC">
              <w:rPr>
                <w:rFonts w:ascii="Times New Roman" w:eastAsia="Times New Roman" w:hAnsi="Times New Roman"/>
                <w:iCs/>
                <w:sz w:val="24"/>
                <w:szCs w:val="24"/>
                <w:lang w:eastAsia="lv-LV"/>
              </w:rPr>
              <w:t>stāsies spēkā Oficiālo publikāciju un tiesiskās informācijas likuma 7.panta otrajā daļā noteiktajā kārtībā.</w:t>
            </w:r>
          </w:p>
        </w:tc>
      </w:tr>
    </w:tbl>
    <w:p w14:paraId="423C6988" w14:textId="77777777" w:rsidR="00E5323B" w:rsidRPr="00DA6709" w:rsidRDefault="00E5323B" w:rsidP="00E5323B">
      <w:pPr>
        <w:spacing w:after="0" w:line="240" w:lineRule="auto"/>
        <w:rPr>
          <w:rFonts w:ascii="Times New Roman" w:eastAsia="Times New Roman" w:hAnsi="Times New Roman" w:cs="Times New Roman"/>
          <w:iCs/>
          <w:color w:val="414142"/>
          <w:sz w:val="24"/>
          <w:szCs w:val="24"/>
          <w:lang w:eastAsia="lv-LV"/>
        </w:rPr>
      </w:pPr>
      <w:r w:rsidRPr="00DA6709">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DA6709" w14:paraId="423C698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23C6989" w14:textId="77777777" w:rsidR="00655F2C" w:rsidRPr="007844BF" w:rsidRDefault="00E5323B" w:rsidP="00E5323B">
            <w:pPr>
              <w:spacing w:after="0" w:line="240" w:lineRule="auto"/>
              <w:rPr>
                <w:rFonts w:ascii="Times New Roman" w:eastAsia="Times New Roman" w:hAnsi="Times New Roman" w:cs="Times New Roman"/>
                <w:b/>
                <w:bCs/>
                <w:iCs/>
                <w:sz w:val="24"/>
                <w:szCs w:val="24"/>
                <w:lang w:eastAsia="lv-LV"/>
              </w:rPr>
            </w:pPr>
            <w:r w:rsidRPr="007844BF">
              <w:rPr>
                <w:rFonts w:ascii="Times New Roman" w:eastAsia="Times New Roman" w:hAnsi="Times New Roman" w:cs="Times New Roman"/>
                <w:b/>
                <w:bCs/>
                <w:iCs/>
                <w:sz w:val="24"/>
                <w:szCs w:val="24"/>
                <w:lang w:eastAsia="lv-LV"/>
              </w:rPr>
              <w:t>I. Tiesību akta projekta izstrādes nepieciešamība</w:t>
            </w:r>
          </w:p>
        </w:tc>
      </w:tr>
      <w:tr w:rsidR="00E5323B" w:rsidRPr="00DA6709" w14:paraId="423C698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3C698B" w14:textId="77777777" w:rsidR="00655F2C" w:rsidRPr="007844BF" w:rsidRDefault="00E5323B" w:rsidP="00E5323B">
            <w:pPr>
              <w:spacing w:after="0" w:line="240" w:lineRule="auto"/>
              <w:rPr>
                <w:rFonts w:ascii="Times New Roman" w:eastAsia="Times New Roman" w:hAnsi="Times New Roman" w:cs="Times New Roman"/>
                <w:iCs/>
                <w:sz w:val="24"/>
                <w:szCs w:val="24"/>
                <w:lang w:eastAsia="lv-LV"/>
              </w:rPr>
            </w:pPr>
            <w:r w:rsidRPr="007844B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23C698C" w14:textId="77777777" w:rsidR="00E5323B" w:rsidRPr="007844BF" w:rsidRDefault="00E5323B" w:rsidP="00E5323B">
            <w:pPr>
              <w:spacing w:after="0" w:line="240" w:lineRule="auto"/>
              <w:rPr>
                <w:rFonts w:ascii="Times New Roman" w:eastAsia="Times New Roman" w:hAnsi="Times New Roman" w:cs="Times New Roman"/>
                <w:iCs/>
                <w:sz w:val="24"/>
                <w:szCs w:val="24"/>
                <w:lang w:eastAsia="lv-LV"/>
              </w:rPr>
            </w:pPr>
            <w:r w:rsidRPr="007844BF">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423C698D" w14:textId="2DF4F8FE" w:rsidR="00B8155D" w:rsidRPr="007844BF" w:rsidRDefault="00033149" w:rsidP="009E38D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projekts</w:t>
            </w:r>
            <w:r w:rsidR="00B8155D" w:rsidRPr="007844BF">
              <w:rPr>
                <w:rFonts w:ascii="Times New Roman" w:hAnsi="Times New Roman" w:cs="Times New Roman"/>
                <w:sz w:val="24"/>
                <w:szCs w:val="24"/>
              </w:rPr>
              <w:t xml:space="preserve"> sagatavots pēc Vides aizsardzības un reģionālās attīstības ministrijas </w:t>
            </w:r>
            <w:r w:rsidR="00B8155D" w:rsidRPr="007844BF">
              <w:rPr>
                <w:rFonts w:ascii="Times New Roman" w:eastAsia="Times New Roman" w:hAnsi="Times New Roman" w:cs="Times New Roman"/>
                <w:iCs/>
                <w:sz w:val="24"/>
                <w:szCs w:val="24"/>
                <w:lang w:eastAsia="lv-LV"/>
              </w:rPr>
              <w:t>(turpmāk</w:t>
            </w:r>
            <w:r w:rsidR="00A93462">
              <w:rPr>
                <w:rFonts w:ascii="Times New Roman" w:eastAsia="Times New Roman" w:hAnsi="Times New Roman" w:cs="Times New Roman"/>
                <w:iCs/>
                <w:sz w:val="24"/>
                <w:szCs w:val="24"/>
                <w:lang w:eastAsia="lv-LV"/>
              </w:rPr>
              <w:t> – </w:t>
            </w:r>
            <w:r w:rsidR="00B8155D" w:rsidRPr="007844BF">
              <w:rPr>
                <w:rFonts w:ascii="Times New Roman" w:eastAsia="Times New Roman" w:hAnsi="Times New Roman" w:cs="Times New Roman"/>
                <w:iCs/>
                <w:sz w:val="24"/>
                <w:szCs w:val="24"/>
                <w:lang w:eastAsia="lv-LV"/>
              </w:rPr>
              <w:t xml:space="preserve">VARAM) </w:t>
            </w:r>
            <w:r w:rsidR="00B8155D" w:rsidRPr="007844BF">
              <w:rPr>
                <w:rFonts w:ascii="Times New Roman" w:hAnsi="Times New Roman" w:cs="Times New Roman"/>
                <w:sz w:val="24"/>
                <w:szCs w:val="24"/>
              </w:rPr>
              <w:t xml:space="preserve">iniciatīvas, lai nodrošinātu </w:t>
            </w:r>
            <w:r w:rsidR="007844BF" w:rsidRPr="007844BF">
              <w:rPr>
                <w:rFonts w:ascii="Times New Roman" w:hAnsi="Times New Roman"/>
                <w:sz w:val="24"/>
                <w:szCs w:val="24"/>
              </w:rPr>
              <w:t>ES ETS funkcionēšanu Latvijā ceturtajā periodā, balstoties uz jaunākajiem Eiropas Komisijas deleģētajiem aktiem.</w:t>
            </w:r>
            <w:r w:rsidR="00B8155D" w:rsidRPr="007844BF">
              <w:t xml:space="preserve"> </w:t>
            </w:r>
          </w:p>
        </w:tc>
      </w:tr>
      <w:tr w:rsidR="00E5323B" w:rsidRPr="00DA6709" w14:paraId="423C699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3C698F" w14:textId="77777777" w:rsidR="00655F2C" w:rsidRPr="007844BF" w:rsidRDefault="00E5323B" w:rsidP="00E5323B">
            <w:pPr>
              <w:spacing w:after="0" w:line="240" w:lineRule="auto"/>
              <w:rPr>
                <w:rFonts w:ascii="Times New Roman" w:eastAsia="Times New Roman" w:hAnsi="Times New Roman" w:cs="Times New Roman"/>
                <w:iCs/>
                <w:sz w:val="24"/>
                <w:szCs w:val="24"/>
                <w:lang w:eastAsia="lv-LV"/>
              </w:rPr>
            </w:pPr>
            <w:r w:rsidRPr="007844B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23C6990" w14:textId="1AE52092" w:rsidR="007541DE" w:rsidRDefault="00E5323B" w:rsidP="00E5323B">
            <w:pPr>
              <w:spacing w:after="0" w:line="240" w:lineRule="auto"/>
              <w:rPr>
                <w:rFonts w:ascii="Times New Roman" w:eastAsia="Times New Roman" w:hAnsi="Times New Roman" w:cs="Times New Roman"/>
                <w:iCs/>
                <w:sz w:val="24"/>
                <w:szCs w:val="24"/>
                <w:lang w:eastAsia="lv-LV"/>
              </w:rPr>
            </w:pPr>
            <w:r w:rsidRPr="007844BF">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53CBBA25" w14:textId="77777777" w:rsidR="007541DE" w:rsidRPr="007541DE" w:rsidRDefault="007541DE" w:rsidP="007541DE">
            <w:pPr>
              <w:rPr>
                <w:rFonts w:ascii="Times New Roman" w:eastAsia="Times New Roman" w:hAnsi="Times New Roman" w:cs="Times New Roman"/>
                <w:sz w:val="24"/>
                <w:szCs w:val="24"/>
                <w:lang w:eastAsia="lv-LV"/>
              </w:rPr>
            </w:pPr>
          </w:p>
          <w:p w14:paraId="26FCA075" w14:textId="77777777" w:rsidR="007541DE" w:rsidRPr="007541DE" w:rsidRDefault="007541DE" w:rsidP="007541DE">
            <w:pPr>
              <w:rPr>
                <w:rFonts w:ascii="Times New Roman" w:eastAsia="Times New Roman" w:hAnsi="Times New Roman" w:cs="Times New Roman"/>
                <w:sz w:val="24"/>
                <w:szCs w:val="24"/>
                <w:lang w:eastAsia="lv-LV"/>
              </w:rPr>
            </w:pPr>
          </w:p>
          <w:p w14:paraId="72BC8315" w14:textId="77777777" w:rsidR="007541DE" w:rsidRPr="007541DE" w:rsidRDefault="007541DE" w:rsidP="007541DE">
            <w:pPr>
              <w:rPr>
                <w:rFonts w:ascii="Times New Roman" w:eastAsia="Times New Roman" w:hAnsi="Times New Roman" w:cs="Times New Roman"/>
                <w:sz w:val="24"/>
                <w:szCs w:val="24"/>
                <w:lang w:eastAsia="lv-LV"/>
              </w:rPr>
            </w:pPr>
          </w:p>
          <w:p w14:paraId="53D4F979" w14:textId="77777777" w:rsidR="007541DE" w:rsidRPr="007541DE" w:rsidRDefault="007541DE" w:rsidP="007541DE">
            <w:pPr>
              <w:rPr>
                <w:rFonts w:ascii="Times New Roman" w:eastAsia="Times New Roman" w:hAnsi="Times New Roman" w:cs="Times New Roman"/>
                <w:sz w:val="24"/>
                <w:szCs w:val="24"/>
                <w:lang w:eastAsia="lv-LV"/>
              </w:rPr>
            </w:pPr>
          </w:p>
          <w:p w14:paraId="675B8A02" w14:textId="77777777" w:rsidR="007541DE" w:rsidRPr="007541DE" w:rsidRDefault="007541DE" w:rsidP="007541DE">
            <w:pPr>
              <w:rPr>
                <w:rFonts w:ascii="Times New Roman" w:eastAsia="Times New Roman" w:hAnsi="Times New Roman" w:cs="Times New Roman"/>
                <w:sz w:val="24"/>
                <w:szCs w:val="24"/>
                <w:lang w:eastAsia="lv-LV"/>
              </w:rPr>
            </w:pPr>
          </w:p>
          <w:p w14:paraId="15FB0115" w14:textId="77777777" w:rsidR="007541DE" w:rsidRPr="007541DE" w:rsidRDefault="007541DE" w:rsidP="007541DE">
            <w:pPr>
              <w:rPr>
                <w:rFonts w:ascii="Times New Roman" w:eastAsia="Times New Roman" w:hAnsi="Times New Roman" w:cs="Times New Roman"/>
                <w:sz w:val="24"/>
                <w:szCs w:val="24"/>
                <w:lang w:eastAsia="lv-LV"/>
              </w:rPr>
            </w:pPr>
          </w:p>
          <w:p w14:paraId="1ABF9CA6" w14:textId="77777777" w:rsidR="007541DE" w:rsidRPr="007541DE" w:rsidRDefault="007541DE" w:rsidP="007541DE">
            <w:pPr>
              <w:rPr>
                <w:rFonts w:ascii="Times New Roman" w:eastAsia="Times New Roman" w:hAnsi="Times New Roman" w:cs="Times New Roman"/>
                <w:sz w:val="24"/>
                <w:szCs w:val="24"/>
                <w:lang w:eastAsia="lv-LV"/>
              </w:rPr>
            </w:pPr>
          </w:p>
          <w:p w14:paraId="65FE904D" w14:textId="77777777" w:rsidR="007541DE" w:rsidRPr="007541DE" w:rsidRDefault="007541DE" w:rsidP="007541DE">
            <w:pPr>
              <w:rPr>
                <w:rFonts w:ascii="Times New Roman" w:eastAsia="Times New Roman" w:hAnsi="Times New Roman" w:cs="Times New Roman"/>
                <w:sz w:val="24"/>
                <w:szCs w:val="24"/>
                <w:lang w:eastAsia="lv-LV"/>
              </w:rPr>
            </w:pPr>
          </w:p>
          <w:p w14:paraId="098C85D9" w14:textId="77777777" w:rsidR="007541DE" w:rsidRPr="007541DE" w:rsidRDefault="007541DE" w:rsidP="007541DE">
            <w:pPr>
              <w:rPr>
                <w:rFonts w:ascii="Times New Roman" w:eastAsia="Times New Roman" w:hAnsi="Times New Roman" w:cs="Times New Roman"/>
                <w:sz w:val="24"/>
                <w:szCs w:val="24"/>
                <w:lang w:eastAsia="lv-LV"/>
              </w:rPr>
            </w:pPr>
          </w:p>
          <w:p w14:paraId="27E5BE2F" w14:textId="77777777" w:rsidR="007541DE" w:rsidRPr="007541DE" w:rsidRDefault="007541DE" w:rsidP="007541DE">
            <w:pPr>
              <w:rPr>
                <w:rFonts w:ascii="Times New Roman" w:eastAsia="Times New Roman" w:hAnsi="Times New Roman" w:cs="Times New Roman"/>
                <w:sz w:val="24"/>
                <w:szCs w:val="24"/>
                <w:lang w:eastAsia="lv-LV"/>
              </w:rPr>
            </w:pPr>
          </w:p>
          <w:p w14:paraId="631F411A" w14:textId="33BDE91E" w:rsidR="00E5323B" w:rsidRPr="007541DE" w:rsidRDefault="007541DE" w:rsidP="007541DE">
            <w:pPr>
              <w:tabs>
                <w:tab w:val="left" w:pos="945"/>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tc>
        <w:tc>
          <w:tcPr>
            <w:tcW w:w="3000" w:type="pct"/>
            <w:tcBorders>
              <w:top w:val="outset" w:sz="6" w:space="0" w:color="auto"/>
              <w:left w:val="outset" w:sz="6" w:space="0" w:color="auto"/>
              <w:bottom w:val="outset" w:sz="6" w:space="0" w:color="auto"/>
              <w:right w:val="outset" w:sz="6" w:space="0" w:color="auto"/>
            </w:tcBorders>
            <w:hideMark/>
          </w:tcPr>
          <w:p w14:paraId="0FE8B234" w14:textId="2C1F43F5" w:rsidR="001A06A3" w:rsidRPr="007844BF" w:rsidRDefault="00330D38" w:rsidP="001A06A3">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lastRenderedPageBreak/>
              <w:t>ES ETS</w:t>
            </w:r>
            <w:r w:rsidR="001A06A3" w:rsidRPr="007844BF">
              <w:rPr>
                <w:rFonts w:ascii="Times New Roman" w:eastAsia="Times New Roman" w:hAnsi="Times New Roman"/>
                <w:iCs/>
                <w:sz w:val="24"/>
                <w:szCs w:val="24"/>
                <w:lang w:eastAsia="lv-LV"/>
              </w:rPr>
              <w:t xml:space="preserve"> darbība Eiropas Savienības (turpmāk – ES) līmenī ir noteikta 2003. gada 13. oktobra Eiropas Parlamenta un Padomes Direktīvā 2003/87/EK, ar kuru nosaka sistēmu siltumnīcas efektu izraisošo gāzu emisijas kvotu tirdzniecībai Kopienā un groza Padomes Direktīvu 96/61/EK (turpmāk – Direktīva 2003/87/EK). Eiropadome 2014. gada 24. oktobrī pieņēma secinājumus “Par klimata un enerģētikas politikas satvaru laikposmam no 2020. gada līdz 2030. gadam” (turpmāk – Eiropadomes secinājumi)</w:t>
            </w:r>
            <w:r w:rsidR="00DB0CE9">
              <w:rPr>
                <w:rStyle w:val="FootnoteReference"/>
                <w:rFonts w:ascii="Times New Roman" w:eastAsia="Times New Roman" w:hAnsi="Times New Roman"/>
                <w:iCs/>
                <w:sz w:val="24"/>
                <w:szCs w:val="24"/>
                <w:lang w:eastAsia="lv-LV"/>
              </w:rPr>
              <w:footnoteReference w:id="2"/>
            </w:r>
            <w:r w:rsidR="001A06A3" w:rsidRPr="007844BF">
              <w:rPr>
                <w:rFonts w:ascii="Times New Roman" w:eastAsia="Times New Roman" w:hAnsi="Times New Roman"/>
                <w:iCs/>
                <w:sz w:val="24"/>
                <w:szCs w:val="24"/>
                <w:lang w:eastAsia="lv-LV"/>
              </w:rPr>
              <w:t>, nosakot nosacījumus</w:t>
            </w:r>
            <w:r w:rsidR="007541DE">
              <w:rPr>
                <w:rFonts w:ascii="Times New Roman" w:eastAsia="Times New Roman" w:hAnsi="Times New Roman"/>
                <w:iCs/>
                <w:sz w:val="24"/>
                <w:szCs w:val="24"/>
                <w:lang w:eastAsia="lv-LV"/>
              </w:rPr>
              <w:t xml:space="preserve"> </w:t>
            </w:r>
            <w:r w:rsidR="007541DE" w:rsidRPr="007541DE">
              <w:rPr>
                <w:rFonts w:ascii="Times New Roman" w:eastAsia="Times New Roman" w:hAnsi="Times New Roman"/>
                <w:iCs/>
                <w:sz w:val="24"/>
                <w:szCs w:val="24"/>
                <w:lang w:eastAsia="lv-LV"/>
              </w:rPr>
              <w:t xml:space="preserve">Eiropas Klimata </w:t>
            </w:r>
            <w:r w:rsidR="007541DE">
              <w:rPr>
                <w:rFonts w:ascii="Times New Roman" w:eastAsia="Times New Roman" w:hAnsi="Times New Roman"/>
                <w:iCs/>
                <w:sz w:val="24"/>
                <w:szCs w:val="24"/>
                <w:lang w:eastAsia="lv-LV"/>
              </w:rPr>
              <w:t>un enerģētikas politikas satvara</w:t>
            </w:r>
            <w:r w:rsidR="007541DE" w:rsidRPr="007541DE">
              <w:rPr>
                <w:rFonts w:ascii="Times New Roman" w:eastAsia="Times New Roman" w:hAnsi="Times New Roman"/>
                <w:iCs/>
                <w:sz w:val="24"/>
                <w:szCs w:val="24"/>
                <w:lang w:eastAsia="lv-LV"/>
              </w:rPr>
              <w:t xml:space="preserve"> 2030. gadam</w:t>
            </w:r>
            <w:r w:rsidR="001A06A3" w:rsidRPr="007844BF">
              <w:rPr>
                <w:rFonts w:ascii="Times New Roman" w:eastAsia="Times New Roman" w:hAnsi="Times New Roman"/>
                <w:iCs/>
                <w:sz w:val="24"/>
                <w:szCs w:val="24"/>
                <w:lang w:eastAsia="lv-LV"/>
              </w:rPr>
              <w:t xml:space="preserve"> KEPS2030 noteikto mērķu īstenošanai, t.sk. nosacījumu, ka ES ETS jāreformē, jānodrošina tā laba un efektīva funkcionēšana, kā arī nosaukti e</w:t>
            </w:r>
            <w:r w:rsidR="00B8155D" w:rsidRPr="007844BF">
              <w:rPr>
                <w:rFonts w:ascii="Times New Roman" w:eastAsia="Times New Roman" w:hAnsi="Times New Roman"/>
                <w:iCs/>
                <w:sz w:val="24"/>
                <w:szCs w:val="24"/>
                <w:lang w:eastAsia="lv-LV"/>
              </w:rPr>
              <w:t>lementi, kas jāiekļauj reformā.</w:t>
            </w:r>
          </w:p>
          <w:p w14:paraId="1C42419C" w14:textId="77777777" w:rsidR="00B8155D" w:rsidRPr="007844BF" w:rsidRDefault="00B8155D" w:rsidP="001A06A3">
            <w:pPr>
              <w:spacing w:after="0" w:line="240" w:lineRule="auto"/>
              <w:jc w:val="both"/>
              <w:rPr>
                <w:rFonts w:ascii="Times New Roman" w:eastAsia="Times New Roman" w:hAnsi="Times New Roman"/>
                <w:iCs/>
                <w:sz w:val="24"/>
                <w:szCs w:val="24"/>
                <w:lang w:eastAsia="lv-LV"/>
              </w:rPr>
            </w:pPr>
          </w:p>
          <w:p w14:paraId="4765BBD4" w14:textId="61FE68A3" w:rsidR="00167D64" w:rsidRPr="007844BF" w:rsidRDefault="00B8155D" w:rsidP="00B8155D">
            <w:pPr>
              <w:spacing w:after="0" w:line="240" w:lineRule="auto"/>
              <w:jc w:val="both"/>
              <w:rPr>
                <w:rFonts w:ascii="Times New Roman" w:eastAsia="Times New Roman" w:hAnsi="Times New Roman" w:cs="Times New Roman"/>
                <w:iCs/>
                <w:sz w:val="24"/>
                <w:szCs w:val="24"/>
                <w:lang w:eastAsia="lv-LV"/>
              </w:rPr>
            </w:pPr>
            <w:r w:rsidRPr="007844BF">
              <w:rPr>
                <w:rFonts w:ascii="Times New Roman" w:eastAsia="Times New Roman" w:hAnsi="Times New Roman" w:cs="Times New Roman"/>
                <w:iCs/>
                <w:sz w:val="24"/>
                <w:szCs w:val="24"/>
                <w:lang w:eastAsia="lv-LV"/>
              </w:rPr>
              <w:t>Lai veicinātu emisiju samazināšanu Eiropas Savienībā, Eiropas Komisija ES ETS ceturtajam tirdzniecības periodam (2021.-2030.</w:t>
            </w:r>
            <w:r w:rsidR="009E38DE">
              <w:rPr>
                <w:rFonts w:ascii="Times New Roman" w:eastAsia="Times New Roman" w:hAnsi="Times New Roman" w:cs="Times New Roman"/>
                <w:iCs/>
                <w:sz w:val="24"/>
                <w:szCs w:val="24"/>
                <w:lang w:eastAsia="lv-LV"/>
              </w:rPr>
              <w:t xml:space="preserve"> </w:t>
            </w:r>
            <w:r w:rsidRPr="007844BF">
              <w:rPr>
                <w:rFonts w:ascii="Times New Roman" w:eastAsia="Times New Roman" w:hAnsi="Times New Roman" w:cs="Times New Roman"/>
                <w:iCs/>
                <w:sz w:val="24"/>
                <w:szCs w:val="24"/>
                <w:lang w:eastAsia="lv-LV"/>
              </w:rPr>
              <w:t xml:space="preserve">gads) izstrādāja jaunas prasības, ko noteica ar </w:t>
            </w:r>
            <w:r w:rsidR="008A6D27" w:rsidRPr="007844BF">
              <w:rPr>
                <w:rFonts w:ascii="Times New Roman" w:hAnsi="Times New Roman" w:cs="Times New Roman"/>
                <w:sz w:val="24"/>
                <w:szCs w:val="24"/>
              </w:rPr>
              <w:t xml:space="preserve">Eiropas Parlamenta un Padomes </w:t>
            </w:r>
            <w:r w:rsidR="008A6D27" w:rsidRPr="007844BF">
              <w:rPr>
                <w:rFonts w:ascii="Times New Roman" w:hAnsi="Times New Roman" w:cs="Times New Roman"/>
                <w:sz w:val="24"/>
                <w:szCs w:val="24"/>
              </w:rPr>
              <w:lastRenderedPageBreak/>
              <w:t>2018. gada 14. marta Direktīvas Nr. 2018/410/ES,</w:t>
            </w:r>
            <w:r w:rsidR="008A6D27" w:rsidRPr="007844BF">
              <w:rPr>
                <w:rFonts w:ascii="Times New Roman" w:eastAsia="Times New Roman" w:hAnsi="Times New Roman" w:cs="Times New Roman"/>
                <w:iCs/>
                <w:sz w:val="24"/>
                <w:szCs w:val="24"/>
                <w:lang w:eastAsia="lv-LV"/>
              </w:rPr>
              <w:t xml:space="preserve"> ar ko groza Direktīvu 2003/87/EK, lai sekmētu emisiju </w:t>
            </w:r>
            <w:proofErr w:type="spellStart"/>
            <w:r w:rsidR="008A6D27" w:rsidRPr="007844BF">
              <w:rPr>
                <w:rFonts w:ascii="Times New Roman" w:eastAsia="Times New Roman" w:hAnsi="Times New Roman" w:cs="Times New Roman"/>
                <w:iCs/>
                <w:sz w:val="24"/>
                <w:szCs w:val="24"/>
                <w:lang w:eastAsia="lv-LV"/>
              </w:rPr>
              <w:t>izmaksefektīvu</w:t>
            </w:r>
            <w:proofErr w:type="spellEnd"/>
            <w:r w:rsidR="008A6D27" w:rsidRPr="007844BF">
              <w:rPr>
                <w:rFonts w:ascii="Times New Roman" w:eastAsia="Times New Roman" w:hAnsi="Times New Roman" w:cs="Times New Roman"/>
                <w:iCs/>
                <w:sz w:val="24"/>
                <w:szCs w:val="24"/>
                <w:lang w:eastAsia="lv-LV"/>
              </w:rPr>
              <w:t xml:space="preserve"> samazināšanu un investīcijas </w:t>
            </w:r>
            <w:proofErr w:type="spellStart"/>
            <w:r w:rsidR="008A6D27" w:rsidRPr="007844BF">
              <w:rPr>
                <w:rFonts w:ascii="Times New Roman" w:eastAsia="Times New Roman" w:hAnsi="Times New Roman" w:cs="Times New Roman"/>
                <w:iCs/>
                <w:sz w:val="24"/>
                <w:szCs w:val="24"/>
                <w:lang w:eastAsia="lv-LV"/>
              </w:rPr>
              <w:t>mazoglekļa</w:t>
            </w:r>
            <w:proofErr w:type="spellEnd"/>
            <w:r w:rsidR="008A6D27" w:rsidRPr="007844BF">
              <w:rPr>
                <w:rFonts w:ascii="Times New Roman" w:eastAsia="Times New Roman" w:hAnsi="Times New Roman" w:cs="Times New Roman"/>
                <w:iCs/>
                <w:sz w:val="24"/>
                <w:szCs w:val="24"/>
                <w:lang w:eastAsia="lv-LV"/>
              </w:rPr>
              <w:t xml:space="preserve"> risinājumos, un Lēmumu 2015/1814 (turpmāk – Direktīva 2018/410)</w:t>
            </w:r>
            <w:r w:rsidRPr="007844BF">
              <w:rPr>
                <w:rFonts w:ascii="Times New Roman" w:eastAsia="Times New Roman" w:hAnsi="Times New Roman" w:cs="Times New Roman"/>
                <w:iCs/>
                <w:sz w:val="24"/>
                <w:szCs w:val="24"/>
                <w:lang w:eastAsia="lv-LV"/>
              </w:rPr>
              <w:t xml:space="preserve">, lai nodrošinātu, ka labi funkcionējoša un reformēta ES ETS ir galvenais Eiropas instruments siltumnīcefekta gāzu emisiju samazināšanas mērķa sasniegšanai. Ar </w:t>
            </w:r>
            <w:r w:rsidR="008A6D27">
              <w:rPr>
                <w:rFonts w:ascii="Times New Roman" w:eastAsia="Times New Roman" w:hAnsi="Times New Roman" w:cs="Times New Roman"/>
                <w:iCs/>
                <w:sz w:val="24"/>
                <w:szCs w:val="24"/>
                <w:lang w:eastAsia="lv-LV"/>
              </w:rPr>
              <w:t>Direktīvu 2018/410</w:t>
            </w:r>
            <w:r w:rsidRPr="007844BF">
              <w:rPr>
                <w:rFonts w:ascii="Times New Roman" w:eastAsia="Times New Roman" w:hAnsi="Times New Roman" w:cs="Times New Roman"/>
                <w:iCs/>
                <w:sz w:val="24"/>
                <w:szCs w:val="24"/>
                <w:lang w:eastAsia="lv-LV"/>
              </w:rPr>
              <w:t xml:space="preserve"> veikti grozījumi Direktīvā 2003/87/EK,</w:t>
            </w:r>
            <w:r w:rsidR="000D5DB5" w:rsidRPr="007844BF">
              <w:rPr>
                <w:rFonts w:ascii="Times New Roman" w:eastAsia="Times New Roman" w:hAnsi="Times New Roman" w:cs="Times New Roman"/>
                <w:iCs/>
                <w:sz w:val="24"/>
                <w:szCs w:val="24"/>
                <w:lang w:eastAsia="lv-LV"/>
              </w:rPr>
              <w:t xml:space="preserve"> reformējot ES ETS, nodrošinot tā efektīvu funkcionēšanu ceturtajā periodā (2021.–2030. gads)</w:t>
            </w:r>
            <w:r w:rsidRPr="007844BF">
              <w:rPr>
                <w:rFonts w:ascii="Times New Roman" w:eastAsia="Times New Roman" w:hAnsi="Times New Roman" w:cs="Times New Roman"/>
                <w:iCs/>
                <w:sz w:val="24"/>
                <w:szCs w:val="24"/>
                <w:lang w:eastAsia="lv-LV"/>
              </w:rPr>
              <w:t>.</w:t>
            </w:r>
          </w:p>
          <w:p w14:paraId="7D7D5135" w14:textId="77777777" w:rsidR="00167D64" w:rsidRPr="007844BF" w:rsidRDefault="00167D64" w:rsidP="00167D64">
            <w:pPr>
              <w:spacing w:after="0" w:line="240" w:lineRule="auto"/>
              <w:jc w:val="both"/>
              <w:rPr>
                <w:rFonts w:ascii="Times New Roman" w:eastAsia="Times New Roman" w:hAnsi="Times New Roman"/>
                <w:iCs/>
                <w:sz w:val="24"/>
                <w:szCs w:val="24"/>
                <w:lang w:eastAsia="lv-LV"/>
              </w:rPr>
            </w:pPr>
          </w:p>
          <w:p w14:paraId="4BA1559D" w14:textId="77777777" w:rsidR="00167D64" w:rsidRPr="007844BF" w:rsidRDefault="00167D64" w:rsidP="00167D64">
            <w:pPr>
              <w:spacing w:after="0" w:line="240" w:lineRule="auto"/>
              <w:jc w:val="both"/>
              <w:rPr>
                <w:rFonts w:ascii="Times New Roman" w:eastAsia="Times New Roman" w:hAnsi="Times New Roman"/>
                <w:iCs/>
                <w:sz w:val="24"/>
                <w:szCs w:val="24"/>
                <w:lang w:eastAsia="lv-LV"/>
              </w:rPr>
            </w:pPr>
            <w:r w:rsidRPr="007844BF">
              <w:rPr>
                <w:rFonts w:ascii="Times New Roman" w:eastAsia="Times New Roman" w:hAnsi="Times New Roman"/>
                <w:iCs/>
                <w:sz w:val="24"/>
                <w:szCs w:val="24"/>
                <w:lang w:eastAsia="lv-LV"/>
              </w:rPr>
              <w:t>VARAM ir atbildīga par ES ETS darbību Latvijā atbilstoši likuma “Par piesārņojumu” 32.</w:t>
            </w:r>
            <w:r w:rsidRPr="007844BF">
              <w:rPr>
                <w:rFonts w:ascii="Times New Roman" w:eastAsia="Times New Roman" w:hAnsi="Times New Roman"/>
                <w:iCs/>
                <w:sz w:val="24"/>
                <w:szCs w:val="24"/>
                <w:vertAlign w:val="superscript"/>
                <w:lang w:eastAsia="lv-LV"/>
              </w:rPr>
              <w:t>1</w:t>
            </w:r>
            <w:r w:rsidRPr="007844BF">
              <w:rPr>
                <w:rFonts w:ascii="Times New Roman" w:eastAsia="Times New Roman" w:hAnsi="Times New Roman"/>
                <w:iCs/>
                <w:sz w:val="24"/>
                <w:szCs w:val="24"/>
                <w:lang w:eastAsia="lv-LV"/>
              </w:rPr>
              <w:t> pantā ietvertajam regulējumam.</w:t>
            </w:r>
          </w:p>
          <w:p w14:paraId="639B9548" w14:textId="77777777" w:rsidR="000D5DB5" w:rsidRPr="007844BF" w:rsidRDefault="000D5DB5" w:rsidP="00B8155D">
            <w:pPr>
              <w:spacing w:after="0" w:line="240" w:lineRule="auto"/>
              <w:jc w:val="both"/>
              <w:rPr>
                <w:rFonts w:ascii="Times New Roman" w:eastAsia="Times New Roman" w:hAnsi="Times New Roman" w:cs="Times New Roman"/>
                <w:iCs/>
                <w:sz w:val="24"/>
                <w:szCs w:val="24"/>
                <w:lang w:eastAsia="lv-LV"/>
              </w:rPr>
            </w:pPr>
          </w:p>
          <w:p w14:paraId="5085E1A9" w14:textId="1E03F155" w:rsidR="002037EB" w:rsidRPr="007844BF" w:rsidRDefault="009871ED" w:rsidP="00B8155D">
            <w:pPr>
              <w:spacing w:after="0" w:line="240" w:lineRule="auto"/>
              <w:jc w:val="both"/>
              <w:rPr>
                <w:rFonts w:ascii="Times New Roman" w:hAnsi="Times New Roman"/>
                <w:sz w:val="24"/>
                <w:szCs w:val="24"/>
              </w:rPr>
            </w:pPr>
            <w:r w:rsidRPr="007844BF">
              <w:rPr>
                <w:rFonts w:ascii="Times New Roman" w:eastAsia="Times New Roman" w:hAnsi="Times New Roman" w:cs="Times New Roman"/>
                <w:iCs/>
                <w:sz w:val="24"/>
                <w:szCs w:val="24"/>
                <w:lang w:eastAsia="lv-LV"/>
              </w:rPr>
              <w:t>Lai arī Direktīva 2003/87/EK ir ES ETS pamat</w:t>
            </w:r>
            <w:r w:rsidR="00D47993">
              <w:rPr>
                <w:rFonts w:ascii="Times New Roman" w:eastAsia="Times New Roman" w:hAnsi="Times New Roman" w:cs="Times New Roman"/>
                <w:iCs/>
                <w:sz w:val="24"/>
                <w:szCs w:val="24"/>
                <w:lang w:eastAsia="lv-LV"/>
              </w:rPr>
              <w:t>a juridiskais instruments</w:t>
            </w:r>
            <w:r w:rsidRPr="007844BF">
              <w:rPr>
                <w:rFonts w:ascii="Times New Roman" w:eastAsia="Times New Roman" w:hAnsi="Times New Roman" w:cs="Times New Roman"/>
                <w:iCs/>
                <w:sz w:val="24"/>
                <w:szCs w:val="24"/>
                <w:lang w:eastAsia="lv-LV"/>
              </w:rPr>
              <w:t>, kas nodrošina sistēmas funkcionēšanu, t</w:t>
            </w:r>
            <w:r w:rsidR="00D47993">
              <w:rPr>
                <w:rFonts w:ascii="Times New Roman" w:eastAsia="Times New Roman" w:hAnsi="Times New Roman" w:cs="Times New Roman"/>
                <w:iCs/>
                <w:sz w:val="24"/>
                <w:szCs w:val="24"/>
                <w:lang w:eastAsia="lv-LV"/>
              </w:rPr>
              <w:t>as</w:t>
            </w:r>
            <w:r w:rsidRPr="007844BF">
              <w:rPr>
                <w:rFonts w:ascii="Times New Roman" w:eastAsia="Times New Roman" w:hAnsi="Times New Roman" w:cs="Times New Roman"/>
                <w:iCs/>
                <w:sz w:val="24"/>
                <w:szCs w:val="24"/>
                <w:lang w:eastAsia="lv-LV"/>
              </w:rPr>
              <w:t xml:space="preserve"> nav vienīgais normatīvais akts E</w:t>
            </w:r>
            <w:r w:rsidR="00D47993">
              <w:rPr>
                <w:rFonts w:ascii="Times New Roman" w:eastAsia="Times New Roman" w:hAnsi="Times New Roman" w:cs="Times New Roman"/>
                <w:iCs/>
                <w:sz w:val="24"/>
                <w:szCs w:val="24"/>
                <w:lang w:eastAsia="lv-LV"/>
              </w:rPr>
              <w:t>S</w:t>
            </w:r>
            <w:r w:rsidRPr="007844BF">
              <w:rPr>
                <w:rFonts w:ascii="Times New Roman" w:eastAsia="Times New Roman" w:hAnsi="Times New Roman" w:cs="Times New Roman"/>
                <w:iCs/>
                <w:sz w:val="24"/>
                <w:szCs w:val="24"/>
                <w:lang w:eastAsia="lv-LV"/>
              </w:rPr>
              <w:t xml:space="preserve"> līmenī – Direktīva </w:t>
            </w:r>
            <w:r w:rsidR="00D47993" w:rsidRPr="007844BF">
              <w:rPr>
                <w:rFonts w:ascii="Times New Roman" w:eastAsia="Times New Roman" w:hAnsi="Times New Roman" w:cs="Times New Roman"/>
                <w:iCs/>
                <w:sz w:val="24"/>
                <w:szCs w:val="24"/>
                <w:lang w:eastAsia="lv-LV"/>
              </w:rPr>
              <w:t xml:space="preserve">2003/87/EK </w:t>
            </w:r>
            <w:r w:rsidRPr="007844BF">
              <w:rPr>
                <w:rFonts w:ascii="Times New Roman" w:eastAsia="Times New Roman" w:hAnsi="Times New Roman" w:cs="Times New Roman"/>
                <w:iCs/>
                <w:sz w:val="24"/>
                <w:szCs w:val="24"/>
                <w:lang w:eastAsia="lv-LV"/>
              </w:rPr>
              <w:t>nodrošina deleģējumus dažādiem deleģētajiem aktiem, kuri sīkāk nosaka ES ETS funkcijas. Šie deleģētie akti nosaka detalizētāku kārtību</w:t>
            </w:r>
            <w:r w:rsidR="005C1ABB">
              <w:rPr>
                <w:rFonts w:ascii="Times New Roman" w:eastAsia="Times New Roman" w:hAnsi="Times New Roman" w:cs="Times New Roman"/>
                <w:iCs/>
                <w:sz w:val="24"/>
                <w:szCs w:val="24"/>
                <w:lang w:eastAsia="lv-LV"/>
              </w:rPr>
              <w:t>,</w:t>
            </w:r>
            <w:r w:rsidRPr="007844BF">
              <w:rPr>
                <w:rFonts w:ascii="Times New Roman" w:eastAsia="Times New Roman" w:hAnsi="Times New Roman" w:cs="Times New Roman"/>
                <w:iCs/>
                <w:sz w:val="24"/>
                <w:szCs w:val="24"/>
                <w:lang w:eastAsia="lv-LV"/>
              </w:rPr>
              <w:t xml:space="preserve"> kādā funkcionēs </w:t>
            </w:r>
            <w:r w:rsidRPr="007844BF">
              <w:rPr>
                <w:rFonts w:ascii="Times New Roman" w:hAnsi="Times New Roman"/>
                <w:sz w:val="24"/>
                <w:szCs w:val="24"/>
              </w:rPr>
              <w:t>ES ETS ceturtajā periodā</w:t>
            </w:r>
            <w:r w:rsidR="002037EB" w:rsidRPr="007844BF">
              <w:rPr>
                <w:rFonts w:ascii="Times New Roman" w:hAnsi="Times New Roman"/>
                <w:sz w:val="24"/>
                <w:szCs w:val="24"/>
              </w:rPr>
              <w:t>.</w:t>
            </w:r>
          </w:p>
          <w:p w14:paraId="11CED6FF" w14:textId="77777777" w:rsidR="00167D64" w:rsidRPr="007844BF" w:rsidRDefault="00167D64" w:rsidP="00B8155D">
            <w:pPr>
              <w:spacing w:after="0" w:line="240" w:lineRule="auto"/>
              <w:jc w:val="both"/>
              <w:rPr>
                <w:rFonts w:ascii="Times New Roman" w:hAnsi="Times New Roman"/>
                <w:sz w:val="24"/>
                <w:szCs w:val="24"/>
              </w:rPr>
            </w:pPr>
          </w:p>
          <w:p w14:paraId="26E74899" w14:textId="7801129C" w:rsidR="008A6D27" w:rsidRDefault="008A6D27" w:rsidP="00B8155D">
            <w:pPr>
              <w:spacing w:after="0" w:line="240" w:lineRule="auto"/>
              <w:jc w:val="both"/>
              <w:rPr>
                <w:rFonts w:ascii="Times New Roman" w:hAnsi="Times New Roman"/>
                <w:sz w:val="24"/>
                <w:szCs w:val="24"/>
              </w:rPr>
            </w:pPr>
            <w:r w:rsidRPr="00330D38">
              <w:rPr>
                <w:rFonts w:ascii="Times New Roman" w:eastAsia="Times New Roman" w:hAnsi="Times New Roman" w:cs="Times New Roman"/>
                <w:iCs/>
                <w:sz w:val="24"/>
                <w:szCs w:val="24"/>
                <w:lang w:eastAsia="lv-LV"/>
              </w:rPr>
              <w:t>Ministru kabineta 20</w:t>
            </w:r>
            <w:r>
              <w:rPr>
                <w:rFonts w:ascii="Times New Roman" w:eastAsia="Times New Roman" w:hAnsi="Times New Roman" w:cs="Times New Roman"/>
                <w:iCs/>
                <w:sz w:val="24"/>
                <w:szCs w:val="24"/>
                <w:lang w:eastAsia="lv-LV"/>
              </w:rPr>
              <w:t>12. gada 13. novembra noteikumi</w:t>
            </w:r>
            <w:r w:rsidRPr="00330D38">
              <w:rPr>
                <w:rFonts w:ascii="Times New Roman" w:eastAsia="Times New Roman" w:hAnsi="Times New Roman" w:cs="Times New Roman"/>
                <w:iCs/>
                <w:sz w:val="24"/>
                <w:szCs w:val="24"/>
                <w:lang w:eastAsia="lv-LV"/>
              </w:rPr>
              <w:t xml:space="preserve"> Nr. 769 “Noteikumi par stacionāro tehnoloģisko iekārtu dalību Eiropas Savienības emisijas kvotu tirdzniecības sistēmā”</w:t>
            </w:r>
            <w:r>
              <w:rPr>
                <w:rFonts w:ascii="Times New Roman" w:eastAsia="Times New Roman" w:hAnsi="Times New Roman" w:cs="Times New Roman"/>
                <w:iCs/>
                <w:sz w:val="24"/>
                <w:szCs w:val="24"/>
                <w:lang w:eastAsia="lv-LV"/>
              </w:rPr>
              <w:t xml:space="preserve"> (turpmāk – noteikumi Nr. 769) </w:t>
            </w:r>
            <w:r w:rsidR="00167D64" w:rsidRPr="007844BF">
              <w:rPr>
                <w:rFonts w:ascii="Times New Roman" w:hAnsi="Times New Roman"/>
                <w:sz w:val="24"/>
                <w:szCs w:val="24"/>
              </w:rPr>
              <w:t xml:space="preserve">nosaka </w:t>
            </w:r>
            <w:r w:rsidR="00A93462">
              <w:rPr>
                <w:rFonts w:ascii="Times New Roman" w:hAnsi="Times New Roman"/>
                <w:sz w:val="24"/>
                <w:szCs w:val="24"/>
              </w:rPr>
              <w:t xml:space="preserve">šādas </w:t>
            </w:r>
            <w:r>
              <w:rPr>
                <w:rFonts w:ascii="Times New Roman" w:hAnsi="Times New Roman"/>
                <w:sz w:val="24"/>
                <w:szCs w:val="24"/>
              </w:rPr>
              <w:t xml:space="preserve">ES ETS </w:t>
            </w:r>
            <w:r w:rsidR="00167D64" w:rsidRPr="007844BF">
              <w:rPr>
                <w:rFonts w:ascii="Times New Roman" w:hAnsi="Times New Roman"/>
                <w:sz w:val="24"/>
                <w:szCs w:val="24"/>
              </w:rPr>
              <w:t>proced</w:t>
            </w:r>
            <w:r>
              <w:rPr>
                <w:rFonts w:ascii="Times New Roman" w:hAnsi="Times New Roman"/>
                <w:sz w:val="24"/>
                <w:szCs w:val="24"/>
              </w:rPr>
              <w:t>ūras:</w:t>
            </w:r>
          </w:p>
          <w:p w14:paraId="76967291" w14:textId="77777777" w:rsidR="008A6D27" w:rsidRDefault="008A6D27" w:rsidP="008A6D27">
            <w:pPr>
              <w:pStyle w:val="ListParagraph"/>
              <w:numPr>
                <w:ilvl w:val="0"/>
                <w:numId w:val="10"/>
              </w:numPr>
              <w:spacing w:after="0" w:line="240" w:lineRule="auto"/>
              <w:jc w:val="both"/>
              <w:rPr>
                <w:rFonts w:ascii="Times New Roman" w:hAnsi="Times New Roman"/>
                <w:sz w:val="24"/>
                <w:szCs w:val="24"/>
              </w:rPr>
            </w:pPr>
            <w:r>
              <w:rPr>
                <w:rFonts w:ascii="Times New Roman" w:hAnsi="Times New Roman"/>
                <w:sz w:val="24"/>
                <w:szCs w:val="24"/>
              </w:rPr>
              <w:t>K</w:t>
            </w:r>
            <w:r w:rsidR="00167D64" w:rsidRPr="008A6D27">
              <w:rPr>
                <w:rFonts w:ascii="Times New Roman" w:hAnsi="Times New Roman"/>
                <w:sz w:val="24"/>
                <w:szCs w:val="24"/>
              </w:rPr>
              <w:t>ā operatori iesniedz izstrādātos prie</w:t>
            </w:r>
            <w:r>
              <w:rPr>
                <w:rFonts w:ascii="Times New Roman" w:hAnsi="Times New Roman"/>
                <w:sz w:val="24"/>
                <w:szCs w:val="24"/>
              </w:rPr>
              <w:t>kšlikumus emisiju monitoringam;</w:t>
            </w:r>
          </w:p>
          <w:p w14:paraId="18C72C72" w14:textId="77777777" w:rsidR="008A6D27" w:rsidRDefault="008A6D27" w:rsidP="008A6D27">
            <w:pPr>
              <w:pStyle w:val="ListParagraph"/>
              <w:numPr>
                <w:ilvl w:val="0"/>
                <w:numId w:val="10"/>
              </w:numPr>
              <w:spacing w:after="0" w:line="240" w:lineRule="auto"/>
              <w:jc w:val="both"/>
              <w:rPr>
                <w:rFonts w:ascii="Times New Roman" w:hAnsi="Times New Roman"/>
                <w:sz w:val="24"/>
                <w:szCs w:val="24"/>
              </w:rPr>
            </w:pPr>
            <w:r>
              <w:rPr>
                <w:rFonts w:ascii="Times New Roman" w:hAnsi="Times New Roman"/>
                <w:sz w:val="24"/>
                <w:szCs w:val="24"/>
              </w:rPr>
              <w:t>K</w:t>
            </w:r>
            <w:r w:rsidR="00167D64" w:rsidRPr="008A6D27">
              <w:rPr>
                <w:rFonts w:ascii="Times New Roman" w:hAnsi="Times New Roman"/>
                <w:sz w:val="24"/>
                <w:szCs w:val="24"/>
              </w:rPr>
              <w:t xml:space="preserve">ā </w:t>
            </w:r>
            <w:r>
              <w:rPr>
                <w:rFonts w:ascii="Times New Roman" w:hAnsi="Times New Roman"/>
                <w:sz w:val="24"/>
                <w:szCs w:val="24"/>
              </w:rPr>
              <w:t>operatori</w:t>
            </w:r>
            <w:r w:rsidR="00167D64" w:rsidRPr="008A6D27">
              <w:rPr>
                <w:rFonts w:ascii="Times New Roman" w:hAnsi="Times New Roman"/>
                <w:sz w:val="24"/>
                <w:szCs w:val="24"/>
              </w:rPr>
              <w:t xml:space="preserve"> iesniedz iesniegumu siltumnīcefekta gāzu</w:t>
            </w:r>
            <w:r>
              <w:rPr>
                <w:rFonts w:ascii="Times New Roman" w:hAnsi="Times New Roman"/>
                <w:sz w:val="24"/>
                <w:szCs w:val="24"/>
              </w:rPr>
              <w:t xml:space="preserve"> emisijas atļaujas saņemšanai;</w:t>
            </w:r>
          </w:p>
          <w:p w14:paraId="644A1E2C" w14:textId="77777777" w:rsidR="008A6D27" w:rsidRDefault="008A6D27" w:rsidP="008A6D27">
            <w:pPr>
              <w:pStyle w:val="ListParagraph"/>
              <w:numPr>
                <w:ilvl w:val="0"/>
                <w:numId w:val="10"/>
              </w:numPr>
              <w:spacing w:after="0" w:line="240" w:lineRule="auto"/>
              <w:jc w:val="both"/>
              <w:rPr>
                <w:rFonts w:ascii="Times New Roman" w:hAnsi="Times New Roman"/>
                <w:sz w:val="24"/>
                <w:szCs w:val="24"/>
              </w:rPr>
            </w:pPr>
            <w:r>
              <w:rPr>
                <w:rFonts w:ascii="Times New Roman" w:hAnsi="Times New Roman"/>
                <w:sz w:val="24"/>
                <w:szCs w:val="24"/>
              </w:rPr>
              <w:t>K</w:t>
            </w:r>
            <w:r w:rsidR="00167D64" w:rsidRPr="008A6D27">
              <w:rPr>
                <w:rFonts w:ascii="Times New Roman" w:hAnsi="Times New Roman"/>
                <w:sz w:val="24"/>
                <w:szCs w:val="24"/>
              </w:rPr>
              <w:t>ā operatoriem tiek izsniegtas siltumnīcefekta gāzu emisijas atļaujas</w:t>
            </w:r>
            <w:r>
              <w:rPr>
                <w:rFonts w:ascii="Times New Roman" w:hAnsi="Times New Roman"/>
                <w:sz w:val="24"/>
                <w:szCs w:val="24"/>
              </w:rPr>
              <w:t>;</w:t>
            </w:r>
          </w:p>
          <w:p w14:paraId="471AB380" w14:textId="20F9BE09" w:rsidR="00167D64" w:rsidRPr="008A6D27" w:rsidRDefault="008A6D27" w:rsidP="008A6D27">
            <w:pPr>
              <w:pStyle w:val="ListParagraph"/>
              <w:numPr>
                <w:ilvl w:val="0"/>
                <w:numId w:val="10"/>
              </w:numPr>
              <w:spacing w:after="0" w:line="240" w:lineRule="auto"/>
              <w:jc w:val="both"/>
              <w:rPr>
                <w:rFonts w:ascii="Times New Roman" w:hAnsi="Times New Roman"/>
                <w:sz w:val="24"/>
                <w:szCs w:val="24"/>
              </w:rPr>
            </w:pPr>
            <w:r>
              <w:rPr>
                <w:rFonts w:ascii="Times New Roman" w:hAnsi="Times New Roman"/>
                <w:sz w:val="24"/>
                <w:szCs w:val="24"/>
              </w:rPr>
              <w:t>Kā</w:t>
            </w:r>
            <w:r w:rsidR="00167D64" w:rsidRPr="008A6D27">
              <w:rPr>
                <w:rFonts w:ascii="Times New Roman" w:hAnsi="Times New Roman"/>
                <w:sz w:val="24"/>
                <w:szCs w:val="24"/>
              </w:rPr>
              <w:t xml:space="preserve"> tiek veikta ikgadējā emisiju ziņojuma sagatavošana, verificēšana, iesniegšana un pārbaude.</w:t>
            </w:r>
            <w:r w:rsidR="00167D64" w:rsidRPr="007844BF">
              <w:t xml:space="preserve"> </w:t>
            </w:r>
          </w:p>
          <w:p w14:paraId="0F884419" w14:textId="77777777" w:rsidR="00167D64" w:rsidRPr="007844BF" w:rsidRDefault="00167D64" w:rsidP="00B8155D">
            <w:pPr>
              <w:spacing w:after="0" w:line="240" w:lineRule="auto"/>
              <w:jc w:val="both"/>
              <w:rPr>
                <w:rFonts w:ascii="Times New Roman" w:hAnsi="Times New Roman"/>
                <w:sz w:val="24"/>
                <w:szCs w:val="24"/>
              </w:rPr>
            </w:pPr>
          </w:p>
          <w:p w14:paraId="25953F5A" w14:textId="07EE24D5" w:rsidR="00167D64" w:rsidRPr="007844BF" w:rsidRDefault="00167D64" w:rsidP="00B8155D">
            <w:pPr>
              <w:spacing w:after="0" w:line="240" w:lineRule="auto"/>
              <w:jc w:val="both"/>
            </w:pPr>
            <w:r w:rsidRPr="007844BF">
              <w:rPr>
                <w:rFonts w:ascii="Times New Roman" w:hAnsi="Times New Roman"/>
                <w:sz w:val="24"/>
                <w:szCs w:val="24"/>
              </w:rPr>
              <w:t xml:space="preserve">Attiecībā uz ES ETS ceturto periodu, </w:t>
            </w:r>
            <w:r w:rsidR="008A6D27">
              <w:rPr>
                <w:rFonts w:ascii="Times New Roman" w:hAnsi="Times New Roman"/>
                <w:sz w:val="24"/>
                <w:szCs w:val="24"/>
              </w:rPr>
              <w:t>no deleģētajiem aktiem, kas pieņemti pēc 2018. gada,</w:t>
            </w:r>
            <w:r w:rsidRPr="007844BF">
              <w:rPr>
                <w:rFonts w:ascii="Times New Roman" w:hAnsi="Times New Roman"/>
                <w:sz w:val="24"/>
                <w:szCs w:val="24"/>
              </w:rPr>
              <w:t xml:space="preserve"> skar procedūras, kas ir noteiktas noteikumos Nr.</w:t>
            </w:r>
            <w:r w:rsidR="005C1ABB">
              <w:rPr>
                <w:rFonts w:ascii="Times New Roman" w:hAnsi="Times New Roman"/>
                <w:sz w:val="24"/>
                <w:szCs w:val="24"/>
              </w:rPr>
              <w:t> </w:t>
            </w:r>
            <w:r w:rsidRPr="007844BF">
              <w:rPr>
                <w:rFonts w:ascii="Times New Roman" w:hAnsi="Times New Roman"/>
                <w:sz w:val="24"/>
                <w:szCs w:val="24"/>
              </w:rPr>
              <w:t xml:space="preserve">769. Attiecīgi, tos ir nepieciešams grozīt, ņemot vērā </w:t>
            </w:r>
            <w:r w:rsidR="005C1ABB">
              <w:rPr>
                <w:rFonts w:ascii="Times New Roman" w:hAnsi="Times New Roman"/>
                <w:sz w:val="24"/>
                <w:szCs w:val="24"/>
              </w:rPr>
              <w:t>šādus</w:t>
            </w:r>
            <w:r w:rsidRPr="007844BF">
              <w:rPr>
                <w:rFonts w:ascii="Times New Roman" w:hAnsi="Times New Roman"/>
                <w:sz w:val="24"/>
                <w:szCs w:val="24"/>
              </w:rPr>
              <w:t xml:space="preserve"> Eiropas Komisijas deleģētos aktus:</w:t>
            </w:r>
            <w:r w:rsidRPr="007844BF">
              <w:t xml:space="preserve"> </w:t>
            </w:r>
          </w:p>
          <w:p w14:paraId="6FAF0888" w14:textId="77777777" w:rsidR="00967D70" w:rsidRDefault="00967D70" w:rsidP="00967D70">
            <w:pPr>
              <w:pStyle w:val="ListParagraph"/>
              <w:numPr>
                <w:ilvl w:val="0"/>
                <w:numId w:val="7"/>
              </w:numPr>
              <w:spacing w:after="0" w:line="240" w:lineRule="auto"/>
              <w:jc w:val="both"/>
              <w:rPr>
                <w:rFonts w:ascii="Times New Roman" w:hAnsi="Times New Roman"/>
                <w:sz w:val="24"/>
                <w:szCs w:val="24"/>
              </w:rPr>
            </w:pPr>
            <w:r w:rsidRPr="007844BF">
              <w:rPr>
                <w:rFonts w:ascii="Times New Roman" w:eastAsia="Times New Roman" w:hAnsi="Times New Roman" w:cs="Times New Roman"/>
                <w:iCs/>
                <w:sz w:val="24"/>
                <w:szCs w:val="24"/>
                <w:lang w:eastAsia="lv-LV"/>
              </w:rPr>
              <w:t xml:space="preserve">Eiropas Komisijas 2018. gada 19. decembra īstenošanas regula Nr. 2018/2066 </w:t>
            </w:r>
            <w:r w:rsidRPr="007844BF">
              <w:rPr>
                <w:rFonts w:ascii="Times New Roman" w:hAnsi="Times New Roman"/>
                <w:sz w:val="24"/>
                <w:szCs w:val="24"/>
              </w:rPr>
              <w:t xml:space="preserve">par siltumnīcefekta gāzu emisiju monitoringu un ziņošanu saskaņā ar Eiropas Parlamenta un Padomes Direktīvu 2003/87/EK un ar ko groza </w:t>
            </w:r>
            <w:r w:rsidRPr="007844BF">
              <w:rPr>
                <w:rFonts w:ascii="Times New Roman" w:hAnsi="Times New Roman"/>
                <w:sz w:val="24"/>
                <w:szCs w:val="24"/>
              </w:rPr>
              <w:lastRenderedPageBreak/>
              <w:t>Komisijas Regulu (ES) Nr. 601/2012 (turpmāk – regula Nr. 2018/2066)</w:t>
            </w:r>
            <w:r>
              <w:rPr>
                <w:rFonts w:ascii="Times New Roman" w:hAnsi="Times New Roman"/>
                <w:sz w:val="24"/>
                <w:szCs w:val="24"/>
              </w:rPr>
              <w:t>;</w:t>
            </w:r>
          </w:p>
          <w:p w14:paraId="063641C9" w14:textId="641704EC" w:rsidR="00167D64" w:rsidRPr="007844BF" w:rsidRDefault="00167D64" w:rsidP="00167D64">
            <w:pPr>
              <w:pStyle w:val="ListParagraph"/>
              <w:numPr>
                <w:ilvl w:val="0"/>
                <w:numId w:val="7"/>
              </w:numPr>
              <w:spacing w:after="0" w:line="240" w:lineRule="auto"/>
              <w:jc w:val="both"/>
              <w:rPr>
                <w:rFonts w:ascii="Times New Roman" w:hAnsi="Times New Roman"/>
                <w:sz w:val="24"/>
                <w:szCs w:val="24"/>
              </w:rPr>
            </w:pPr>
            <w:r w:rsidRPr="007844BF">
              <w:rPr>
                <w:rFonts w:ascii="Times New Roman" w:hAnsi="Times New Roman"/>
                <w:sz w:val="24"/>
                <w:szCs w:val="24"/>
              </w:rPr>
              <w:t>Eiropas Komisijas 2018. gada 19. decembra Īstenošanas regula Nr. 2018/2067 par datu verifikāciju un verificētāju akreditāciju saskaņā ar Eiropas Parlamenta un Padomes Direktīvu 2003/87/EK (turpmāk – regula Nr. 2018/2067);</w:t>
            </w:r>
          </w:p>
          <w:p w14:paraId="2A546C17" w14:textId="1943AA2F" w:rsidR="00E06355" w:rsidRPr="00E06355" w:rsidRDefault="00E06355" w:rsidP="00E06355">
            <w:pPr>
              <w:pStyle w:val="ListParagraph"/>
              <w:numPr>
                <w:ilvl w:val="0"/>
                <w:numId w:val="7"/>
              </w:numPr>
              <w:spacing w:after="0" w:line="240" w:lineRule="auto"/>
              <w:jc w:val="both"/>
              <w:rPr>
                <w:rFonts w:ascii="Times New Roman" w:hAnsi="Times New Roman"/>
                <w:sz w:val="24"/>
                <w:szCs w:val="24"/>
              </w:rPr>
            </w:pPr>
            <w:r w:rsidRPr="00E06355">
              <w:rPr>
                <w:rFonts w:ascii="Times New Roman" w:eastAsia="Times New Roman" w:hAnsi="Times New Roman" w:cs="Times New Roman"/>
                <w:iCs/>
                <w:sz w:val="24"/>
                <w:szCs w:val="24"/>
                <w:lang w:eastAsia="lv-LV"/>
              </w:rPr>
              <w:t>Eiropas Komisijas 2018. gada 19. decembra deleģētā regula 2019/331, ar ko nosaka Savienības mēroga pārejas noteikumus saskaņotai bezmaksas emisijas kvotu iedalei saskaņā ar Eiropas Parlamenta un Padomes Direktīvas 2003/87/EK 10.a pantu</w:t>
            </w:r>
            <w:r>
              <w:rPr>
                <w:rFonts w:ascii="Times New Roman" w:eastAsia="Times New Roman" w:hAnsi="Times New Roman" w:cs="Times New Roman"/>
                <w:iCs/>
                <w:sz w:val="24"/>
                <w:szCs w:val="24"/>
                <w:lang w:eastAsia="lv-LV"/>
              </w:rPr>
              <w:t>;</w:t>
            </w:r>
          </w:p>
          <w:p w14:paraId="4836A16D" w14:textId="4D7E1C9F" w:rsidR="00B86216" w:rsidRPr="00B86216" w:rsidRDefault="00B86216" w:rsidP="00B86216">
            <w:pPr>
              <w:pStyle w:val="ListParagraph"/>
              <w:numPr>
                <w:ilvl w:val="0"/>
                <w:numId w:val="7"/>
              </w:numPr>
              <w:spacing w:after="0" w:line="240" w:lineRule="auto"/>
              <w:jc w:val="both"/>
              <w:rPr>
                <w:rFonts w:ascii="Times New Roman" w:hAnsi="Times New Roman"/>
                <w:sz w:val="24"/>
                <w:szCs w:val="24"/>
              </w:rPr>
            </w:pPr>
            <w:r w:rsidRPr="007844BF">
              <w:rPr>
                <w:rFonts w:ascii="Times New Roman" w:eastAsia="Times New Roman" w:hAnsi="Times New Roman" w:cs="Times New Roman"/>
                <w:iCs/>
                <w:sz w:val="24"/>
                <w:szCs w:val="24"/>
                <w:lang w:eastAsia="lv-LV"/>
              </w:rPr>
              <w:t>Eiropas Komisijas 2019. gada 31. oktobra regula Nr. 2019/1842 ar ko nosaka noteikumus Eiropas Parlamenta un Padomes Direktīvas 2003/87/EK piemērošanai attiecībā uz sīkāku kārtību, kā izdarāmi bezmaksas emisijas kvotu iedales pielāgojumi sakarā ar darbības līmeņa izmaiņām (turpmāk – regula Nr. 2019/1842)</w:t>
            </w:r>
            <w:r>
              <w:rPr>
                <w:rFonts w:ascii="Times New Roman" w:eastAsia="Times New Roman" w:hAnsi="Times New Roman" w:cs="Times New Roman"/>
                <w:iCs/>
                <w:sz w:val="24"/>
                <w:szCs w:val="24"/>
                <w:lang w:eastAsia="lv-LV"/>
              </w:rPr>
              <w:t>.</w:t>
            </w:r>
          </w:p>
          <w:p w14:paraId="767CDF24" w14:textId="77777777" w:rsidR="00167D64" w:rsidRPr="007844BF" w:rsidRDefault="00167D64" w:rsidP="00167D64">
            <w:pPr>
              <w:spacing w:after="0" w:line="240" w:lineRule="auto"/>
              <w:jc w:val="both"/>
              <w:rPr>
                <w:rFonts w:ascii="Times New Roman" w:hAnsi="Times New Roman"/>
                <w:sz w:val="24"/>
                <w:szCs w:val="24"/>
              </w:rPr>
            </w:pPr>
          </w:p>
          <w:p w14:paraId="4FC10C73" w14:textId="5C33E7A7" w:rsidR="00167D64" w:rsidRDefault="00167D64" w:rsidP="00167D64">
            <w:pPr>
              <w:spacing w:after="0" w:line="240" w:lineRule="auto"/>
              <w:jc w:val="both"/>
              <w:rPr>
                <w:rFonts w:ascii="Times New Roman" w:hAnsi="Times New Roman"/>
                <w:sz w:val="24"/>
                <w:szCs w:val="24"/>
              </w:rPr>
            </w:pPr>
            <w:r w:rsidRPr="007844BF">
              <w:rPr>
                <w:rFonts w:ascii="Times New Roman" w:eastAsia="Times New Roman" w:hAnsi="Times New Roman" w:cs="Times New Roman"/>
                <w:iCs/>
                <w:sz w:val="24"/>
                <w:szCs w:val="24"/>
                <w:lang w:eastAsia="lv-LV"/>
              </w:rPr>
              <w:t xml:space="preserve">Noteikumus Nr. 769 ir nepieciešams pielāgot minēto </w:t>
            </w:r>
            <w:r w:rsidR="005C1ABB">
              <w:rPr>
                <w:rFonts w:ascii="Times New Roman" w:eastAsia="Times New Roman" w:hAnsi="Times New Roman" w:cs="Times New Roman"/>
                <w:iCs/>
                <w:sz w:val="24"/>
                <w:szCs w:val="24"/>
                <w:lang w:eastAsia="lv-LV"/>
              </w:rPr>
              <w:t xml:space="preserve">ES juridisko instrumentu </w:t>
            </w:r>
            <w:r w:rsidR="005C1ABB">
              <w:rPr>
                <w:rFonts w:ascii="Times New Roman" w:eastAsia="Times New Roman" w:hAnsi="Times New Roman" w:cs="Times New Roman"/>
                <w:iCs/>
                <w:sz w:val="24"/>
                <w:szCs w:val="24"/>
                <w:lang w:eastAsia="lv-LV"/>
              </w:rPr>
              <w:noBreakHyphen/>
              <w:t xml:space="preserve"> </w:t>
            </w:r>
            <w:r w:rsidRPr="007844BF">
              <w:rPr>
                <w:rFonts w:ascii="Times New Roman" w:eastAsia="Times New Roman" w:hAnsi="Times New Roman" w:cs="Times New Roman"/>
                <w:iCs/>
                <w:sz w:val="24"/>
                <w:szCs w:val="24"/>
                <w:lang w:eastAsia="lv-LV"/>
              </w:rPr>
              <w:t xml:space="preserve">regulu prasībām, lai </w:t>
            </w:r>
            <w:r w:rsidR="005C1ABB">
              <w:rPr>
                <w:rFonts w:ascii="Times New Roman" w:eastAsia="Times New Roman" w:hAnsi="Times New Roman" w:cs="Times New Roman"/>
                <w:iCs/>
                <w:sz w:val="24"/>
                <w:szCs w:val="24"/>
                <w:lang w:eastAsia="lv-LV"/>
              </w:rPr>
              <w:t>salāgotu spēkā esošo Latvijas normatīvo regulējumu ar minēto regulu prasībām</w:t>
            </w:r>
            <w:r w:rsidRPr="007844BF">
              <w:rPr>
                <w:rFonts w:ascii="Times New Roman" w:hAnsi="Times New Roman"/>
                <w:sz w:val="24"/>
                <w:szCs w:val="24"/>
              </w:rPr>
              <w:t xml:space="preserve">. Papildus tas </w:t>
            </w:r>
            <w:r w:rsidR="009E38DE" w:rsidRPr="007844BF">
              <w:rPr>
                <w:rFonts w:ascii="Times New Roman" w:hAnsi="Times New Roman"/>
                <w:sz w:val="24"/>
                <w:szCs w:val="24"/>
              </w:rPr>
              <w:t>nodrošinā</w:t>
            </w:r>
            <w:r w:rsidR="009E38DE">
              <w:rPr>
                <w:rFonts w:ascii="Times New Roman" w:hAnsi="Times New Roman"/>
                <w:sz w:val="24"/>
                <w:szCs w:val="24"/>
              </w:rPr>
              <w:t>s</w:t>
            </w:r>
            <w:r w:rsidR="009E38DE" w:rsidRPr="007844BF">
              <w:rPr>
                <w:rFonts w:ascii="Times New Roman" w:hAnsi="Times New Roman"/>
                <w:sz w:val="24"/>
                <w:szCs w:val="24"/>
              </w:rPr>
              <w:t xml:space="preserve"> </w:t>
            </w:r>
            <w:r w:rsidRPr="007844BF">
              <w:rPr>
                <w:rFonts w:ascii="Times New Roman" w:hAnsi="Times New Roman"/>
                <w:sz w:val="24"/>
                <w:szCs w:val="24"/>
              </w:rPr>
              <w:t>ES ETS funkcionēšanu Latvijā ceturtajā periodā, saskaņoti ar visām E</w:t>
            </w:r>
            <w:r w:rsidR="005C1ABB">
              <w:rPr>
                <w:rFonts w:ascii="Times New Roman" w:hAnsi="Times New Roman"/>
                <w:sz w:val="24"/>
                <w:szCs w:val="24"/>
              </w:rPr>
              <w:t>S</w:t>
            </w:r>
            <w:r w:rsidRPr="007844BF">
              <w:rPr>
                <w:rFonts w:ascii="Times New Roman" w:hAnsi="Times New Roman"/>
                <w:sz w:val="24"/>
                <w:szCs w:val="24"/>
              </w:rPr>
              <w:t xml:space="preserve"> dalībvalstīm.</w:t>
            </w:r>
          </w:p>
          <w:p w14:paraId="476168DF" w14:textId="77777777" w:rsidR="00095A31" w:rsidRPr="007844BF" w:rsidRDefault="00095A31" w:rsidP="00167D64">
            <w:pPr>
              <w:spacing w:after="0" w:line="240" w:lineRule="auto"/>
              <w:jc w:val="both"/>
              <w:rPr>
                <w:rFonts w:ascii="Times New Roman" w:hAnsi="Times New Roman"/>
                <w:sz w:val="24"/>
                <w:szCs w:val="24"/>
              </w:rPr>
            </w:pPr>
          </w:p>
          <w:p w14:paraId="0733A91A" w14:textId="264B8D74" w:rsidR="00977D6E" w:rsidRPr="00977D6E" w:rsidRDefault="00326C23" w:rsidP="00977D6E">
            <w:pPr>
              <w:spacing w:after="0" w:line="240" w:lineRule="auto"/>
              <w:jc w:val="both"/>
              <w:rPr>
                <w:rFonts w:ascii="Times New Roman" w:hAnsi="Times New Roman"/>
                <w:sz w:val="24"/>
                <w:szCs w:val="24"/>
              </w:rPr>
            </w:pPr>
            <w:r w:rsidRPr="00977D6E">
              <w:rPr>
                <w:rFonts w:ascii="Times New Roman" w:hAnsi="Times New Roman"/>
                <w:sz w:val="24"/>
                <w:szCs w:val="24"/>
              </w:rPr>
              <w:t>Noteikumu projekts paredz:</w:t>
            </w:r>
            <w:r w:rsidR="00095A31" w:rsidRPr="00977D6E">
              <w:rPr>
                <w:rFonts w:ascii="Times New Roman" w:hAnsi="Times New Roman"/>
                <w:sz w:val="24"/>
                <w:szCs w:val="24"/>
              </w:rPr>
              <w:t xml:space="preserve"> </w:t>
            </w:r>
          </w:p>
          <w:p w14:paraId="0B49D378" w14:textId="35142F37" w:rsidR="00903D02" w:rsidRPr="00AC40D0" w:rsidRDefault="00064ED7" w:rsidP="00A4019E">
            <w:pPr>
              <w:pStyle w:val="ListParagraph"/>
              <w:numPr>
                <w:ilvl w:val="0"/>
                <w:numId w:val="8"/>
              </w:numPr>
              <w:spacing w:after="0" w:line="240" w:lineRule="auto"/>
              <w:ind w:left="714" w:hanging="357"/>
              <w:contextualSpacing w:val="0"/>
              <w:jc w:val="both"/>
              <w:rPr>
                <w:rFonts w:ascii="Times New Roman" w:hAnsi="Times New Roman"/>
                <w:sz w:val="24"/>
                <w:szCs w:val="24"/>
              </w:rPr>
            </w:pPr>
            <w:r w:rsidRPr="00AC40D0">
              <w:rPr>
                <w:rFonts w:ascii="Times New Roman" w:hAnsi="Times New Roman"/>
                <w:sz w:val="24"/>
                <w:szCs w:val="24"/>
              </w:rPr>
              <w:t xml:space="preserve">Norādīt, ka noteikumi </w:t>
            </w:r>
            <w:r w:rsidR="006E42AB" w:rsidRPr="00AC40D0">
              <w:rPr>
                <w:rFonts w:ascii="Times New Roman" w:hAnsi="Times New Roman"/>
                <w:sz w:val="24"/>
                <w:szCs w:val="24"/>
              </w:rPr>
              <w:t xml:space="preserve">balstoties uz </w:t>
            </w:r>
            <w:r w:rsidRPr="00AC40D0">
              <w:rPr>
                <w:rFonts w:ascii="Times New Roman" w:hAnsi="Times New Roman"/>
                <w:sz w:val="24"/>
                <w:szCs w:val="24"/>
              </w:rPr>
              <w:t xml:space="preserve">likuma “Par atbilstības novērtēšanu” 7. panta </w:t>
            </w:r>
            <w:r w:rsidR="006E42AB" w:rsidRPr="00AC40D0">
              <w:rPr>
                <w:rFonts w:ascii="Times New Roman" w:hAnsi="Times New Roman"/>
                <w:sz w:val="24"/>
                <w:szCs w:val="24"/>
              </w:rPr>
              <w:t>pirmo daļu</w:t>
            </w:r>
            <w:r w:rsidR="001E2ECD" w:rsidRPr="00AC40D0">
              <w:rPr>
                <w:rFonts w:ascii="Times New Roman" w:hAnsi="Times New Roman"/>
                <w:sz w:val="24"/>
                <w:szCs w:val="24"/>
              </w:rPr>
              <w:t xml:space="preserve"> nosaka</w:t>
            </w:r>
            <w:r w:rsidR="00936276" w:rsidRPr="00AC40D0">
              <w:rPr>
                <w:rFonts w:ascii="Times New Roman" w:hAnsi="Times New Roman"/>
                <w:sz w:val="24"/>
                <w:szCs w:val="24"/>
              </w:rPr>
              <w:t xml:space="preserve"> verificētāja (atbilstības novērtēšanas objekta) pienākumu un akreditācijas (ievērošanas uzraudzības mehānismi) nosacījumus</w:t>
            </w:r>
            <w:r w:rsidR="0037531C">
              <w:rPr>
                <w:rFonts w:ascii="Times New Roman" w:hAnsi="Times New Roman"/>
                <w:sz w:val="24"/>
                <w:szCs w:val="24"/>
              </w:rPr>
              <w:t>.</w:t>
            </w:r>
          </w:p>
          <w:p w14:paraId="088D8F8A" w14:textId="793302B4" w:rsidR="00326C23" w:rsidRDefault="0037531C" w:rsidP="00A4019E">
            <w:pPr>
              <w:pStyle w:val="ListParagraph"/>
              <w:numPr>
                <w:ilvl w:val="0"/>
                <w:numId w:val="8"/>
              </w:numPr>
              <w:spacing w:after="0" w:line="240" w:lineRule="auto"/>
              <w:ind w:left="714" w:hanging="357"/>
              <w:contextualSpacing w:val="0"/>
              <w:jc w:val="both"/>
              <w:rPr>
                <w:rFonts w:ascii="Times New Roman" w:hAnsi="Times New Roman"/>
                <w:sz w:val="24"/>
                <w:szCs w:val="24"/>
              </w:rPr>
            </w:pPr>
            <w:r>
              <w:rPr>
                <w:rFonts w:ascii="Times New Roman" w:hAnsi="Times New Roman"/>
                <w:sz w:val="24"/>
                <w:szCs w:val="24"/>
              </w:rPr>
              <w:t>N</w:t>
            </w:r>
            <w:r w:rsidR="00757E6D" w:rsidRPr="007844BF">
              <w:rPr>
                <w:rFonts w:ascii="Times New Roman" w:hAnsi="Times New Roman"/>
                <w:sz w:val="24"/>
                <w:szCs w:val="24"/>
              </w:rPr>
              <w:t xml:space="preserve">oteikt </w:t>
            </w:r>
            <w:r w:rsidR="00326C23" w:rsidRPr="007844BF">
              <w:rPr>
                <w:rFonts w:ascii="Times New Roman" w:hAnsi="Times New Roman"/>
                <w:sz w:val="24"/>
                <w:szCs w:val="24"/>
              </w:rPr>
              <w:t>kārtību, kādā iesniedz, pārbauda un apstiprina ikgadējo darbības līmeņa izmaiņu ziņojumu (turpmāk</w:t>
            </w:r>
            <w:r w:rsidR="00A93462">
              <w:rPr>
                <w:rFonts w:ascii="Times New Roman" w:hAnsi="Times New Roman"/>
                <w:sz w:val="24"/>
                <w:szCs w:val="24"/>
              </w:rPr>
              <w:t> </w:t>
            </w:r>
            <w:r w:rsidR="00326C23" w:rsidRPr="007844BF">
              <w:rPr>
                <w:rFonts w:ascii="Times New Roman" w:hAnsi="Times New Roman"/>
                <w:sz w:val="24"/>
                <w:szCs w:val="24"/>
              </w:rPr>
              <w:t>–</w:t>
            </w:r>
            <w:r w:rsidR="00A93462">
              <w:rPr>
                <w:rFonts w:ascii="Times New Roman" w:hAnsi="Times New Roman"/>
                <w:sz w:val="24"/>
                <w:szCs w:val="24"/>
              </w:rPr>
              <w:t> </w:t>
            </w:r>
            <w:r w:rsidR="00326C23" w:rsidRPr="007844BF">
              <w:rPr>
                <w:rFonts w:ascii="Times New Roman" w:hAnsi="Times New Roman"/>
                <w:sz w:val="24"/>
                <w:szCs w:val="24"/>
              </w:rPr>
              <w:t>darbības līmeņa ziņojums)</w:t>
            </w:r>
            <w:r w:rsidR="006E6F10" w:rsidRPr="007844BF">
              <w:rPr>
                <w:rFonts w:ascii="Times New Roman" w:hAnsi="Times New Roman"/>
                <w:sz w:val="24"/>
                <w:szCs w:val="24"/>
              </w:rPr>
              <w:t xml:space="preserve"> balstoties uz </w:t>
            </w:r>
            <w:r w:rsidR="006E6F10" w:rsidRPr="007844BF">
              <w:rPr>
                <w:rFonts w:ascii="Times New Roman" w:eastAsia="Times New Roman" w:hAnsi="Times New Roman" w:cs="Times New Roman"/>
                <w:iCs/>
                <w:sz w:val="24"/>
                <w:szCs w:val="24"/>
                <w:lang w:eastAsia="lv-LV"/>
              </w:rPr>
              <w:t>regulā Nr. 2019/1842 noteikto</w:t>
            </w:r>
            <w:r>
              <w:rPr>
                <w:rFonts w:ascii="Times New Roman" w:hAnsi="Times New Roman"/>
                <w:sz w:val="24"/>
                <w:szCs w:val="24"/>
              </w:rPr>
              <w:t>.</w:t>
            </w:r>
          </w:p>
          <w:p w14:paraId="285C8A9A" w14:textId="73FA1A35" w:rsidR="00EA211F" w:rsidRPr="007844BF" w:rsidRDefault="0037531C" w:rsidP="00A4019E">
            <w:pPr>
              <w:pStyle w:val="ListParagraph"/>
              <w:numPr>
                <w:ilvl w:val="0"/>
                <w:numId w:val="8"/>
              </w:numPr>
              <w:spacing w:after="0" w:line="240" w:lineRule="auto"/>
              <w:ind w:left="714" w:hanging="357"/>
              <w:contextualSpacing w:val="0"/>
              <w:jc w:val="both"/>
              <w:rPr>
                <w:rFonts w:ascii="Times New Roman" w:hAnsi="Times New Roman"/>
                <w:sz w:val="24"/>
                <w:szCs w:val="24"/>
              </w:rPr>
            </w:pPr>
            <w:r>
              <w:rPr>
                <w:rFonts w:ascii="Times New Roman" w:hAnsi="Times New Roman"/>
                <w:sz w:val="24"/>
                <w:szCs w:val="24"/>
              </w:rPr>
              <w:t>N</w:t>
            </w:r>
            <w:r w:rsidR="00757E6D">
              <w:rPr>
                <w:rFonts w:ascii="Times New Roman" w:hAnsi="Times New Roman"/>
                <w:sz w:val="24"/>
                <w:szCs w:val="24"/>
              </w:rPr>
              <w:t xml:space="preserve">oteikt </w:t>
            </w:r>
            <w:r w:rsidR="00EA211F">
              <w:rPr>
                <w:rFonts w:ascii="Times New Roman" w:hAnsi="Times New Roman"/>
                <w:sz w:val="24"/>
                <w:szCs w:val="24"/>
              </w:rPr>
              <w:t>sankcijas par darbības līmeņa ziņojuma laicīgu neiesniegšanu VVD</w:t>
            </w:r>
            <w:r>
              <w:rPr>
                <w:rFonts w:ascii="Times New Roman" w:hAnsi="Times New Roman"/>
                <w:sz w:val="24"/>
                <w:szCs w:val="24"/>
              </w:rPr>
              <w:t>.</w:t>
            </w:r>
          </w:p>
          <w:p w14:paraId="4F2DDBAB" w14:textId="257E0EF1" w:rsidR="006E6F10" w:rsidRPr="007844BF" w:rsidRDefault="0037531C" w:rsidP="00A4019E">
            <w:pPr>
              <w:pStyle w:val="ListParagraph"/>
              <w:numPr>
                <w:ilvl w:val="0"/>
                <w:numId w:val="8"/>
              </w:numPr>
              <w:spacing w:after="0" w:line="240" w:lineRule="auto"/>
              <w:ind w:left="714" w:hanging="357"/>
              <w:contextualSpacing w:val="0"/>
              <w:jc w:val="both"/>
              <w:rPr>
                <w:rFonts w:ascii="Times New Roman" w:eastAsia="Times New Roman" w:hAnsi="Times New Roman" w:cs="Times New Roman"/>
                <w:iCs/>
                <w:sz w:val="24"/>
                <w:szCs w:val="24"/>
                <w:lang w:eastAsia="lv-LV"/>
              </w:rPr>
            </w:pPr>
            <w:r>
              <w:rPr>
                <w:rFonts w:ascii="Times New Roman" w:hAnsi="Times New Roman"/>
                <w:sz w:val="24"/>
                <w:szCs w:val="24"/>
              </w:rPr>
              <w:t>R</w:t>
            </w:r>
            <w:r w:rsidR="00757E6D" w:rsidRPr="007844BF">
              <w:rPr>
                <w:rFonts w:ascii="Times New Roman" w:hAnsi="Times New Roman"/>
                <w:sz w:val="24"/>
                <w:szCs w:val="24"/>
              </w:rPr>
              <w:t xml:space="preserve">edakcionālus </w:t>
            </w:r>
            <w:r w:rsidR="006E6F10" w:rsidRPr="007844BF">
              <w:rPr>
                <w:rFonts w:ascii="Times New Roman" w:hAnsi="Times New Roman"/>
                <w:sz w:val="24"/>
                <w:szCs w:val="24"/>
              </w:rPr>
              <w:t>precizējumus</w:t>
            </w:r>
            <w:r w:rsidR="00326C23" w:rsidRPr="007844BF">
              <w:rPr>
                <w:rFonts w:ascii="Times New Roman" w:hAnsi="Times New Roman"/>
                <w:sz w:val="24"/>
                <w:szCs w:val="24"/>
              </w:rPr>
              <w:t xml:space="preserve">, ņemot vērā, ka ar regulu Nr. 2018/2067 tiek atcelta </w:t>
            </w:r>
            <w:r w:rsidR="006E0D5F">
              <w:rPr>
                <w:rFonts w:ascii="Times New Roman" w:hAnsi="Times New Roman"/>
                <w:sz w:val="24"/>
                <w:szCs w:val="24"/>
              </w:rPr>
              <w:t xml:space="preserve">ar </w:t>
            </w:r>
            <w:r w:rsidR="00326C23" w:rsidRPr="007844BF">
              <w:rPr>
                <w:rFonts w:ascii="Times New Roman" w:eastAsia="Times New Roman" w:hAnsi="Times New Roman" w:cs="Times New Roman"/>
                <w:iCs/>
                <w:sz w:val="24"/>
                <w:szCs w:val="24"/>
                <w:lang w:eastAsia="lv-LV"/>
              </w:rPr>
              <w:t>Eiropas Komisijas 2012.</w:t>
            </w:r>
            <w:r w:rsidR="006E6F10" w:rsidRPr="007844BF">
              <w:rPr>
                <w:rFonts w:ascii="Times New Roman" w:eastAsia="Times New Roman" w:hAnsi="Times New Roman" w:cs="Times New Roman"/>
                <w:iCs/>
                <w:sz w:val="24"/>
                <w:szCs w:val="24"/>
                <w:lang w:eastAsia="lv-LV"/>
              </w:rPr>
              <w:t> </w:t>
            </w:r>
            <w:r w:rsidR="00326C23" w:rsidRPr="007844BF">
              <w:rPr>
                <w:rFonts w:ascii="Times New Roman" w:eastAsia="Times New Roman" w:hAnsi="Times New Roman" w:cs="Times New Roman"/>
                <w:iCs/>
                <w:sz w:val="24"/>
                <w:szCs w:val="24"/>
                <w:lang w:eastAsia="lv-LV"/>
              </w:rPr>
              <w:t>gada 21.</w:t>
            </w:r>
            <w:r w:rsidR="006E6F10" w:rsidRPr="007844BF">
              <w:rPr>
                <w:rFonts w:ascii="Times New Roman" w:eastAsia="Times New Roman" w:hAnsi="Times New Roman" w:cs="Times New Roman"/>
                <w:iCs/>
                <w:sz w:val="24"/>
                <w:szCs w:val="24"/>
                <w:lang w:eastAsia="lv-LV"/>
              </w:rPr>
              <w:t> </w:t>
            </w:r>
            <w:r w:rsidR="00326C23" w:rsidRPr="007844BF">
              <w:rPr>
                <w:rFonts w:ascii="Times New Roman" w:eastAsia="Times New Roman" w:hAnsi="Times New Roman" w:cs="Times New Roman"/>
                <w:iCs/>
                <w:sz w:val="24"/>
                <w:szCs w:val="24"/>
                <w:lang w:eastAsia="lv-LV"/>
              </w:rPr>
              <w:t xml:space="preserve">jūnija </w:t>
            </w:r>
            <w:r w:rsidR="006E0D5F">
              <w:rPr>
                <w:rFonts w:ascii="Times New Roman" w:eastAsia="Times New Roman" w:hAnsi="Times New Roman" w:cs="Times New Roman"/>
                <w:iCs/>
                <w:sz w:val="24"/>
                <w:szCs w:val="24"/>
                <w:lang w:eastAsia="lv-LV"/>
              </w:rPr>
              <w:t>regulu</w:t>
            </w:r>
            <w:r w:rsidR="00326C23" w:rsidRPr="007844BF">
              <w:rPr>
                <w:rFonts w:ascii="Times New Roman" w:eastAsia="Times New Roman" w:hAnsi="Times New Roman" w:cs="Times New Roman"/>
                <w:iCs/>
                <w:sz w:val="24"/>
                <w:szCs w:val="24"/>
                <w:lang w:eastAsia="lv-LV"/>
              </w:rPr>
              <w:t xml:space="preserve"> Nr. 600/2012 par siltumnīcefekta gāzu ziņojumu un tonnkilometru ziņojumu verifikāciju un par verificētāju akreditāciju saskaņā ar Eiropas Parlamenta un Padomes Direktīvu 2003/87/EK</w:t>
            </w:r>
            <w:r w:rsidR="006E6F10" w:rsidRPr="007844BF">
              <w:rPr>
                <w:rFonts w:ascii="Times New Roman" w:eastAsia="Times New Roman" w:hAnsi="Times New Roman" w:cs="Times New Roman"/>
                <w:iCs/>
                <w:sz w:val="24"/>
                <w:szCs w:val="24"/>
                <w:lang w:eastAsia="lv-LV"/>
              </w:rPr>
              <w:t xml:space="preserve">, ņemot vērā, ka šī regula noteica  ES ETS </w:t>
            </w:r>
            <w:r w:rsidR="006E6F10" w:rsidRPr="007844BF">
              <w:rPr>
                <w:rFonts w:ascii="Times New Roman" w:eastAsia="Times New Roman" w:hAnsi="Times New Roman" w:cs="Times New Roman"/>
                <w:iCs/>
                <w:sz w:val="24"/>
                <w:szCs w:val="24"/>
                <w:lang w:eastAsia="lv-LV"/>
              </w:rPr>
              <w:lastRenderedPageBreak/>
              <w:t>operatoru ikgadējo emisiju ziņojumu verifikāciju un verificēšanas veicēju akreditāciju un atsauce uz to ir attiecīgi novecojusi</w:t>
            </w:r>
            <w:r>
              <w:rPr>
                <w:rFonts w:ascii="Times New Roman" w:eastAsia="Times New Roman" w:hAnsi="Times New Roman" w:cs="Times New Roman"/>
                <w:iCs/>
                <w:sz w:val="24"/>
                <w:szCs w:val="24"/>
                <w:lang w:eastAsia="lv-LV"/>
              </w:rPr>
              <w:t>.</w:t>
            </w:r>
          </w:p>
          <w:p w14:paraId="46C6D318" w14:textId="77EEA95A" w:rsidR="00326C23" w:rsidRDefault="0037531C" w:rsidP="00A4019E">
            <w:pPr>
              <w:pStyle w:val="ListParagraph"/>
              <w:numPr>
                <w:ilvl w:val="0"/>
                <w:numId w:val="8"/>
              </w:numPr>
              <w:spacing w:after="0" w:line="240" w:lineRule="auto"/>
              <w:ind w:left="714" w:hanging="357"/>
              <w:contextualSpacing w:val="0"/>
              <w:jc w:val="both"/>
              <w:rPr>
                <w:rFonts w:ascii="Times New Roman" w:hAnsi="Times New Roman"/>
                <w:sz w:val="24"/>
                <w:szCs w:val="24"/>
              </w:rPr>
            </w:pPr>
            <w:r>
              <w:rPr>
                <w:rFonts w:ascii="Times New Roman" w:hAnsi="Times New Roman"/>
                <w:sz w:val="24"/>
                <w:szCs w:val="24"/>
              </w:rPr>
              <w:t>P</w:t>
            </w:r>
            <w:r w:rsidR="00757E6D" w:rsidRPr="007844BF">
              <w:rPr>
                <w:rFonts w:ascii="Times New Roman" w:hAnsi="Times New Roman"/>
                <w:sz w:val="24"/>
                <w:szCs w:val="24"/>
              </w:rPr>
              <w:t>recizē</w:t>
            </w:r>
            <w:r w:rsidR="00757E6D">
              <w:rPr>
                <w:rFonts w:ascii="Times New Roman" w:hAnsi="Times New Roman"/>
                <w:sz w:val="24"/>
                <w:szCs w:val="24"/>
              </w:rPr>
              <w:t>t</w:t>
            </w:r>
            <w:r w:rsidR="00757E6D" w:rsidRPr="007844BF">
              <w:rPr>
                <w:rFonts w:ascii="Times New Roman" w:hAnsi="Times New Roman"/>
                <w:sz w:val="24"/>
                <w:szCs w:val="24"/>
              </w:rPr>
              <w:t xml:space="preserve"> </w:t>
            </w:r>
            <w:r w:rsidR="006E6F10" w:rsidRPr="007844BF">
              <w:rPr>
                <w:rFonts w:ascii="Times New Roman" w:hAnsi="Times New Roman"/>
                <w:sz w:val="24"/>
                <w:szCs w:val="24"/>
              </w:rPr>
              <w:t>ES ETS operatora pienākumus saistībā ar ikgadēj</w:t>
            </w:r>
            <w:r w:rsidR="009E38DE">
              <w:rPr>
                <w:rFonts w:ascii="Times New Roman" w:hAnsi="Times New Roman"/>
                <w:sz w:val="24"/>
                <w:szCs w:val="24"/>
              </w:rPr>
              <w:t>o</w:t>
            </w:r>
            <w:r w:rsidR="006E6F10" w:rsidRPr="007844BF">
              <w:rPr>
                <w:rFonts w:ascii="Times New Roman" w:hAnsi="Times New Roman"/>
                <w:sz w:val="24"/>
                <w:szCs w:val="24"/>
              </w:rPr>
              <w:t xml:space="preserve"> ziņojumu iesniegšanu </w:t>
            </w:r>
            <w:r w:rsidR="007844BF" w:rsidRPr="007844BF">
              <w:rPr>
                <w:rFonts w:ascii="Times New Roman" w:hAnsi="Times New Roman"/>
                <w:sz w:val="24"/>
                <w:szCs w:val="24"/>
              </w:rPr>
              <w:t>Valsts vides dienestā (turpmāk – VVD)</w:t>
            </w:r>
            <w:r>
              <w:rPr>
                <w:rFonts w:ascii="Times New Roman" w:hAnsi="Times New Roman"/>
                <w:sz w:val="24"/>
                <w:szCs w:val="24"/>
              </w:rPr>
              <w:t>.</w:t>
            </w:r>
          </w:p>
          <w:p w14:paraId="52380593" w14:textId="55559233" w:rsidR="006E0D5F" w:rsidRPr="007844BF" w:rsidRDefault="0037531C" w:rsidP="00A4019E">
            <w:pPr>
              <w:pStyle w:val="ListParagraph"/>
              <w:numPr>
                <w:ilvl w:val="0"/>
                <w:numId w:val="8"/>
              </w:numPr>
              <w:spacing w:after="0" w:line="240" w:lineRule="auto"/>
              <w:ind w:left="714" w:hanging="357"/>
              <w:contextualSpacing w:val="0"/>
              <w:jc w:val="both"/>
              <w:rPr>
                <w:rFonts w:ascii="Times New Roman" w:hAnsi="Times New Roman"/>
                <w:sz w:val="24"/>
                <w:szCs w:val="24"/>
              </w:rPr>
            </w:pPr>
            <w:r>
              <w:rPr>
                <w:rFonts w:ascii="Times New Roman" w:hAnsi="Times New Roman"/>
                <w:sz w:val="24"/>
                <w:szCs w:val="24"/>
              </w:rPr>
              <w:t>R</w:t>
            </w:r>
            <w:r w:rsidR="00757E6D">
              <w:rPr>
                <w:rFonts w:ascii="Times New Roman" w:hAnsi="Times New Roman"/>
                <w:sz w:val="24"/>
                <w:szCs w:val="24"/>
              </w:rPr>
              <w:t xml:space="preserve">edakcionālus </w:t>
            </w:r>
            <w:r w:rsidR="006E0D5F">
              <w:rPr>
                <w:rFonts w:ascii="Times New Roman" w:hAnsi="Times New Roman"/>
                <w:sz w:val="24"/>
                <w:szCs w:val="24"/>
              </w:rPr>
              <w:t>precizējumus attiecībā uz VVD un ES ETS informāciju sistēmām</w:t>
            </w:r>
            <w:r>
              <w:rPr>
                <w:rFonts w:ascii="Times New Roman" w:hAnsi="Times New Roman"/>
                <w:sz w:val="24"/>
                <w:szCs w:val="24"/>
              </w:rPr>
              <w:t>.</w:t>
            </w:r>
          </w:p>
          <w:p w14:paraId="136D94D8" w14:textId="216DCAEA" w:rsidR="006E6F10" w:rsidRPr="007844BF" w:rsidRDefault="0037531C" w:rsidP="00A4019E">
            <w:pPr>
              <w:pStyle w:val="ListParagraph"/>
              <w:numPr>
                <w:ilvl w:val="0"/>
                <w:numId w:val="8"/>
              </w:numPr>
              <w:spacing w:after="0" w:line="240" w:lineRule="auto"/>
              <w:ind w:left="714" w:hanging="357"/>
              <w:contextualSpacing w:val="0"/>
              <w:jc w:val="both"/>
              <w:rPr>
                <w:rFonts w:ascii="Times New Roman" w:hAnsi="Times New Roman"/>
                <w:sz w:val="24"/>
                <w:szCs w:val="24"/>
              </w:rPr>
            </w:pPr>
            <w:r>
              <w:rPr>
                <w:rFonts w:ascii="Times New Roman" w:hAnsi="Times New Roman"/>
                <w:sz w:val="24"/>
                <w:szCs w:val="24"/>
              </w:rPr>
              <w:t>P</w:t>
            </w:r>
            <w:r w:rsidR="00757E6D" w:rsidRPr="007844BF">
              <w:rPr>
                <w:rFonts w:ascii="Times New Roman" w:hAnsi="Times New Roman"/>
                <w:sz w:val="24"/>
                <w:szCs w:val="24"/>
              </w:rPr>
              <w:t>recizē</w:t>
            </w:r>
            <w:r w:rsidR="00757E6D">
              <w:rPr>
                <w:rFonts w:ascii="Times New Roman" w:hAnsi="Times New Roman"/>
                <w:sz w:val="24"/>
                <w:szCs w:val="24"/>
              </w:rPr>
              <w:t>t</w:t>
            </w:r>
            <w:r w:rsidR="00757E6D" w:rsidRPr="007844BF">
              <w:rPr>
                <w:rFonts w:ascii="Times New Roman" w:hAnsi="Times New Roman"/>
                <w:sz w:val="24"/>
                <w:szCs w:val="24"/>
              </w:rPr>
              <w:t xml:space="preserve"> </w:t>
            </w:r>
            <w:r w:rsidR="006E6F10" w:rsidRPr="007844BF">
              <w:rPr>
                <w:rFonts w:ascii="Times New Roman" w:hAnsi="Times New Roman"/>
                <w:sz w:val="24"/>
                <w:szCs w:val="24"/>
              </w:rPr>
              <w:t xml:space="preserve">informācijas publicēšanas </w:t>
            </w:r>
            <w:r w:rsidR="009E38DE">
              <w:rPr>
                <w:rFonts w:ascii="Times New Roman" w:hAnsi="Times New Roman"/>
                <w:sz w:val="24"/>
                <w:szCs w:val="24"/>
              </w:rPr>
              <w:t>pienākumus</w:t>
            </w:r>
            <w:r w:rsidR="009E38DE" w:rsidRPr="007844BF">
              <w:rPr>
                <w:rFonts w:ascii="Times New Roman" w:hAnsi="Times New Roman"/>
                <w:sz w:val="24"/>
                <w:szCs w:val="24"/>
              </w:rPr>
              <w:t xml:space="preserve"> </w:t>
            </w:r>
            <w:r w:rsidR="006E6F10" w:rsidRPr="007844BF">
              <w:rPr>
                <w:rFonts w:ascii="Times New Roman" w:hAnsi="Times New Roman"/>
                <w:sz w:val="24"/>
                <w:szCs w:val="24"/>
              </w:rPr>
              <w:t>starp VARAM un VVD</w:t>
            </w:r>
            <w:r>
              <w:rPr>
                <w:rFonts w:ascii="Times New Roman" w:hAnsi="Times New Roman"/>
                <w:sz w:val="24"/>
                <w:szCs w:val="24"/>
              </w:rPr>
              <w:t>.</w:t>
            </w:r>
          </w:p>
          <w:p w14:paraId="6D61B0B8" w14:textId="6998FD98" w:rsidR="006E6F10" w:rsidRDefault="0037531C" w:rsidP="00A4019E">
            <w:pPr>
              <w:pStyle w:val="ListParagraph"/>
              <w:numPr>
                <w:ilvl w:val="0"/>
                <w:numId w:val="8"/>
              </w:numPr>
              <w:spacing w:after="0" w:line="240" w:lineRule="auto"/>
              <w:ind w:left="714" w:hanging="357"/>
              <w:contextualSpacing w:val="0"/>
              <w:jc w:val="both"/>
              <w:rPr>
                <w:rFonts w:ascii="Times New Roman" w:hAnsi="Times New Roman"/>
                <w:sz w:val="24"/>
                <w:szCs w:val="24"/>
              </w:rPr>
            </w:pPr>
            <w:r>
              <w:rPr>
                <w:rFonts w:ascii="Times New Roman" w:hAnsi="Times New Roman"/>
                <w:sz w:val="24"/>
                <w:szCs w:val="24"/>
              </w:rPr>
              <w:t>P</w:t>
            </w:r>
            <w:r w:rsidR="00757E6D" w:rsidRPr="007844BF">
              <w:rPr>
                <w:rFonts w:ascii="Times New Roman" w:hAnsi="Times New Roman"/>
                <w:sz w:val="24"/>
                <w:szCs w:val="24"/>
              </w:rPr>
              <w:t>recizē</w:t>
            </w:r>
            <w:r w:rsidR="00757E6D">
              <w:rPr>
                <w:rFonts w:ascii="Times New Roman" w:hAnsi="Times New Roman"/>
                <w:sz w:val="24"/>
                <w:szCs w:val="24"/>
              </w:rPr>
              <w:t>t</w:t>
            </w:r>
            <w:r w:rsidR="00757E6D" w:rsidRPr="007844BF">
              <w:rPr>
                <w:rFonts w:ascii="Times New Roman" w:hAnsi="Times New Roman"/>
                <w:sz w:val="24"/>
                <w:szCs w:val="24"/>
              </w:rPr>
              <w:t xml:space="preserve"> </w:t>
            </w:r>
            <w:r w:rsidR="006E6F10" w:rsidRPr="007844BF">
              <w:rPr>
                <w:rFonts w:ascii="Times New Roman" w:hAnsi="Times New Roman"/>
                <w:sz w:val="24"/>
                <w:szCs w:val="24"/>
              </w:rPr>
              <w:t>noteikumus par biomasas pakāpēm, ņemot vērā regulas Nr. 2018/2066 jaunos nosacījumus attiecībā uz biomasu.</w:t>
            </w:r>
          </w:p>
          <w:p w14:paraId="04DA4117" w14:textId="43FFD51D" w:rsidR="00946BEC" w:rsidRDefault="00946BEC" w:rsidP="006519B3">
            <w:pPr>
              <w:spacing w:after="0" w:line="240" w:lineRule="auto"/>
              <w:jc w:val="both"/>
              <w:rPr>
                <w:rFonts w:ascii="Times New Roman" w:hAnsi="Times New Roman"/>
                <w:sz w:val="24"/>
                <w:szCs w:val="24"/>
              </w:rPr>
            </w:pPr>
          </w:p>
          <w:p w14:paraId="5BC639E8" w14:textId="2A40CA9E" w:rsidR="00946BEC" w:rsidRDefault="00946BEC" w:rsidP="006519B3">
            <w:pPr>
              <w:spacing w:after="0" w:line="240" w:lineRule="auto"/>
              <w:jc w:val="both"/>
              <w:rPr>
                <w:rFonts w:ascii="Times New Roman" w:hAnsi="Times New Roman"/>
                <w:sz w:val="24"/>
                <w:szCs w:val="24"/>
              </w:rPr>
            </w:pPr>
            <w:r>
              <w:rPr>
                <w:rFonts w:ascii="Times New Roman" w:hAnsi="Times New Roman"/>
                <w:sz w:val="24"/>
                <w:szCs w:val="24"/>
              </w:rPr>
              <w:t xml:space="preserve">Šobrīd noteikumos Nr. 769 ir noteikts, ka visu informāciju, kas ir informatīva un noderīga ETS operatoriem, publicē VVD. Praksē gan </w:t>
            </w:r>
            <w:r w:rsidR="001818F1">
              <w:rPr>
                <w:rFonts w:ascii="Times New Roman" w:hAnsi="Times New Roman"/>
                <w:sz w:val="24"/>
                <w:szCs w:val="24"/>
              </w:rPr>
              <w:t>informācijas publicēšana ir attīstījusies</w:t>
            </w:r>
            <w:r>
              <w:rPr>
                <w:rFonts w:ascii="Times New Roman" w:hAnsi="Times New Roman"/>
                <w:sz w:val="24"/>
                <w:szCs w:val="24"/>
              </w:rPr>
              <w:t xml:space="preserve"> </w:t>
            </w:r>
            <w:r w:rsidR="009C69BC">
              <w:rPr>
                <w:rFonts w:ascii="Times New Roman" w:hAnsi="Times New Roman"/>
                <w:sz w:val="24"/>
                <w:szCs w:val="24"/>
              </w:rPr>
              <w:t>citādi,</w:t>
            </w:r>
            <w:r>
              <w:rPr>
                <w:rFonts w:ascii="Times New Roman" w:hAnsi="Times New Roman"/>
                <w:sz w:val="24"/>
                <w:szCs w:val="24"/>
              </w:rPr>
              <w:t xml:space="preserve"> un šobrīd informācija ir sadalīta starp VVD un VARAM. Attiecīgi ir nepieciešams precizēt kura iestāde publicē kādu informāciju. VVD tīmekļvietnē tiek publicēta informācija saistībā ar siltumnīcefekta gāzu atļaujām. VARAM mājaslapā tiek publicēta informatīva rakstura informācija</w:t>
            </w:r>
            <w:r w:rsidR="00E44D75">
              <w:rPr>
                <w:rFonts w:ascii="Times New Roman" w:hAnsi="Times New Roman"/>
                <w:sz w:val="24"/>
                <w:szCs w:val="24"/>
              </w:rPr>
              <w:t>, ieskaitot Eiropas Komisijas izstrādātās vadlīnija</w:t>
            </w:r>
            <w:r>
              <w:rPr>
                <w:rFonts w:ascii="Times New Roman" w:hAnsi="Times New Roman"/>
                <w:sz w:val="24"/>
                <w:szCs w:val="24"/>
              </w:rPr>
              <w:t>, kā arī dažādas veidlapas, kas attiecās uz operatoru pienākumiem ziņot par emisijām un darbības līmeņiem.</w:t>
            </w:r>
            <w:r w:rsidR="00F81264">
              <w:rPr>
                <w:rFonts w:ascii="Times New Roman" w:hAnsi="Times New Roman"/>
                <w:sz w:val="24"/>
                <w:szCs w:val="24"/>
              </w:rPr>
              <w:t xml:space="preserve"> </w:t>
            </w:r>
            <w:r w:rsidR="00561801">
              <w:rPr>
                <w:rFonts w:ascii="Times New Roman" w:hAnsi="Times New Roman"/>
                <w:sz w:val="24"/>
                <w:szCs w:val="24"/>
              </w:rPr>
              <w:t xml:space="preserve">Operatoriem </w:t>
            </w:r>
            <w:r w:rsidR="00C94479">
              <w:rPr>
                <w:rFonts w:ascii="Times New Roman" w:hAnsi="Times New Roman"/>
                <w:sz w:val="24"/>
                <w:szCs w:val="24"/>
              </w:rPr>
              <w:t xml:space="preserve">saistoša informācija, kas attiecās uz emisiju reģistru un </w:t>
            </w:r>
            <w:r w:rsidR="00062EA8" w:rsidRPr="00062EA8">
              <w:rPr>
                <w:rFonts w:ascii="Times New Roman" w:hAnsi="Times New Roman"/>
                <w:sz w:val="24"/>
                <w:szCs w:val="24"/>
              </w:rPr>
              <w:t xml:space="preserve">Latvijas </w:t>
            </w:r>
            <w:r w:rsidR="00062EA8">
              <w:rPr>
                <w:rFonts w:ascii="Times New Roman" w:hAnsi="Times New Roman"/>
                <w:sz w:val="24"/>
                <w:szCs w:val="24"/>
              </w:rPr>
              <w:t>ES ETS</w:t>
            </w:r>
            <w:r w:rsidR="00062EA8" w:rsidRPr="00062EA8">
              <w:rPr>
                <w:rFonts w:ascii="Times New Roman" w:hAnsi="Times New Roman"/>
                <w:sz w:val="24"/>
                <w:szCs w:val="24"/>
              </w:rPr>
              <w:t xml:space="preserve"> reģistra operatoru </w:t>
            </w:r>
            <w:r w:rsidR="00793A2A">
              <w:rPr>
                <w:rFonts w:ascii="Times New Roman" w:hAnsi="Times New Roman"/>
                <w:sz w:val="24"/>
                <w:szCs w:val="24"/>
              </w:rPr>
              <w:t xml:space="preserve">ikgadējo saistību izpildi, tiek publicēta arī </w:t>
            </w:r>
            <w:r w:rsidR="00793A2A" w:rsidRPr="00793A2A">
              <w:rPr>
                <w:rFonts w:ascii="Times New Roman" w:hAnsi="Times New Roman"/>
                <w:sz w:val="24"/>
                <w:szCs w:val="24"/>
              </w:rPr>
              <w:t>SIA “Latvijas Vides, ģeoloģijas un meteoroloģijas centrs”</w:t>
            </w:r>
            <w:r w:rsidR="00793A2A">
              <w:rPr>
                <w:rFonts w:ascii="Times New Roman" w:hAnsi="Times New Roman"/>
                <w:sz w:val="24"/>
                <w:szCs w:val="24"/>
              </w:rPr>
              <w:t xml:space="preserve"> tīmekļvietnē.</w:t>
            </w:r>
            <w:r w:rsidR="004B58F3">
              <w:rPr>
                <w:rFonts w:ascii="Times New Roman" w:hAnsi="Times New Roman"/>
                <w:sz w:val="24"/>
                <w:szCs w:val="24"/>
              </w:rPr>
              <w:t xml:space="preserve"> VARAM periodiski arī</w:t>
            </w:r>
            <w:r w:rsidR="00D27A94">
              <w:rPr>
                <w:rFonts w:ascii="Times New Roman" w:hAnsi="Times New Roman"/>
                <w:sz w:val="24"/>
                <w:szCs w:val="24"/>
              </w:rPr>
              <w:t xml:space="preserve"> pārbauda vai visa operatoram saistošā informācija ir publicēta. </w:t>
            </w:r>
            <w:r w:rsidR="00F81264">
              <w:rPr>
                <w:rFonts w:ascii="Times New Roman" w:hAnsi="Times New Roman"/>
                <w:sz w:val="24"/>
                <w:szCs w:val="24"/>
              </w:rPr>
              <w:t>Papildus</w:t>
            </w:r>
            <w:r w:rsidR="00D50B97">
              <w:rPr>
                <w:rFonts w:ascii="Times New Roman" w:hAnsi="Times New Roman"/>
                <w:sz w:val="24"/>
                <w:szCs w:val="24"/>
              </w:rPr>
              <w:t xml:space="preserve">, ņemot vērā </w:t>
            </w:r>
            <w:r w:rsidR="00DD4E2E" w:rsidRPr="00330D38">
              <w:rPr>
                <w:rFonts w:ascii="Times New Roman" w:eastAsia="Times New Roman" w:hAnsi="Times New Roman" w:cs="Times New Roman"/>
                <w:iCs/>
                <w:sz w:val="24"/>
                <w:szCs w:val="24"/>
                <w:lang w:eastAsia="lv-LV"/>
              </w:rPr>
              <w:t>Latvijas Nacionāl</w:t>
            </w:r>
            <w:r w:rsidR="00181F0E">
              <w:rPr>
                <w:rFonts w:ascii="Times New Roman" w:eastAsia="Times New Roman" w:hAnsi="Times New Roman" w:cs="Times New Roman"/>
                <w:iCs/>
                <w:sz w:val="24"/>
                <w:szCs w:val="24"/>
                <w:lang w:eastAsia="lv-LV"/>
              </w:rPr>
              <w:t>ā</w:t>
            </w:r>
            <w:r w:rsidR="00DD4E2E" w:rsidRPr="00330D38">
              <w:rPr>
                <w:rFonts w:ascii="Times New Roman" w:eastAsia="Times New Roman" w:hAnsi="Times New Roman" w:cs="Times New Roman"/>
                <w:iCs/>
                <w:sz w:val="24"/>
                <w:szCs w:val="24"/>
                <w:lang w:eastAsia="lv-LV"/>
              </w:rPr>
              <w:t xml:space="preserve"> akreditācijas biroj</w:t>
            </w:r>
            <w:r w:rsidR="00DD4E2E">
              <w:rPr>
                <w:rFonts w:ascii="Times New Roman" w:eastAsia="Times New Roman" w:hAnsi="Times New Roman" w:cs="Times New Roman"/>
                <w:iCs/>
                <w:sz w:val="24"/>
                <w:szCs w:val="24"/>
                <w:lang w:eastAsia="lv-LV"/>
              </w:rPr>
              <w:t>a (turpmāk – LATAK) sniegto iebildumu</w:t>
            </w:r>
            <w:r w:rsidR="00013B08">
              <w:rPr>
                <w:rFonts w:ascii="Times New Roman" w:eastAsia="Times New Roman" w:hAnsi="Times New Roman" w:cs="Times New Roman"/>
                <w:iCs/>
                <w:sz w:val="24"/>
                <w:szCs w:val="24"/>
                <w:lang w:eastAsia="lv-LV"/>
              </w:rPr>
              <w:t xml:space="preserve">, </w:t>
            </w:r>
            <w:r w:rsidR="00D90123">
              <w:rPr>
                <w:rFonts w:ascii="Times New Roman" w:hAnsi="Times New Roman"/>
                <w:sz w:val="24"/>
                <w:szCs w:val="24"/>
              </w:rPr>
              <w:t xml:space="preserve">atsauce uz standartu </w:t>
            </w:r>
            <w:r w:rsidR="00D90123" w:rsidRPr="00D90123">
              <w:rPr>
                <w:rFonts w:ascii="Times New Roman" w:hAnsi="Times New Roman"/>
                <w:sz w:val="24"/>
                <w:szCs w:val="24"/>
              </w:rPr>
              <w:t>LVS EN ISO/IEC 17025</w:t>
            </w:r>
            <w:r w:rsidR="00D90123">
              <w:rPr>
                <w:rFonts w:ascii="Times New Roman" w:hAnsi="Times New Roman"/>
                <w:sz w:val="24"/>
                <w:szCs w:val="24"/>
              </w:rPr>
              <w:t xml:space="preserve"> ir aizstāta </w:t>
            </w:r>
            <w:r w:rsidR="00B83295">
              <w:rPr>
                <w:rFonts w:ascii="Times New Roman" w:hAnsi="Times New Roman"/>
                <w:sz w:val="24"/>
                <w:szCs w:val="24"/>
              </w:rPr>
              <w:t xml:space="preserve">ar atsauci uz </w:t>
            </w:r>
            <w:r w:rsidR="005833F9">
              <w:rPr>
                <w:rFonts w:ascii="Times New Roman" w:hAnsi="Times New Roman"/>
                <w:sz w:val="24"/>
                <w:szCs w:val="24"/>
              </w:rPr>
              <w:t xml:space="preserve">normatīvajiem aktiem </w:t>
            </w:r>
            <w:r w:rsidR="00DA141D">
              <w:rPr>
                <w:rFonts w:ascii="Times New Roman" w:hAnsi="Times New Roman"/>
                <w:sz w:val="24"/>
                <w:szCs w:val="24"/>
              </w:rPr>
              <w:t>akreditācijas jomā.</w:t>
            </w:r>
          </w:p>
          <w:p w14:paraId="48AED5A5" w14:textId="77777777" w:rsidR="00B410F1" w:rsidRDefault="00B410F1" w:rsidP="006519B3">
            <w:pPr>
              <w:spacing w:after="0" w:line="240" w:lineRule="auto"/>
              <w:jc w:val="both"/>
              <w:rPr>
                <w:rFonts w:ascii="Times New Roman" w:hAnsi="Times New Roman"/>
                <w:sz w:val="24"/>
                <w:szCs w:val="24"/>
              </w:rPr>
            </w:pPr>
          </w:p>
          <w:p w14:paraId="77D0EC8E" w14:textId="6D1C1A7F" w:rsidR="00EF4B24" w:rsidRDefault="00631267" w:rsidP="00EF4B24">
            <w:pPr>
              <w:spacing w:after="0" w:line="240" w:lineRule="auto"/>
              <w:jc w:val="both"/>
              <w:rPr>
                <w:rFonts w:ascii="Times New Roman" w:hAnsi="Times New Roman"/>
                <w:sz w:val="24"/>
                <w:szCs w:val="24"/>
              </w:rPr>
            </w:pPr>
            <w:r>
              <w:rPr>
                <w:rFonts w:ascii="Times New Roman" w:hAnsi="Times New Roman"/>
                <w:sz w:val="24"/>
                <w:szCs w:val="24"/>
              </w:rPr>
              <w:t xml:space="preserve">Balstoties uz Direktīvas 2003/87/EK 10.a pantu, </w:t>
            </w:r>
            <w:r w:rsidR="002823AB">
              <w:rPr>
                <w:rFonts w:ascii="Times New Roman" w:hAnsi="Times New Roman"/>
                <w:sz w:val="24"/>
                <w:szCs w:val="24"/>
              </w:rPr>
              <w:t>Eiropas Komisija</w:t>
            </w:r>
            <w:r>
              <w:rPr>
                <w:rFonts w:ascii="Times New Roman" w:hAnsi="Times New Roman"/>
                <w:sz w:val="24"/>
                <w:szCs w:val="24"/>
              </w:rPr>
              <w:t xml:space="preserve"> uz</w:t>
            </w:r>
            <w:r w:rsidR="002823AB">
              <w:rPr>
                <w:rFonts w:ascii="Times New Roman" w:hAnsi="Times New Roman"/>
                <w:sz w:val="24"/>
                <w:szCs w:val="24"/>
              </w:rPr>
              <w:t xml:space="preserve"> 4. period</w:t>
            </w:r>
            <w:r>
              <w:rPr>
                <w:rFonts w:ascii="Times New Roman" w:hAnsi="Times New Roman"/>
                <w:sz w:val="24"/>
                <w:szCs w:val="24"/>
              </w:rPr>
              <w:t xml:space="preserve">u pārskata </w:t>
            </w:r>
            <w:proofErr w:type="spellStart"/>
            <w:r>
              <w:rPr>
                <w:rFonts w:ascii="Times New Roman" w:hAnsi="Times New Roman"/>
                <w:sz w:val="24"/>
                <w:szCs w:val="24"/>
              </w:rPr>
              <w:t>līmeņatzīmes</w:t>
            </w:r>
            <w:proofErr w:type="spellEnd"/>
            <w:r>
              <w:rPr>
                <w:rFonts w:ascii="Times New Roman" w:hAnsi="Times New Roman"/>
                <w:sz w:val="24"/>
                <w:szCs w:val="24"/>
              </w:rPr>
              <w:t>,</w:t>
            </w:r>
            <w:r>
              <w:t xml:space="preserve"> </w:t>
            </w:r>
            <w:r w:rsidRPr="00631267">
              <w:rPr>
                <w:rFonts w:ascii="Times New Roman" w:hAnsi="Times New Roman"/>
                <w:sz w:val="24"/>
                <w:szCs w:val="24"/>
              </w:rPr>
              <w:t>lai panāktu, ka bezmaksas kvotu iedale rosina samazināt siltumnīcefekta gāzu emisijas</w:t>
            </w:r>
            <w:r>
              <w:rPr>
                <w:rFonts w:ascii="Times New Roman" w:hAnsi="Times New Roman"/>
                <w:sz w:val="24"/>
                <w:szCs w:val="24"/>
              </w:rPr>
              <w:t xml:space="preserve">. </w:t>
            </w:r>
            <w:proofErr w:type="spellStart"/>
            <w:r>
              <w:rPr>
                <w:rFonts w:ascii="Times New Roman" w:hAnsi="Times New Roman"/>
                <w:sz w:val="24"/>
                <w:szCs w:val="24"/>
              </w:rPr>
              <w:t>Līmeņatzīmju</w:t>
            </w:r>
            <w:proofErr w:type="spellEnd"/>
            <w:r>
              <w:rPr>
                <w:rFonts w:ascii="Times New Roman" w:hAnsi="Times New Roman"/>
                <w:sz w:val="24"/>
                <w:szCs w:val="24"/>
              </w:rPr>
              <w:t xml:space="preserve"> vērtības tiek noteiktas balstoties uz datiem, kas ir savākti bāzlīniju datu ziņojumos, kurus operatori iesniedza 2019. gada otrajā ceturksnī. </w:t>
            </w:r>
            <w:r w:rsidR="00077CB8">
              <w:rPr>
                <w:rFonts w:ascii="Times New Roman" w:hAnsi="Times New Roman"/>
                <w:sz w:val="24"/>
                <w:szCs w:val="24"/>
              </w:rPr>
              <w:t>2021.</w:t>
            </w:r>
            <w:r w:rsidR="00D863FE">
              <w:rPr>
                <w:rFonts w:ascii="Times New Roman" w:hAnsi="Times New Roman"/>
                <w:sz w:val="24"/>
                <w:szCs w:val="24"/>
              </w:rPr>
              <w:t> </w:t>
            </w:r>
            <w:r w:rsidR="00077CB8">
              <w:rPr>
                <w:rFonts w:ascii="Times New Roman" w:hAnsi="Times New Roman"/>
                <w:sz w:val="24"/>
                <w:szCs w:val="24"/>
              </w:rPr>
              <w:t>ga</w:t>
            </w:r>
            <w:r w:rsidR="00265BBF">
              <w:rPr>
                <w:rFonts w:ascii="Times New Roman" w:hAnsi="Times New Roman"/>
                <w:sz w:val="24"/>
                <w:szCs w:val="24"/>
              </w:rPr>
              <w:t xml:space="preserve">da </w:t>
            </w:r>
            <w:r w:rsidR="00C57397">
              <w:rPr>
                <w:rFonts w:ascii="Times New Roman" w:hAnsi="Times New Roman"/>
                <w:sz w:val="24"/>
                <w:szCs w:val="24"/>
              </w:rPr>
              <w:t>12.</w:t>
            </w:r>
            <w:r w:rsidR="00C10596">
              <w:rPr>
                <w:rFonts w:ascii="Times New Roman" w:hAnsi="Times New Roman"/>
                <w:sz w:val="24"/>
                <w:szCs w:val="24"/>
              </w:rPr>
              <w:t xml:space="preserve"> februārī Klimata pārmaiņu komitejā dalībvalstis apstiprināja Eiropas Komisijas </w:t>
            </w:r>
            <w:r w:rsidR="00C10596" w:rsidRPr="00717DEB">
              <w:rPr>
                <w:rFonts w:ascii="Times New Roman" w:hAnsi="Times New Roman"/>
                <w:i/>
                <w:iCs/>
                <w:sz w:val="24"/>
                <w:szCs w:val="24"/>
              </w:rPr>
              <w:t xml:space="preserve">īstenošanas regulu (ES)… /… XXX ar ko nosaka pārskatītās </w:t>
            </w:r>
            <w:proofErr w:type="spellStart"/>
            <w:r w:rsidR="00C10596" w:rsidRPr="00717DEB">
              <w:rPr>
                <w:rFonts w:ascii="Times New Roman" w:hAnsi="Times New Roman"/>
                <w:i/>
                <w:iCs/>
                <w:sz w:val="24"/>
                <w:szCs w:val="24"/>
              </w:rPr>
              <w:t>līmeņatzīmes</w:t>
            </w:r>
            <w:proofErr w:type="spellEnd"/>
            <w:r w:rsidR="00C10596" w:rsidRPr="00717DEB">
              <w:rPr>
                <w:rFonts w:ascii="Times New Roman" w:hAnsi="Times New Roman"/>
                <w:i/>
                <w:iCs/>
                <w:sz w:val="24"/>
                <w:szCs w:val="24"/>
              </w:rPr>
              <w:t xml:space="preserve"> emisijas kvotu bezmaksas piešķiršanai laikposmam no 2021. līdz 2025. gadam atbilstoši Eiropas Parlamenta </w:t>
            </w:r>
            <w:r w:rsidR="00C10596" w:rsidRPr="00717DEB">
              <w:rPr>
                <w:rFonts w:ascii="Times New Roman" w:hAnsi="Times New Roman"/>
                <w:i/>
                <w:iCs/>
                <w:sz w:val="24"/>
                <w:szCs w:val="24"/>
              </w:rPr>
              <w:lastRenderedPageBreak/>
              <w:t>un Padomes Direktīvas 2003/87/EK 10.a panta 2. punktam</w:t>
            </w:r>
            <w:r w:rsidR="00D863FE">
              <w:rPr>
                <w:rFonts w:ascii="Times New Roman" w:hAnsi="Times New Roman"/>
                <w:sz w:val="24"/>
                <w:szCs w:val="24"/>
              </w:rPr>
              <w:t xml:space="preserve">, </w:t>
            </w:r>
            <w:r w:rsidR="003C6475" w:rsidRPr="00987EA0">
              <w:rPr>
                <w:rFonts w:ascii="Times New Roman" w:eastAsia="Times New Roman" w:hAnsi="Times New Roman" w:cs="Times New Roman"/>
                <w:iCs/>
                <w:sz w:val="24"/>
                <w:szCs w:val="24"/>
                <w:lang w:eastAsia="lv-LV"/>
              </w:rPr>
              <w:t xml:space="preserve">kura nosaka </w:t>
            </w:r>
            <w:r w:rsidR="003C6475" w:rsidRPr="00717DEB">
              <w:rPr>
                <w:rFonts w:ascii="Times New Roman" w:eastAsia="Times New Roman" w:hAnsi="Times New Roman" w:cs="Times New Roman"/>
                <w:iCs/>
                <w:sz w:val="24"/>
                <w:szCs w:val="24"/>
                <w:lang w:eastAsia="lv-LV"/>
              </w:rPr>
              <w:t>pārskatītās</w:t>
            </w:r>
            <w:r w:rsidR="003C6475" w:rsidRPr="00987EA0">
              <w:rPr>
                <w:rFonts w:ascii="Times New Roman" w:eastAsia="Times New Roman" w:hAnsi="Times New Roman" w:cs="Times New Roman"/>
                <w:iCs/>
                <w:sz w:val="24"/>
                <w:szCs w:val="24"/>
                <w:lang w:eastAsia="lv-LV"/>
              </w:rPr>
              <w:t xml:space="preserve"> </w:t>
            </w:r>
            <w:proofErr w:type="spellStart"/>
            <w:r w:rsidR="003C6475" w:rsidRPr="00987EA0">
              <w:rPr>
                <w:rFonts w:ascii="Times New Roman" w:eastAsia="Times New Roman" w:hAnsi="Times New Roman" w:cs="Times New Roman"/>
                <w:iCs/>
                <w:sz w:val="24"/>
                <w:szCs w:val="24"/>
                <w:lang w:eastAsia="lv-LV"/>
              </w:rPr>
              <w:t>līmeņatzīmes</w:t>
            </w:r>
            <w:proofErr w:type="spellEnd"/>
            <w:r w:rsidR="003C6475" w:rsidRPr="00987EA0">
              <w:rPr>
                <w:rFonts w:ascii="Times New Roman" w:eastAsia="Times New Roman" w:hAnsi="Times New Roman" w:cs="Times New Roman"/>
                <w:iCs/>
                <w:sz w:val="24"/>
                <w:szCs w:val="24"/>
                <w:lang w:eastAsia="lv-LV"/>
              </w:rPr>
              <w:t xml:space="preserve"> emisijas kvotu bezmaksas piešķiršanai laikposmam no 2021.</w:t>
            </w:r>
            <w:r w:rsidR="003C6475">
              <w:rPr>
                <w:rFonts w:ascii="Times New Roman" w:eastAsia="Times New Roman" w:hAnsi="Times New Roman" w:cs="Times New Roman"/>
                <w:iCs/>
                <w:sz w:val="24"/>
                <w:szCs w:val="24"/>
                <w:lang w:eastAsia="lv-LV"/>
              </w:rPr>
              <w:t>gada 1. janvāra</w:t>
            </w:r>
            <w:r w:rsidR="003C6475" w:rsidRPr="00987EA0">
              <w:rPr>
                <w:rFonts w:ascii="Times New Roman" w:eastAsia="Times New Roman" w:hAnsi="Times New Roman" w:cs="Times New Roman"/>
                <w:iCs/>
                <w:sz w:val="24"/>
                <w:szCs w:val="24"/>
                <w:lang w:eastAsia="lv-LV"/>
              </w:rPr>
              <w:t xml:space="preserve"> līdz 2025. gada</w:t>
            </w:r>
            <w:r w:rsidR="003C6475">
              <w:rPr>
                <w:rFonts w:ascii="Times New Roman" w:eastAsia="Times New Roman" w:hAnsi="Times New Roman" w:cs="Times New Roman"/>
                <w:iCs/>
                <w:sz w:val="24"/>
                <w:szCs w:val="24"/>
                <w:lang w:eastAsia="lv-LV"/>
              </w:rPr>
              <w:t xml:space="preserve"> 31. decembrim</w:t>
            </w:r>
            <w:r w:rsidR="003C6475" w:rsidRPr="00987EA0">
              <w:rPr>
                <w:rFonts w:ascii="Times New Roman" w:eastAsia="Times New Roman" w:hAnsi="Times New Roman" w:cs="Times New Roman"/>
                <w:iCs/>
                <w:sz w:val="24"/>
                <w:szCs w:val="24"/>
                <w:lang w:eastAsia="lv-LV"/>
              </w:rPr>
              <w:t>.</w:t>
            </w:r>
            <w:r w:rsidR="006D4505">
              <w:rPr>
                <w:rFonts w:ascii="Times New Roman" w:eastAsia="Times New Roman" w:hAnsi="Times New Roman" w:cs="Times New Roman"/>
                <w:iCs/>
                <w:sz w:val="24"/>
                <w:szCs w:val="24"/>
                <w:lang w:eastAsia="lv-LV"/>
              </w:rPr>
              <w:t xml:space="preserve"> </w:t>
            </w:r>
            <w:r w:rsidR="0005749B">
              <w:rPr>
                <w:rFonts w:ascii="Times New Roman" w:eastAsia="Times New Roman" w:hAnsi="Times New Roman" w:cs="Times New Roman"/>
                <w:iCs/>
                <w:sz w:val="24"/>
                <w:szCs w:val="24"/>
                <w:lang w:eastAsia="lv-LV"/>
              </w:rPr>
              <w:t xml:space="preserve">Tagad dalībvalstīm ir Eiropas Komisijai jāiesniedz </w:t>
            </w:r>
            <w:r w:rsidR="00DF361F">
              <w:rPr>
                <w:rFonts w:ascii="Times New Roman" w:eastAsia="Times New Roman" w:hAnsi="Times New Roman" w:cs="Times New Roman"/>
                <w:iCs/>
                <w:sz w:val="24"/>
                <w:szCs w:val="24"/>
                <w:lang w:eastAsia="lv-LV"/>
              </w:rPr>
              <w:t xml:space="preserve">iekārtu saraksts ar pārrēķinātu bezmaksas kvotu apjomu. </w:t>
            </w:r>
            <w:r w:rsidR="00693E0F">
              <w:rPr>
                <w:rFonts w:ascii="Times New Roman" w:eastAsia="Times New Roman" w:hAnsi="Times New Roman" w:cs="Times New Roman"/>
                <w:iCs/>
                <w:sz w:val="24"/>
                <w:szCs w:val="24"/>
                <w:lang w:eastAsia="lv-LV"/>
              </w:rPr>
              <w:t>Balstoties uz datiem, Eiropas Komisija</w:t>
            </w:r>
            <w:r w:rsidR="006C0BB9">
              <w:rPr>
                <w:rFonts w:ascii="Times New Roman" w:eastAsia="Times New Roman" w:hAnsi="Times New Roman" w:cs="Times New Roman"/>
                <w:iCs/>
                <w:sz w:val="24"/>
                <w:szCs w:val="24"/>
                <w:lang w:eastAsia="lv-LV"/>
              </w:rPr>
              <w:t xml:space="preserve"> novērtēs vai nepieciešams </w:t>
            </w:r>
            <w:r w:rsidR="00CB3E1A">
              <w:rPr>
                <w:rFonts w:ascii="Times New Roman" w:eastAsia="Times New Roman" w:hAnsi="Times New Roman" w:cs="Times New Roman"/>
                <w:iCs/>
                <w:sz w:val="24"/>
                <w:szCs w:val="24"/>
                <w:lang w:eastAsia="lv-LV"/>
              </w:rPr>
              <w:t xml:space="preserve">pieņemt </w:t>
            </w:r>
            <w:proofErr w:type="spellStart"/>
            <w:r w:rsidR="00CB3E1A">
              <w:rPr>
                <w:rFonts w:ascii="Times New Roman" w:eastAsia="Times New Roman" w:hAnsi="Times New Roman" w:cs="Times New Roman"/>
                <w:iCs/>
                <w:sz w:val="24"/>
                <w:szCs w:val="24"/>
                <w:lang w:eastAsia="lv-LV"/>
              </w:rPr>
              <w:t>starpsektoru</w:t>
            </w:r>
            <w:proofErr w:type="spellEnd"/>
            <w:r w:rsidR="00CB3E1A">
              <w:rPr>
                <w:rFonts w:ascii="Times New Roman" w:eastAsia="Times New Roman" w:hAnsi="Times New Roman" w:cs="Times New Roman"/>
                <w:iCs/>
                <w:sz w:val="24"/>
                <w:szCs w:val="24"/>
                <w:lang w:eastAsia="lv-LV"/>
              </w:rPr>
              <w:t xml:space="preserve"> korekcijas koeficientu</w:t>
            </w:r>
            <w:r w:rsidR="00EF4B24">
              <w:rPr>
                <w:rFonts w:ascii="Times New Roman" w:eastAsia="Times New Roman" w:hAnsi="Times New Roman" w:cs="Times New Roman"/>
                <w:iCs/>
                <w:sz w:val="24"/>
                <w:szCs w:val="24"/>
                <w:lang w:eastAsia="lv-LV"/>
              </w:rPr>
              <w:t xml:space="preserve">, kas ir pēdējais solis nosakot galīgo </w:t>
            </w:r>
            <w:r w:rsidR="003C6475" w:rsidRPr="0011421B">
              <w:rPr>
                <w:rFonts w:ascii="Times New Roman" w:eastAsia="Times New Roman" w:hAnsi="Times New Roman" w:cs="Times New Roman"/>
                <w:iCs/>
                <w:sz w:val="24"/>
                <w:szCs w:val="24"/>
                <w:lang w:eastAsia="lv-LV"/>
              </w:rPr>
              <w:t>bezmaksas emisijas kvotu apjomu iekārtām.</w:t>
            </w:r>
            <w:r w:rsidR="00EF4B24">
              <w:rPr>
                <w:rFonts w:ascii="Times New Roman" w:eastAsia="Times New Roman" w:hAnsi="Times New Roman" w:cs="Times New Roman"/>
                <w:iCs/>
                <w:sz w:val="24"/>
                <w:szCs w:val="24"/>
                <w:lang w:eastAsia="lv-LV"/>
              </w:rPr>
              <w:t xml:space="preserve"> Precīzs aprēķins ir nepieciešams </w:t>
            </w:r>
            <w:r w:rsidR="00EF4B24">
              <w:rPr>
                <w:rFonts w:ascii="Times New Roman" w:hAnsi="Times New Roman"/>
                <w:sz w:val="24"/>
                <w:szCs w:val="24"/>
              </w:rPr>
              <w:t xml:space="preserve">darbības līmeņa ziņojumu pareizai iesniegšanai. Secīgi </w:t>
            </w:r>
            <w:r w:rsidR="00EF4B24">
              <w:rPr>
                <w:rFonts w:ascii="Times New Roman" w:hAnsi="Times New Roman"/>
                <w:sz w:val="24"/>
                <w:szCs w:val="24"/>
              </w:rPr>
              <w:noBreakHyphen/>
              <w:t xml:space="preserve"> 2021. gadā darbības līmeņa ziņojumu iesniegšanas datums atkāpsies no noteikumu projektā noteiktā iesniegšanas termiņa</w:t>
            </w:r>
            <w:r w:rsidR="009E3E7E">
              <w:rPr>
                <w:rFonts w:ascii="Times New Roman" w:hAnsi="Times New Roman"/>
                <w:sz w:val="24"/>
                <w:szCs w:val="24"/>
              </w:rPr>
              <w:t>, visticamāk līdz 2021. gada otrajam ceturksnim</w:t>
            </w:r>
            <w:r w:rsidR="00EF4B24">
              <w:rPr>
                <w:rFonts w:ascii="Times New Roman" w:hAnsi="Times New Roman"/>
                <w:sz w:val="24"/>
                <w:szCs w:val="24"/>
              </w:rPr>
              <w:t>.</w:t>
            </w:r>
            <w:r w:rsidR="009E3E7E">
              <w:rPr>
                <w:rStyle w:val="FootnoteReference"/>
                <w:rFonts w:ascii="Times New Roman" w:hAnsi="Times New Roman"/>
                <w:sz w:val="24"/>
                <w:szCs w:val="24"/>
              </w:rPr>
              <w:footnoteReference w:id="3"/>
            </w:r>
          </w:p>
          <w:p w14:paraId="423C6991" w14:textId="1B9AECA7" w:rsidR="00B418ED" w:rsidRPr="006519B3" w:rsidRDefault="00B418ED" w:rsidP="00EF4B24">
            <w:pPr>
              <w:spacing w:after="0" w:line="240" w:lineRule="auto"/>
              <w:jc w:val="both"/>
              <w:rPr>
                <w:rFonts w:ascii="Times New Roman" w:hAnsi="Times New Roman"/>
                <w:sz w:val="24"/>
                <w:szCs w:val="24"/>
              </w:rPr>
            </w:pPr>
          </w:p>
        </w:tc>
      </w:tr>
      <w:tr w:rsidR="00E5323B" w:rsidRPr="00DA6709" w14:paraId="423C699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3C6993" w14:textId="6A1A264E" w:rsidR="00655F2C" w:rsidRPr="007844BF" w:rsidRDefault="00E5323B" w:rsidP="00E5323B">
            <w:pPr>
              <w:spacing w:after="0" w:line="240" w:lineRule="auto"/>
              <w:rPr>
                <w:rFonts w:ascii="Times New Roman" w:eastAsia="Times New Roman" w:hAnsi="Times New Roman" w:cs="Times New Roman"/>
                <w:iCs/>
                <w:sz w:val="24"/>
                <w:szCs w:val="24"/>
                <w:lang w:eastAsia="lv-LV"/>
              </w:rPr>
            </w:pPr>
            <w:r w:rsidRPr="007844BF">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423C6994" w14:textId="77777777" w:rsidR="00E5323B" w:rsidRPr="007844BF" w:rsidRDefault="00E5323B" w:rsidP="00E5323B">
            <w:pPr>
              <w:spacing w:after="0" w:line="240" w:lineRule="auto"/>
              <w:rPr>
                <w:rFonts w:ascii="Times New Roman" w:eastAsia="Times New Roman" w:hAnsi="Times New Roman" w:cs="Times New Roman"/>
                <w:iCs/>
                <w:sz w:val="24"/>
                <w:szCs w:val="24"/>
                <w:lang w:eastAsia="lv-LV"/>
              </w:rPr>
            </w:pPr>
            <w:r w:rsidRPr="007844BF">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451F9DE7" w14:textId="77777777" w:rsidR="004B03CD" w:rsidRPr="007844BF" w:rsidRDefault="004B03CD" w:rsidP="004B03CD">
            <w:pPr>
              <w:spacing w:after="0" w:line="240" w:lineRule="auto"/>
              <w:jc w:val="both"/>
              <w:rPr>
                <w:rFonts w:ascii="Times New Roman" w:eastAsia="Times New Roman" w:hAnsi="Times New Roman" w:cs="Times New Roman"/>
                <w:iCs/>
                <w:sz w:val="24"/>
                <w:szCs w:val="24"/>
                <w:lang w:eastAsia="lv-LV"/>
              </w:rPr>
            </w:pPr>
            <w:r w:rsidRPr="007844BF">
              <w:rPr>
                <w:rFonts w:ascii="Times New Roman" w:eastAsia="Times New Roman" w:hAnsi="Times New Roman" w:cs="Times New Roman"/>
                <w:iCs/>
                <w:sz w:val="24"/>
                <w:szCs w:val="24"/>
                <w:lang w:eastAsia="lv-LV"/>
              </w:rPr>
              <w:t>VARAM</w:t>
            </w:r>
          </w:p>
          <w:p w14:paraId="423C6995" w14:textId="4C0C59BE" w:rsidR="00E5323B" w:rsidRPr="007844BF" w:rsidRDefault="007844BF" w:rsidP="00946BEC">
            <w:pPr>
              <w:spacing w:after="0" w:line="240" w:lineRule="auto"/>
              <w:jc w:val="both"/>
              <w:rPr>
                <w:rFonts w:ascii="Times New Roman" w:eastAsia="Times New Roman" w:hAnsi="Times New Roman" w:cs="Times New Roman"/>
                <w:iCs/>
                <w:sz w:val="24"/>
                <w:szCs w:val="24"/>
                <w:lang w:eastAsia="lv-LV"/>
              </w:rPr>
            </w:pPr>
            <w:r w:rsidRPr="007844BF">
              <w:rPr>
                <w:rFonts w:ascii="Times New Roman" w:eastAsia="Times New Roman" w:hAnsi="Times New Roman" w:cs="Times New Roman"/>
                <w:iCs/>
                <w:sz w:val="24"/>
                <w:szCs w:val="24"/>
                <w:lang w:eastAsia="lv-LV"/>
              </w:rPr>
              <w:t>VVD</w:t>
            </w:r>
          </w:p>
        </w:tc>
      </w:tr>
      <w:tr w:rsidR="00E5323B" w:rsidRPr="00DA6709" w14:paraId="423C699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3C6997" w14:textId="77777777" w:rsidR="00655F2C" w:rsidRPr="007844BF" w:rsidRDefault="00E5323B" w:rsidP="00E5323B">
            <w:pPr>
              <w:spacing w:after="0" w:line="240" w:lineRule="auto"/>
              <w:rPr>
                <w:rFonts w:ascii="Times New Roman" w:eastAsia="Times New Roman" w:hAnsi="Times New Roman" w:cs="Times New Roman"/>
                <w:iCs/>
                <w:sz w:val="24"/>
                <w:szCs w:val="24"/>
                <w:lang w:eastAsia="lv-LV"/>
              </w:rPr>
            </w:pPr>
            <w:r w:rsidRPr="007844BF">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23C6998" w14:textId="77777777" w:rsidR="00E5323B" w:rsidRPr="007844BF" w:rsidRDefault="00E5323B" w:rsidP="00E5323B">
            <w:pPr>
              <w:spacing w:after="0" w:line="240" w:lineRule="auto"/>
              <w:rPr>
                <w:rFonts w:ascii="Times New Roman" w:eastAsia="Times New Roman" w:hAnsi="Times New Roman" w:cs="Times New Roman"/>
                <w:iCs/>
                <w:sz w:val="24"/>
                <w:szCs w:val="24"/>
                <w:lang w:eastAsia="lv-LV"/>
              </w:rPr>
            </w:pPr>
            <w:r w:rsidRPr="007844B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23C6999" w14:textId="5EAD92BF" w:rsidR="00E5323B" w:rsidRPr="007844BF" w:rsidRDefault="007844BF" w:rsidP="00E5323B">
            <w:pPr>
              <w:spacing w:after="0" w:line="240" w:lineRule="auto"/>
              <w:rPr>
                <w:rFonts w:ascii="Times New Roman" w:eastAsia="Times New Roman" w:hAnsi="Times New Roman" w:cs="Times New Roman"/>
                <w:iCs/>
                <w:sz w:val="24"/>
                <w:szCs w:val="24"/>
                <w:lang w:eastAsia="lv-LV"/>
              </w:rPr>
            </w:pPr>
            <w:r w:rsidRPr="007844BF">
              <w:rPr>
                <w:rFonts w:ascii="Times New Roman" w:eastAsia="Times New Roman" w:hAnsi="Times New Roman" w:cs="Times New Roman"/>
                <w:iCs/>
                <w:sz w:val="24"/>
                <w:szCs w:val="24"/>
                <w:lang w:eastAsia="lv-LV"/>
              </w:rPr>
              <w:t>Nav</w:t>
            </w:r>
          </w:p>
        </w:tc>
      </w:tr>
    </w:tbl>
    <w:p w14:paraId="423C699B" w14:textId="77777777" w:rsidR="00E5323B" w:rsidRPr="00DA6709" w:rsidRDefault="00E5323B" w:rsidP="00E5323B">
      <w:pPr>
        <w:spacing w:after="0" w:line="240" w:lineRule="auto"/>
        <w:rPr>
          <w:rFonts w:ascii="Times New Roman" w:eastAsia="Times New Roman" w:hAnsi="Times New Roman" w:cs="Times New Roman"/>
          <w:iCs/>
          <w:color w:val="414142"/>
          <w:sz w:val="24"/>
          <w:szCs w:val="24"/>
          <w:lang w:eastAsia="lv-LV"/>
        </w:rPr>
      </w:pPr>
      <w:r w:rsidRPr="00DA6709">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30D38" w:rsidRPr="00330D38" w14:paraId="423C699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23C699C" w14:textId="77777777" w:rsidR="00655F2C" w:rsidRPr="00330D38" w:rsidRDefault="00E5323B" w:rsidP="00E5323B">
            <w:pPr>
              <w:spacing w:after="0" w:line="240" w:lineRule="auto"/>
              <w:rPr>
                <w:rFonts w:ascii="Times New Roman" w:eastAsia="Times New Roman" w:hAnsi="Times New Roman" w:cs="Times New Roman"/>
                <w:b/>
                <w:bCs/>
                <w:iCs/>
                <w:sz w:val="24"/>
                <w:szCs w:val="24"/>
                <w:lang w:eastAsia="lv-LV"/>
              </w:rPr>
            </w:pPr>
            <w:r w:rsidRPr="00330D38">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330D38" w:rsidRPr="00330D38" w14:paraId="423C69A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3C699E" w14:textId="77777777" w:rsidR="00655F2C" w:rsidRPr="00330D38" w:rsidRDefault="00E5323B" w:rsidP="00E5323B">
            <w:pPr>
              <w:spacing w:after="0" w:line="240" w:lineRule="auto"/>
              <w:rPr>
                <w:rFonts w:ascii="Times New Roman" w:eastAsia="Times New Roman" w:hAnsi="Times New Roman" w:cs="Times New Roman"/>
                <w:iCs/>
                <w:sz w:val="24"/>
                <w:szCs w:val="24"/>
                <w:lang w:eastAsia="lv-LV"/>
              </w:rPr>
            </w:pPr>
            <w:r w:rsidRPr="00330D3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23C699F" w14:textId="77777777" w:rsidR="00E5323B" w:rsidRPr="00330D38" w:rsidRDefault="00E5323B" w:rsidP="00E5323B">
            <w:pPr>
              <w:spacing w:after="0" w:line="240" w:lineRule="auto"/>
              <w:rPr>
                <w:rFonts w:ascii="Times New Roman" w:eastAsia="Times New Roman" w:hAnsi="Times New Roman" w:cs="Times New Roman"/>
                <w:iCs/>
                <w:sz w:val="24"/>
                <w:szCs w:val="24"/>
                <w:lang w:eastAsia="lv-LV"/>
              </w:rPr>
            </w:pPr>
            <w:r w:rsidRPr="00330D38">
              <w:rPr>
                <w:rFonts w:ascii="Times New Roman" w:eastAsia="Times New Roman" w:hAnsi="Times New Roman" w:cs="Times New Roman"/>
                <w:iCs/>
                <w:sz w:val="24"/>
                <w:szCs w:val="24"/>
                <w:lang w:eastAsia="lv-LV"/>
              </w:rPr>
              <w:t xml:space="preserve">Sabiedrības </w:t>
            </w:r>
            <w:proofErr w:type="spellStart"/>
            <w:r w:rsidRPr="00330D38">
              <w:rPr>
                <w:rFonts w:ascii="Times New Roman" w:eastAsia="Times New Roman" w:hAnsi="Times New Roman" w:cs="Times New Roman"/>
                <w:iCs/>
                <w:sz w:val="24"/>
                <w:szCs w:val="24"/>
                <w:lang w:eastAsia="lv-LV"/>
              </w:rPr>
              <w:t>mērķgrupas</w:t>
            </w:r>
            <w:proofErr w:type="spellEnd"/>
            <w:r w:rsidRPr="00330D38">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2C32909A" w14:textId="05C2FAC3" w:rsidR="00AB79D1" w:rsidRPr="00330D38" w:rsidRDefault="00AB79D1" w:rsidP="00AB79D1">
            <w:pPr>
              <w:pStyle w:val="ListParagraph"/>
              <w:numPr>
                <w:ilvl w:val="0"/>
                <w:numId w:val="3"/>
              </w:numPr>
              <w:spacing w:line="240" w:lineRule="auto"/>
              <w:ind w:left="714" w:hanging="357"/>
              <w:jc w:val="both"/>
              <w:rPr>
                <w:rFonts w:ascii="Times New Roman" w:eastAsia="Times New Roman" w:hAnsi="Times New Roman" w:cs="Times New Roman"/>
                <w:iCs/>
                <w:sz w:val="24"/>
                <w:szCs w:val="24"/>
                <w:lang w:eastAsia="lv-LV"/>
              </w:rPr>
            </w:pPr>
            <w:r w:rsidRPr="00330D38">
              <w:rPr>
                <w:rFonts w:ascii="Times New Roman" w:eastAsia="Times New Roman" w:hAnsi="Times New Roman" w:cs="Times New Roman"/>
                <w:iCs/>
                <w:sz w:val="24"/>
                <w:szCs w:val="24"/>
                <w:lang w:eastAsia="lv-LV"/>
              </w:rPr>
              <w:t xml:space="preserve">Latvijas </w:t>
            </w:r>
            <w:r w:rsidR="009E38DE">
              <w:rPr>
                <w:rFonts w:ascii="Times New Roman" w:eastAsia="Times New Roman" w:hAnsi="Times New Roman" w:cs="Times New Roman"/>
                <w:iCs/>
                <w:sz w:val="24"/>
                <w:szCs w:val="24"/>
                <w:lang w:eastAsia="lv-LV"/>
              </w:rPr>
              <w:t>ES ETS</w:t>
            </w:r>
            <w:r w:rsidRPr="00330D38">
              <w:rPr>
                <w:rFonts w:ascii="Times New Roman" w:eastAsia="Times New Roman" w:hAnsi="Times New Roman" w:cs="Times New Roman"/>
                <w:iCs/>
                <w:sz w:val="24"/>
                <w:szCs w:val="24"/>
                <w:lang w:eastAsia="lv-LV"/>
              </w:rPr>
              <w:t xml:space="preserve"> operatori, kuri veic kādu no likuma „Par piesārņojumu” 2. pielikumā minētajām darbībām un kuriem ir izsniegtas siltumnīcefekta gāzu emisijas atļaujas</w:t>
            </w:r>
            <w:r w:rsidR="00E06355" w:rsidRPr="00330D38">
              <w:rPr>
                <w:rFonts w:ascii="Times New Roman" w:eastAsia="Times New Roman" w:hAnsi="Times New Roman" w:cs="Times New Roman"/>
                <w:iCs/>
                <w:sz w:val="24"/>
                <w:szCs w:val="24"/>
                <w:lang w:eastAsia="lv-LV"/>
              </w:rPr>
              <w:t xml:space="preserve"> (turpmāk – operatori</w:t>
            </w:r>
            <w:r w:rsidR="00757E6D" w:rsidRPr="00330D38">
              <w:rPr>
                <w:rFonts w:ascii="Times New Roman" w:eastAsia="Times New Roman" w:hAnsi="Times New Roman" w:cs="Times New Roman"/>
                <w:iCs/>
                <w:sz w:val="24"/>
                <w:szCs w:val="24"/>
                <w:lang w:eastAsia="lv-LV"/>
              </w:rPr>
              <w:t>)</w:t>
            </w:r>
            <w:r w:rsidR="00757E6D">
              <w:rPr>
                <w:rFonts w:ascii="Times New Roman" w:eastAsia="Times New Roman" w:hAnsi="Times New Roman" w:cs="Times New Roman"/>
                <w:iCs/>
                <w:sz w:val="24"/>
                <w:szCs w:val="24"/>
                <w:lang w:eastAsia="lv-LV"/>
              </w:rPr>
              <w:t>.</w:t>
            </w:r>
          </w:p>
          <w:p w14:paraId="2AE224FC" w14:textId="30F59BBF" w:rsidR="00AB79D1" w:rsidRPr="00330D38" w:rsidRDefault="00AB79D1" w:rsidP="00AB79D1">
            <w:pPr>
              <w:pStyle w:val="ListParagraph"/>
              <w:numPr>
                <w:ilvl w:val="0"/>
                <w:numId w:val="3"/>
              </w:numPr>
              <w:spacing w:line="240" w:lineRule="auto"/>
              <w:ind w:left="714" w:hanging="357"/>
              <w:jc w:val="both"/>
              <w:rPr>
                <w:rFonts w:ascii="Times New Roman" w:eastAsia="Times New Roman" w:hAnsi="Times New Roman" w:cs="Times New Roman"/>
                <w:iCs/>
                <w:sz w:val="24"/>
                <w:szCs w:val="24"/>
                <w:lang w:eastAsia="lv-LV"/>
              </w:rPr>
            </w:pPr>
            <w:r w:rsidRPr="00330D38">
              <w:rPr>
                <w:rFonts w:ascii="Times New Roman" w:eastAsia="Times New Roman" w:hAnsi="Times New Roman" w:cs="Times New Roman"/>
                <w:iCs/>
                <w:sz w:val="24"/>
                <w:szCs w:val="24"/>
                <w:lang w:eastAsia="lv-LV"/>
              </w:rPr>
              <w:t>Kādā no Eiropas Savienības dalībvalstīm atbilstības novērtēšanas institūcijā vai Latvijā akreditēti vides verificētāji</w:t>
            </w:r>
            <w:r w:rsidR="00063814" w:rsidRPr="00330D38">
              <w:rPr>
                <w:rFonts w:ascii="Times New Roman" w:eastAsia="Times New Roman" w:hAnsi="Times New Roman" w:cs="Times New Roman"/>
                <w:iCs/>
                <w:sz w:val="24"/>
                <w:szCs w:val="24"/>
                <w:lang w:eastAsia="lv-LV"/>
              </w:rPr>
              <w:t xml:space="preserve"> (turpmāk – verificētāji</w:t>
            </w:r>
            <w:r w:rsidR="00757E6D" w:rsidRPr="00330D38">
              <w:rPr>
                <w:rFonts w:ascii="Times New Roman" w:eastAsia="Times New Roman" w:hAnsi="Times New Roman" w:cs="Times New Roman"/>
                <w:iCs/>
                <w:sz w:val="24"/>
                <w:szCs w:val="24"/>
                <w:lang w:eastAsia="lv-LV"/>
              </w:rPr>
              <w:t>)</w:t>
            </w:r>
            <w:r w:rsidR="00757E6D">
              <w:rPr>
                <w:rFonts w:ascii="Times New Roman" w:eastAsia="Times New Roman" w:hAnsi="Times New Roman" w:cs="Times New Roman"/>
                <w:iCs/>
                <w:sz w:val="24"/>
                <w:szCs w:val="24"/>
                <w:lang w:eastAsia="lv-LV"/>
              </w:rPr>
              <w:t>.</w:t>
            </w:r>
          </w:p>
          <w:p w14:paraId="423C69A0" w14:textId="1D22040E" w:rsidR="00E5323B" w:rsidRPr="00330D38" w:rsidRDefault="00AB79D1" w:rsidP="00AB79D1">
            <w:pPr>
              <w:pStyle w:val="ListParagraph"/>
              <w:numPr>
                <w:ilvl w:val="0"/>
                <w:numId w:val="3"/>
              </w:numPr>
              <w:spacing w:line="240" w:lineRule="auto"/>
              <w:ind w:left="714" w:hanging="357"/>
              <w:jc w:val="both"/>
              <w:rPr>
                <w:rFonts w:ascii="Times New Roman" w:eastAsia="Times New Roman" w:hAnsi="Times New Roman"/>
                <w:iCs/>
                <w:sz w:val="24"/>
                <w:szCs w:val="24"/>
                <w:lang w:eastAsia="lv-LV"/>
              </w:rPr>
            </w:pPr>
            <w:r w:rsidRPr="00330D38">
              <w:rPr>
                <w:rFonts w:ascii="Times New Roman" w:eastAsia="Times New Roman" w:hAnsi="Times New Roman" w:cs="Times New Roman"/>
                <w:iCs/>
                <w:sz w:val="24"/>
                <w:szCs w:val="24"/>
                <w:lang w:eastAsia="lv-LV"/>
              </w:rPr>
              <w:t>VARAM, VVD, un LATAK</w:t>
            </w:r>
            <w:r w:rsidR="005C1ABB">
              <w:rPr>
                <w:rFonts w:ascii="Times New Roman" w:eastAsia="Times New Roman" w:hAnsi="Times New Roman" w:cs="Times New Roman"/>
                <w:iCs/>
                <w:sz w:val="24"/>
                <w:szCs w:val="24"/>
                <w:lang w:eastAsia="lv-LV"/>
              </w:rPr>
              <w:t>.</w:t>
            </w:r>
          </w:p>
        </w:tc>
      </w:tr>
      <w:tr w:rsidR="00330D38" w:rsidRPr="00330D38" w14:paraId="423C69A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3C69A2" w14:textId="77777777" w:rsidR="00655F2C" w:rsidRPr="00330D38" w:rsidRDefault="00E5323B" w:rsidP="00E5323B">
            <w:pPr>
              <w:spacing w:after="0" w:line="240" w:lineRule="auto"/>
              <w:rPr>
                <w:rFonts w:ascii="Times New Roman" w:eastAsia="Times New Roman" w:hAnsi="Times New Roman" w:cs="Times New Roman"/>
                <w:iCs/>
                <w:sz w:val="24"/>
                <w:szCs w:val="24"/>
                <w:lang w:eastAsia="lv-LV"/>
              </w:rPr>
            </w:pPr>
            <w:r w:rsidRPr="00330D3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23C69A3" w14:textId="77777777" w:rsidR="00E5323B" w:rsidRPr="00330D38" w:rsidRDefault="00E5323B" w:rsidP="00E5323B">
            <w:pPr>
              <w:spacing w:after="0" w:line="240" w:lineRule="auto"/>
              <w:rPr>
                <w:rFonts w:ascii="Times New Roman" w:eastAsia="Times New Roman" w:hAnsi="Times New Roman" w:cs="Times New Roman"/>
                <w:iCs/>
                <w:sz w:val="24"/>
                <w:szCs w:val="24"/>
                <w:lang w:eastAsia="lv-LV"/>
              </w:rPr>
            </w:pPr>
            <w:r w:rsidRPr="00330D38">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00961683" w14:textId="576A4BE2" w:rsidR="00E06355" w:rsidRPr="00330D38" w:rsidRDefault="00E06355" w:rsidP="00E06355">
            <w:pPr>
              <w:spacing w:after="0" w:line="240" w:lineRule="auto"/>
              <w:jc w:val="both"/>
              <w:rPr>
                <w:rFonts w:ascii="Times New Roman" w:eastAsia="Times New Roman" w:hAnsi="Times New Roman" w:cs="Times New Roman"/>
                <w:iCs/>
                <w:sz w:val="24"/>
                <w:szCs w:val="24"/>
                <w:lang w:eastAsia="lv-LV"/>
              </w:rPr>
            </w:pPr>
            <w:r w:rsidRPr="00330D38">
              <w:rPr>
                <w:rFonts w:ascii="Times New Roman" w:eastAsia="Times New Roman" w:hAnsi="Times New Roman" w:cs="Times New Roman"/>
                <w:iCs/>
                <w:sz w:val="24"/>
                <w:szCs w:val="24"/>
                <w:lang w:eastAsia="lv-LV"/>
              </w:rPr>
              <w:t>Vērtējot noteikumu projekta īstenošanas ietekmi uz administratīvajām procedūrām un to izmaksām, ir identificēts administratīvā sloga palielinājums.</w:t>
            </w:r>
            <w:r w:rsidR="008A6D27">
              <w:rPr>
                <w:rFonts w:ascii="Times New Roman" w:eastAsia="Times New Roman" w:hAnsi="Times New Roman" w:cs="Times New Roman"/>
                <w:iCs/>
                <w:sz w:val="24"/>
                <w:szCs w:val="24"/>
                <w:lang w:eastAsia="lv-LV"/>
              </w:rPr>
              <w:t xml:space="preserve"> </w:t>
            </w:r>
            <w:r w:rsidR="00063814" w:rsidRPr="00330D38">
              <w:rPr>
                <w:rFonts w:ascii="Times New Roman" w:eastAsia="Times New Roman" w:hAnsi="Times New Roman" w:cs="Times New Roman"/>
                <w:iCs/>
                <w:sz w:val="24"/>
                <w:szCs w:val="24"/>
                <w:lang w:eastAsia="lv-LV"/>
              </w:rPr>
              <w:t>Paredzams, ka pēc noteikumu projekta apstiprināšanas, a</w:t>
            </w:r>
            <w:r w:rsidRPr="00330D38">
              <w:rPr>
                <w:rFonts w:ascii="Times New Roman" w:eastAsia="Times New Roman" w:hAnsi="Times New Roman" w:cs="Times New Roman"/>
                <w:iCs/>
                <w:sz w:val="24"/>
                <w:szCs w:val="24"/>
                <w:lang w:eastAsia="lv-LV"/>
              </w:rPr>
              <w:t xml:space="preserve">dministratīvais slogs palielināsies </w:t>
            </w:r>
            <w:r w:rsidR="00EB3F59">
              <w:rPr>
                <w:rFonts w:ascii="Times New Roman" w:eastAsia="Times New Roman" w:hAnsi="Times New Roman" w:cs="Times New Roman"/>
                <w:iCs/>
                <w:sz w:val="24"/>
                <w:szCs w:val="24"/>
                <w:lang w:eastAsia="lv-LV"/>
              </w:rPr>
              <w:t>šādām</w:t>
            </w:r>
            <w:r w:rsidRPr="00330D38">
              <w:rPr>
                <w:rFonts w:ascii="Times New Roman" w:eastAsia="Times New Roman" w:hAnsi="Times New Roman" w:cs="Times New Roman"/>
                <w:iCs/>
                <w:sz w:val="24"/>
                <w:szCs w:val="24"/>
                <w:lang w:eastAsia="lv-LV"/>
              </w:rPr>
              <w:t xml:space="preserve"> sabiedrības grupām un institūcijām:</w:t>
            </w:r>
          </w:p>
          <w:p w14:paraId="186B37D2" w14:textId="77777777" w:rsidR="00E06355" w:rsidRPr="00330D38" w:rsidRDefault="00E06355" w:rsidP="00E06355">
            <w:pPr>
              <w:pStyle w:val="ListParagraph"/>
              <w:numPr>
                <w:ilvl w:val="0"/>
                <w:numId w:val="9"/>
              </w:numPr>
              <w:spacing w:after="0" w:line="240" w:lineRule="auto"/>
              <w:jc w:val="both"/>
              <w:rPr>
                <w:rFonts w:ascii="Times New Roman" w:eastAsia="Times New Roman" w:hAnsi="Times New Roman" w:cs="Times New Roman"/>
                <w:iCs/>
                <w:sz w:val="24"/>
                <w:szCs w:val="24"/>
                <w:lang w:eastAsia="lv-LV"/>
              </w:rPr>
            </w:pPr>
            <w:r w:rsidRPr="00330D38">
              <w:rPr>
                <w:rFonts w:ascii="Times New Roman" w:eastAsia="Times New Roman" w:hAnsi="Times New Roman" w:cs="Times New Roman"/>
                <w:iCs/>
                <w:sz w:val="24"/>
                <w:szCs w:val="24"/>
                <w:lang w:eastAsia="lv-LV"/>
              </w:rPr>
              <w:t>Operatoriem;</w:t>
            </w:r>
          </w:p>
          <w:p w14:paraId="1D704283" w14:textId="77777777" w:rsidR="00E06355" w:rsidRPr="00330D38" w:rsidRDefault="004D19D4" w:rsidP="00E06355">
            <w:pPr>
              <w:pStyle w:val="ListParagraph"/>
              <w:numPr>
                <w:ilvl w:val="0"/>
                <w:numId w:val="9"/>
              </w:numPr>
              <w:spacing w:after="0" w:line="240" w:lineRule="auto"/>
              <w:jc w:val="both"/>
              <w:rPr>
                <w:rFonts w:ascii="Times New Roman" w:eastAsia="Times New Roman" w:hAnsi="Times New Roman" w:cs="Times New Roman"/>
                <w:iCs/>
                <w:sz w:val="24"/>
                <w:szCs w:val="24"/>
                <w:lang w:eastAsia="lv-LV"/>
              </w:rPr>
            </w:pPr>
            <w:r w:rsidRPr="00330D38">
              <w:rPr>
                <w:rFonts w:ascii="Times New Roman" w:eastAsia="Times New Roman" w:hAnsi="Times New Roman" w:cs="Times New Roman"/>
                <w:iCs/>
                <w:sz w:val="24"/>
                <w:szCs w:val="24"/>
                <w:lang w:eastAsia="lv-LV"/>
              </w:rPr>
              <w:t>VVD.</w:t>
            </w:r>
          </w:p>
          <w:p w14:paraId="4E0942D7" w14:textId="77777777" w:rsidR="004D19D4" w:rsidRPr="00330D38" w:rsidRDefault="004D19D4" w:rsidP="004D19D4">
            <w:pPr>
              <w:spacing w:after="0" w:line="240" w:lineRule="auto"/>
              <w:jc w:val="both"/>
              <w:rPr>
                <w:rFonts w:ascii="Times New Roman" w:eastAsia="Times New Roman" w:hAnsi="Times New Roman" w:cs="Times New Roman"/>
                <w:iCs/>
                <w:sz w:val="24"/>
                <w:szCs w:val="24"/>
                <w:lang w:eastAsia="lv-LV"/>
              </w:rPr>
            </w:pPr>
          </w:p>
          <w:p w14:paraId="3D845B26" w14:textId="03D7054E" w:rsidR="004D19D4" w:rsidRPr="00330D38" w:rsidRDefault="00063814" w:rsidP="004D19D4">
            <w:pPr>
              <w:spacing w:after="0" w:line="240" w:lineRule="auto"/>
              <w:jc w:val="both"/>
              <w:rPr>
                <w:rFonts w:ascii="Times New Roman" w:eastAsia="Times New Roman" w:hAnsi="Times New Roman" w:cs="Times New Roman"/>
                <w:iCs/>
                <w:sz w:val="24"/>
                <w:szCs w:val="24"/>
                <w:lang w:eastAsia="lv-LV"/>
              </w:rPr>
            </w:pPr>
            <w:r w:rsidRPr="00330D38">
              <w:rPr>
                <w:rFonts w:ascii="Times New Roman" w:eastAsia="Times New Roman" w:hAnsi="Times New Roman" w:cs="Times New Roman"/>
                <w:iCs/>
                <w:sz w:val="24"/>
                <w:szCs w:val="24"/>
                <w:lang w:eastAsia="lv-LV"/>
              </w:rPr>
              <w:t xml:space="preserve">Operatoriem administratīvais slogs palielināsies, jo papildus ikgadējiem emisiju ziņojumiem tiem ik gadu VVD būs jāiesniedz </w:t>
            </w:r>
            <w:r w:rsidRPr="00330D38">
              <w:rPr>
                <w:rFonts w:ascii="Times New Roman" w:hAnsi="Times New Roman"/>
                <w:sz w:val="24"/>
                <w:szCs w:val="24"/>
              </w:rPr>
              <w:t xml:space="preserve">darbības līmeņa ziņojums, ko būs </w:t>
            </w:r>
            <w:r w:rsidRPr="00330D38">
              <w:rPr>
                <w:rFonts w:ascii="Times New Roman" w:hAnsi="Times New Roman"/>
                <w:sz w:val="24"/>
                <w:szCs w:val="24"/>
              </w:rPr>
              <w:lastRenderedPageBreak/>
              <w:t xml:space="preserve">nepieciešams arī verificēt. Administratīvais slogs </w:t>
            </w:r>
            <w:r w:rsidR="00283D17">
              <w:rPr>
                <w:rFonts w:ascii="Times New Roman" w:hAnsi="Times New Roman"/>
                <w:sz w:val="24"/>
                <w:szCs w:val="24"/>
              </w:rPr>
              <w:t>netiks dubultots</w:t>
            </w:r>
            <w:r w:rsidRPr="00330D38">
              <w:rPr>
                <w:rFonts w:ascii="Times New Roman" w:hAnsi="Times New Roman"/>
                <w:sz w:val="24"/>
                <w:szCs w:val="24"/>
              </w:rPr>
              <w:t xml:space="preserve">, jo darbības līmeņa ziņojums sastāvēs pārsvarā no iepriekšējo divu gadu </w:t>
            </w:r>
            <w:r w:rsidRPr="00330D38">
              <w:rPr>
                <w:rFonts w:ascii="Times New Roman" w:eastAsia="Times New Roman" w:hAnsi="Times New Roman" w:cs="Times New Roman"/>
                <w:iCs/>
                <w:sz w:val="24"/>
                <w:szCs w:val="24"/>
                <w:lang w:eastAsia="lv-LV"/>
              </w:rPr>
              <w:t>ikgadējo emisiju ziņojumu datiem.</w:t>
            </w:r>
          </w:p>
          <w:p w14:paraId="511F95DB" w14:textId="77777777" w:rsidR="00063814" w:rsidRPr="00330D38" w:rsidRDefault="00063814" w:rsidP="00063814">
            <w:pPr>
              <w:spacing w:after="0" w:line="240" w:lineRule="auto"/>
              <w:jc w:val="both"/>
              <w:rPr>
                <w:rFonts w:ascii="Times New Roman" w:hAnsi="Times New Roman"/>
                <w:sz w:val="24"/>
                <w:szCs w:val="24"/>
              </w:rPr>
            </w:pPr>
          </w:p>
          <w:p w14:paraId="423C69A4" w14:textId="5A6DB79E" w:rsidR="00E06355" w:rsidRPr="00330D38" w:rsidRDefault="00946003" w:rsidP="00330D38">
            <w:pPr>
              <w:spacing w:after="0" w:line="240" w:lineRule="auto"/>
              <w:jc w:val="both"/>
              <w:rPr>
                <w:rFonts w:ascii="Times New Roman" w:eastAsia="Times New Roman" w:hAnsi="Times New Roman" w:cs="Times New Roman"/>
                <w:iCs/>
                <w:sz w:val="24"/>
                <w:szCs w:val="24"/>
                <w:lang w:eastAsia="lv-LV"/>
              </w:rPr>
            </w:pPr>
            <w:r w:rsidRPr="00330D38">
              <w:rPr>
                <w:rFonts w:ascii="Times New Roman" w:hAnsi="Times New Roman"/>
                <w:sz w:val="24"/>
                <w:szCs w:val="24"/>
              </w:rPr>
              <w:t xml:space="preserve">VVD administratīvais slogs tiks palielināts, jo papildus ikgadējiem emisiju ziņojumiem, </w:t>
            </w:r>
            <w:r w:rsidR="00330D38" w:rsidRPr="00330D38">
              <w:rPr>
                <w:rFonts w:ascii="Times New Roman" w:hAnsi="Times New Roman"/>
                <w:sz w:val="24"/>
                <w:szCs w:val="24"/>
              </w:rPr>
              <w:t xml:space="preserve">reģionālo vides pārvalžu atļauju daļas ekspertiem būs jāapstiprina arī darbības līmeņa ziņojumi. Ņemot vērā, ka darbības līmeņa ziņojumi iekļaus jau ekspertiem zināmu un pārbaudītu informāciju, šis administratīvas slogs nebūs ļoti </w:t>
            </w:r>
            <w:r w:rsidR="008A6D27" w:rsidRPr="00330D38">
              <w:rPr>
                <w:rFonts w:ascii="Times New Roman" w:hAnsi="Times New Roman"/>
                <w:sz w:val="24"/>
                <w:szCs w:val="24"/>
              </w:rPr>
              <w:t>augsts</w:t>
            </w:r>
            <w:r w:rsidR="00330D38" w:rsidRPr="00330D38">
              <w:rPr>
                <w:rFonts w:ascii="Times New Roman" w:hAnsi="Times New Roman"/>
                <w:sz w:val="24"/>
                <w:szCs w:val="24"/>
              </w:rPr>
              <w:t>.</w:t>
            </w:r>
          </w:p>
        </w:tc>
      </w:tr>
      <w:tr w:rsidR="00330D38" w:rsidRPr="00330D38" w14:paraId="423C69A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3C69A6" w14:textId="031C5305" w:rsidR="00655F2C" w:rsidRPr="00330D38" w:rsidRDefault="00E5323B" w:rsidP="00E5323B">
            <w:pPr>
              <w:spacing w:after="0" w:line="240" w:lineRule="auto"/>
              <w:rPr>
                <w:rFonts w:ascii="Times New Roman" w:eastAsia="Times New Roman" w:hAnsi="Times New Roman" w:cs="Times New Roman"/>
                <w:iCs/>
                <w:sz w:val="24"/>
                <w:szCs w:val="24"/>
                <w:lang w:eastAsia="lv-LV"/>
              </w:rPr>
            </w:pPr>
            <w:r w:rsidRPr="00330D38">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423C69A7" w14:textId="77777777" w:rsidR="00E5323B" w:rsidRPr="00330D38" w:rsidRDefault="00E5323B" w:rsidP="00E5323B">
            <w:pPr>
              <w:spacing w:after="0" w:line="240" w:lineRule="auto"/>
              <w:rPr>
                <w:rFonts w:ascii="Times New Roman" w:eastAsia="Times New Roman" w:hAnsi="Times New Roman" w:cs="Times New Roman"/>
                <w:iCs/>
                <w:sz w:val="24"/>
                <w:szCs w:val="24"/>
                <w:lang w:eastAsia="lv-LV"/>
              </w:rPr>
            </w:pPr>
            <w:r w:rsidRPr="00330D38">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BE81C15" w14:textId="77777777" w:rsidR="00A13522" w:rsidRDefault="008B6FFA"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VARAM, nosakot izmaksu monetāro vērtējumu</w:t>
            </w:r>
            <w:r w:rsidR="00C75080">
              <w:rPr>
                <w:rFonts w:ascii="Times New Roman" w:eastAsia="Times New Roman" w:hAnsi="Times New Roman" w:cs="Times New Roman"/>
                <w:iCs/>
                <w:sz w:val="24"/>
                <w:szCs w:val="24"/>
                <w:lang w:eastAsia="lv-LV"/>
              </w:rPr>
              <w:t>, izvērtēja:</w:t>
            </w:r>
          </w:p>
          <w:p w14:paraId="05569CEE" w14:textId="59D14C59" w:rsidR="00C32C17" w:rsidRDefault="002B7C4F" w:rsidP="001A70AF">
            <w:pPr>
              <w:pStyle w:val="ListParagraph"/>
              <w:numPr>
                <w:ilvl w:val="0"/>
                <w:numId w:val="12"/>
              </w:numPr>
              <w:spacing w:after="0" w:line="240" w:lineRule="auto"/>
              <w:ind w:left="391"/>
              <w:rPr>
                <w:rFonts w:ascii="Times New Roman" w:eastAsia="Times New Roman" w:hAnsi="Times New Roman" w:cs="Times New Roman"/>
                <w:iCs/>
                <w:sz w:val="24"/>
                <w:szCs w:val="24"/>
                <w:lang w:eastAsia="lv-LV"/>
              </w:rPr>
            </w:pPr>
            <w:r w:rsidRPr="00330D38">
              <w:rPr>
                <w:rFonts w:ascii="Times New Roman" w:eastAsia="Times New Roman" w:hAnsi="Times New Roman" w:cs="Times New Roman"/>
                <w:iCs/>
                <w:sz w:val="24"/>
                <w:szCs w:val="24"/>
                <w:lang w:eastAsia="lv-LV"/>
              </w:rPr>
              <w:t>Latvijā akreditēt</w:t>
            </w:r>
            <w:r>
              <w:rPr>
                <w:rFonts w:ascii="Times New Roman" w:eastAsia="Times New Roman" w:hAnsi="Times New Roman" w:cs="Times New Roman"/>
                <w:iCs/>
                <w:sz w:val="24"/>
                <w:szCs w:val="24"/>
                <w:lang w:eastAsia="lv-LV"/>
              </w:rPr>
              <w:t>u</w:t>
            </w:r>
            <w:r w:rsidRPr="00330D38">
              <w:rPr>
                <w:rFonts w:ascii="Times New Roman" w:eastAsia="Times New Roman" w:hAnsi="Times New Roman" w:cs="Times New Roman"/>
                <w:iCs/>
                <w:sz w:val="24"/>
                <w:szCs w:val="24"/>
                <w:lang w:eastAsia="lv-LV"/>
              </w:rPr>
              <w:t xml:space="preserve"> vides verificētāj</w:t>
            </w:r>
            <w:r>
              <w:rPr>
                <w:rFonts w:ascii="Times New Roman" w:eastAsia="Times New Roman" w:hAnsi="Times New Roman" w:cs="Times New Roman"/>
                <w:iCs/>
                <w:sz w:val="24"/>
                <w:szCs w:val="24"/>
                <w:lang w:eastAsia="lv-LV"/>
              </w:rPr>
              <w:t>u sniegt</w:t>
            </w:r>
            <w:r w:rsidR="006C1D97">
              <w:rPr>
                <w:rFonts w:ascii="Times New Roman" w:eastAsia="Times New Roman" w:hAnsi="Times New Roman" w:cs="Times New Roman"/>
                <w:iCs/>
                <w:sz w:val="24"/>
                <w:szCs w:val="24"/>
                <w:lang w:eastAsia="lv-LV"/>
              </w:rPr>
              <w:t>o</w:t>
            </w:r>
            <w:r>
              <w:rPr>
                <w:rFonts w:ascii="Times New Roman" w:eastAsia="Times New Roman" w:hAnsi="Times New Roman" w:cs="Times New Roman"/>
                <w:iCs/>
                <w:sz w:val="24"/>
                <w:szCs w:val="24"/>
                <w:lang w:eastAsia="lv-LV"/>
              </w:rPr>
              <w:t xml:space="preserve"> informācij</w:t>
            </w:r>
            <w:r w:rsidR="006C1D97">
              <w:rPr>
                <w:rFonts w:ascii="Times New Roman" w:eastAsia="Times New Roman" w:hAnsi="Times New Roman" w:cs="Times New Roman"/>
                <w:iCs/>
                <w:sz w:val="24"/>
                <w:szCs w:val="24"/>
                <w:lang w:eastAsia="lv-LV"/>
              </w:rPr>
              <w:t>u</w:t>
            </w:r>
            <w:r>
              <w:rPr>
                <w:rFonts w:ascii="Times New Roman" w:eastAsia="Times New Roman" w:hAnsi="Times New Roman" w:cs="Times New Roman"/>
                <w:iCs/>
                <w:sz w:val="24"/>
                <w:szCs w:val="24"/>
                <w:lang w:eastAsia="lv-LV"/>
              </w:rPr>
              <w:t xml:space="preserve"> par iespējam</w:t>
            </w:r>
            <w:r w:rsidR="00DA796D">
              <w:rPr>
                <w:rFonts w:ascii="Times New Roman" w:eastAsia="Times New Roman" w:hAnsi="Times New Roman" w:cs="Times New Roman"/>
                <w:iCs/>
                <w:sz w:val="24"/>
                <w:szCs w:val="24"/>
                <w:lang w:eastAsia="lv-LV"/>
              </w:rPr>
              <w:t>aj</w:t>
            </w:r>
            <w:r>
              <w:rPr>
                <w:rFonts w:ascii="Times New Roman" w:eastAsia="Times New Roman" w:hAnsi="Times New Roman" w:cs="Times New Roman"/>
                <w:iCs/>
                <w:sz w:val="24"/>
                <w:szCs w:val="24"/>
                <w:lang w:eastAsia="lv-LV"/>
              </w:rPr>
              <w:t>ām verifikācijas izmaksām;</w:t>
            </w:r>
          </w:p>
          <w:p w14:paraId="72451912" w14:textId="1580A1A6" w:rsidR="000A33E5" w:rsidRDefault="000A33E5" w:rsidP="001A70AF">
            <w:pPr>
              <w:pStyle w:val="ListParagraph"/>
              <w:numPr>
                <w:ilvl w:val="0"/>
                <w:numId w:val="12"/>
              </w:numPr>
              <w:spacing w:after="0" w:line="240" w:lineRule="auto"/>
              <w:ind w:left="391"/>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Finanšu ministrijas apkopojum</w:t>
            </w:r>
            <w:r w:rsidR="00DA796D">
              <w:rPr>
                <w:rFonts w:ascii="Times New Roman" w:eastAsia="Times New Roman" w:hAnsi="Times New Roman" w:cs="Times New Roman"/>
                <w:iCs/>
                <w:sz w:val="24"/>
                <w:szCs w:val="24"/>
                <w:lang w:eastAsia="lv-LV"/>
              </w:rPr>
              <w:t>u</w:t>
            </w:r>
            <w:r>
              <w:rPr>
                <w:rFonts w:ascii="Times New Roman" w:eastAsia="Times New Roman" w:hAnsi="Times New Roman" w:cs="Times New Roman"/>
                <w:iCs/>
                <w:sz w:val="24"/>
                <w:szCs w:val="24"/>
                <w:lang w:eastAsia="lv-LV"/>
              </w:rPr>
              <w:t xml:space="preserve"> par </w:t>
            </w:r>
            <w:r w:rsidR="00B714DF">
              <w:rPr>
                <w:rFonts w:ascii="Times New Roman" w:eastAsia="Times New Roman" w:hAnsi="Times New Roman" w:cs="Times New Roman"/>
                <w:iCs/>
                <w:sz w:val="24"/>
                <w:szCs w:val="24"/>
                <w:lang w:eastAsia="lv-LV"/>
              </w:rPr>
              <w:t>izdevumu programmu “23.01.00 Valsts vides dienests”</w:t>
            </w:r>
            <w:r w:rsidR="00B714DF">
              <w:rPr>
                <w:rStyle w:val="FootnoteReference"/>
                <w:rFonts w:ascii="Times New Roman" w:eastAsia="Times New Roman" w:hAnsi="Times New Roman" w:cs="Times New Roman"/>
                <w:iCs/>
                <w:sz w:val="24"/>
                <w:szCs w:val="24"/>
                <w:lang w:eastAsia="lv-LV"/>
              </w:rPr>
              <w:footnoteReference w:id="4"/>
            </w:r>
            <w:r w:rsidR="00A05F8E">
              <w:rPr>
                <w:rFonts w:ascii="Times New Roman" w:eastAsia="Times New Roman" w:hAnsi="Times New Roman" w:cs="Times New Roman"/>
                <w:iCs/>
                <w:sz w:val="24"/>
                <w:szCs w:val="24"/>
                <w:lang w:eastAsia="lv-LV"/>
              </w:rPr>
              <w:t>;</w:t>
            </w:r>
          </w:p>
          <w:p w14:paraId="00248727" w14:textId="2D757AD5" w:rsidR="00A05F8E" w:rsidRPr="001A70AF" w:rsidRDefault="00A05F8E" w:rsidP="001A70AF">
            <w:pPr>
              <w:pStyle w:val="ListParagraph"/>
              <w:numPr>
                <w:ilvl w:val="0"/>
                <w:numId w:val="12"/>
              </w:numPr>
              <w:spacing w:after="0" w:line="240" w:lineRule="auto"/>
              <w:ind w:left="391"/>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VVD sniegt</w:t>
            </w:r>
            <w:r w:rsidR="00DA796D">
              <w:rPr>
                <w:rFonts w:ascii="Times New Roman" w:eastAsia="Times New Roman" w:hAnsi="Times New Roman" w:cs="Times New Roman"/>
                <w:iCs/>
                <w:sz w:val="24"/>
                <w:szCs w:val="24"/>
                <w:lang w:eastAsia="lv-LV"/>
              </w:rPr>
              <w:t>o</w:t>
            </w:r>
            <w:r>
              <w:rPr>
                <w:rFonts w:ascii="Times New Roman" w:eastAsia="Times New Roman" w:hAnsi="Times New Roman" w:cs="Times New Roman"/>
                <w:iCs/>
                <w:sz w:val="24"/>
                <w:szCs w:val="24"/>
                <w:lang w:eastAsia="lv-LV"/>
              </w:rPr>
              <w:t xml:space="preserve"> informācij</w:t>
            </w:r>
            <w:r w:rsidR="00DA796D">
              <w:rPr>
                <w:rFonts w:ascii="Times New Roman" w:eastAsia="Times New Roman" w:hAnsi="Times New Roman" w:cs="Times New Roman"/>
                <w:iCs/>
                <w:sz w:val="24"/>
                <w:szCs w:val="24"/>
                <w:lang w:eastAsia="lv-LV"/>
              </w:rPr>
              <w:t>u</w:t>
            </w:r>
            <w:r w:rsidR="00B27F4B">
              <w:rPr>
                <w:rFonts w:ascii="Times New Roman" w:eastAsia="Times New Roman" w:hAnsi="Times New Roman" w:cs="Times New Roman"/>
                <w:iCs/>
                <w:sz w:val="24"/>
                <w:szCs w:val="24"/>
                <w:lang w:eastAsia="lv-LV"/>
              </w:rPr>
              <w:t xml:space="preserve"> par iespējamo darba apjomu.</w:t>
            </w:r>
          </w:p>
          <w:p w14:paraId="44EF4714" w14:textId="77777777" w:rsidR="00C32C17" w:rsidRDefault="00C32C17" w:rsidP="00FD36AE">
            <w:pPr>
              <w:spacing w:after="0" w:line="240" w:lineRule="auto"/>
              <w:rPr>
                <w:rFonts w:ascii="Times New Roman" w:eastAsia="Times New Roman" w:hAnsi="Times New Roman" w:cs="Times New Roman"/>
                <w:iCs/>
                <w:sz w:val="24"/>
                <w:szCs w:val="24"/>
                <w:lang w:eastAsia="lv-LV"/>
              </w:rPr>
            </w:pPr>
          </w:p>
          <w:p w14:paraId="51D589E5" w14:textId="23EDFBD0" w:rsidR="00C32C17" w:rsidRDefault="00C32C17" w:rsidP="008D1B31">
            <w:pPr>
              <w:spacing w:after="0" w:line="240" w:lineRule="auto"/>
              <w:jc w:val="both"/>
              <w:rPr>
                <w:rFonts w:ascii="Times New Roman" w:eastAsia="Times New Roman" w:hAnsi="Times New Roman" w:cs="Times New Roman"/>
                <w:iCs/>
                <w:sz w:val="24"/>
                <w:szCs w:val="24"/>
                <w:lang w:eastAsia="lv-LV"/>
              </w:rPr>
            </w:pPr>
            <w:r w:rsidRPr="00C32C17">
              <w:rPr>
                <w:rFonts w:ascii="Times New Roman" w:eastAsia="Times New Roman" w:hAnsi="Times New Roman" w:cs="Times New Roman"/>
                <w:iCs/>
                <w:sz w:val="24"/>
                <w:szCs w:val="24"/>
                <w:lang w:eastAsia="lv-LV"/>
              </w:rPr>
              <w:t xml:space="preserve">Lai operators </w:t>
            </w:r>
            <w:r>
              <w:rPr>
                <w:rFonts w:ascii="Times New Roman" w:eastAsia="Times New Roman" w:hAnsi="Times New Roman" w:cs="Times New Roman"/>
                <w:iCs/>
                <w:sz w:val="24"/>
                <w:szCs w:val="24"/>
                <w:lang w:eastAsia="lv-LV"/>
              </w:rPr>
              <w:t>sagatavotu darbības līmeņa ziņojumu</w:t>
            </w:r>
            <w:r w:rsidRPr="00C32C17">
              <w:rPr>
                <w:rFonts w:ascii="Times New Roman" w:eastAsia="Times New Roman" w:hAnsi="Times New Roman" w:cs="Times New Roman"/>
                <w:iCs/>
                <w:sz w:val="24"/>
                <w:szCs w:val="24"/>
                <w:lang w:eastAsia="lv-LV"/>
              </w:rPr>
              <w:t xml:space="preserve">, sagaidāms, ka </w:t>
            </w:r>
            <w:r w:rsidR="00DA796D">
              <w:rPr>
                <w:rFonts w:ascii="Times New Roman" w:eastAsia="Times New Roman" w:hAnsi="Times New Roman" w:cs="Times New Roman"/>
                <w:iCs/>
                <w:sz w:val="24"/>
                <w:szCs w:val="24"/>
                <w:lang w:eastAsia="lv-LV"/>
              </w:rPr>
              <w:t xml:space="preserve">tam </w:t>
            </w:r>
            <w:r w:rsidRPr="00C32C17">
              <w:rPr>
                <w:rFonts w:ascii="Times New Roman" w:eastAsia="Times New Roman" w:hAnsi="Times New Roman" w:cs="Times New Roman"/>
                <w:iCs/>
                <w:sz w:val="24"/>
                <w:szCs w:val="24"/>
                <w:lang w:eastAsia="lv-LV"/>
              </w:rPr>
              <w:t xml:space="preserve">radīsies </w:t>
            </w:r>
            <w:r w:rsidR="006803DA">
              <w:rPr>
                <w:rFonts w:ascii="Times New Roman" w:eastAsia="Times New Roman" w:hAnsi="Times New Roman" w:cs="Times New Roman"/>
                <w:iCs/>
                <w:sz w:val="24"/>
                <w:szCs w:val="24"/>
                <w:lang w:eastAsia="lv-LV"/>
              </w:rPr>
              <w:t>šādas</w:t>
            </w:r>
            <w:r w:rsidR="006803DA" w:rsidRPr="00C32C17">
              <w:rPr>
                <w:rFonts w:ascii="Times New Roman" w:eastAsia="Times New Roman" w:hAnsi="Times New Roman" w:cs="Times New Roman"/>
                <w:iCs/>
                <w:sz w:val="24"/>
                <w:szCs w:val="24"/>
                <w:lang w:eastAsia="lv-LV"/>
              </w:rPr>
              <w:t xml:space="preserve"> </w:t>
            </w:r>
            <w:r w:rsidRPr="00C32C17">
              <w:rPr>
                <w:rFonts w:ascii="Times New Roman" w:eastAsia="Times New Roman" w:hAnsi="Times New Roman" w:cs="Times New Roman"/>
                <w:iCs/>
                <w:sz w:val="24"/>
                <w:szCs w:val="24"/>
                <w:lang w:eastAsia="lv-LV"/>
              </w:rPr>
              <w:t xml:space="preserve">izmaksas: </w:t>
            </w:r>
          </w:p>
          <w:p w14:paraId="2689B98D" w14:textId="77777777" w:rsidR="00C32C17" w:rsidRPr="00C32C17" w:rsidRDefault="00C32C17" w:rsidP="008D1B31">
            <w:pPr>
              <w:spacing w:after="0" w:line="240" w:lineRule="auto"/>
              <w:jc w:val="both"/>
              <w:rPr>
                <w:rFonts w:ascii="Times New Roman" w:eastAsia="Times New Roman" w:hAnsi="Times New Roman" w:cs="Times New Roman"/>
                <w:iCs/>
                <w:sz w:val="24"/>
                <w:szCs w:val="24"/>
                <w:lang w:eastAsia="lv-LV"/>
              </w:rPr>
            </w:pPr>
          </w:p>
          <w:p w14:paraId="0817E997" w14:textId="3F4AD73E" w:rsidR="00C32C17" w:rsidRDefault="00C32C17" w:rsidP="00116EBA">
            <w:pPr>
              <w:spacing w:after="0" w:line="240" w:lineRule="auto"/>
              <w:jc w:val="center"/>
              <w:rPr>
                <w:rFonts w:ascii="Times New Roman" w:eastAsia="Times New Roman" w:hAnsi="Times New Roman" w:cs="Times New Roman"/>
                <w:iCs/>
                <w:sz w:val="24"/>
                <w:szCs w:val="24"/>
                <w:lang w:eastAsia="lv-LV"/>
              </w:rPr>
            </w:pPr>
            <w:r w:rsidRPr="00C32C17">
              <w:rPr>
                <w:rFonts w:ascii="Times New Roman" w:eastAsia="Times New Roman" w:hAnsi="Times New Roman" w:cs="Times New Roman"/>
                <w:iCs/>
                <w:sz w:val="24"/>
                <w:szCs w:val="24"/>
                <w:lang w:eastAsia="lv-LV"/>
              </w:rPr>
              <w:t>C = f x l, kur</w:t>
            </w:r>
          </w:p>
          <w:p w14:paraId="75446B4E" w14:textId="77777777" w:rsidR="00C32C17" w:rsidRPr="00C32C17" w:rsidRDefault="00C32C17" w:rsidP="00C32C17">
            <w:pPr>
              <w:spacing w:after="0" w:line="240" w:lineRule="auto"/>
              <w:rPr>
                <w:rFonts w:ascii="Times New Roman" w:eastAsia="Times New Roman" w:hAnsi="Times New Roman" w:cs="Times New Roman"/>
                <w:iCs/>
                <w:sz w:val="24"/>
                <w:szCs w:val="24"/>
                <w:lang w:eastAsia="lv-LV"/>
              </w:rPr>
            </w:pPr>
          </w:p>
          <w:p w14:paraId="1868FFB4" w14:textId="3552921D" w:rsidR="00C32C17" w:rsidRDefault="00C32C17" w:rsidP="008D1B31">
            <w:pPr>
              <w:spacing w:after="0" w:line="240" w:lineRule="auto"/>
              <w:jc w:val="both"/>
              <w:rPr>
                <w:rFonts w:ascii="Times New Roman" w:eastAsia="Times New Roman" w:hAnsi="Times New Roman" w:cs="Times New Roman"/>
                <w:iCs/>
                <w:sz w:val="24"/>
                <w:szCs w:val="24"/>
                <w:lang w:eastAsia="lv-LV"/>
              </w:rPr>
            </w:pPr>
            <w:r w:rsidRPr="00C32C17">
              <w:rPr>
                <w:rFonts w:ascii="Times New Roman" w:eastAsia="Times New Roman" w:hAnsi="Times New Roman" w:cs="Times New Roman"/>
                <w:b/>
                <w:bCs/>
                <w:iCs/>
                <w:sz w:val="24"/>
                <w:szCs w:val="24"/>
                <w:lang w:eastAsia="lv-LV"/>
              </w:rPr>
              <w:t>C</w:t>
            </w:r>
            <w:r w:rsidRPr="00C32C17">
              <w:rPr>
                <w:rFonts w:ascii="Times New Roman" w:eastAsia="Times New Roman" w:hAnsi="Times New Roman" w:cs="Times New Roman"/>
                <w:iCs/>
                <w:sz w:val="24"/>
                <w:szCs w:val="24"/>
                <w:lang w:eastAsia="lv-LV"/>
              </w:rPr>
              <w:t xml:space="preserve"> – </w:t>
            </w:r>
            <w:r w:rsidR="0083320B">
              <w:rPr>
                <w:rFonts w:ascii="Times New Roman" w:eastAsia="Times New Roman" w:hAnsi="Times New Roman" w:cs="Times New Roman"/>
                <w:iCs/>
                <w:sz w:val="24"/>
                <w:szCs w:val="24"/>
                <w:lang w:eastAsia="lv-LV"/>
              </w:rPr>
              <w:t xml:space="preserve">darbības līmeņa </w:t>
            </w:r>
            <w:r w:rsidR="002964B5">
              <w:rPr>
                <w:rFonts w:ascii="Times New Roman" w:eastAsia="Times New Roman" w:hAnsi="Times New Roman" w:cs="Times New Roman"/>
                <w:iCs/>
                <w:sz w:val="24"/>
                <w:szCs w:val="24"/>
                <w:lang w:eastAsia="lv-LV"/>
              </w:rPr>
              <w:t>ziņojumu</w:t>
            </w:r>
            <w:r w:rsidR="002964B5" w:rsidRPr="002964B5">
              <w:rPr>
                <w:rFonts w:ascii="Times New Roman" w:eastAsia="Times New Roman" w:hAnsi="Times New Roman" w:cs="Times New Roman"/>
                <w:iCs/>
                <w:sz w:val="24"/>
                <w:szCs w:val="24"/>
                <w:lang w:eastAsia="lv-LV"/>
              </w:rPr>
              <w:t xml:space="preserve"> </w:t>
            </w:r>
            <w:r w:rsidR="0083320B">
              <w:rPr>
                <w:rFonts w:ascii="Times New Roman" w:eastAsia="Times New Roman" w:hAnsi="Times New Roman" w:cs="Times New Roman"/>
                <w:iCs/>
                <w:sz w:val="24"/>
                <w:szCs w:val="24"/>
                <w:lang w:eastAsia="lv-LV"/>
              </w:rPr>
              <w:t>sagatavošanas</w:t>
            </w:r>
            <w:r w:rsidR="002964B5" w:rsidRPr="002964B5">
              <w:rPr>
                <w:rFonts w:ascii="Times New Roman" w:eastAsia="Times New Roman" w:hAnsi="Times New Roman" w:cs="Times New Roman"/>
                <w:iCs/>
                <w:sz w:val="24"/>
                <w:szCs w:val="24"/>
                <w:lang w:eastAsia="lv-LV"/>
              </w:rPr>
              <w:t xml:space="preserve"> radītās izmaksas</w:t>
            </w:r>
            <w:r w:rsidRPr="00C32C17">
              <w:rPr>
                <w:rFonts w:ascii="Times New Roman" w:eastAsia="Times New Roman" w:hAnsi="Times New Roman" w:cs="Times New Roman"/>
                <w:iCs/>
                <w:sz w:val="24"/>
                <w:szCs w:val="24"/>
                <w:lang w:eastAsia="lv-LV"/>
              </w:rPr>
              <w:t>;</w:t>
            </w:r>
          </w:p>
          <w:p w14:paraId="0677E3C0" w14:textId="77777777" w:rsidR="00C32C17" w:rsidRPr="00C32C17" w:rsidRDefault="00C32C17" w:rsidP="008D1B31">
            <w:pPr>
              <w:spacing w:after="0" w:line="240" w:lineRule="auto"/>
              <w:jc w:val="both"/>
              <w:rPr>
                <w:rFonts w:ascii="Times New Roman" w:eastAsia="Times New Roman" w:hAnsi="Times New Roman" w:cs="Times New Roman"/>
                <w:iCs/>
                <w:sz w:val="24"/>
                <w:szCs w:val="24"/>
                <w:lang w:eastAsia="lv-LV"/>
              </w:rPr>
            </w:pPr>
          </w:p>
          <w:p w14:paraId="0F265890" w14:textId="50AC56A5" w:rsidR="00C32C17" w:rsidRDefault="00C32C17" w:rsidP="008D1B31">
            <w:pPr>
              <w:spacing w:after="0" w:line="240" w:lineRule="auto"/>
              <w:jc w:val="both"/>
              <w:rPr>
                <w:rFonts w:ascii="Times New Roman" w:eastAsia="Times New Roman" w:hAnsi="Times New Roman" w:cs="Times New Roman"/>
                <w:iCs/>
                <w:sz w:val="24"/>
                <w:szCs w:val="24"/>
                <w:lang w:eastAsia="lv-LV"/>
              </w:rPr>
            </w:pPr>
            <w:r w:rsidRPr="00C32C17">
              <w:rPr>
                <w:rFonts w:ascii="Times New Roman" w:eastAsia="Times New Roman" w:hAnsi="Times New Roman" w:cs="Times New Roman"/>
                <w:b/>
                <w:bCs/>
                <w:iCs/>
                <w:sz w:val="24"/>
                <w:szCs w:val="24"/>
                <w:lang w:eastAsia="lv-LV"/>
              </w:rPr>
              <w:t>f</w:t>
            </w:r>
            <w:r w:rsidRPr="00C32C17">
              <w:rPr>
                <w:rFonts w:ascii="Times New Roman" w:eastAsia="Times New Roman" w:hAnsi="Times New Roman" w:cs="Times New Roman"/>
                <w:iCs/>
                <w:sz w:val="24"/>
                <w:szCs w:val="24"/>
                <w:lang w:eastAsia="lv-LV"/>
              </w:rPr>
              <w:t xml:space="preserve"> – stundas samaksas likme; privātajā sektorā stundas likme ir aprēķināta, dalot vidējo mēneša algu privātajā sektorā (pēc Centrālās statistikas pārvaldes tīmekļvietnes </w:t>
            </w:r>
            <w:hyperlink r:id="rId8" w:history="1">
              <w:r w:rsidRPr="00C32C17">
                <w:rPr>
                  <w:rStyle w:val="Hyperlink"/>
                  <w:rFonts w:ascii="Times New Roman" w:eastAsia="Times New Roman" w:hAnsi="Times New Roman" w:cs="Times New Roman"/>
                  <w:iCs/>
                  <w:sz w:val="24"/>
                  <w:szCs w:val="24"/>
                  <w:lang w:eastAsia="lv-LV"/>
                </w:rPr>
                <w:t>www.csb.gov.lv</w:t>
              </w:r>
            </w:hyperlink>
            <w:r w:rsidRPr="00C32C17">
              <w:rPr>
                <w:rFonts w:ascii="Times New Roman" w:eastAsia="Times New Roman" w:hAnsi="Times New Roman" w:cs="Times New Roman"/>
                <w:iCs/>
                <w:sz w:val="24"/>
                <w:szCs w:val="24"/>
                <w:lang w:eastAsia="lv-LV"/>
              </w:rPr>
              <w:t xml:space="preserve"> datiem 201</w:t>
            </w:r>
            <w:r w:rsidR="008C4F84">
              <w:rPr>
                <w:rFonts w:ascii="Times New Roman" w:eastAsia="Times New Roman" w:hAnsi="Times New Roman" w:cs="Times New Roman"/>
                <w:iCs/>
                <w:sz w:val="24"/>
                <w:szCs w:val="24"/>
                <w:lang w:eastAsia="lv-LV"/>
              </w:rPr>
              <w:t>9</w:t>
            </w:r>
            <w:r w:rsidRPr="00C32C17">
              <w:rPr>
                <w:rFonts w:ascii="Times New Roman" w:eastAsia="Times New Roman" w:hAnsi="Times New Roman" w:cs="Times New Roman"/>
                <w:iCs/>
                <w:sz w:val="24"/>
                <w:szCs w:val="24"/>
                <w:lang w:eastAsia="lv-LV"/>
              </w:rPr>
              <w:t xml:space="preserve">. gadā tā bija </w:t>
            </w:r>
            <w:r w:rsidR="008C4F84" w:rsidRPr="008C4F84">
              <w:rPr>
                <w:rFonts w:ascii="Times New Roman" w:eastAsia="Times New Roman" w:hAnsi="Times New Roman" w:cs="Times New Roman"/>
                <w:iCs/>
                <w:sz w:val="24"/>
                <w:szCs w:val="24"/>
                <w:lang w:eastAsia="lv-LV"/>
              </w:rPr>
              <w:t>1</w:t>
            </w:r>
            <w:r w:rsidR="008C4F84">
              <w:rPr>
                <w:rFonts w:ascii="Times New Roman" w:eastAsia="Times New Roman" w:hAnsi="Times New Roman" w:cs="Times New Roman"/>
                <w:iCs/>
                <w:sz w:val="24"/>
                <w:szCs w:val="24"/>
                <w:lang w:eastAsia="lv-LV"/>
              </w:rPr>
              <w:t> </w:t>
            </w:r>
            <w:r w:rsidR="008C4F84" w:rsidRPr="008C4F84">
              <w:rPr>
                <w:rFonts w:ascii="Times New Roman" w:eastAsia="Times New Roman" w:hAnsi="Times New Roman" w:cs="Times New Roman"/>
                <w:iCs/>
                <w:sz w:val="24"/>
                <w:szCs w:val="24"/>
                <w:lang w:eastAsia="lv-LV"/>
              </w:rPr>
              <w:t>067</w:t>
            </w:r>
            <w:r w:rsidRPr="00C32C17">
              <w:rPr>
                <w:rFonts w:ascii="Times New Roman" w:eastAsia="Times New Roman" w:hAnsi="Times New Roman" w:cs="Times New Roman"/>
                <w:iCs/>
                <w:sz w:val="24"/>
                <w:szCs w:val="24"/>
                <w:lang w:eastAsia="lv-LV"/>
              </w:rPr>
              <w:t>,00 </w:t>
            </w:r>
            <w:proofErr w:type="spellStart"/>
            <w:r w:rsidRPr="00C32C17">
              <w:rPr>
                <w:rFonts w:ascii="Times New Roman" w:eastAsia="Times New Roman" w:hAnsi="Times New Roman" w:cs="Times New Roman"/>
                <w:i/>
                <w:iCs/>
                <w:sz w:val="24"/>
                <w:szCs w:val="24"/>
                <w:lang w:eastAsia="lv-LV"/>
              </w:rPr>
              <w:t>e</w:t>
            </w:r>
            <w:r w:rsidR="009C69BC">
              <w:rPr>
                <w:rFonts w:ascii="Times New Roman" w:eastAsia="Times New Roman" w:hAnsi="Times New Roman" w:cs="Times New Roman"/>
                <w:i/>
                <w:iCs/>
                <w:sz w:val="24"/>
                <w:szCs w:val="24"/>
                <w:lang w:eastAsia="lv-LV"/>
              </w:rPr>
              <w:t>u</w:t>
            </w:r>
            <w:r w:rsidRPr="00C32C17">
              <w:rPr>
                <w:rFonts w:ascii="Times New Roman" w:eastAsia="Times New Roman" w:hAnsi="Times New Roman" w:cs="Times New Roman"/>
                <w:i/>
                <w:iCs/>
                <w:sz w:val="24"/>
                <w:szCs w:val="24"/>
                <w:lang w:eastAsia="lv-LV"/>
              </w:rPr>
              <w:t>ro</w:t>
            </w:r>
            <w:proofErr w:type="spellEnd"/>
            <w:r w:rsidRPr="00C32C17">
              <w:rPr>
                <w:rFonts w:ascii="Times New Roman" w:eastAsia="Times New Roman" w:hAnsi="Times New Roman" w:cs="Times New Roman"/>
                <w:i/>
                <w:iCs/>
                <w:sz w:val="24"/>
                <w:szCs w:val="24"/>
                <w:lang w:eastAsia="lv-LV"/>
              </w:rPr>
              <w:t>/</w:t>
            </w:r>
            <w:r w:rsidRPr="00C32C17">
              <w:rPr>
                <w:rFonts w:ascii="Times New Roman" w:eastAsia="Times New Roman" w:hAnsi="Times New Roman" w:cs="Times New Roman"/>
                <w:iCs/>
                <w:sz w:val="24"/>
                <w:szCs w:val="24"/>
                <w:lang w:eastAsia="lv-LV"/>
              </w:rPr>
              <w:t xml:space="preserve">mēnesī) ar Darba likuma 131. panta pirmajā daļā minēto normālo darba laiku (40 stundas nedēļā x 4 = 160 stundas mēnesī) = </w:t>
            </w:r>
            <w:r w:rsidRPr="00C32C17">
              <w:rPr>
                <w:rFonts w:ascii="Times New Roman" w:eastAsia="Times New Roman" w:hAnsi="Times New Roman" w:cs="Times New Roman"/>
                <w:bCs/>
                <w:iCs/>
                <w:sz w:val="24"/>
                <w:szCs w:val="24"/>
                <w:lang w:eastAsia="lv-LV"/>
              </w:rPr>
              <w:t>6,</w:t>
            </w:r>
            <w:r w:rsidR="004D010F">
              <w:rPr>
                <w:rFonts w:ascii="Times New Roman" w:eastAsia="Times New Roman" w:hAnsi="Times New Roman" w:cs="Times New Roman"/>
                <w:bCs/>
                <w:iCs/>
                <w:sz w:val="24"/>
                <w:szCs w:val="24"/>
                <w:lang w:eastAsia="lv-LV"/>
              </w:rPr>
              <w:t>68</w:t>
            </w:r>
            <w:r w:rsidRPr="00C32C17">
              <w:rPr>
                <w:rFonts w:ascii="Times New Roman" w:eastAsia="Times New Roman" w:hAnsi="Times New Roman" w:cs="Times New Roman"/>
                <w:bCs/>
                <w:iCs/>
                <w:sz w:val="24"/>
                <w:szCs w:val="24"/>
                <w:lang w:eastAsia="lv-LV"/>
              </w:rPr>
              <w:t> </w:t>
            </w:r>
            <w:proofErr w:type="spellStart"/>
            <w:r w:rsidRPr="00C32C17">
              <w:rPr>
                <w:rFonts w:ascii="Times New Roman" w:eastAsia="Times New Roman" w:hAnsi="Times New Roman" w:cs="Times New Roman"/>
                <w:bCs/>
                <w:i/>
                <w:iCs/>
                <w:sz w:val="24"/>
                <w:szCs w:val="24"/>
                <w:lang w:eastAsia="lv-LV"/>
              </w:rPr>
              <w:t>e</w:t>
            </w:r>
            <w:r w:rsidR="009C69BC">
              <w:rPr>
                <w:rFonts w:ascii="Times New Roman" w:eastAsia="Times New Roman" w:hAnsi="Times New Roman" w:cs="Times New Roman"/>
                <w:bCs/>
                <w:i/>
                <w:iCs/>
                <w:sz w:val="24"/>
                <w:szCs w:val="24"/>
                <w:lang w:eastAsia="lv-LV"/>
              </w:rPr>
              <w:t>u</w:t>
            </w:r>
            <w:r w:rsidRPr="00C32C17">
              <w:rPr>
                <w:rFonts w:ascii="Times New Roman" w:eastAsia="Times New Roman" w:hAnsi="Times New Roman" w:cs="Times New Roman"/>
                <w:bCs/>
                <w:i/>
                <w:iCs/>
                <w:sz w:val="24"/>
                <w:szCs w:val="24"/>
                <w:lang w:eastAsia="lv-LV"/>
              </w:rPr>
              <w:t>ro</w:t>
            </w:r>
            <w:proofErr w:type="spellEnd"/>
            <w:r w:rsidRPr="00C32C17">
              <w:rPr>
                <w:rFonts w:ascii="Times New Roman" w:eastAsia="Times New Roman" w:hAnsi="Times New Roman" w:cs="Times New Roman"/>
                <w:bCs/>
                <w:iCs/>
                <w:sz w:val="24"/>
                <w:szCs w:val="24"/>
                <w:lang w:eastAsia="lv-LV"/>
              </w:rPr>
              <w:t>/stundā</w:t>
            </w:r>
            <w:r w:rsidRPr="00C32C17">
              <w:rPr>
                <w:rFonts w:ascii="Times New Roman" w:eastAsia="Times New Roman" w:hAnsi="Times New Roman" w:cs="Times New Roman"/>
                <w:iCs/>
                <w:sz w:val="24"/>
                <w:szCs w:val="24"/>
                <w:lang w:eastAsia="lv-LV"/>
              </w:rPr>
              <w:t>;</w:t>
            </w:r>
          </w:p>
          <w:p w14:paraId="152DCEBC" w14:textId="77777777" w:rsidR="00C32C17" w:rsidRPr="00C32C17" w:rsidRDefault="00C32C17" w:rsidP="008D1B31">
            <w:pPr>
              <w:spacing w:after="0" w:line="240" w:lineRule="auto"/>
              <w:jc w:val="both"/>
              <w:rPr>
                <w:rFonts w:ascii="Times New Roman" w:eastAsia="Times New Roman" w:hAnsi="Times New Roman" w:cs="Times New Roman"/>
                <w:iCs/>
                <w:sz w:val="24"/>
                <w:szCs w:val="24"/>
                <w:lang w:eastAsia="lv-LV"/>
              </w:rPr>
            </w:pPr>
          </w:p>
          <w:p w14:paraId="4D203A51" w14:textId="6F06D6E1" w:rsidR="00C32C17" w:rsidRDefault="00C32C17" w:rsidP="008D1B31">
            <w:pPr>
              <w:spacing w:after="0" w:line="240" w:lineRule="auto"/>
              <w:jc w:val="both"/>
              <w:rPr>
                <w:rFonts w:ascii="Times New Roman" w:eastAsia="Times New Roman" w:hAnsi="Times New Roman" w:cs="Times New Roman"/>
                <w:iCs/>
                <w:sz w:val="24"/>
                <w:szCs w:val="24"/>
                <w:lang w:eastAsia="lv-LV"/>
              </w:rPr>
            </w:pPr>
            <w:r w:rsidRPr="00C32C17">
              <w:rPr>
                <w:rFonts w:ascii="Times New Roman" w:eastAsia="Times New Roman" w:hAnsi="Times New Roman" w:cs="Times New Roman"/>
                <w:b/>
                <w:bCs/>
                <w:iCs/>
                <w:sz w:val="24"/>
                <w:szCs w:val="24"/>
                <w:lang w:eastAsia="lv-LV"/>
              </w:rPr>
              <w:t xml:space="preserve">l </w:t>
            </w:r>
            <w:r w:rsidRPr="00C32C17">
              <w:rPr>
                <w:rFonts w:ascii="Times New Roman" w:eastAsia="Times New Roman" w:hAnsi="Times New Roman" w:cs="Times New Roman"/>
                <w:iCs/>
                <w:sz w:val="24"/>
                <w:szCs w:val="24"/>
                <w:lang w:eastAsia="lv-LV"/>
              </w:rPr>
              <w:t xml:space="preserve">– laika patēriņš, kas </w:t>
            </w:r>
            <w:r w:rsidR="00AE2F57">
              <w:rPr>
                <w:rFonts w:ascii="Times New Roman" w:eastAsia="Times New Roman" w:hAnsi="Times New Roman" w:cs="Times New Roman"/>
                <w:iCs/>
                <w:sz w:val="24"/>
                <w:szCs w:val="24"/>
                <w:lang w:eastAsia="lv-LV"/>
              </w:rPr>
              <w:t>operatoram</w:t>
            </w:r>
            <w:r w:rsidR="00EE3432">
              <w:rPr>
                <w:rFonts w:ascii="Times New Roman" w:eastAsia="Times New Roman" w:hAnsi="Times New Roman" w:cs="Times New Roman"/>
                <w:iCs/>
                <w:sz w:val="24"/>
                <w:szCs w:val="24"/>
                <w:lang w:eastAsia="lv-LV"/>
              </w:rPr>
              <w:t xml:space="preserve"> jāpavada sagatavojot </w:t>
            </w:r>
            <w:r w:rsidR="00F05A47">
              <w:rPr>
                <w:rFonts w:ascii="Times New Roman" w:eastAsia="Times New Roman" w:hAnsi="Times New Roman" w:cs="Times New Roman"/>
                <w:iCs/>
                <w:sz w:val="24"/>
                <w:szCs w:val="24"/>
                <w:lang w:eastAsia="lv-LV"/>
              </w:rPr>
              <w:t xml:space="preserve">darbības līmeņa </w:t>
            </w:r>
            <w:r w:rsidR="00EE3432">
              <w:rPr>
                <w:rFonts w:ascii="Times New Roman" w:eastAsia="Times New Roman" w:hAnsi="Times New Roman" w:cs="Times New Roman"/>
                <w:iCs/>
                <w:sz w:val="24"/>
                <w:szCs w:val="24"/>
                <w:lang w:eastAsia="lv-LV"/>
              </w:rPr>
              <w:t>ziņojumu</w:t>
            </w:r>
            <w:r w:rsidRPr="00C32C17">
              <w:rPr>
                <w:rFonts w:ascii="Times New Roman" w:eastAsia="Times New Roman" w:hAnsi="Times New Roman" w:cs="Times New Roman"/>
                <w:iCs/>
                <w:sz w:val="24"/>
                <w:szCs w:val="24"/>
                <w:lang w:eastAsia="lv-LV"/>
              </w:rPr>
              <w:t xml:space="preserve"> – </w:t>
            </w:r>
            <w:r w:rsidR="00E12FC6">
              <w:rPr>
                <w:rFonts w:ascii="Times New Roman" w:eastAsia="Times New Roman" w:hAnsi="Times New Roman" w:cs="Times New Roman"/>
                <w:iCs/>
                <w:sz w:val="24"/>
                <w:szCs w:val="24"/>
                <w:lang w:eastAsia="lv-LV"/>
              </w:rPr>
              <w:t>8</w:t>
            </w:r>
            <w:r w:rsidRPr="0091221A">
              <w:rPr>
                <w:rFonts w:ascii="Times New Roman" w:eastAsia="Times New Roman" w:hAnsi="Times New Roman" w:cs="Times New Roman"/>
                <w:bCs/>
                <w:iCs/>
                <w:sz w:val="24"/>
                <w:szCs w:val="24"/>
                <w:lang w:eastAsia="lv-LV"/>
              </w:rPr>
              <w:t> stundas</w:t>
            </w:r>
            <w:r w:rsidRPr="0091221A">
              <w:rPr>
                <w:rFonts w:ascii="Times New Roman" w:eastAsia="Times New Roman" w:hAnsi="Times New Roman" w:cs="Times New Roman"/>
                <w:iCs/>
                <w:sz w:val="24"/>
                <w:szCs w:val="24"/>
                <w:lang w:eastAsia="lv-LV"/>
              </w:rPr>
              <w:t>;</w:t>
            </w:r>
          </w:p>
          <w:p w14:paraId="54BB0CCC" w14:textId="77777777" w:rsidR="00C32C17" w:rsidRPr="00C32C17" w:rsidRDefault="00C32C17" w:rsidP="008D1B31">
            <w:pPr>
              <w:spacing w:after="0" w:line="240" w:lineRule="auto"/>
              <w:jc w:val="both"/>
              <w:rPr>
                <w:rFonts w:ascii="Times New Roman" w:eastAsia="Times New Roman" w:hAnsi="Times New Roman" w:cs="Times New Roman"/>
                <w:iCs/>
                <w:sz w:val="24"/>
                <w:szCs w:val="24"/>
                <w:lang w:eastAsia="lv-LV"/>
              </w:rPr>
            </w:pPr>
          </w:p>
          <w:p w14:paraId="4AE09275" w14:textId="7E84EAA7" w:rsidR="00C32C17" w:rsidRDefault="00C32C17" w:rsidP="008D1B31">
            <w:pPr>
              <w:spacing w:after="0" w:line="240" w:lineRule="auto"/>
              <w:jc w:val="both"/>
              <w:rPr>
                <w:rFonts w:ascii="Times New Roman" w:eastAsia="Times New Roman" w:hAnsi="Times New Roman" w:cs="Times New Roman"/>
                <w:iCs/>
                <w:sz w:val="24"/>
                <w:szCs w:val="24"/>
                <w:lang w:eastAsia="lv-LV"/>
              </w:rPr>
            </w:pPr>
            <w:r w:rsidRPr="00C32C17">
              <w:rPr>
                <w:rFonts w:ascii="Times New Roman" w:eastAsia="Times New Roman" w:hAnsi="Times New Roman" w:cs="Times New Roman"/>
                <w:iCs/>
                <w:sz w:val="24"/>
                <w:szCs w:val="24"/>
                <w:lang w:eastAsia="lv-LV"/>
              </w:rPr>
              <w:t>Aprēķins: 6,</w:t>
            </w:r>
            <w:r w:rsidR="00CE363C">
              <w:rPr>
                <w:rFonts w:ascii="Times New Roman" w:eastAsia="Times New Roman" w:hAnsi="Times New Roman" w:cs="Times New Roman"/>
                <w:iCs/>
                <w:sz w:val="24"/>
                <w:szCs w:val="24"/>
                <w:lang w:eastAsia="lv-LV"/>
              </w:rPr>
              <w:t>68</w:t>
            </w:r>
            <w:r w:rsidRPr="00C32C17">
              <w:rPr>
                <w:rFonts w:ascii="Times New Roman" w:eastAsia="Times New Roman" w:hAnsi="Times New Roman" w:cs="Times New Roman"/>
                <w:iCs/>
                <w:sz w:val="24"/>
                <w:szCs w:val="24"/>
                <w:lang w:eastAsia="lv-LV"/>
              </w:rPr>
              <w:t xml:space="preserve"> x </w:t>
            </w:r>
            <w:r w:rsidR="00813668">
              <w:rPr>
                <w:rFonts w:ascii="Times New Roman" w:eastAsia="Times New Roman" w:hAnsi="Times New Roman" w:cs="Times New Roman"/>
                <w:iCs/>
                <w:sz w:val="24"/>
                <w:szCs w:val="24"/>
                <w:lang w:eastAsia="lv-LV"/>
              </w:rPr>
              <w:t>8</w:t>
            </w:r>
            <w:r w:rsidRPr="00C32C17">
              <w:rPr>
                <w:rFonts w:ascii="Times New Roman" w:eastAsia="Times New Roman" w:hAnsi="Times New Roman" w:cs="Times New Roman"/>
                <w:iCs/>
                <w:sz w:val="24"/>
                <w:szCs w:val="24"/>
                <w:lang w:eastAsia="lv-LV"/>
              </w:rPr>
              <w:t xml:space="preserve"> =</w:t>
            </w:r>
            <w:r w:rsidR="004F4F48">
              <w:rPr>
                <w:rFonts w:ascii="Times New Roman" w:eastAsia="Times New Roman" w:hAnsi="Times New Roman" w:cs="Times New Roman"/>
                <w:iCs/>
                <w:sz w:val="24"/>
                <w:szCs w:val="24"/>
                <w:lang w:eastAsia="lv-LV"/>
              </w:rPr>
              <w:t xml:space="preserve"> </w:t>
            </w:r>
            <w:r w:rsidR="00DE48FE">
              <w:rPr>
                <w:rFonts w:ascii="Times New Roman" w:eastAsia="Times New Roman" w:hAnsi="Times New Roman" w:cs="Times New Roman"/>
                <w:iCs/>
                <w:sz w:val="24"/>
                <w:szCs w:val="24"/>
                <w:lang w:eastAsia="lv-LV"/>
              </w:rPr>
              <w:t>53,44</w:t>
            </w:r>
            <w:r w:rsidRPr="00C32C17">
              <w:rPr>
                <w:rFonts w:ascii="Times New Roman" w:eastAsia="Times New Roman" w:hAnsi="Times New Roman" w:cs="Times New Roman"/>
                <w:iCs/>
                <w:sz w:val="24"/>
                <w:szCs w:val="24"/>
                <w:lang w:eastAsia="lv-LV"/>
              </w:rPr>
              <w:t xml:space="preserve"> </w:t>
            </w:r>
            <w:proofErr w:type="spellStart"/>
            <w:r w:rsidRPr="00C32C17">
              <w:rPr>
                <w:rFonts w:ascii="Times New Roman" w:eastAsia="Times New Roman" w:hAnsi="Times New Roman" w:cs="Times New Roman"/>
                <w:i/>
                <w:iCs/>
                <w:sz w:val="24"/>
                <w:szCs w:val="24"/>
                <w:lang w:eastAsia="lv-LV"/>
              </w:rPr>
              <w:t>e</w:t>
            </w:r>
            <w:r w:rsidR="009C69BC">
              <w:rPr>
                <w:rFonts w:ascii="Times New Roman" w:eastAsia="Times New Roman" w:hAnsi="Times New Roman" w:cs="Times New Roman"/>
                <w:i/>
                <w:iCs/>
                <w:sz w:val="24"/>
                <w:szCs w:val="24"/>
                <w:lang w:eastAsia="lv-LV"/>
              </w:rPr>
              <w:t>u</w:t>
            </w:r>
            <w:r w:rsidRPr="00C32C17">
              <w:rPr>
                <w:rFonts w:ascii="Times New Roman" w:eastAsia="Times New Roman" w:hAnsi="Times New Roman" w:cs="Times New Roman"/>
                <w:i/>
                <w:iCs/>
                <w:sz w:val="24"/>
                <w:szCs w:val="24"/>
                <w:lang w:eastAsia="lv-LV"/>
              </w:rPr>
              <w:t>ro</w:t>
            </w:r>
            <w:proofErr w:type="spellEnd"/>
            <w:r w:rsidRPr="00C32C17">
              <w:rPr>
                <w:rFonts w:ascii="Times New Roman" w:eastAsia="Times New Roman" w:hAnsi="Times New Roman" w:cs="Times New Roman"/>
                <w:iCs/>
                <w:sz w:val="24"/>
                <w:szCs w:val="24"/>
                <w:lang w:eastAsia="lv-LV"/>
              </w:rPr>
              <w:t xml:space="preserve">/gadā </w:t>
            </w:r>
            <w:r w:rsidR="004F4F48">
              <w:rPr>
                <w:rFonts w:ascii="Times New Roman" w:eastAsia="Times New Roman" w:hAnsi="Times New Roman" w:cs="Times New Roman"/>
                <w:iCs/>
                <w:sz w:val="24"/>
                <w:szCs w:val="24"/>
                <w:lang w:eastAsia="lv-LV"/>
              </w:rPr>
              <w:t>vienam</w:t>
            </w:r>
            <w:r w:rsidR="007D1CD7">
              <w:rPr>
                <w:rFonts w:ascii="Times New Roman" w:eastAsia="Times New Roman" w:hAnsi="Times New Roman" w:cs="Times New Roman"/>
                <w:iCs/>
                <w:sz w:val="24"/>
                <w:szCs w:val="24"/>
                <w:lang w:eastAsia="lv-LV"/>
              </w:rPr>
              <w:t xml:space="preserve"> operatoriem.</w:t>
            </w:r>
          </w:p>
          <w:p w14:paraId="14D6488E" w14:textId="7BAA3737" w:rsidR="00E12FC6" w:rsidRDefault="00E12FC6" w:rsidP="008D1B31">
            <w:pPr>
              <w:spacing w:after="0" w:line="240" w:lineRule="auto"/>
              <w:jc w:val="both"/>
              <w:rPr>
                <w:rFonts w:ascii="Times New Roman" w:eastAsia="Times New Roman" w:hAnsi="Times New Roman" w:cs="Times New Roman"/>
                <w:iCs/>
                <w:sz w:val="24"/>
                <w:szCs w:val="24"/>
                <w:lang w:eastAsia="lv-LV"/>
              </w:rPr>
            </w:pPr>
          </w:p>
          <w:p w14:paraId="6F335618" w14:textId="4C2B0C64" w:rsidR="008905F3" w:rsidRDefault="00E12FC6" w:rsidP="00D1078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Papildus, </w:t>
            </w:r>
            <w:r w:rsidR="00B743BA">
              <w:rPr>
                <w:rFonts w:ascii="Times New Roman" w:eastAsia="Times New Roman" w:hAnsi="Times New Roman" w:cs="Times New Roman"/>
                <w:iCs/>
                <w:sz w:val="24"/>
                <w:szCs w:val="24"/>
                <w:lang w:eastAsia="lv-LV"/>
              </w:rPr>
              <w:t xml:space="preserve">ziņojuma sagatavošanas izmaksām, visiem operatoriem ir nepieciešams šos ziņojumus verificēt. </w:t>
            </w:r>
            <w:r w:rsidR="00CA7F96">
              <w:rPr>
                <w:rFonts w:ascii="Times New Roman" w:eastAsia="Times New Roman" w:hAnsi="Times New Roman" w:cs="Times New Roman"/>
                <w:iCs/>
                <w:sz w:val="24"/>
                <w:szCs w:val="24"/>
                <w:lang w:eastAsia="lv-LV"/>
              </w:rPr>
              <w:t xml:space="preserve">Latvijā </w:t>
            </w:r>
            <w:r w:rsidR="00CE0B0C">
              <w:rPr>
                <w:rFonts w:ascii="Times New Roman" w:eastAsia="Times New Roman" w:hAnsi="Times New Roman" w:cs="Times New Roman"/>
                <w:iCs/>
                <w:sz w:val="24"/>
                <w:szCs w:val="24"/>
                <w:lang w:eastAsia="lv-LV"/>
              </w:rPr>
              <w:t>darbojās trīs verifikatori, kam ir piešķirta s</w:t>
            </w:r>
            <w:r w:rsidR="00CA7F96" w:rsidRPr="00CA7F96">
              <w:rPr>
                <w:rFonts w:ascii="Times New Roman" w:eastAsia="Times New Roman" w:hAnsi="Times New Roman" w:cs="Times New Roman"/>
                <w:iCs/>
                <w:sz w:val="24"/>
                <w:szCs w:val="24"/>
                <w:lang w:eastAsia="lv-LV"/>
              </w:rPr>
              <w:t>iltumnīcefektu gāzu verificētāju akreditācija</w:t>
            </w:r>
            <w:r w:rsidR="00CE0B0C">
              <w:rPr>
                <w:rFonts w:ascii="Times New Roman" w:eastAsia="Times New Roman" w:hAnsi="Times New Roman" w:cs="Times New Roman"/>
                <w:iCs/>
                <w:sz w:val="24"/>
                <w:szCs w:val="24"/>
                <w:lang w:eastAsia="lv-LV"/>
              </w:rPr>
              <w:t xml:space="preserve">, un kas </w:t>
            </w:r>
            <w:r w:rsidR="00CE0B0C">
              <w:rPr>
                <w:rFonts w:ascii="Times New Roman" w:eastAsia="Times New Roman" w:hAnsi="Times New Roman" w:cs="Times New Roman"/>
                <w:iCs/>
                <w:sz w:val="24"/>
                <w:szCs w:val="24"/>
                <w:lang w:eastAsia="lv-LV"/>
              </w:rPr>
              <w:lastRenderedPageBreak/>
              <w:t xml:space="preserve">drīkst </w:t>
            </w:r>
            <w:r w:rsidR="008D3CA4">
              <w:rPr>
                <w:rFonts w:ascii="Times New Roman" w:eastAsia="Times New Roman" w:hAnsi="Times New Roman" w:cs="Times New Roman"/>
                <w:iCs/>
                <w:sz w:val="24"/>
                <w:szCs w:val="24"/>
                <w:lang w:eastAsia="lv-LV"/>
              </w:rPr>
              <w:t xml:space="preserve">verificēt ES ETS ziņojumus. VARAM </w:t>
            </w:r>
            <w:r w:rsidR="005D6B48">
              <w:rPr>
                <w:rFonts w:ascii="Times New Roman" w:eastAsia="Times New Roman" w:hAnsi="Times New Roman" w:cs="Times New Roman"/>
                <w:iCs/>
                <w:sz w:val="24"/>
                <w:szCs w:val="24"/>
                <w:lang w:eastAsia="lv-LV"/>
              </w:rPr>
              <w:t xml:space="preserve">lūdza verifikatoriem sniegt aptuvenas aplēses par </w:t>
            </w:r>
            <w:r w:rsidR="00C26AEA">
              <w:rPr>
                <w:rFonts w:ascii="Times New Roman" w:eastAsia="Times New Roman" w:hAnsi="Times New Roman" w:cs="Times New Roman"/>
                <w:iCs/>
                <w:sz w:val="24"/>
                <w:szCs w:val="24"/>
                <w:lang w:eastAsia="lv-LV"/>
              </w:rPr>
              <w:t xml:space="preserve">ziņojuma verifikācijas izmaksām. Vidējās izmaksas ir grūti noteikt, ņemot vērā, ka izmaksas mainās operatoriem balstoties uz iekārtu </w:t>
            </w:r>
            <w:r w:rsidR="006574BB">
              <w:rPr>
                <w:rFonts w:ascii="Times New Roman" w:eastAsia="Times New Roman" w:hAnsi="Times New Roman" w:cs="Times New Roman"/>
                <w:iCs/>
                <w:sz w:val="24"/>
                <w:szCs w:val="24"/>
                <w:lang w:eastAsia="lv-LV"/>
              </w:rPr>
              <w:t>specifiku (piem. viena kurināmā katlu māja</w:t>
            </w:r>
            <w:r w:rsidR="004875B1">
              <w:rPr>
                <w:rFonts w:ascii="Times New Roman" w:eastAsia="Times New Roman" w:hAnsi="Times New Roman" w:cs="Times New Roman"/>
                <w:iCs/>
                <w:sz w:val="24"/>
                <w:szCs w:val="24"/>
                <w:lang w:eastAsia="lv-LV"/>
              </w:rPr>
              <w:t>i</w:t>
            </w:r>
            <w:r w:rsidR="006574BB">
              <w:rPr>
                <w:rFonts w:ascii="Times New Roman" w:eastAsia="Times New Roman" w:hAnsi="Times New Roman" w:cs="Times New Roman"/>
                <w:iCs/>
                <w:sz w:val="24"/>
                <w:szCs w:val="24"/>
                <w:lang w:eastAsia="lv-LV"/>
              </w:rPr>
              <w:t xml:space="preserve"> </w:t>
            </w:r>
            <w:r w:rsidR="00C57CF5">
              <w:rPr>
                <w:rFonts w:ascii="Times New Roman" w:eastAsia="Times New Roman" w:hAnsi="Times New Roman" w:cs="Times New Roman"/>
                <w:iCs/>
                <w:sz w:val="24"/>
                <w:szCs w:val="24"/>
                <w:lang w:eastAsia="lv-LV"/>
              </w:rPr>
              <w:t>vai</w:t>
            </w:r>
            <w:r w:rsidR="006574BB">
              <w:rPr>
                <w:rFonts w:ascii="Times New Roman" w:eastAsia="Times New Roman" w:hAnsi="Times New Roman" w:cs="Times New Roman"/>
                <w:iCs/>
                <w:sz w:val="24"/>
                <w:szCs w:val="24"/>
                <w:lang w:eastAsia="lv-LV"/>
              </w:rPr>
              <w:t xml:space="preserve"> koģenerācijas stacijai būs dažādas izmaksas). </w:t>
            </w:r>
            <w:r w:rsidR="00C57CF5">
              <w:rPr>
                <w:rFonts w:ascii="Times New Roman" w:eastAsia="Times New Roman" w:hAnsi="Times New Roman" w:cs="Times New Roman"/>
                <w:iCs/>
                <w:sz w:val="24"/>
                <w:szCs w:val="24"/>
                <w:lang w:eastAsia="lv-LV"/>
              </w:rPr>
              <w:t>Ņemot vērā sniegto informāciju</w:t>
            </w:r>
            <w:r w:rsidR="00697F5D">
              <w:rPr>
                <w:rFonts w:ascii="Times New Roman" w:eastAsia="Times New Roman" w:hAnsi="Times New Roman" w:cs="Times New Roman"/>
                <w:iCs/>
                <w:sz w:val="24"/>
                <w:szCs w:val="24"/>
                <w:lang w:eastAsia="lv-LV"/>
              </w:rPr>
              <w:t xml:space="preserve"> un izmaksu konfidencialitāti</w:t>
            </w:r>
            <w:r w:rsidR="00C57CF5">
              <w:rPr>
                <w:rFonts w:ascii="Times New Roman" w:eastAsia="Times New Roman" w:hAnsi="Times New Roman" w:cs="Times New Roman"/>
                <w:iCs/>
                <w:sz w:val="24"/>
                <w:szCs w:val="24"/>
                <w:lang w:eastAsia="lv-LV"/>
              </w:rPr>
              <w:t xml:space="preserve">, </w:t>
            </w:r>
            <w:r w:rsidR="00851AAA">
              <w:rPr>
                <w:rFonts w:ascii="Times New Roman" w:eastAsia="Times New Roman" w:hAnsi="Times New Roman" w:cs="Times New Roman"/>
                <w:iCs/>
                <w:sz w:val="24"/>
                <w:szCs w:val="24"/>
                <w:lang w:eastAsia="lv-LV"/>
              </w:rPr>
              <w:t xml:space="preserve">VARAM </w:t>
            </w:r>
            <w:r w:rsidR="00697F5D">
              <w:rPr>
                <w:rFonts w:ascii="Times New Roman" w:eastAsia="Times New Roman" w:hAnsi="Times New Roman" w:cs="Times New Roman"/>
                <w:iCs/>
                <w:sz w:val="24"/>
                <w:szCs w:val="24"/>
                <w:lang w:eastAsia="lv-LV"/>
              </w:rPr>
              <w:t>pieņem, ka vidēji operators maksās</w:t>
            </w:r>
            <w:r w:rsidR="00AC014D">
              <w:rPr>
                <w:rFonts w:ascii="Times New Roman" w:eastAsia="Times New Roman" w:hAnsi="Times New Roman" w:cs="Times New Roman"/>
                <w:iCs/>
                <w:sz w:val="24"/>
                <w:szCs w:val="24"/>
                <w:lang w:eastAsia="lv-LV"/>
              </w:rPr>
              <w:t xml:space="preserve"> </w:t>
            </w:r>
            <w:r w:rsidR="00AC014D" w:rsidRPr="0060722A">
              <w:rPr>
                <w:rFonts w:ascii="Times New Roman" w:eastAsia="Times New Roman" w:hAnsi="Times New Roman" w:cs="Times New Roman"/>
                <w:iCs/>
                <w:sz w:val="24"/>
                <w:szCs w:val="24"/>
                <w:lang w:eastAsia="lv-LV"/>
              </w:rPr>
              <w:t xml:space="preserve">500 </w:t>
            </w:r>
            <w:proofErr w:type="spellStart"/>
            <w:r w:rsidR="00AC014D" w:rsidRPr="0060722A">
              <w:rPr>
                <w:rFonts w:ascii="Times New Roman" w:eastAsia="Times New Roman" w:hAnsi="Times New Roman" w:cs="Times New Roman"/>
                <w:i/>
                <w:sz w:val="24"/>
                <w:szCs w:val="24"/>
                <w:lang w:eastAsia="lv-LV"/>
              </w:rPr>
              <w:t>e</w:t>
            </w:r>
            <w:r w:rsidR="009C69BC">
              <w:rPr>
                <w:rFonts w:ascii="Times New Roman" w:eastAsia="Times New Roman" w:hAnsi="Times New Roman" w:cs="Times New Roman"/>
                <w:i/>
                <w:sz w:val="24"/>
                <w:szCs w:val="24"/>
                <w:lang w:eastAsia="lv-LV"/>
              </w:rPr>
              <w:t>u</w:t>
            </w:r>
            <w:r w:rsidR="00AC014D" w:rsidRPr="0060722A">
              <w:rPr>
                <w:rFonts w:ascii="Times New Roman" w:eastAsia="Times New Roman" w:hAnsi="Times New Roman" w:cs="Times New Roman"/>
                <w:i/>
                <w:sz w:val="24"/>
                <w:szCs w:val="24"/>
                <w:lang w:eastAsia="lv-LV"/>
              </w:rPr>
              <w:t>ro</w:t>
            </w:r>
            <w:proofErr w:type="spellEnd"/>
            <w:r w:rsidR="00AC014D">
              <w:rPr>
                <w:rFonts w:ascii="Times New Roman" w:eastAsia="Times New Roman" w:hAnsi="Times New Roman" w:cs="Times New Roman"/>
                <w:iCs/>
                <w:sz w:val="24"/>
                <w:szCs w:val="24"/>
                <w:lang w:eastAsia="lv-LV"/>
              </w:rPr>
              <w:t xml:space="preserve"> par darbības līmeņa ziņojuma verifikāciju.</w:t>
            </w:r>
            <w:r w:rsidR="00663C33">
              <w:rPr>
                <w:rFonts w:ascii="Times New Roman" w:eastAsia="Times New Roman" w:hAnsi="Times New Roman" w:cs="Times New Roman"/>
                <w:iCs/>
                <w:sz w:val="24"/>
                <w:szCs w:val="24"/>
                <w:lang w:eastAsia="lv-LV"/>
              </w:rPr>
              <w:t xml:space="preserve"> </w:t>
            </w:r>
          </w:p>
          <w:p w14:paraId="295136BC" w14:textId="2BAD991F" w:rsidR="00840ED4" w:rsidRDefault="00840ED4" w:rsidP="00D10786">
            <w:pPr>
              <w:spacing w:after="0" w:line="240" w:lineRule="auto"/>
              <w:jc w:val="both"/>
              <w:rPr>
                <w:rFonts w:ascii="Times New Roman" w:eastAsia="Times New Roman" w:hAnsi="Times New Roman" w:cs="Times New Roman"/>
                <w:iCs/>
                <w:sz w:val="24"/>
                <w:szCs w:val="24"/>
                <w:lang w:eastAsia="lv-LV"/>
              </w:rPr>
            </w:pPr>
          </w:p>
          <w:p w14:paraId="2606756E" w14:textId="0B78D256" w:rsidR="00840ED4" w:rsidRDefault="00840ED4" w:rsidP="00840ED4">
            <w:pPr>
              <w:spacing w:after="0" w:line="240" w:lineRule="auto"/>
              <w:jc w:val="both"/>
              <w:rPr>
                <w:rFonts w:ascii="Times New Roman" w:eastAsia="Times New Roman" w:hAnsi="Times New Roman" w:cs="Times New Roman"/>
                <w:iCs/>
                <w:sz w:val="24"/>
                <w:szCs w:val="24"/>
                <w:lang w:eastAsia="lv-LV"/>
              </w:rPr>
            </w:pPr>
            <w:r w:rsidRPr="00FD36AE">
              <w:rPr>
                <w:rFonts w:ascii="Times New Roman" w:eastAsia="Times New Roman" w:hAnsi="Times New Roman" w:cs="Times New Roman"/>
                <w:iCs/>
                <w:sz w:val="24"/>
                <w:szCs w:val="24"/>
                <w:lang w:eastAsia="lv-LV"/>
              </w:rPr>
              <w:t xml:space="preserve">Pēc VARAM </w:t>
            </w:r>
            <w:r>
              <w:rPr>
                <w:rFonts w:ascii="Times New Roman" w:eastAsia="Times New Roman" w:hAnsi="Times New Roman" w:cs="Times New Roman"/>
                <w:iCs/>
                <w:sz w:val="24"/>
                <w:szCs w:val="24"/>
                <w:lang w:eastAsia="lv-LV"/>
              </w:rPr>
              <w:t xml:space="preserve">aprēķiniem administratīvo izmaksu monetārais </w:t>
            </w:r>
            <w:r w:rsidRPr="00FD36AE">
              <w:rPr>
                <w:rFonts w:ascii="Times New Roman" w:eastAsia="Times New Roman" w:hAnsi="Times New Roman" w:cs="Times New Roman"/>
                <w:iCs/>
                <w:sz w:val="24"/>
                <w:szCs w:val="24"/>
                <w:lang w:eastAsia="lv-LV"/>
              </w:rPr>
              <w:t xml:space="preserve">apmērs </w:t>
            </w:r>
            <w:r w:rsidRPr="00EB3879">
              <w:rPr>
                <w:rFonts w:ascii="Times New Roman" w:eastAsia="Times New Roman" w:hAnsi="Times New Roman" w:cs="Times New Roman"/>
                <w:iCs/>
                <w:sz w:val="24"/>
                <w:szCs w:val="24"/>
                <w:lang w:eastAsia="lv-LV"/>
              </w:rPr>
              <w:t xml:space="preserve">vienam ES ETS operatoram varētu sastādīt aptuveni 553,44 </w:t>
            </w:r>
            <w:proofErr w:type="spellStart"/>
            <w:r w:rsidRPr="00EB3879">
              <w:rPr>
                <w:rFonts w:ascii="Times New Roman" w:eastAsia="Times New Roman" w:hAnsi="Times New Roman" w:cs="Times New Roman"/>
                <w:i/>
                <w:sz w:val="24"/>
                <w:szCs w:val="24"/>
                <w:lang w:eastAsia="lv-LV"/>
              </w:rPr>
              <w:t>e</w:t>
            </w:r>
            <w:r w:rsidR="009C69BC" w:rsidRPr="00EB3879">
              <w:rPr>
                <w:rFonts w:ascii="Times New Roman" w:eastAsia="Times New Roman" w:hAnsi="Times New Roman" w:cs="Times New Roman"/>
                <w:i/>
                <w:sz w:val="24"/>
                <w:szCs w:val="24"/>
                <w:lang w:eastAsia="lv-LV"/>
              </w:rPr>
              <w:t>u</w:t>
            </w:r>
            <w:r w:rsidRPr="00EB3879">
              <w:rPr>
                <w:rFonts w:ascii="Times New Roman" w:eastAsia="Times New Roman" w:hAnsi="Times New Roman" w:cs="Times New Roman"/>
                <w:i/>
                <w:sz w:val="24"/>
                <w:szCs w:val="24"/>
                <w:lang w:eastAsia="lv-LV"/>
              </w:rPr>
              <w:t>ro</w:t>
            </w:r>
            <w:proofErr w:type="spellEnd"/>
            <w:r w:rsidR="00EB3879" w:rsidRPr="00EB3879">
              <w:rPr>
                <w:rFonts w:ascii="Times New Roman" w:eastAsia="Times New Roman" w:hAnsi="Times New Roman" w:cs="Times New Roman"/>
                <w:i/>
                <w:sz w:val="24"/>
                <w:szCs w:val="24"/>
                <w:lang w:eastAsia="lv-LV"/>
              </w:rPr>
              <w:t xml:space="preserve"> </w:t>
            </w:r>
            <w:r w:rsidR="00EB3879" w:rsidRPr="00EB3879">
              <w:rPr>
                <w:rFonts w:ascii="Times New Roman" w:eastAsia="Times New Roman" w:hAnsi="Times New Roman" w:cs="Times New Roman"/>
                <w:iCs/>
                <w:sz w:val="24"/>
                <w:szCs w:val="24"/>
                <w:lang w:eastAsia="lv-LV"/>
              </w:rPr>
              <w:t>gadā</w:t>
            </w:r>
            <w:r w:rsidRPr="00EB3879">
              <w:rPr>
                <w:rFonts w:ascii="Times New Roman" w:eastAsia="Times New Roman" w:hAnsi="Times New Roman" w:cs="Times New Roman"/>
                <w:iCs/>
                <w:sz w:val="24"/>
                <w:szCs w:val="24"/>
                <w:lang w:eastAsia="lv-LV"/>
              </w:rPr>
              <w:t>.</w:t>
            </w:r>
          </w:p>
          <w:p w14:paraId="58AFE6BA" w14:textId="1E9FDC51" w:rsidR="008905F3" w:rsidRPr="00F614BD" w:rsidRDefault="008905F3" w:rsidP="006574BB">
            <w:pPr>
              <w:spacing w:after="0" w:line="240" w:lineRule="auto"/>
              <w:jc w:val="both"/>
              <w:rPr>
                <w:rFonts w:ascii="Times New Roman" w:hAnsi="Times New Roman" w:cs="Times New Roman"/>
                <w:color w:val="1F497D"/>
              </w:rPr>
            </w:pPr>
          </w:p>
          <w:p w14:paraId="65824536" w14:textId="2DAB3FFE" w:rsidR="00F50E49" w:rsidRDefault="00F614BD" w:rsidP="00F50E49">
            <w:pPr>
              <w:spacing w:after="0" w:line="240" w:lineRule="auto"/>
              <w:jc w:val="both"/>
              <w:rPr>
                <w:rFonts w:ascii="Times New Roman" w:eastAsia="Times New Roman" w:hAnsi="Times New Roman" w:cs="Times New Roman"/>
                <w:iCs/>
                <w:sz w:val="24"/>
                <w:szCs w:val="24"/>
                <w:lang w:eastAsia="lv-LV"/>
              </w:rPr>
            </w:pPr>
            <w:r w:rsidRPr="00322C20">
              <w:rPr>
                <w:rFonts w:ascii="Times New Roman" w:eastAsia="Times New Roman" w:hAnsi="Times New Roman" w:cs="Times New Roman"/>
                <w:iCs/>
                <w:sz w:val="24"/>
                <w:szCs w:val="24"/>
                <w:lang w:eastAsia="lv-LV"/>
              </w:rPr>
              <w:t>Noteikumu projektā tiek arī noteikts, ka VVD</w:t>
            </w:r>
            <w:r w:rsidR="00FE457C" w:rsidRPr="00322C20">
              <w:rPr>
                <w:rFonts w:ascii="Times New Roman" w:eastAsia="Times New Roman" w:hAnsi="Times New Roman" w:cs="Times New Roman"/>
                <w:iCs/>
                <w:sz w:val="24"/>
                <w:szCs w:val="24"/>
                <w:lang w:eastAsia="lv-LV"/>
              </w:rPr>
              <w:t xml:space="preserve"> apstiprinās </w:t>
            </w:r>
            <w:r w:rsidR="00C7665E" w:rsidRPr="00322C20">
              <w:rPr>
                <w:rFonts w:ascii="Times New Roman" w:eastAsia="Times New Roman" w:hAnsi="Times New Roman" w:cs="Times New Roman"/>
                <w:iCs/>
                <w:sz w:val="24"/>
                <w:szCs w:val="24"/>
                <w:lang w:eastAsia="lv-LV"/>
              </w:rPr>
              <w:t xml:space="preserve">operatoru </w:t>
            </w:r>
            <w:r w:rsidR="00FE457C" w:rsidRPr="00322C20">
              <w:rPr>
                <w:rFonts w:ascii="Times New Roman" w:eastAsia="Times New Roman" w:hAnsi="Times New Roman" w:cs="Times New Roman"/>
                <w:iCs/>
                <w:sz w:val="24"/>
                <w:szCs w:val="24"/>
                <w:lang w:eastAsia="lv-LV"/>
              </w:rPr>
              <w:t xml:space="preserve">iesniegtos darbības līmeņa ziņojumus. </w:t>
            </w:r>
            <w:r w:rsidR="00971133" w:rsidRPr="00322C20">
              <w:rPr>
                <w:rFonts w:ascii="Times New Roman" w:eastAsia="Times New Roman" w:hAnsi="Times New Roman" w:cs="Times New Roman"/>
                <w:iCs/>
                <w:sz w:val="24"/>
                <w:szCs w:val="24"/>
                <w:lang w:eastAsia="lv-LV"/>
              </w:rPr>
              <w:t xml:space="preserve">Ņemot vērā, ka </w:t>
            </w:r>
            <w:r w:rsidR="002748B1" w:rsidRPr="00322C20">
              <w:rPr>
                <w:rFonts w:ascii="Times New Roman" w:eastAsia="Times New Roman" w:hAnsi="Times New Roman" w:cs="Times New Roman"/>
                <w:iCs/>
                <w:sz w:val="24"/>
                <w:szCs w:val="24"/>
                <w:lang w:eastAsia="lv-LV"/>
              </w:rPr>
              <w:t xml:space="preserve">darbības līmeņa ziņojumi iekļaus jau ekspertiem </w:t>
            </w:r>
            <w:r w:rsidR="001F4BD0" w:rsidRPr="00322C20">
              <w:rPr>
                <w:rFonts w:ascii="Times New Roman" w:eastAsia="Times New Roman" w:hAnsi="Times New Roman" w:cs="Times New Roman"/>
                <w:iCs/>
                <w:sz w:val="24"/>
                <w:szCs w:val="24"/>
                <w:lang w:eastAsia="lv-LV"/>
              </w:rPr>
              <w:t xml:space="preserve">daļēji </w:t>
            </w:r>
            <w:r w:rsidR="002748B1" w:rsidRPr="00322C20">
              <w:rPr>
                <w:rFonts w:ascii="Times New Roman" w:eastAsia="Times New Roman" w:hAnsi="Times New Roman" w:cs="Times New Roman"/>
                <w:iCs/>
                <w:sz w:val="24"/>
                <w:szCs w:val="24"/>
                <w:lang w:eastAsia="lv-LV"/>
              </w:rPr>
              <w:t>zināmu informāciju</w:t>
            </w:r>
            <w:r w:rsidR="001F4BD0" w:rsidRPr="00322C20">
              <w:rPr>
                <w:rFonts w:ascii="Times New Roman" w:eastAsia="Times New Roman" w:hAnsi="Times New Roman" w:cs="Times New Roman"/>
                <w:iCs/>
                <w:sz w:val="24"/>
                <w:szCs w:val="24"/>
                <w:lang w:eastAsia="lv-LV"/>
              </w:rPr>
              <w:t xml:space="preserve"> (jo tā daļēji dublējas ar ikgadējo emisiju ziņojumos iekļauto)</w:t>
            </w:r>
            <w:r w:rsidR="002748B1" w:rsidRPr="00322C20">
              <w:rPr>
                <w:rFonts w:ascii="Times New Roman" w:eastAsia="Times New Roman" w:hAnsi="Times New Roman" w:cs="Times New Roman"/>
                <w:iCs/>
                <w:sz w:val="24"/>
                <w:szCs w:val="24"/>
                <w:lang w:eastAsia="lv-LV"/>
              </w:rPr>
              <w:t>,</w:t>
            </w:r>
            <w:r w:rsidR="005F0734" w:rsidRPr="00322C20">
              <w:rPr>
                <w:rFonts w:ascii="Times New Roman" w:eastAsia="Times New Roman" w:hAnsi="Times New Roman" w:cs="Times New Roman"/>
                <w:iCs/>
                <w:sz w:val="24"/>
                <w:szCs w:val="24"/>
                <w:lang w:eastAsia="lv-LV"/>
              </w:rPr>
              <w:t xml:space="preserve"> ziņojumu izskatīšana aizņems mazāk laika, nekā izskatot ikgadējos emisiju ziņojumus.</w:t>
            </w:r>
            <w:r w:rsidR="00B27F4B" w:rsidRPr="00322C20">
              <w:rPr>
                <w:rFonts w:ascii="Times New Roman" w:eastAsia="Times New Roman" w:hAnsi="Times New Roman" w:cs="Times New Roman"/>
                <w:iCs/>
                <w:sz w:val="24"/>
                <w:szCs w:val="24"/>
                <w:lang w:eastAsia="lv-LV"/>
              </w:rPr>
              <w:t xml:space="preserve"> Attiecīgi</w:t>
            </w:r>
            <w:r w:rsidR="00A82AB3" w:rsidRPr="00322C20">
              <w:rPr>
                <w:rFonts w:ascii="Times New Roman" w:eastAsia="Times New Roman" w:hAnsi="Times New Roman" w:cs="Times New Roman"/>
                <w:iCs/>
                <w:sz w:val="24"/>
                <w:szCs w:val="24"/>
                <w:lang w:eastAsia="lv-LV"/>
              </w:rPr>
              <w:t xml:space="preserve">, ņemot vērā VVD sniegto informāciju par ikgadējo emisijas ziņojumu pārbaudi un apstiprināšanu, </w:t>
            </w:r>
            <w:r w:rsidR="009D591A" w:rsidRPr="00322C20">
              <w:rPr>
                <w:rFonts w:ascii="Times New Roman" w:eastAsia="Times New Roman" w:hAnsi="Times New Roman" w:cs="Times New Roman"/>
                <w:iCs/>
                <w:sz w:val="24"/>
                <w:szCs w:val="24"/>
                <w:lang w:eastAsia="lv-LV"/>
              </w:rPr>
              <w:t xml:space="preserve">VARAM pieņem, ka vidēji eksperts pavadīs </w:t>
            </w:r>
            <w:r w:rsidR="007A3F3F" w:rsidRPr="00322C20">
              <w:rPr>
                <w:rFonts w:ascii="Times New Roman" w:eastAsia="Times New Roman" w:hAnsi="Times New Roman" w:cs="Times New Roman"/>
                <w:iCs/>
                <w:sz w:val="24"/>
                <w:szCs w:val="24"/>
                <w:lang w:eastAsia="lv-LV"/>
              </w:rPr>
              <w:t>4</w:t>
            </w:r>
            <w:r w:rsidR="009D591A" w:rsidRPr="00322C20">
              <w:rPr>
                <w:rFonts w:ascii="Times New Roman" w:eastAsia="Times New Roman" w:hAnsi="Times New Roman" w:cs="Times New Roman"/>
                <w:iCs/>
                <w:sz w:val="24"/>
                <w:szCs w:val="24"/>
                <w:lang w:eastAsia="lv-LV"/>
              </w:rPr>
              <w:t xml:space="preserve"> stundas pārbaudot un apstiprinot darbības līmeņa ziņojumu. Attiecīgi, lai</w:t>
            </w:r>
            <w:r w:rsidR="00F50E49" w:rsidRPr="00C32C17">
              <w:rPr>
                <w:rFonts w:ascii="Times New Roman" w:eastAsia="Times New Roman" w:hAnsi="Times New Roman" w:cs="Times New Roman"/>
                <w:iCs/>
                <w:sz w:val="24"/>
                <w:szCs w:val="24"/>
                <w:lang w:eastAsia="lv-LV"/>
              </w:rPr>
              <w:t xml:space="preserve"> </w:t>
            </w:r>
            <w:r w:rsidR="00F50E49">
              <w:rPr>
                <w:rFonts w:ascii="Times New Roman" w:eastAsia="Times New Roman" w:hAnsi="Times New Roman" w:cs="Times New Roman"/>
                <w:iCs/>
                <w:sz w:val="24"/>
                <w:szCs w:val="24"/>
                <w:lang w:eastAsia="lv-LV"/>
              </w:rPr>
              <w:t>VVD izskatītu un apstiprinātu darbības līmeņa ziņojumu</w:t>
            </w:r>
            <w:r w:rsidR="00F50E49" w:rsidRPr="00C32C17">
              <w:rPr>
                <w:rFonts w:ascii="Times New Roman" w:eastAsia="Times New Roman" w:hAnsi="Times New Roman" w:cs="Times New Roman"/>
                <w:iCs/>
                <w:sz w:val="24"/>
                <w:szCs w:val="24"/>
                <w:lang w:eastAsia="lv-LV"/>
              </w:rPr>
              <w:t xml:space="preserve">, sagaidāms, ka radīsies </w:t>
            </w:r>
            <w:r w:rsidR="00EB3879">
              <w:rPr>
                <w:rFonts w:ascii="Times New Roman" w:eastAsia="Times New Roman" w:hAnsi="Times New Roman" w:cs="Times New Roman"/>
                <w:iCs/>
                <w:sz w:val="24"/>
                <w:szCs w:val="24"/>
                <w:lang w:eastAsia="lv-LV"/>
              </w:rPr>
              <w:t>šādas</w:t>
            </w:r>
            <w:r w:rsidR="00EB3879" w:rsidRPr="00C32C17">
              <w:rPr>
                <w:rFonts w:ascii="Times New Roman" w:eastAsia="Times New Roman" w:hAnsi="Times New Roman" w:cs="Times New Roman"/>
                <w:iCs/>
                <w:sz w:val="24"/>
                <w:szCs w:val="24"/>
                <w:lang w:eastAsia="lv-LV"/>
              </w:rPr>
              <w:t xml:space="preserve"> </w:t>
            </w:r>
            <w:r w:rsidR="00F50E49">
              <w:rPr>
                <w:rFonts w:ascii="Times New Roman" w:eastAsia="Times New Roman" w:hAnsi="Times New Roman" w:cs="Times New Roman"/>
                <w:iCs/>
                <w:sz w:val="24"/>
                <w:szCs w:val="24"/>
                <w:lang w:eastAsia="lv-LV"/>
              </w:rPr>
              <w:t xml:space="preserve">administratīvās </w:t>
            </w:r>
            <w:r w:rsidR="00F50E49" w:rsidRPr="00C32C17">
              <w:rPr>
                <w:rFonts w:ascii="Times New Roman" w:eastAsia="Times New Roman" w:hAnsi="Times New Roman" w:cs="Times New Roman"/>
                <w:iCs/>
                <w:sz w:val="24"/>
                <w:szCs w:val="24"/>
                <w:lang w:eastAsia="lv-LV"/>
              </w:rPr>
              <w:t xml:space="preserve">izmaksas: </w:t>
            </w:r>
          </w:p>
          <w:p w14:paraId="51A61603" w14:textId="77777777" w:rsidR="00F50E49" w:rsidRPr="00C32C17" w:rsidRDefault="00F50E49" w:rsidP="00F50E49">
            <w:pPr>
              <w:spacing w:after="0" w:line="240" w:lineRule="auto"/>
              <w:jc w:val="both"/>
              <w:rPr>
                <w:rFonts w:ascii="Times New Roman" w:eastAsia="Times New Roman" w:hAnsi="Times New Roman" w:cs="Times New Roman"/>
                <w:iCs/>
                <w:sz w:val="24"/>
                <w:szCs w:val="24"/>
                <w:lang w:eastAsia="lv-LV"/>
              </w:rPr>
            </w:pPr>
          </w:p>
          <w:p w14:paraId="6BA7526B" w14:textId="34B3B596" w:rsidR="00F50E49" w:rsidRDefault="000C5053" w:rsidP="00F50E49">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D</w:t>
            </w:r>
            <w:r w:rsidR="00F50E49" w:rsidRPr="00C32C17">
              <w:rPr>
                <w:rFonts w:ascii="Times New Roman" w:eastAsia="Times New Roman" w:hAnsi="Times New Roman" w:cs="Times New Roman"/>
                <w:iCs/>
                <w:sz w:val="24"/>
                <w:szCs w:val="24"/>
                <w:lang w:eastAsia="lv-LV"/>
              </w:rPr>
              <w:t xml:space="preserve"> = (f x l) x n, kur</w:t>
            </w:r>
          </w:p>
          <w:p w14:paraId="0D11D134" w14:textId="77777777" w:rsidR="00F50E49" w:rsidRPr="00C32C17" w:rsidRDefault="00F50E49" w:rsidP="00F50E49">
            <w:pPr>
              <w:spacing w:after="0" w:line="240" w:lineRule="auto"/>
              <w:rPr>
                <w:rFonts w:ascii="Times New Roman" w:eastAsia="Times New Roman" w:hAnsi="Times New Roman" w:cs="Times New Roman"/>
                <w:iCs/>
                <w:sz w:val="24"/>
                <w:szCs w:val="24"/>
                <w:lang w:eastAsia="lv-LV"/>
              </w:rPr>
            </w:pPr>
          </w:p>
          <w:p w14:paraId="7F9374F4" w14:textId="18DBE26E" w:rsidR="00F50E49" w:rsidRDefault="000C5053" w:rsidP="00F50E49">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b/>
                <w:bCs/>
                <w:iCs/>
                <w:sz w:val="24"/>
                <w:szCs w:val="24"/>
                <w:lang w:eastAsia="lv-LV"/>
              </w:rPr>
              <w:t>D</w:t>
            </w:r>
            <w:r w:rsidR="00F50E49" w:rsidRPr="00C32C17">
              <w:rPr>
                <w:rFonts w:ascii="Times New Roman" w:eastAsia="Times New Roman" w:hAnsi="Times New Roman" w:cs="Times New Roman"/>
                <w:iCs/>
                <w:sz w:val="24"/>
                <w:szCs w:val="24"/>
                <w:lang w:eastAsia="lv-LV"/>
              </w:rPr>
              <w:t xml:space="preserve"> – </w:t>
            </w:r>
            <w:r w:rsidR="00F50E49">
              <w:rPr>
                <w:rFonts w:ascii="Times New Roman" w:eastAsia="Times New Roman" w:hAnsi="Times New Roman" w:cs="Times New Roman"/>
                <w:iCs/>
                <w:sz w:val="24"/>
                <w:szCs w:val="24"/>
                <w:lang w:eastAsia="lv-LV"/>
              </w:rPr>
              <w:t>darbības līmeņa ziņojumu</w:t>
            </w:r>
            <w:r w:rsidR="00F50E49" w:rsidRPr="002964B5">
              <w:rPr>
                <w:rFonts w:ascii="Times New Roman" w:eastAsia="Times New Roman" w:hAnsi="Times New Roman" w:cs="Times New Roman"/>
                <w:iCs/>
                <w:sz w:val="24"/>
                <w:szCs w:val="24"/>
                <w:lang w:eastAsia="lv-LV"/>
              </w:rPr>
              <w:t xml:space="preserve"> </w:t>
            </w:r>
            <w:r w:rsidR="00974B50">
              <w:rPr>
                <w:rFonts w:ascii="Times New Roman" w:eastAsia="Times New Roman" w:hAnsi="Times New Roman" w:cs="Times New Roman"/>
                <w:iCs/>
                <w:sz w:val="24"/>
                <w:szCs w:val="24"/>
                <w:lang w:eastAsia="lv-LV"/>
              </w:rPr>
              <w:t>pārbaudes un apstiprināšanas proces</w:t>
            </w:r>
            <w:r w:rsidR="00173CD0">
              <w:rPr>
                <w:rFonts w:ascii="Times New Roman" w:eastAsia="Times New Roman" w:hAnsi="Times New Roman" w:cs="Times New Roman"/>
                <w:iCs/>
                <w:sz w:val="24"/>
                <w:szCs w:val="24"/>
                <w:lang w:eastAsia="lv-LV"/>
              </w:rPr>
              <w:t xml:space="preserve">a </w:t>
            </w:r>
            <w:r w:rsidR="00F50E49" w:rsidRPr="002964B5">
              <w:rPr>
                <w:rFonts w:ascii="Times New Roman" w:eastAsia="Times New Roman" w:hAnsi="Times New Roman" w:cs="Times New Roman"/>
                <w:iCs/>
                <w:sz w:val="24"/>
                <w:szCs w:val="24"/>
                <w:lang w:eastAsia="lv-LV"/>
              </w:rPr>
              <w:t>izmaksas</w:t>
            </w:r>
            <w:r w:rsidR="00F50E49" w:rsidRPr="00C32C17">
              <w:rPr>
                <w:rFonts w:ascii="Times New Roman" w:eastAsia="Times New Roman" w:hAnsi="Times New Roman" w:cs="Times New Roman"/>
                <w:iCs/>
                <w:sz w:val="24"/>
                <w:szCs w:val="24"/>
                <w:lang w:eastAsia="lv-LV"/>
              </w:rPr>
              <w:t>;</w:t>
            </w:r>
          </w:p>
          <w:p w14:paraId="56FAB644" w14:textId="77777777" w:rsidR="00F50E49" w:rsidRPr="00C32C17" w:rsidRDefault="00F50E49" w:rsidP="00F50E49">
            <w:pPr>
              <w:spacing w:after="0" w:line="240" w:lineRule="auto"/>
              <w:jc w:val="both"/>
              <w:rPr>
                <w:rFonts w:ascii="Times New Roman" w:eastAsia="Times New Roman" w:hAnsi="Times New Roman" w:cs="Times New Roman"/>
                <w:iCs/>
                <w:sz w:val="24"/>
                <w:szCs w:val="24"/>
                <w:lang w:eastAsia="lv-LV"/>
              </w:rPr>
            </w:pPr>
          </w:p>
          <w:p w14:paraId="6B2F31D5" w14:textId="51887081" w:rsidR="00F50E49" w:rsidRDefault="00F50E49" w:rsidP="00F50E49">
            <w:pPr>
              <w:spacing w:after="0" w:line="240" w:lineRule="auto"/>
              <w:jc w:val="both"/>
              <w:rPr>
                <w:rFonts w:ascii="Times New Roman" w:eastAsia="Times New Roman" w:hAnsi="Times New Roman" w:cs="Times New Roman"/>
                <w:iCs/>
                <w:sz w:val="24"/>
                <w:szCs w:val="24"/>
                <w:lang w:eastAsia="lv-LV"/>
              </w:rPr>
            </w:pPr>
            <w:r w:rsidRPr="00C32C17">
              <w:rPr>
                <w:rFonts w:ascii="Times New Roman" w:eastAsia="Times New Roman" w:hAnsi="Times New Roman" w:cs="Times New Roman"/>
                <w:b/>
                <w:bCs/>
                <w:iCs/>
                <w:sz w:val="24"/>
                <w:szCs w:val="24"/>
                <w:lang w:eastAsia="lv-LV"/>
              </w:rPr>
              <w:t>f</w:t>
            </w:r>
            <w:r w:rsidRPr="00C32C17">
              <w:rPr>
                <w:rFonts w:ascii="Times New Roman" w:eastAsia="Times New Roman" w:hAnsi="Times New Roman" w:cs="Times New Roman"/>
                <w:iCs/>
                <w:sz w:val="24"/>
                <w:szCs w:val="24"/>
                <w:lang w:eastAsia="lv-LV"/>
              </w:rPr>
              <w:t xml:space="preserve"> – stundas samaksas likme; </w:t>
            </w:r>
            <w:r w:rsidR="00173CD0">
              <w:rPr>
                <w:rFonts w:ascii="Times New Roman" w:eastAsia="Times New Roman" w:hAnsi="Times New Roman" w:cs="Times New Roman"/>
                <w:iCs/>
                <w:sz w:val="24"/>
                <w:szCs w:val="24"/>
                <w:lang w:eastAsia="lv-LV"/>
              </w:rPr>
              <w:t xml:space="preserve">Finanšu ministrija ir publicējusi </w:t>
            </w:r>
            <w:r w:rsidR="004C5D4E">
              <w:rPr>
                <w:rFonts w:ascii="Times New Roman" w:eastAsia="Times New Roman" w:hAnsi="Times New Roman" w:cs="Times New Roman"/>
                <w:iCs/>
                <w:sz w:val="24"/>
                <w:szCs w:val="24"/>
                <w:lang w:eastAsia="lv-LV"/>
              </w:rPr>
              <w:t>VVD izmaksu plānu, kur paredzēts, ka 2019. gadā v</w:t>
            </w:r>
            <w:r w:rsidR="004C5D4E" w:rsidRPr="004C5D4E">
              <w:rPr>
                <w:rFonts w:ascii="Times New Roman" w:eastAsia="Times New Roman" w:hAnsi="Times New Roman" w:cs="Times New Roman"/>
                <w:iCs/>
                <w:sz w:val="24"/>
                <w:szCs w:val="24"/>
                <w:lang w:eastAsia="lv-LV"/>
              </w:rPr>
              <w:t>idējā atlīdzība amata vietai</w:t>
            </w:r>
            <w:r w:rsidR="004C5D4E">
              <w:rPr>
                <w:rFonts w:ascii="Times New Roman" w:eastAsia="Times New Roman" w:hAnsi="Times New Roman" w:cs="Times New Roman"/>
                <w:iCs/>
                <w:sz w:val="24"/>
                <w:szCs w:val="24"/>
                <w:lang w:eastAsia="lv-LV"/>
              </w:rPr>
              <w:t xml:space="preserve"> ir 1 053</w:t>
            </w:r>
            <w:r w:rsidR="004C5D4E" w:rsidRPr="00C32C17">
              <w:rPr>
                <w:rFonts w:ascii="Times New Roman" w:eastAsia="Times New Roman" w:hAnsi="Times New Roman" w:cs="Times New Roman"/>
                <w:i/>
                <w:iCs/>
                <w:sz w:val="24"/>
                <w:szCs w:val="24"/>
                <w:lang w:eastAsia="lv-LV"/>
              </w:rPr>
              <w:t xml:space="preserve"> </w:t>
            </w:r>
            <w:proofErr w:type="spellStart"/>
            <w:r w:rsidR="004C5D4E" w:rsidRPr="00C32C17">
              <w:rPr>
                <w:rFonts w:ascii="Times New Roman" w:eastAsia="Times New Roman" w:hAnsi="Times New Roman" w:cs="Times New Roman"/>
                <w:i/>
                <w:iCs/>
                <w:sz w:val="24"/>
                <w:szCs w:val="24"/>
                <w:lang w:eastAsia="lv-LV"/>
              </w:rPr>
              <w:t>e</w:t>
            </w:r>
            <w:r w:rsidR="009C69BC">
              <w:rPr>
                <w:rFonts w:ascii="Times New Roman" w:eastAsia="Times New Roman" w:hAnsi="Times New Roman" w:cs="Times New Roman"/>
                <w:i/>
                <w:iCs/>
                <w:sz w:val="24"/>
                <w:szCs w:val="24"/>
                <w:lang w:eastAsia="lv-LV"/>
              </w:rPr>
              <w:t>u</w:t>
            </w:r>
            <w:r w:rsidR="004C5D4E" w:rsidRPr="00C32C17">
              <w:rPr>
                <w:rFonts w:ascii="Times New Roman" w:eastAsia="Times New Roman" w:hAnsi="Times New Roman" w:cs="Times New Roman"/>
                <w:i/>
                <w:iCs/>
                <w:sz w:val="24"/>
                <w:szCs w:val="24"/>
                <w:lang w:eastAsia="lv-LV"/>
              </w:rPr>
              <w:t>ro</w:t>
            </w:r>
            <w:proofErr w:type="spellEnd"/>
            <w:r w:rsidR="004C5D4E" w:rsidRPr="00C32C17">
              <w:rPr>
                <w:rFonts w:ascii="Times New Roman" w:eastAsia="Times New Roman" w:hAnsi="Times New Roman" w:cs="Times New Roman"/>
                <w:i/>
                <w:iCs/>
                <w:sz w:val="24"/>
                <w:szCs w:val="24"/>
                <w:lang w:eastAsia="lv-LV"/>
              </w:rPr>
              <w:t>/</w:t>
            </w:r>
            <w:r w:rsidR="004C5D4E" w:rsidRPr="00C32C17">
              <w:rPr>
                <w:rFonts w:ascii="Times New Roman" w:eastAsia="Times New Roman" w:hAnsi="Times New Roman" w:cs="Times New Roman"/>
                <w:iCs/>
                <w:sz w:val="24"/>
                <w:szCs w:val="24"/>
                <w:lang w:eastAsia="lv-LV"/>
              </w:rPr>
              <w:t>mēnesī</w:t>
            </w:r>
            <w:r w:rsidR="00D91CED">
              <w:rPr>
                <w:rFonts w:ascii="Times New Roman" w:eastAsia="Times New Roman" w:hAnsi="Times New Roman" w:cs="Times New Roman"/>
                <w:iCs/>
                <w:sz w:val="24"/>
                <w:szCs w:val="24"/>
                <w:lang w:eastAsia="lv-LV"/>
              </w:rPr>
              <w:t xml:space="preserve">. Stundas likme ir aprēķināta dalot vidējo atlīdzību amata vietai ar </w:t>
            </w:r>
            <w:r w:rsidRPr="00C32C17">
              <w:rPr>
                <w:rFonts w:ascii="Times New Roman" w:eastAsia="Times New Roman" w:hAnsi="Times New Roman" w:cs="Times New Roman"/>
                <w:iCs/>
                <w:sz w:val="24"/>
                <w:szCs w:val="24"/>
                <w:lang w:eastAsia="lv-LV"/>
              </w:rPr>
              <w:t xml:space="preserve">Darba likuma 131. panta pirmajā daļā minēto normālo darba laiku (40 stundas nedēļā x 4 = 160 stundas mēnesī) = </w:t>
            </w:r>
            <w:r w:rsidRPr="00C32C17">
              <w:rPr>
                <w:rFonts w:ascii="Times New Roman" w:eastAsia="Times New Roman" w:hAnsi="Times New Roman" w:cs="Times New Roman"/>
                <w:bCs/>
                <w:iCs/>
                <w:sz w:val="24"/>
                <w:szCs w:val="24"/>
                <w:lang w:eastAsia="lv-LV"/>
              </w:rPr>
              <w:t>6,</w:t>
            </w:r>
            <w:r w:rsidR="00D2667D">
              <w:rPr>
                <w:rFonts w:ascii="Times New Roman" w:eastAsia="Times New Roman" w:hAnsi="Times New Roman" w:cs="Times New Roman"/>
                <w:bCs/>
                <w:iCs/>
                <w:sz w:val="24"/>
                <w:szCs w:val="24"/>
                <w:lang w:eastAsia="lv-LV"/>
              </w:rPr>
              <w:t>58</w:t>
            </w:r>
            <w:r w:rsidRPr="00C32C17">
              <w:rPr>
                <w:rFonts w:ascii="Times New Roman" w:eastAsia="Times New Roman" w:hAnsi="Times New Roman" w:cs="Times New Roman"/>
                <w:bCs/>
                <w:iCs/>
                <w:sz w:val="24"/>
                <w:szCs w:val="24"/>
                <w:lang w:eastAsia="lv-LV"/>
              </w:rPr>
              <w:t> </w:t>
            </w:r>
            <w:proofErr w:type="spellStart"/>
            <w:r w:rsidRPr="00C32C17">
              <w:rPr>
                <w:rFonts w:ascii="Times New Roman" w:eastAsia="Times New Roman" w:hAnsi="Times New Roman" w:cs="Times New Roman"/>
                <w:bCs/>
                <w:i/>
                <w:iCs/>
                <w:sz w:val="24"/>
                <w:szCs w:val="24"/>
                <w:lang w:eastAsia="lv-LV"/>
              </w:rPr>
              <w:t>e</w:t>
            </w:r>
            <w:r w:rsidR="009C69BC">
              <w:rPr>
                <w:rFonts w:ascii="Times New Roman" w:eastAsia="Times New Roman" w:hAnsi="Times New Roman" w:cs="Times New Roman"/>
                <w:bCs/>
                <w:i/>
                <w:iCs/>
                <w:sz w:val="24"/>
                <w:szCs w:val="24"/>
                <w:lang w:eastAsia="lv-LV"/>
              </w:rPr>
              <w:t>u</w:t>
            </w:r>
            <w:r w:rsidRPr="00C32C17">
              <w:rPr>
                <w:rFonts w:ascii="Times New Roman" w:eastAsia="Times New Roman" w:hAnsi="Times New Roman" w:cs="Times New Roman"/>
                <w:bCs/>
                <w:i/>
                <w:iCs/>
                <w:sz w:val="24"/>
                <w:szCs w:val="24"/>
                <w:lang w:eastAsia="lv-LV"/>
              </w:rPr>
              <w:t>ro</w:t>
            </w:r>
            <w:proofErr w:type="spellEnd"/>
            <w:r w:rsidRPr="00C32C17">
              <w:rPr>
                <w:rFonts w:ascii="Times New Roman" w:eastAsia="Times New Roman" w:hAnsi="Times New Roman" w:cs="Times New Roman"/>
                <w:bCs/>
                <w:iCs/>
                <w:sz w:val="24"/>
                <w:szCs w:val="24"/>
                <w:lang w:eastAsia="lv-LV"/>
              </w:rPr>
              <w:t>/stundā</w:t>
            </w:r>
            <w:r w:rsidRPr="00C32C17">
              <w:rPr>
                <w:rFonts w:ascii="Times New Roman" w:eastAsia="Times New Roman" w:hAnsi="Times New Roman" w:cs="Times New Roman"/>
                <w:iCs/>
                <w:sz w:val="24"/>
                <w:szCs w:val="24"/>
                <w:lang w:eastAsia="lv-LV"/>
              </w:rPr>
              <w:t>;</w:t>
            </w:r>
          </w:p>
          <w:p w14:paraId="0C979E23" w14:textId="77777777" w:rsidR="00F50E49" w:rsidRPr="00C32C17" w:rsidRDefault="00F50E49" w:rsidP="00F50E49">
            <w:pPr>
              <w:spacing w:after="0" w:line="240" w:lineRule="auto"/>
              <w:jc w:val="both"/>
              <w:rPr>
                <w:rFonts w:ascii="Times New Roman" w:eastAsia="Times New Roman" w:hAnsi="Times New Roman" w:cs="Times New Roman"/>
                <w:iCs/>
                <w:sz w:val="24"/>
                <w:szCs w:val="24"/>
                <w:lang w:eastAsia="lv-LV"/>
              </w:rPr>
            </w:pPr>
          </w:p>
          <w:p w14:paraId="2F9A4B9B" w14:textId="468A4817" w:rsidR="00F50E49" w:rsidRDefault="00F50E49" w:rsidP="00F50E49">
            <w:pPr>
              <w:spacing w:after="0" w:line="240" w:lineRule="auto"/>
              <w:jc w:val="both"/>
              <w:rPr>
                <w:rFonts w:ascii="Times New Roman" w:eastAsia="Times New Roman" w:hAnsi="Times New Roman" w:cs="Times New Roman"/>
                <w:iCs/>
                <w:sz w:val="24"/>
                <w:szCs w:val="24"/>
                <w:lang w:eastAsia="lv-LV"/>
              </w:rPr>
            </w:pPr>
            <w:r w:rsidRPr="00C32C17">
              <w:rPr>
                <w:rFonts w:ascii="Times New Roman" w:eastAsia="Times New Roman" w:hAnsi="Times New Roman" w:cs="Times New Roman"/>
                <w:b/>
                <w:bCs/>
                <w:iCs/>
                <w:sz w:val="24"/>
                <w:szCs w:val="24"/>
                <w:lang w:eastAsia="lv-LV"/>
              </w:rPr>
              <w:t xml:space="preserve">l </w:t>
            </w:r>
            <w:r w:rsidRPr="00C32C17">
              <w:rPr>
                <w:rFonts w:ascii="Times New Roman" w:eastAsia="Times New Roman" w:hAnsi="Times New Roman" w:cs="Times New Roman"/>
                <w:iCs/>
                <w:sz w:val="24"/>
                <w:szCs w:val="24"/>
                <w:lang w:eastAsia="lv-LV"/>
              </w:rPr>
              <w:t xml:space="preserve">– laika patēriņš, kas nepieciešams, </w:t>
            </w:r>
            <w:r>
              <w:rPr>
                <w:rFonts w:ascii="Times New Roman" w:eastAsia="Times New Roman" w:hAnsi="Times New Roman" w:cs="Times New Roman"/>
                <w:iCs/>
                <w:sz w:val="24"/>
                <w:szCs w:val="24"/>
                <w:lang w:eastAsia="lv-LV"/>
              </w:rPr>
              <w:t>darbības līmeņa ziņojuma sagatavošanu</w:t>
            </w:r>
            <w:r w:rsidRPr="00C32C17">
              <w:rPr>
                <w:rFonts w:ascii="Times New Roman" w:eastAsia="Times New Roman" w:hAnsi="Times New Roman" w:cs="Times New Roman"/>
                <w:iCs/>
                <w:sz w:val="24"/>
                <w:szCs w:val="24"/>
                <w:lang w:eastAsia="lv-LV"/>
              </w:rPr>
              <w:t xml:space="preserve"> – </w:t>
            </w:r>
            <w:r w:rsidR="00DE1F01">
              <w:rPr>
                <w:rFonts w:ascii="Times New Roman" w:eastAsia="Times New Roman" w:hAnsi="Times New Roman" w:cs="Times New Roman"/>
                <w:iCs/>
                <w:sz w:val="24"/>
                <w:szCs w:val="24"/>
                <w:lang w:eastAsia="lv-LV"/>
              </w:rPr>
              <w:t>4</w:t>
            </w:r>
            <w:r w:rsidRPr="009D591A">
              <w:rPr>
                <w:rFonts w:ascii="Times New Roman" w:eastAsia="Times New Roman" w:hAnsi="Times New Roman" w:cs="Times New Roman"/>
                <w:bCs/>
                <w:iCs/>
                <w:sz w:val="24"/>
                <w:szCs w:val="24"/>
                <w:lang w:eastAsia="lv-LV"/>
              </w:rPr>
              <w:t> stundas</w:t>
            </w:r>
            <w:r w:rsidRPr="0091221A">
              <w:rPr>
                <w:rFonts w:ascii="Times New Roman" w:eastAsia="Times New Roman" w:hAnsi="Times New Roman" w:cs="Times New Roman"/>
                <w:iCs/>
                <w:sz w:val="24"/>
                <w:szCs w:val="24"/>
                <w:lang w:eastAsia="lv-LV"/>
              </w:rPr>
              <w:t>;</w:t>
            </w:r>
          </w:p>
          <w:p w14:paraId="4D533733" w14:textId="77777777" w:rsidR="00F50E49" w:rsidRPr="00C32C17" w:rsidRDefault="00F50E49" w:rsidP="00F50E49">
            <w:pPr>
              <w:spacing w:after="0" w:line="240" w:lineRule="auto"/>
              <w:jc w:val="both"/>
              <w:rPr>
                <w:rFonts w:ascii="Times New Roman" w:eastAsia="Times New Roman" w:hAnsi="Times New Roman" w:cs="Times New Roman"/>
                <w:iCs/>
                <w:sz w:val="24"/>
                <w:szCs w:val="24"/>
                <w:lang w:eastAsia="lv-LV"/>
              </w:rPr>
            </w:pPr>
          </w:p>
          <w:p w14:paraId="3A508F3C" w14:textId="6464100B" w:rsidR="005F0734" w:rsidRDefault="00F50E49" w:rsidP="00F50E49">
            <w:pPr>
              <w:spacing w:after="0" w:line="240" w:lineRule="auto"/>
              <w:jc w:val="both"/>
              <w:rPr>
                <w:rFonts w:ascii="Times New Roman" w:eastAsia="Times New Roman" w:hAnsi="Times New Roman" w:cs="Times New Roman"/>
                <w:iCs/>
                <w:sz w:val="24"/>
                <w:szCs w:val="24"/>
                <w:lang w:eastAsia="lv-LV"/>
              </w:rPr>
            </w:pPr>
            <w:r w:rsidRPr="00C32C17">
              <w:rPr>
                <w:rFonts w:ascii="Times New Roman" w:eastAsia="Times New Roman" w:hAnsi="Times New Roman" w:cs="Times New Roman"/>
                <w:b/>
                <w:bCs/>
                <w:iCs/>
                <w:sz w:val="24"/>
                <w:szCs w:val="24"/>
                <w:lang w:eastAsia="lv-LV"/>
              </w:rPr>
              <w:t>n</w:t>
            </w:r>
            <w:r w:rsidRPr="00C32C17">
              <w:rPr>
                <w:rFonts w:ascii="Times New Roman" w:eastAsia="Times New Roman" w:hAnsi="Times New Roman" w:cs="Times New Roman"/>
                <w:iCs/>
                <w:sz w:val="24"/>
                <w:szCs w:val="24"/>
                <w:lang w:eastAsia="lv-LV"/>
              </w:rPr>
              <w:t xml:space="preserve"> – operatoru skaits, </w:t>
            </w:r>
            <w:r w:rsidR="001C3FD8">
              <w:rPr>
                <w:rFonts w:ascii="Times New Roman" w:eastAsia="Times New Roman" w:hAnsi="Times New Roman" w:cs="Times New Roman"/>
                <w:iCs/>
                <w:sz w:val="24"/>
                <w:szCs w:val="24"/>
                <w:lang w:eastAsia="lv-LV"/>
              </w:rPr>
              <w:t>kuru</w:t>
            </w:r>
            <w:r w:rsidRPr="00C32C17">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darbības līmeņa ziņojum</w:t>
            </w:r>
            <w:r w:rsidR="001C3FD8">
              <w:rPr>
                <w:rFonts w:ascii="Times New Roman" w:eastAsia="Times New Roman" w:hAnsi="Times New Roman" w:cs="Times New Roman"/>
                <w:iCs/>
                <w:sz w:val="24"/>
                <w:szCs w:val="24"/>
                <w:lang w:eastAsia="lv-LV"/>
              </w:rPr>
              <w:t>i būs jāpārbauda un jāapstiprina</w:t>
            </w:r>
            <w:r w:rsidRPr="00C32C17">
              <w:rPr>
                <w:rFonts w:ascii="Times New Roman" w:eastAsia="Times New Roman" w:hAnsi="Times New Roman" w:cs="Times New Roman"/>
                <w:iCs/>
                <w:sz w:val="24"/>
                <w:szCs w:val="24"/>
                <w:lang w:eastAsia="lv-LV"/>
              </w:rPr>
              <w:t xml:space="preserve"> – </w:t>
            </w:r>
            <w:r>
              <w:rPr>
                <w:rFonts w:ascii="Times New Roman" w:eastAsia="Times New Roman" w:hAnsi="Times New Roman" w:cs="Times New Roman"/>
                <w:iCs/>
                <w:sz w:val="24"/>
                <w:szCs w:val="24"/>
                <w:lang w:eastAsia="lv-LV"/>
              </w:rPr>
              <w:t>59</w:t>
            </w:r>
            <w:r w:rsidRPr="00C32C17">
              <w:rPr>
                <w:rFonts w:ascii="Times New Roman" w:eastAsia="Times New Roman" w:hAnsi="Times New Roman" w:cs="Times New Roman"/>
                <w:iCs/>
                <w:sz w:val="24"/>
                <w:szCs w:val="24"/>
                <w:lang w:eastAsia="lv-LV"/>
              </w:rPr>
              <w:t xml:space="preserve"> (</w:t>
            </w:r>
            <w:r w:rsidR="00EB3879">
              <w:rPr>
                <w:rFonts w:ascii="Times New Roman" w:eastAsia="Times New Roman" w:hAnsi="Times New Roman" w:cs="Times New Roman"/>
                <w:iCs/>
                <w:sz w:val="24"/>
                <w:szCs w:val="24"/>
                <w:lang w:eastAsia="lv-LV"/>
              </w:rPr>
              <w:t>Ministru kabineta 2019. gada 24. septembra rīkojums Nr. 458 “</w:t>
            </w:r>
            <w:r w:rsidR="00EB3879" w:rsidRPr="00DD7E79">
              <w:rPr>
                <w:rFonts w:ascii="Times New Roman" w:eastAsia="Times New Roman" w:hAnsi="Times New Roman" w:cs="Times New Roman"/>
                <w:iCs/>
                <w:sz w:val="24"/>
                <w:szCs w:val="24"/>
                <w:lang w:eastAsia="lv-LV"/>
              </w:rPr>
              <w:t>Par iekārtu sarakstu emisijas kvotu sadalei 2021.-2025. gadam</w:t>
            </w:r>
            <w:r w:rsidR="00EB3879">
              <w:rPr>
                <w:rFonts w:ascii="Times New Roman" w:eastAsia="Times New Roman" w:hAnsi="Times New Roman" w:cs="Times New Roman"/>
                <w:iCs/>
                <w:sz w:val="24"/>
                <w:szCs w:val="24"/>
                <w:lang w:eastAsia="lv-LV"/>
              </w:rPr>
              <w:t>” (turpmāk – rīkojums Nr. 458)</w:t>
            </w:r>
            <w:r w:rsidRPr="00C32C17">
              <w:rPr>
                <w:rFonts w:ascii="Times New Roman" w:eastAsia="Times New Roman" w:hAnsi="Times New Roman" w:cs="Times New Roman"/>
                <w:bCs/>
                <w:iCs/>
                <w:sz w:val="24"/>
                <w:szCs w:val="24"/>
                <w:lang w:eastAsia="lv-LV"/>
              </w:rPr>
              <w:t>)</w:t>
            </w:r>
            <w:r w:rsidRPr="00C32C17">
              <w:rPr>
                <w:rFonts w:ascii="Times New Roman" w:eastAsia="Times New Roman" w:hAnsi="Times New Roman" w:cs="Times New Roman"/>
                <w:iCs/>
                <w:sz w:val="24"/>
                <w:szCs w:val="24"/>
                <w:lang w:eastAsia="lv-LV"/>
              </w:rPr>
              <w:t>.</w:t>
            </w:r>
          </w:p>
          <w:p w14:paraId="73E4AFB5" w14:textId="2735AE16" w:rsidR="00F50E49" w:rsidRDefault="00F50E49" w:rsidP="00F50E49">
            <w:pPr>
              <w:spacing w:after="0" w:line="240" w:lineRule="auto"/>
              <w:jc w:val="both"/>
              <w:rPr>
                <w:rFonts w:ascii="Times New Roman" w:eastAsia="Times New Roman" w:hAnsi="Times New Roman" w:cs="Times New Roman"/>
                <w:iCs/>
                <w:sz w:val="24"/>
                <w:szCs w:val="24"/>
                <w:lang w:eastAsia="lv-LV"/>
              </w:rPr>
            </w:pPr>
          </w:p>
          <w:p w14:paraId="423C69A8" w14:textId="7A50E6CB" w:rsidR="006574BB" w:rsidRPr="0091221A" w:rsidRDefault="001C3FD8" w:rsidP="00840ED4">
            <w:pPr>
              <w:spacing w:after="0" w:line="240" w:lineRule="auto"/>
              <w:jc w:val="both"/>
              <w:rPr>
                <w:rFonts w:ascii="Times New Roman" w:eastAsia="Times New Roman" w:hAnsi="Times New Roman" w:cs="Times New Roman"/>
                <w:iCs/>
                <w:sz w:val="24"/>
                <w:szCs w:val="24"/>
                <w:lang w:eastAsia="lv-LV"/>
              </w:rPr>
            </w:pPr>
            <w:r w:rsidRPr="00A91505">
              <w:rPr>
                <w:rFonts w:ascii="Times New Roman" w:eastAsia="Times New Roman" w:hAnsi="Times New Roman" w:cs="Times New Roman"/>
                <w:iCs/>
                <w:sz w:val="24"/>
                <w:szCs w:val="24"/>
                <w:lang w:eastAsia="lv-LV"/>
              </w:rPr>
              <w:t>Aprēķins: (6,</w:t>
            </w:r>
            <w:r w:rsidR="009D591A" w:rsidRPr="00A91505">
              <w:rPr>
                <w:rFonts w:ascii="Times New Roman" w:eastAsia="Times New Roman" w:hAnsi="Times New Roman" w:cs="Times New Roman"/>
                <w:iCs/>
                <w:sz w:val="24"/>
                <w:szCs w:val="24"/>
                <w:lang w:eastAsia="lv-LV"/>
              </w:rPr>
              <w:t>58</w:t>
            </w:r>
            <w:r w:rsidRPr="00A91505">
              <w:rPr>
                <w:rFonts w:ascii="Times New Roman" w:eastAsia="Times New Roman" w:hAnsi="Times New Roman" w:cs="Times New Roman"/>
                <w:iCs/>
                <w:sz w:val="24"/>
                <w:szCs w:val="24"/>
                <w:lang w:eastAsia="lv-LV"/>
              </w:rPr>
              <w:t xml:space="preserve"> x </w:t>
            </w:r>
            <w:r w:rsidR="00DE1F01">
              <w:rPr>
                <w:rFonts w:ascii="Times New Roman" w:eastAsia="Times New Roman" w:hAnsi="Times New Roman" w:cs="Times New Roman"/>
                <w:iCs/>
                <w:sz w:val="24"/>
                <w:szCs w:val="24"/>
                <w:lang w:eastAsia="lv-LV"/>
              </w:rPr>
              <w:t>4</w:t>
            </w:r>
            <w:r w:rsidRPr="00A91505">
              <w:rPr>
                <w:rFonts w:ascii="Times New Roman" w:eastAsia="Times New Roman" w:hAnsi="Times New Roman" w:cs="Times New Roman"/>
                <w:iCs/>
                <w:sz w:val="24"/>
                <w:szCs w:val="24"/>
                <w:lang w:eastAsia="lv-LV"/>
              </w:rPr>
              <w:t>) x 59 = (</w:t>
            </w:r>
            <w:r w:rsidR="00DE1F01">
              <w:rPr>
                <w:rFonts w:ascii="Times New Roman" w:eastAsia="Times New Roman" w:hAnsi="Times New Roman" w:cs="Times New Roman"/>
                <w:iCs/>
                <w:sz w:val="24"/>
                <w:szCs w:val="24"/>
                <w:lang w:eastAsia="lv-LV"/>
              </w:rPr>
              <w:t>26,32</w:t>
            </w:r>
            <w:r w:rsidRPr="00A91505">
              <w:rPr>
                <w:rFonts w:ascii="Times New Roman" w:eastAsia="Times New Roman" w:hAnsi="Times New Roman" w:cs="Times New Roman"/>
                <w:iCs/>
                <w:sz w:val="24"/>
                <w:szCs w:val="24"/>
                <w:lang w:eastAsia="lv-LV"/>
              </w:rPr>
              <w:t xml:space="preserve"> x 59) = </w:t>
            </w:r>
            <w:r w:rsidR="00840ED4">
              <w:rPr>
                <w:rFonts w:ascii="Times New Roman" w:eastAsia="Times New Roman" w:hAnsi="Times New Roman" w:cs="Times New Roman"/>
                <w:iCs/>
                <w:sz w:val="24"/>
                <w:szCs w:val="24"/>
                <w:lang w:eastAsia="lv-LV"/>
              </w:rPr>
              <w:t>1 552,88</w:t>
            </w:r>
            <w:r w:rsidRPr="00A91505">
              <w:rPr>
                <w:rFonts w:ascii="Times New Roman" w:eastAsia="Times New Roman" w:hAnsi="Times New Roman" w:cs="Times New Roman"/>
                <w:iCs/>
                <w:sz w:val="24"/>
                <w:szCs w:val="24"/>
                <w:lang w:eastAsia="lv-LV"/>
              </w:rPr>
              <w:t> </w:t>
            </w:r>
            <w:proofErr w:type="spellStart"/>
            <w:r w:rsidRPr="00A91505">
              <w:rPr>
                <w:rFonts w:ascii="Times New Roman" w:eastAsia="Times New Roman" w:hAnsi="Times New Roman" w:cs="Times New Roman"/>
                <w:i/>
                <w:iCs/>
                <w:sz w:val="24"/>
                <w:szCs w:val="24"/>
                <w:lang w:eastAsia="lv-LV"/>
              </w:rPr>
              <w:t>e</w:t>
            </w:r>
            <w:r w:rsidR="009C69BC">
              <w:rPr>
                <w:rFonts w:ascii="Times New Roman" w:eastAsia="Times New Roman" w:hAnsi="Times New Roman" w:cs="Times New Roman"/>
                <w:i/>
                <w:iCs/>
                <w:sz w:val="24"/>
                <w:szCs w:val="24"/>
                <w:lang w:eastAsia="lv-LV"/>
              </w:rPr>
              <w:t>u</w:t>
            </w:r>
            <w:r w:rsidRPr="00A91505">
              <w:rPr>
                <w:rFonts w:ascii="Times New Roman" w:eastAsia="Times New Roman" w:hAnsi="Times New Roman" w:cs="Times New Roman"/>
                <w:i/>
                <w:iCs/>
                <w:sz w:val="24"/>
                <w:szCs w:val="24"/>
                <w:lang w:eastAsia="lv-LV"/>
              </w:rPr>
              <w:t>ro</w:t>
            </w:r>
            <w:proofErr w:type="spellEnd"/>
            <w:r w:rsidRPr="00A91505">
              <w:rPr>
                <w:rFonts w:ascii="Times New Roman" w:eastAsia="Times New Roman" w:hAnsi="Times New Roman" w:cs="Times New Roman"/>
                <w:iCs/>
                <w:sz w:val="24"/>
                <w:szCs w:val="24"/>
                <w:lang w:eastAsia="lv-LV"/>
              </w:rPr>
              <w:t xml:space="preserve">/gadā kopā </w:t>
            </w:r>
            <w:r w:rsidR="00A91505" w:rsidRPr="00A91505">
              <w:rPr>
                <w:rFonts w:ascii="Times New Roman" w:eastAsia="Times New Roman" w:hAnsi="Times New Roman" w:cs="Times New Roman"/>
                <w:iCs/>
                <w:sz w:val="24"/>
                <w:szCs w:val="24"/>
                <w:lang w:eastAsia="lv-LV"/>
              </w:rPr>
              <w:t xml:space="preserve">par </w:t>
            </w:r>
            <w:r w:rsidRPr="00A91505">
              <w:rPr>
                <w:rFonts w:ascii="Times New Roman" w:eastAsia="Times New Roman" w:hAnsi="Times New Roman" w:cs="Times New Roman"/>
                <w:iCs/>
                <w:sz w:val="24"/>
                <w:szCs w:val="24"/>
                <w:lang w:eastAsia="lv-LV"/>
              </w:rPr>
              <w:t xml:space="preserve">59 </w:t>
            </w:r>
            <w:r w:rsidR="00A91505" w:rsidRPr="00A91505">
              <w:rPr>
                <w:rFonts w:ascii="Times New Roman" w:eastAsia="Times New Roman" w:hAnsi="Times New Roman" w:cs="Times New Roman"/>
                <w:iCs/>
                <w:sz w:val="24"/>
                <w:szCs w:val="24"/>
                <w:lang w:eastAsia="lv-LV"/>
              </w:rPr>
              <w:t>darbības līmeņa ziņojumiem</w:t>
            </w:r>
            <w:r w:rsidRPr="00A91505">
              <w:rPr>
                <w:rFonts w:ascii="Times New Roman" w:eastAsia="Times New Roman" w:hAnsi="Times New Roman" w:cs="Times New Roman"/>
                <w:iCs/>
                <w:sz w:val="24"/>
                <w:szCs w:val="24"/>
                <w:lang w:eastAsia="lv-LV"/>
              </w:rPr>
              <w:t>.</w:t>
            </w:r>
          </w:p>
        </w:tc>
      </w:tr>
      <w:tr w:rsidR="00330D38" w:rsidRPr="00330D38" w14:paraId="423C69A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3C69AA" w14:textId="77777777" w:rsidR="00655F2C" w:rsidRPr="00330D38" w:rsidRDefault="00E5323B" w:rsidP="00E5323B">
            <w:pPr>
              <w:spacing w:after="0" w:line="240" w:lineRule="auto"/>
              <w:rPr>
                <w:rFonts w:ascii="Times New Roman" w:eastAsia="Times New Roman" w:hAnsi="Times New Roman" w:cs="Times New Roman"/>
                <w:iCs/>
                <w:sz w:val="24"/>
                <w:szCs w:val="24"/>
                <w:lang w:eastAsia="lv-LV"/>
              </w:rPr>
            </w:pPr>
            <w:r w:rsidRPr="00330D38">
              <w:rPr>
                <w:rFonts w:ascii="Times New Roman" w:eastAsia="Times New Roman" w:hAnsi="Times New Roman" w:cs="Times New Roman"/>
                <w:iCs/>
                <w:sz w:val="24"/>
                <w:szCs w:val="24"/>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423C69AB" w14:textId="77777777" w:rsidR="00E5323B" w:rsidRPr="00330D38" w:rsidRDefault="00E5323B" w:rsidP="00E5323B">
            <w:pPr>
              <w:spacing w:after="0" w:line="240" w:lineRule="auto"/>
              <w:rPr>
                <w:rFonts w:ascii="Times New Roman" w:eastAsia="Times New Roman" w:hAnsi="Times New Roman" w:cs="Times New Roman"/>
                <w:iCs/>
                <w:sz w:val="24"/>
                <w:szCs w:val="24"/>
                <w:lang w:eastAsia="lv-LV"/>
              </w:rPr>
            </w:pPr>
            <w:r w:rsidRPr="00330D38">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51358D6" w14:textId="0084E057" w:rsidR="00415D2F" w:rsidRDefault="00415D2F" w:rsidP="00E97FD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VARAM, nosakot atbilstības izmaksu monetāro novērtējumu izmantoja rīkojum</w:t>
            </w:r>
            <w:r w:rsidR="00EB3879">
              <w:rPr>
                <w:rFonts w:ascii="Times New Roman" w:eastAsia="Times New Roman" w:hAnsi="Times New Roman" w:cs="Times New Roman"/>
                <w:iCs/>
                <w:sz w:val="24"/>
                <w:szCs w:val="24"/>
                <w:lang w:eastAsia="lv-LV"/>
              </w:rPr>
              <w:t>u</w:t>
            </w:r>
            <w:r>
              <w:rPr>
                <w:rFonts w:ascii="Times New Roman" w:eastAsia="Times New Roman" w:hAnsi="Times New Roman" w:cs="Times New Roman"/>
                <w:iCs/>
                <w:sz w:val="24"/>
                <w:szCs w:val="24"/>
                <w:lang w:eastAsia="lv-LV"/>
              </w:rPr>
              <w:t xml:space="preserve"> Nr. 458.</w:t>
            </w:r>
          </w:p>
          <w:p w14:paraId="5E45E848" w14:textId="3AED0AF1" w:rsidR="00415D2F" w:rsidRDefault="00415D2F" w:rsidP="00E97FD1">
            <w:pPr>
              <w:spacing w:after="0" w:line="240" w:lineRule="auto"/>
              <w:jc w:val="both"/>
              <w:rPr>
                <w:rFonts w:ascii="Times New Roman" w:eastAsia="Times New Roman" w:hAnsi="Times New Roman" w:cs="Times New Roman"/>
                <w:iCs/>
                <w:sz w:val="24"/>
                <w:szCs w:val="24"/>
                <w:lang w:eastAsia="lv-LV"/>
              </w:rPr>
            </w:pPr>
          </w:p>
          <w:p w14:paraId="32C991E6" w14:textId="03C3C93A" w:rsidR="00415D2F" w:rsidRDefault="00E97FD1" w:rsidP="00E97FD1">
            <w:pPr>
              <w:spacing w:after="0" w:line="240" w:lineRule="auto"/>
              <w:jc w:val="both"/>
              <w:rPr>
                <w:rFonts w:ascii="Times New Roman" w:eastAsia="Times New Roman" w:hAnsi="Times New Roman" w:cs="Times New Roman"/>
                <w:iCs/>
                <w:sz w:val="24"/>
                <w:szCs w:val="24"/>
                <w:lang w:eastAsia="lv-LV"/>
              </w:rPr>
            </w:pPr>
            <w:r w:rsidRPr="00E97FD1">
              <w:rPr>
                <w:rFonts w:ascii="Times New Roman" w:eastAsia="Times New Roman" w:hAnsi="Times New Roman" w:cs="Times New Roman"/>
                <w:iCs/>
                <w:sz w:val="24"/>
                <w:szCs w:val="24"/>
                <w:lang w:eastAsia="lv-LV"/>
              </w:rPr>
              <w:t>Atbilstības izmaksas aprēķina, reizinot to juridisko personu skaitu, kurām šīs izmaksas rodas, ar izmaksām, kas rodas vienai personai.</w:t>
            </w:r>
            <w:r w:rsidR="00CF3843">
              <w:rPr>
                <w:rFonts w:ascii="Times New Roman" w:eastAsia="Times New Roman" w:hAnsi="Times New Roman" w:cs="Times New Roman"/>
                <w:iCs/>
                <w:sz w:val="24"/>
                <w:szCs w:val="24"/>
                <w:lang w:eastAsia="lv-LV"/>
              </w:rPr>
              <w:t xml:space="preserve"> Rīkojumā Nr. 458 ir noteikts, ka ES ETS 4. periodā Latvijā operēs 59 operatori – tātad darbības līmeņa ziņoju</w:t>
            </w:r>
            <w:r w:rsidR="00210337">
              <w:rPr>
                <w:rFonts w:ascii="Times New Roman" w:eastAsia="Times New Roman" w:hAnsi="Times New Roman" w:cs="Times New Roman"/>
                <w:iCs/>
                <w:sz w:val="24"/>
                <w:szCs w:val="24"/>
                <w:lang w:eastAsia="lv-LV"/>
              </w:rPr>
              <w:t>mu saistības attiecās uz 59 juridiskajām personām.</w:t>
            </w:r>
          </w:p>
          <w:p w14:paraId="037CC80D" w14:textId="7B8B44FD" w:rsidR="00415D2F" w:rsidRDefault="00415D2F" w:rsidP="00E97FD1">
            <w:pPr>
              <w:spacing w:after="0" w:line="240" w:lineRule="auto"/>
              <w:jc w:val="both"/>
              <w:rPr>
                <w:rFonts w:ascii="Times New Roman" w:eastAsia="Times New Roman" w:hAnsi="Times New Roman" w:cs="Times New Roman"/>
                <w:iCs/>
                <w:sz w:val="24"/>
                <w:szCs w:val="24"/>
                <w:lang w:eastAsia="lv-LV"/>
              </w:rPr>
            </w:pPr>
          </w:p>
          <w:p w14:paraId="28E29593" w14:textId="219CBD5D" w:rsidR="00877AC7" w:rsidRDefault="00877AC7" w:rsidP="00E97FD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Attiecīgi</w:t>
            </w:r>
            <w:r w:rsidR="0001027E">
              <w:rPr>
                <w:rFonts w:ascii="Times New Roman" w:eastAsia="Times New Roman" w:hAnsi="Times New Roman" w:cs="Times New Roman"/>
                <w:iCs/>
                <w:sz w:val="24"/>
                <w:szCs w:val="24"/>
                <w:lang w:eastAsia="lv-LV"/>
              </w:rPr>
              <w:t xml:space="preserve"> atbilstības izmaksu monetārais novērtējums ir</w:t>
            </w:r>
            <w:r w:rsidR="00D723BB">
              <w:rPr>
                <w:rFonts w:ascii="Times New Roman" w:eastAsia="Times New Roman" w:hAnsi="Times New Roman" w:cs="Times New Roman"/>
                <w:iCs/>
                <w:sz w:val="24"/>
                <w:szCs w:val="24"/>
                <w:lang w:eastAsia="lv-LV"/>
              </w:rPr>
              <w:t>:</w:t>
            </w:r>
          </w:p>
          <w:p w14:paraId="15196D28" w14:textId="0B7D5F3E" w:rsidR="00D723BB" w:rsidRDefault="00D723BB" w:rsidP="00E97FD1">
            <w:pPr>
              <w:spacing w:after="0" w:line="240" w:lineRule="auto"/>
              <w:jc w:val="both"/>
              <w:rPr>
                <w:rFonts w:ascii="Times New Roman" w:eastAsia="Times New Roman" w:hAnsi="Times New Roman" w:cs="Times New Roman"/>
                <w:iCs/>
                <w:sz w:val="24"/>
                <w:szCs w:val="24"/>
                <w:lang w:eastAsia="lv-LV"/>
              </w:rPr>
            </w:pPr>
          </w:p>
          <w:p w14:paraId="63BB7A7B" w14:textId="68FBEB78" w:rsidR="00D723BB" w:rsidRDefault="00D723BB" w:rsidP="00D723B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 x C, kur</w:t>
            </w:r>
          </w:p>
          <w:p w14:paraId="1951C670" w14:textId="71366CB5" w:rsidR="00D723BB" w:rsidRDefault="00D723BB" w:rsidP="00D723BB">
            <w:pPr>
              <w:spacing w:after="0" w:line="240" w:lineRule="auto"/>
              <w:jc w:val="center"/>
              <w:rPr>
                <w:rFonts w:ascii="Times New Roman" w:eastAsia="Times New Roman" w:hAnsi="Times New Roman" w:cs="Times New Roman"/>
                <w:iCs/>
                <w:sz w:val="24"/>
                <w:szCs w:val="24"/>
                <w:lang w:eastAsia="lv-LV"/>
              </w:rPr>
            </w:pPr>
          </w:p>
          <w:p w14:paraId="4FF55A88" w14:textId="157F6E0A" w:rsidR="00D723BB" w:rsidRDefault="00D723BB" w:rsidP="00D723BB">
            <w:pPr>
              <w:spacing w:after="0" w:line="240" w:lineRule="auto"/>
              <w:jc w:val="both"/>
              <w:rPr>
                <w:rFonts w:ascii="Times New Roman" w:eastAsia="Times New Roman" w:hAnsi="Times New Roman" w:cs="Times New Roman"/>
                <w:bCs/>
                <w:iCs/>
                <w:sz w:val="24"/>
                <w:szCs w:val="24"/>
                <w:lang w:eastAsia="lv-LV"/>
              </w:rPr>
            </w:pPr>
            <w:r w:rsidRPr="00C32C17">
              <w:rPr>
                <w:rFonts w:ascii="Times New Roman" w:eastAsia="Times New Roman" w:hAnsi="Times New Roman" w:cs="Times New Roman"/>
                <w:b/>
                <w:bCs/>
                <w:iCs/>
                <w:sz w:val="24"/>
                <w:szCs w:val="24"/>
                <w:lang w:eastAsia="lv-LV"/>
              </w:rPr>
              <w:t>n</w:t>
            </w:r>
            <w:r w:rsidRPr="00C32C17">
              <w:rPr>
                <w:rFonts w:ascii="Times New Roman" w:eastAsia="Times New Roman" w:hAnsi="Times New Roman" w:cs="Times New Roman"/>
                <w:iCs/>
                <w:sz w:val="24"/>
                <w:szCs w:val="24"/>
                <w:lang w:eastAsia="lv-LV"/>
              </w:rPr>
              <w:t xml:space="preserve"> – operatoru skaits, </w:t>
            </w:r>
            <w:r>
              <w:rPr>
                <w:rFonts w:ascii="Times New Roman" w:eastAsia="Times New Roman" w:hAnsi="Times New Roman" w:cs="Times New Roman"/>
                <w:iCs/>
                <w:sz w:val="24"/>
                <w:szCs w:val="24"/>
                <w:lang w:eastAsia="lv-LV"/>
              </w:rPr>
              <w:t>kuru</w:t>
            </w:r>
            <w:r w:rsidRPr="00C32C17">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darbības līmeņa ziņojumi būs jāpārbauda un jāapstiprina</w:t>
            </w:r>
            <w:r w:rsidRPr="00C32C17">
              <w:rPr>
                <w:rFonts w:ascii="Times New Roman" w:eastAsia="Times New Roman" w:hAnsi="Times New Roman" w:cs="Times New Roman"/>
                <w:iCs/>
                <w:sz w:val="24"/>
                <w:szCs w:val="24"/>
                <w:lang w:eastAsia="lv-LV"/>
              </w:rPr>
              <w:t xml:space="preserve"> – </w:t>
            </w:r>
            <w:r>
              <w:rPr>
                <w:rFonts w:ascii="Times New Roman" w:eastAsia="Times New Roman" w:hAnsi="Times New Roman" w:cs="Times New Roman"/>
                <w:iCs/>
                <w:sz w:val="24"/>
                <w:szCs w:val="24"/>
                <w:lang w:eastAsia="lv-LV"/>
              </w:rPr>
              <w:t>59</w:t>
            </w:r>
            <w:r w:rsidRPr="00C32C17">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rīkojums Nr. 458</w:t>
            </w:r>
            <w:r w:rsidRPr="00C32C17">
              <w:rPr>
                <w:rFonts w:ascii="Times New Roman" w:eastAsia="Times New Roman" w:hAnsi="Times New Roman" w:cs="Times New Roman"/>
                <w:bCs/>
                <w:iCs/>
                <w:sz w:val="24"/>
                <w:szCs w:val="24"/>
                <w:lang w:eastAsia="lv-LV"/>
              </w:rPr>
              <w:t>)</w:t>
            </w:r>
            <w:r>
              <w:rPr>
                <w:rFonts w:ascii="Times New Roman" w:eastAsia="Times New Roman" w:hAnsi="Times New Roman" w:cs="Times New Roman"/>
                <w:bCs/>
                <w:iCs/>
                <w:sz w:val="24"/>
                <w:szCs w:val="24"/>
                <w:lang w:eastAsia="lv-LV"/>
              </w:rPr>
              <w:t>;</w:t>
            </w:r>
          </w:p>
          <w:p w14:paraId="54AD2A75" w14:textId="1242B205" w:rsidR="00D723BB" w:rsidRDefault="00D723BB" w:rsidP="00D723BB">
            <w:pPr>
              <w:spacing w:after="0" w:line="240" w:lineRule="auto"/>
              <w:jc w:val="both"/>
              <w:rPr>
                <w:rFonts w:ascii="Times New Roman" w:eastAsia="Times New Roman" w:hAnsi="Times New Roman" w:cs="Times New Roman"/>
                <w:bCs/>
                <w:iCs/>
                <w:sz w:val="24"/>
                <w:szCs w:val="24"/>
                <w:lang w:eastAsia="lv-LV"/>
              </w:rPr>
            </w:pPr>
          </w:p>
          <w:p w14:paraId="392B2961" w14:textId="6215BE3C" w:rsidR="00D723BB" w:rsidRDefault="00D723BB" w:rsidP="00D723BB">
            <w:pPr>
              <w:spacing w:after="0" w:line="240" w:lineRule="auto"/>
              <w:jc w:val="both"/>
              <w:rPr>
                <w:rFonts w:ascii="Times New Roman" w:eastAsia="Times New Roman" w:hAnsi="Times New Roman" w:cs="Times New Roman"/>
                <w:iCs/>
                <w:sz w:val="24"/>
                <w:szCs w:val="24"/>
                <w:lang w:eastAsia="lv-LV"/>
              </w:rPr>
            </w:pPr>
            <w:r w:rsidRPr="00C32C17">
              <w:rPr>
                <w:rFonts w:ascii="Times New Roman" w:eastAsia="Times New Roman" w:hAnsi="Times New Roman" w:cs="Times New Roman"/>
                <w:b/>
                <w:bCs/>
                <w:iCs/>
                <w:sz w:val="24"/>
                <w:szCs w:val="24"/>
                <w:lang w:eastAsia="lv-LV"/>
              </w:rPr>
              <w:t>C</w:t>
            </w:r>
            <w:r w:rsidRPr="00C32C17">
              <w:rPr>
                <w:rFonts w:ascii="Times New Roman" w:eastAsia="Times New Roman" w:hAnsi="Times New Roman" w:cs="Times New Roman"/>
                <w:iCs/>
                <w:sz w:val="24"/>
                <w:szCs w:val="24"/>
                <w:lang w:eastAsia="lv-LV"/>
              </w:rPr>
              <w:t xml:space="preserve"> – </w:t>
            </w:r>
            <w:r>
              <w:rPr>
                <w:rFonts w:ascii="Times New Roman" w:eastAsia="Times New Roman" w:hAnsi="Times New Roman" w:cs="Times New Roman"/>
                <w:iCs/>
                <w:sz w:val="24"/>
                <w:szCs w:val="24"/>
                <w:lang w:eastAsia="lv-LV"/>
              </w:rPr>
              <w:t>darbības līmeņa ziņojumu</w:t>
            </w:r>
            <w:r w:rsidRPr="002964B5">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sagatavošanas</w:t>
            </w:r>
            <w:r w:rsidRPr="002964B5">
              <w:rPr>
                <w:rFonts w:ascii="Times New Roman" w:eastAsia="Times New Roman" w:hAnsi="Times New Roman" w:cs="Times New Roman"/>
                <w:iCs/>
                <w:sz w:val="24"/>
                <w:szCs w:val="24"/>
                <w:lang w:eastAsia="lv-LV"/>
              </w:rPr>
              <w:t xml:space="preserve"> radītās izmaksas</w:t>
            </w:r>
            <w:r w:rsidR="00EE117D">
              <w:rPr>
                <w:rFonts w:ascii="Times New Roman" w:eastAsia="Times New Roman" w:hAnsi="Times New Roman" w:cs="Times New Roman"/>
                <w:iCs/>
                <w:sz w:val="24"/>
                <w:szCs w:val="24"/>
                <w:lang w:eastAsia="lv-LV"/>
              </w:rPr>
              <w:t>.</w:t>
            </w:r>
          </w:p>
          <w:p w14:paraId="23B42E01" w14:textId="02620760" w:rsidR="00D723BB" w:rsidRDefault="00D723BB" w:rsidP="00D723BB">
            <w:pPr>
              <w:spacing w:after="0" w:line="240" w:lineRule="auto"/>
              <w:jc w:val="both"/>
              <w:rPr>
                <w:rFonts w:ascii="Times New Roman" w:eastAsia="Times New Roman" w:hAnsi="Times New Roman" w:cs="Times New Roman"/>
                <w:iCs/>
                <w:sz w:val="24"/>
                <w:szCs w:val="24"/>
                <w:lang w:eastAsia="lv-LV"/>
              </w:rPr>
            </w:pPr>
          </w:p>
          <w:p w14:paraId="423C69AC" w14:textId="3EDC3B49" w:rsidR="00B46F67" w:rsidRPr="00330D38" w:rsidRDefault="00EE117D" w:rsidP="00797681">
            <w:pPr>
              <w:spacing w:after="0" w:line="240" w:lineRule="auto"/>
              <w:jc w:val="both"/>
              <w:rPr>
                <w:rFonts w:ascii="Times New Roman" w:eastAsia="Times New Roman" w:hAnsi="Times New Roman" w:cs="Times New Roman"/>
                <w:iCs/>
                <w:sz w:val="24"/>
                <w:szCs w:val="24"/>
                <w:lang w:eastAsia="lv-LV"/>
              </w:rPr>
            </w:pPr>
            <w:r w:rsidRPr="00F066BF">
              <w:rPr>
                <w:rFonts w:ascii="Times New Roman" w:eastAsia="Times New Roman" w:hAnsi="Times New Roman" w:cs="Times New Roman"/>
                <w:iCs/>
                <w:sz w:val="24"/>
                <w:szCs w:val="24"/>
                <w:lang w:eastAsia="lv-LV"/>
              </w:rPr>
              <w:t>Aprēķins: 59 x 553,44 =</w:t>
            </w:r>
            <w:r w:rsidRPr="00A91505">
              <w:rPr>
                <w:rFonts w:ascii="Times New Roman" w:eastAsia="Times New Roman" w:hAnsi="Times New Roman" w:cs="Times New Roman"/>
                <w:iCs/>
                <w:sz w:val="24"/>
                <w:szCs w:val="24"/>
                <w:lang w:eastAsia="lv-LV"/>
              </w:rPr>
              <w:t xml:space="preserve"> </w:t>
            </w:r>
            <w:r w:rsidR="00FB0853">
              <w:rPr>
                <w:rFonts w:ascii="Times New Roman" w:eastAsia="Times New Roman" w:hAnsi="Times New Roman" w:cs="Times New Roman"/>
                <w:iCs/>
                <w:sz w:val="24"/>
                <w:szCs w:val="24"/>
                <w:lang w:eastAsia="lv-LV"/>
              </w:rPr>
              <w:t>3</w:t>
            </w:r>
            <w:r w:rsidR="00797681">
              <w:rPr>
                <w:rFonts w:ascii="Times New Roman" w:eastAsia="Times New Roman" w:hAnsi="Times New Roman" w:cs="Times New Roman"/>
                <w:iCs/>
                <w:sz w:val="24"/>
                <w:szCs w:val="24"/>
                <w:lang w:eastAsia="lv-LV"/>
              </w:rPr>
              <w:t>2</w:t>
            </w:r>
            <w:r w:rsidR="00F066BF">
              <w:rPr>
                <w:rFonts w:ascii="Times New Roman" w:eastAsia="Times New Roman" w:hAnsi="Times New Roman" w:cs="Times New Roman"/>
                <w:iCs/>
                <w:sz w:val="24"/>
                <w:szCs w:val="24"/>
                <w:lang w:eastAsia="lv-LV"/>
              </w:rPr>
              <w:t> 652,96</w:t>
            </w:r>
            <w:r w:rsidRPr="00A91505">
              <w:rPr>
                <w:rFonts w:ascii="Times New Roman" w:eastAsia="Times New Roman" w:hAnsi="Times New Roman" w:cs="Times New Roman"/>
                <w:iCs/>
                <w:sz w:val="24"/>
                <w:szCs w:val="24"/>
                <w:lang w:eastAsia="lv-LV"/>
              </w:rPr>
              <w:t xml:space="preserve"> </w:t>
            </w:r>
            <w:proofErr w:type="spellStart"/>
            <w:r w:rsidRPr="00A91505">
              <w:rPr>
                <w:rFonts w:ascii="Times New Roman" w:eastAsia="Times New Roman" w:hAnsi="Times New Roman" w:cs="Times New Roman"/>
                <w:i/>
                <w:iCs/>
                <w:sz w:val="24"/>
                <w:szCs w:val="24"/>
                <w:lang w:eastAsia="lv-LV"/>
              </w:rPr>
              <w:t>e</w:t>
            </w:r>
            <w:r w:rsidR="009C69BC">
              <w:rPr>
                <w:rFonts w:ascii="Times New Roman" w:eastAsia="Times New Roman" w:hAnsi="Times New Roman" w:cs="Times New Roman"/>
                <w:i/>
                <w:iCs/>
                <w:sz w:val="24"/>
                <w:szCs w:val="24"/>
                <w:lang w:eastAsia="lv-LV"/>
              </w:rPr>
              <w:t>u</w:t>
            </w:r>
            <w:r w:rsidRPr="00A91505">
              <w:rPr>
                <w:rFonts w:ascii="Times New Roman" w:eastAsia="Times New Roman" w:hAnsi="Times New Roman" w:cs="Times New Roman"/>
                <w:i/>
                <w:iCs/>
                <w:sz w:val="24"/>
                <w:szCs w:val="24"/>
                <w:lang w:eastAsia="lv-LV"/>
              </w:rPr>
              <w:t>ro</w:t>
            </w:r>
            <w:proofErr w:type="spellEnd"/>
            <w:r w:rsidRPr="00A91505">
              <w:rPr>
                <w:rFonts w:ascii="Times New Roman" w:eastAsia="Times New Roman" w:hAnsi="Times New Roman" w:cs="Times New Roman"/>
                <w:iCs/>
                <w:sz w:val="24"/>
                <w:szCs w:val="24"/>
                <w:lang w:eastAsia="lv-LV"/>
              </w:rPr>
              <w:t>/gadā kopā par 59 darbības līmeņa ziņojumiem.</w:t>
            </w:r>
          </w:p>
        </w:tc>
      </w:tr>
      <w:tr w:rsidR="00330D38" w:rsidRPr="00330D38" w14:paraId="423C69B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3C69AE" w14:textId="77777777" w:rsidR="00655F2C" w:rsidRPr="00330D38" w:rsidRDefault="00E5323B" w:rsidP="00E5323B">
            <w:pPr>
              <w:spacing w:after="0" w:line="240" w:lineRule="auto"/>
              <w:rPr>
                <w:rFonts w:ascii="Times New Roman" w:eastAsia="Times New Roman" w:hAnsi="Times New Roman" w:cs="Times New Roman"/>
                <w:iCs/>
                <w:sz w:val="24"/>
                <w:szCs w:val="24"/>
                <w:lang w:eastAsia="lv-LV"/>
              </w:rPr>
            </w:pPr>
            <w:r w:rsidRPr="00330D38">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423C69AF" w14:textId="77777777" w:rsidR="00E5323B" w:rsidRPr="00330D38" w:rsidRDefault="00E5323B" w:rsidP="00E5323B">
            <w:pPr>
              <w:spacing w:after="0" w:line="240" w:lineRule="auto"/>
              <w:rPr>
                <w:rFonts w:ascii="Times New Roman" w:eastAsia="Times New Roman" w:hAnsi="Times New Roman" w:cs="Times New Roman"/>
                <w:iCs/>
                <w:sz w:val="24"/>
                <w:szCs w:val="24"/>
                <w:lang w:eastAsia="lv-LV"/>
              </w:rPr>
            </w:pPr>
            <w:r w:rsidRPr="00330D3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23C69B0" w14:textId="44488DB7" w:rsidR="00E5323B" w:rsidRPr="00330D38" w:rsidRDefault="00067B2F" w:rsidP="00E5323B">
            <w:pPr>
              <w:spacing w:after="0" w:line="240" w:lineRule="auto"/>
              <w:rPr>
                <w:rFonts w:ascii="Times New Roman" w:eastAsia="Times New Roman" w:hAnsi="Times New Roman" w:cs="Times New Roman"/>
                <w:iCs/>
                <w:sz w:val="24"/>
                <w:szCs w:val="24"/>
                <w:lang w:eastAsia="lv-LV"/>
              </w:rPr>
            </w:pPr>
            <w:r w:rsidRPr="00330D38">
              <w:rPr>
                <w:rFonts w:ascii="Times New Roman" w:eastAsia="Times New Roman" w:hAnsi="Times New Roman" w:cs="Times New Roman"/>
                <w:iCs/>
                <w:sz w:val="24"/>
                <w:szCs w:val="24"/>
                <w:lang w:eastAsia="lv-LV"/>
              </w:rPr>
              <w:t>Nav</w:t>
            </w:r>
          </w:p>
        </w:tc>
      </w:tr>
    </w:tbl>
    <w:p w14:paraId="423C6A88" w14:textId="29D2D555" w:rsidR="00E5323B" w:rsidRPr="00DA6709" w:rsidRDefault="00E5323B" w:rsidP="00E5323B">
      <w:pPr>
        <w:spacing w:after="0" w:line="240" w:lineRule="auto"/>
        <w:rPr>
          <w:rFonts w:ascii="Times New Roman" w:eastAsia="Times New Roman" w:hAnsi="Times New Roman" w:cs="Times New Roman"/>
          <w:iCs/>
          <w:color w:val="414142"/>
          <w:sz w:val="24"/>
          <w:szCs w:val="24"/>
          <w:lang w:eastAsia="lv-LV"/>
        </w:rPr>
      </w:pPr>
      <w:r w:rsidRPr="00DA6709">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63C99" w:rsidRPr="00DA6709" w14:paraId="075FC727" w14:textId="77777777" w:rsidTr="00D8366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284EB1" w14:textId="77777777" w:rsidR="00D63C99" w:rsidRPr="00076E94" w:rsidRDefault="00D63C99" w:rsidP="00376A52">
            <w:pPr>
              <w:spacing w:after="0" w:line="240" w:lineRule="auto"/>
              <w:jc w:val="center"/>
              <w:rPr>
                <w:rFonts w:ascii="Times New Roman" w:eastAsia="Times New Roman" w:hAnsi="Times New Roman" w:cs="Times New Roman"/>
                <w:b/>
                <w:bCs/>
                <w:iCs/>
                <w:sz w:val="24"/>
                <w:szCs w:val="24"/>
                <w:lang w:eastAsia="lv-LV"/>
              </w:rPr>
            </w:pPr>
            <w:r w:rsidRPr="00076E94">
              <w:rPr>
                <w:rFonts w:ascii="Times New Roman" w:eastAsia="Times New Roman" w:hAnsi="Times New Roman" w:cs="Times New Roman"/>
                <w:b/>
                <w:bCs/>
                <w:iCs/>
                <w:sz w:val="24"/>
                <w:szCs w:val="24"/>
                <w:lang w:eastAsia="lv-LV"/>
              </w:rPr>
              <w:t>III. Tiesību akta projekta ietekme uz valsts budžetu un pašvaldību budžetiem</w:t>
            </w:r>
          </w:p>
        </w:tc>
      </w:tr>
      <w:tr w:rsidR="00D63C99" w:rsidRPr="00DA6709" w14:paraId="2ABF0852" w14:textId="77777777" w:rsidTr="00D8366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67D766" w14:textId="77777777" w:rsidR="00D63C99" w:rsidRPr="00076E94" w:rsidRDefault="00D63C99" w:rsidP="00376A52">
            <w:pPr>
              <w:spacing w:after="0" w:line="240" w:lineRule="auto"/>
              <w:jc w:val="center"/>
              <w:rPr>
                <w:rFonts w:ascii="Times New Roman" w:eastAsia="Times New Roman" w:hAnsi="Times New Roman" w:cs="Times New Roman"/>
                <w:bCs/>
                <w:iCs/>
                <w:sz w:val="24"/>
                <w:szCs w:val="24"/>
                <w:lang w:eastAsia="lv-LV"/>
              </w:rPr>
            </w:pPr>
            <w:r w:rsidRPr="00076E94">
              <w:rPr>
                <w:rFonts w:ascii="Times New Roman" w:eastAsia="Times New Roman" w:hAnsi="Times New Roman" w:cs="Times New Roman"/>
                <w:bCs/>
                <w:iCs/>
                <w:sz w:val="24"/>
                <w:szCs w:val="24"/>
                <w:lang w:eastAsia="lv-LV"/>
              </w:rPr>
              <w:t>Projekts šo jomu neskar</w:t>
            </w:r>
          </w:p>
        </w:tc>
      </w:tr>
    </w:tbl>
    <w:p w14:paraId="51CD404B" w14:textId="77777777" w:rsidR="00D63C99" w:rsidRPr="00DA6709" w:rsidRDefault="00D63C99"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037EB" w:rsidRPr="002037EB" w14:paraId="423C6A8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23C6A89" w14:textId="77777777" w:rsidR="00655F2C" w:rsidRPr="002037EB" w:rsidRDefault="00E5323B" w:rsidP="00E5323B">
            <w:pPr>
              <w:spacing w:after="0" w:line="240" w:lineRule="auto"/>
              <w:rPr>
                <w:rFonts w:ascii="Times New Roman" w:eastAsia="Times New Roman" w:hAnsi="Times New Roman" w:cs="Times New Roman"/>
                <w:b/>
                <w:bCs/>
                <w:iCs/>
                <w:sz w:val="24"/>
                <w:szCs w:val="24"/>
                <w:lang w:eastAsia="lv-LV"/>
              </w:rPr>
            </w:pPr>
            <w:r w:rsidRPr="002037EB">
              <w:rPr>
                <w:rFonts w:ascii="Times New Roman" w:eastAsia="Times New Roman" w:hAnsi="Times New Roman" w:cs="Times New Roman"/>
                <w:b/>
                <w:bCs/>
                <w:iCs/>
                <w:sz w:val="24"/>
                <w:szCs w:val="24"/>
                <w:lang w:eastAsia="lv-LV"/>
              </w:rPr>
              <w:t>IV. Tiesību akta projekta ietekme uz spēkā esošo tiesību normu sistēmu</w:t>
            </w:r>
          </w:p>
        </w:tc>
      </w:tr>
      <w:tr w:rsidR="002037EB" w:rsidRPr="002037EB" w14:paraId="423C6A8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3C6A8B" w14:textId="77777777" w:rsidR="00655F2C" w:rsidRPr="002037EB" w:rsidRDefault="00E5323B" w:rsidP="00E5323B">
            <w:pPr>
              <w:spacing w:after="0" w:line="240" w:lineRule="auto"/>
              <w:rPr>
                <w:rFonts w:ascii="Times New Roman" w:eastAsia="Times New Roman" w:hAnsi="Times New Roman" w:cs="Times New Roman"/>
                <w:iCs/>
                <w:sz w:val="24"/>
                <w:szCs w:val="24"/>
                <w:lang w:eastAsia="lv-LV"/>
              </w:rPr>
            </w:pPr>
            <w:r w:rsidRPr="002037EB">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23C6A8C" w14:textId="77777777" w:rsidR="00E5323B" w:rsidRPr="002037EB" w:rsidRDefault="00E5323B" w:rsidP="00E5323B">
            <w:pPr>
              <w:spacing w:after="0" w:line="240" w:lineRule="auto"/>
              <w:rPr>
                <w:rFonts w:ascii="Times New Roman" w:eastAsia="Times New Roman" w:hAnsi="Times New Roman" w:cs="Times New Roman"/>
                <w:iCs/>
                <w:sz w:val="24"/>
                <w:szCs w:val="24"/>
                <w:lang w:eastAsia="lv-LV"/>
              </w:rPr>
            </w:pPr>
            <w:r w:rsidRPr="002037EB">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5AEB41DA" w14:textId="3920D9DC" w:rsidR="00917F74" w:rsidRPr="008A6D27" w:rsidRDefault="008A6D27" w:rsidP="008A6D2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Ņemot vērā minētos Eiropas Komisijas deleģētos aktus</w:t>
            </w:r>
            <w:r w:rsidR="00E23E93">
              <w:rPr>
                <w:rFonts w:ascii="Times New Roman" w:eastAsia="Times New Roman" w:hAnsi="Times New Roman" w:cs="Times New Roman"/>
                <w:iCs/>
                <w:sz w:val="24"/>
                <w:szCs w:val="24"/>
                <w:lang w:eastAsia="lv-LV"/>
              </w:rPr>
              <w:t xml:space="preserve"> izstrādes procesā ir</w:t>
            </w:r>
            <w:r w:rsidR="0031156C">
              <w:rPr>
                <w:rFonts w:ascii="Times New Roman" w:eastAsia="Times New Roman" w:hAnsi="Times New Roman" w:cs="Times New Roman"/>
                <w:iCs/>
                <w:sz w:val="24"/>
                <w:szCs w:val="24"/>
                <w:lang w:eastAsia="lv-LV"/>
              </w:rPr>
              <w:t xml:space="preserve"> </w:t>
            </w:r>
            <w:r w:rsidR="00C73256">
              <w:rPr>
                <w:rFonts w:ascii="Times New Roman" w:eastAsia="Times New Roman" w:hAnsi="Times New Roman" w:cs="Times New Roman"/>
                <w:iCs/>
                <w:sz w:val="24"/>
                <w:szCs w:val="24"/>
                <w:lang w:eastAsia="lv-LV"/>
              </w:rPr>
              <w:t xml:space="preserve">Ministru kabineta </w:t>
            </w:r>
            <w:r>
              <w:rPr>
                <w:rFonts w:ascii="Times New Roman" w:eastAsia="Times New Roman" w:hAnsi="Times New Roman" w:cs="Times New Roman"/>
                <w:iCs/>
                <w:sz w:val="24"/>
                <w:szCs w:val="24"/>
                <w:lang w:eastAsia="lv-LV"/>
              </w:rPr>
              <w:t xml:space="preserve">noteikumu projekts </w:t>
            </w:r>
            <w:r w:rsidR="00C73256">
              <w:rPr>
                <w:rFonts w:ascii="Times New Roman" w:eastAsia="Times New Roman" w:hAnsi="Times New Roman" w:cs="Times New Roman"/>
                <w:iCs/>
                <w:sz w:val="24"/>
                <w:szCs w:val="24"/>
                <w:lang w:eastAsia="lv-LV"/>
              </w:rPr>
              <w:t>“</w:t>
            </w:r>
            <w:r w:rsidR="00C73256" w:rsidRPr="00917F74">
              <w:rPr>
                <w:rFonts w:ascii="Times New Roman" w:eastAsia="Times New Roman" w:hAnsi="Times New Roman" w:cs="Times New Roman"/>
                <w:sz w:val="24"/>
                <w:szCs w:val="24"/>
                <w:lang w:eastAsia="lv-LV"/>
              </w:rPr>
              <w:t>Bezmaksas emisijas kvotu piešķiršanas kārtība stacionāro tehnoloģisko iekārtu operatoriem</w:t>
            </w:r>
            <w:r w:rsidR="00C73256">
              <w:rPr>
                <w:rFonts w:ascii="Times New Roman" w:eastAsia="Times New Roman" w:hAnsi="Times New Roman" w:cs="Times New Roman"/>
                <w:sz w:val="24"/>
                <w:szCs w:val="24"/>
                <w:lang w:eastAsia="lv-LV"/>
              </w:rPr>
              <w:t>” (VSS-130)</w:t>
            </w:r>
            <w:r w:rsidR="00291897">
              <w:rPr>
                <w:rFonts w:ascii="Times New Roman" w:eastAsia="Times New Roman" w:hAnsi="Times New Roman" w:cs="Times New Roman"/>
                <w:sz w:val="24"/>
                <w:szCs w:val="24"/>
                <w:lang w:eastAsia="lv-LV"/>
              </w:rPr>
              <w:t xml:space="preserve"> (turpmāk – noteikumu projekts VSS-130)</w:t>
            </w:r>
            <w:r w:rsidR="00C73256">
              <w:rPr>
                <w:rFonts w:ascii="Times New Roman" w:eastAsia="Times New Roman" w:hAnsi="Times New Roman" w:cs="Times New Roman"/>
                <w:sz w:val="24"/>
                <w:szCs w:val="24"/>
                <w:lang w:eastAsia="lv-LV"/>
              </w:rPr>
              <w:t xml:space="preserve">. </w:t>
            </w:r>
          </w:p>
          <w:p w14:paraId="504F04F0" w14:textId="77777777" w:rsidR="00330D38" w:rsidRPr="00330D38" w:rsidRDefault="00330D38" w:rsidP="00330D38">
            <w:pPr>
              <w:spacing w:after="0" w:line="240" w:lineRule="auto"/>
              <w:rPr>
                <w:rFonts w:ascii="Times New Roman" w:eastAsia="Times New Roman" w:hAnsi="Times New Roman" w:cs="Times New Roman"/>
                <w:iCs/>
                <w:sz w:val="24"/>
                <w:szCs w:val="24"/>
                <w:lang w:eastAsia="lv-LV"/>
              </w:rPr>
            </w:pPr>
          </w:p>
          <w:p w14:paraId="423C6A8D" w14:textId="43370308" w:rsidR="006762D6" w:rsidRPr="002037EB" w:rsidRDefault="006762D6" w:rsidP="00AE21DF">
            <w:pPr>
              <w:spacing w:after="0" w:line="240" w:lineRule="auto"/>
              <w:jc w:val="both"/>
              <w:rPr>
                <w:rFonts w:ascii="Times New Roman" w:eastAsia="Times New Roman" w:hAnsi="Times New Roman" w:cs="Times New Roman"/>
                <w:iCs/>
                <w:sz w:val="24"/>
                <w:szCs w:val="24"/>
                <w:lang w:eastAsia="lv-LV"/>
              </w:rPr>
            </w:pPr>
            <w:r w:rsidRPr="002037EB">
              <w:rPr>
                <w:rFonts w:ascii="Times New Roman" w:eastAsia="Times New Roman" w:hAnsi="Times New Roman" w:cs="Times New Roman"/>
                <w:iCs/>
                <w:sz w:val="24"/>
                <w:szCs w:val="24"/>
                <w:lang w:eastAsia="lv-LV"/>
              </w:rPr>
              <w:t>VARAM izstrā</w:t>
            </w:r>
            <w:r w:rsidR="00EB3F59">
              <w:rPr>
                <w:rFonts w:ascii="Times New Roman" w:eastAsia="Times New Roman" w:hAnsi="Times New Roman" w:cs="Times New Roman"/>
                <w:iCs/>
                <w:sz w:val="24"/>
                <w:szCs w:val="24"/>
                <w:lang w:eastAsia="lv-LV"/>
              </w:rPr>
              <w:t>des procesā ir</w:t>
            </w:r>
            <w:r w:rsidRPr="002037EB">
              <w:rPr>
                <w:rFonts w:ascii="Times New Roman" w:eastAsia="Times New Roman" w:hAnsi="Times New Roman" w:cs="Times New Roman"/>
                <w:iCs/>
                <w:sz w:val="24"/>
                <w:szCs w:val="24"/>
                <w:lang w:eastAsia="lv-LV"/>
              </w:rPr>
              <w:t xml:space="preserve"> likumprojekt</w:t>
            </w:r>
            <w:r w:rsidR="00EB3F59">
              <w:rPr>
                <w:rFonts w:ascii="Times New Roman" w:eastAsia="Times New Roman" w:hAnsi="Times New Roman" w:cs="Times New Roman"/>
                <w:iCs/>
                <w:sz w:val="24"/>
                <w:szCs w:val="24"/>
                <w:lang w:eastAsia="lv-LV"/>
              </w:rPr>
              <w:t>s</w:t>
            </w:r>
            <w:r w:rsidRPr="002037EB">
              <w:rPr>
                <w:rFonts w:ascii="Times New Roman" w:eastAsia="Times New Roman" w:hAnsi="Times New Roman" w:cs="Times New Roman"/>
                <w:iCs/>
                <w:sz w:val="24"/>
                <w:szCs w:val="24"/>
                <w:lang w:eastAsia="lv-LV"/>
              </w:rPr>
              <w:t xml:space="preserve"> “Klimata likums”, ar kuru</w:t>
            </w:r>
            <w:r w:rsidR="00AE21DF" w:rsidRPr="002037EB">
              <w:rPr>
                <w:rFonts w:ascii="Times New Roman" w:eastAsia="Times New Roman" w:hAnsi="Times New Roman" w:cs="Times New Roman"/>
                <w:iCs/>
                <w:sz w:val="24"/>
                <w:szCs w:val="24"/>
                <w:lang w:eastAsia="lv-LV"/>
              </w:rPr>
              <w:t xml:space="preserve"> </w:t>
            </w:r>
            <w:r w:rsidRPr="002037EB">
              <w:rPr>
                <w:rFonts w:ascii="Times New Roman" w:eastAsia="Times New Roman" w:hAnsi="Times New Roman" w:cs="Times New Roman"/>
                <w:iCs/>
                <w:sz w:val="24"/>
                <w:szCs w:val="24"/>
                <w:lang w:eastAsia="lv-LV"/>
              </w:rPr>
              <w:t>tiks precizēts un pilnveidots Latvijas klimata politikas juridiskais ietvars, kā arī iestrādāt</w:t>
            </w:r>
            <w:r w:rsidR="00EB3F59">
              <w:rPr>
                <w:rFonts w:ascii="Times New Roman" w:eastAsia="Times New Roman" w:hAnsi="Times New Roman" w:cs="Times New Roman"/>
                <w:iCs/>
                <w:sz w:val="24"/>
                <w:szCs w:val="24"/>
                <w:lang w:eastAsia="lv-LV"/>
              </w:rPr>
              <w:t>s</w:t>
            </w:r>
            <w:r w:rsidRPr="002037EB">
              <w:rPr>
                <w:rFonts w:ascii="Times New Roman" w:eastAsia="Times New Roman" w:hAnsi="Times New Roman" w:cs="Times New Roman"/>
                <w:iCs/>
                <w:sz w:val="24"/>
                <w:szCs w:val="24"/>
                <w:lang w:eastAsia="lv-LV"/>
              </w:rPr>
              <w:t xml:space="preserve"> </w:t>
            </w:r>
            <w:r w:rsidR="00EB3F59">
              <w:rPr>
                <w:rFonts w:ascii="Times New Roman" w:eastAsia="Times New Roman" w:hAnsi="Times New Roman" w:cs="Times New Roman"/>
                <w:iCs/>
                <w:sz w:val="24"/>
                <w:szCs w:val="24"/>
                <w:lang w:eastAsia="lv-LV"/>
              </w:rPr>
              <w:t xml:space="preserve">šobrīd spēkā esošā </w:t>
            </w:r>
            <w:r w:rsidRPr="002037EB">
              <w:rPr>
                <w:rFonts w:ascii="Times New Roman" w:eastAsia="Times New Roman" w:hAnsi="Times New Roman" w:cs="Times New Roman"/>
                <w:iCs/>
                <w:sz w:val="24"/>
                <w:szCs w:val="24"/>
                <w:lang w:eastAsia="lv-LV"/>
              </w:rPr>
              <w:t xml:space="preserve">likuma “Par piesārņojumu” </w:t>
            </w:r>
            <w:r w:rsidR="00EB3F59">
              <w:rPr>
                <w:rFonts w:ascii="Times New Roman" w:eastAsia="Times New Roman" w:hAnsi="Times New Roman" w:cs="Times New Roman"/>
                <w:iCs/>
                <w:sz w:val="24"/>
                <w:szCs w:val="24"/>
                <w:lang w:eastAsia="lv-LV"/>
              </w:rPr>
              <w:t>regul</w:t>
            </w:r>
            <w:r w:rsidR="00946BEC">
              <w:rPr>
                <w:rFonts w:ascii="Times New Roman" w:eastAsia="Times New Roman" w:hAnsi="Times New Roman" w:cs="Times New Roman"/>
                <w:iCs/>
                <w:sz w:val="24"/>
                <w:szCs w:val="24"/>
                <w:lang w:eastAsia="lv-LV"/>
              </w:rPr>
              <w:t>ē</w:t>
            </w:r>
            <w:r w:rsidR="00EB3F59">
              <w:rPr>
                <w:rFonts w:ascii="Times New Roman" w:eastAsia="Times New Roman" w:hAnsi="Times New Roman" w:cs="Times New Roman"/>
                <w:iCs/>
                <w:sz w:val="24"/>
                <w:szCs w:val="24"/>
                <w:lang w:eastAsia="lv-LV"/>
              </w:rPr>
              <w:t>jums</w:t>
            </w:r>
            <w:r w:rsidRPr="002037EB">
              <w:rPr>
                <w:rFonts w:ascii="Times New Roman" w:eastAsia="Times New Roman" w:hAnsi="Times New Roman" w:cs="Times New Roman"/>
                <w:iCs/>
                <w:sz w:val="24"/>
                <w:szCs w:val="24"/>
                <w:lang w:eastAsia="lv-LV"/>
              </w:rPr>
              <w:t xml:space="preserve">, kas attiecas uz siltumnīcefekta gāzu emisiju samazināšanu, t.sk. ES ETS sistēmas darbību. </w:t>
            </w:r>
          </w:p>
        </w:tc>
      </w:tr>
      <w:tr w:rsidR="002037EB" w:rsidRPr="002037EB" w14:paraId="423C6A9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3C6A8F" w14:textId="77777777" w:rsidR="00655F2C" w:rsidRPr="002037EB" w:rsidRDefault="00E5323B" w:rsidP="00E5323B">
            <w:pPr>
              <w:spacing w:after="0" w:line="240" w:lineRule="auto"/>
              <w:rPr>
                <w:rFonts w:ascii="Times New Roman" w:eastAsia="Times New Roman" w:hAnsi="Times New Roman" w:cs="Times New Roman"/>
                <w:iCs/>
                <w:sz w:val="24"/>
                <w:szCs w:val="24"/>
                <w:lang w:eastAsia="lv-LV"/>
              </w:rPr>
            </w:pPr>
            <w:r w:rsidRPr="002037EB">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23C6A90" w14:textId="77777777" w:rsidR="00E5323B" w:rsidRPr="002037EB" w:rsidRDefault="00E5323B" w:rsidP="00E5323B">
            <w:pPr>
              <w:spacing w:after="0" w:line="240" w:lineRule="auto"/>
              <w:rPr>
                <w:rFonts w:ascii="Times New Roman" w:eastAsia="Times New Roman" w:hAnsi="Times New Roman" w:cs="Times New Roman"/>
                <w:iCs/>
                <w:sz w:val="24"/>
                <w:szCs w:val="24"/>
                <w:lang w:eastAsia="lv-LV"/>
              </w:rPr>
            </w:pPr>
            <w:r w:rsidRPr="002037EB">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423C6A91" w14:textId="7D773693" w:rsidR="00E5323B" w:rsidRPr="002037EB" w:rsidRDefault="00D76B95" w:rsidP="00E5323B">
            <w:pPr>
              <w:spacing w:after="0" w:line="240" w:lineRule="auto"/>
              <w:rPr>
                <w:rFonts w:ascii="Times New Roman" w:eastAsia="Times New Roman" w:hAnsi="Times New Roman" w:cs="Times New Roman"/>
                <w:iCs/>
                <w:sz w:val="24"/>
                <w:szCs w:val="24"/>
                <w:lang w:eastAsia="lv-LV"/>
              </w:rPr>
            </w:pPr>
            <w:r w:rsidRPr="002037EB">
              <w:rPr>
                <w:rFonts w:ascii="Times New Roman" w:eastAsia="Times New Roman" w:hAnsi="Times New Roman" w:cs="Times New Roman"/>
                <w:iCs/>
                <w:sz w:val="24"/>
                <w:szCs w:val="24"/>
                <w:lang w:eastAsia="lv-LV"/>
              </w:rPr>
              <w:t>VARAM</w:t>
            </w:r>
            <w:r w:rsidR="006B1965" w:rsidRPr="002037EB">
              <w:rPr>
                <w:rFonts w:ascii="Times New Roman" w:eastAsia="Times New Roman" w:hAnsi="Times New Roman" w:cs="Times New Roman"/>
                <w:iCs/>
                <w:sz w:val="24"/>
                <w:szCs w:val="24"/>
                <w:lang w:eastAsia="lv-LV"/>
              </w:rPr>
              <w:t>, VVD</w:t>
            </w:r>
          </w:p>
        </w:tc>
      </w:tr>
      <w:tr w:rsidR="002037EB" w:rsidRPr="002037EB" w14:paraId="423C6A9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3C6A93" w14:textId="77777777" w:rsidR="00655F2C" w:rsidRPr="002037EB" w:rsidRDefault="00E5323B" w:rsidP="00E5323B">
            <w:pPr>
              <w:spacing w:after="0" w:line="240" w:lineRule="auto"/>
              <w:rPr>
                <w:rFonts w:ascii="Times New Roman" w:eastAsia="Times New Roman" w:hAnsi="Times New Roman" w:cs="Times New Roman"/>
                <w:iCs/>
                <w:sz w:val="24"/>
                <w:szCs w:val="24"/>
                <w:lang w:eastAsia="lv-LV"/>
              </w:rPr>
            </w:pPr>
            <w:r w:rsidRPr="002037EB">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23C6A94" w14:textId="77777777" w:rsidR="00E5323B" w:rsidRPr="002037EB" w:rsidRDefault="00E5323B" w:rsidP="00E5323B">
            <w:pPr>
              <w:spacing w:after="0" w:line="240" w:lineRule="auto"/>
              <w:rPr>
                <w:rFonts w:ascii="Times New Roman" w:eastAsia="Times New Roman" w:hAnsi="Times New Roman" w:cs="Times New Roman"/>
                <w:iCs/>
                <w:sz w:val="24"/>
                <w:szCs w:val="24"/>
                <w:lang w:eastAsia="lv-LV"/>
              </w:rPr>
            </w:pPr>
            <w:r w:rsidRPr="002037E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23C6A95" w14:textId="0EE7EF4A" w:rsidR="00E5323B" w:rsidRPr="002037EB" w:rsidRDefault="008A419E" w:rsidP="00E5323B">
            <w:pPr>
              <w:spacing w:after="0" w:line="240" w:lineRule="auto"/>
              <w:rPr>
                <w:rFonts w:ascii="Times New Roman" w:eastAsia="Times New Roman" w:hAnsi="Times New Roman" w:cs="Times New Roman"/>
                <w:iCs/>
                <w:sz w:val="24"/>
                <w:szCs w:val="24"/>
                <w:lang w:eastAsia="lv-LV"/>
              </w:rPr>
            </w:pPr>
            <w:r w:rsidRPr="002037EB">
              <w:rPr>
                <w:rFonts w:ascii="Times New Roman" w:eastAsia="Times New Roman" w:hAnsi="Times New Roman" w:cs="Times New Roman"/>
                <w:iCs/>
                <w:sz w:val="24"/>
                <w:szCs w:val="24"/>
                <w:lang w:eastAsia="lv-LV"/>
              </w:rPr>
              <w:t>Nav</w:t>
            </w:r>
          </w:p>
        </w:tc>
      </w:tr>
    </w:tbl>
    <w:p w14:paraId="423C6A97" w14:textId="77777777" w:rsidR="00E5323B" w:rsidRPr="00DA6709" w:rsidRDefault="00E5323B" w:rsidP="00E5323B">
      <w:pPr>
        <w:spacing w:after="0" w:line="240" w:lineRule="auto"/>
        <w:rPr>
          <w:rFonts w:ascii="Times New Roman" w:eastAsia="Times New Roman" w:hAnsi="Times New Roman" w:cs="Times New Roman"/>
          <w:iCs/>
          <w:color w:val="414142"/>
          <w:sz w:val="24"/>
          <w:szCs w:val="24"/>
          <w:lang w:eastAsia="lv-LV"/>
        </w:rPr>
      </w:pPr>
      <w:r w:rsidRPr="00DA6709">
        <w:rPr>
          <w:rFonts w:ascii="Times New Roman" w:eastAsia="Times New Roman" w:hAnsi="Times New Roman" w:cs="Times New Roman"/>
          <w:iCs/>
          <w:color w:val="414142"/>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06355" w:rsidRPr="00E06355" w14:paraId="423C6A9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23C6A98" w14:textId="77777777" w:rsidR="00655F2C" w:rsidRPr="00E06355" w:rsidRDefault="00E5323B" w:rsidP="00E5323B">
            <w:pPr>
              <w:spacing w:after="0" w:line="240" w:lineRule="auto"/>
              <w:rPr>
                <w:rFonts w:ascii="Times New Roman" w:eastAsia="Times New Roman" w:hAnsi="Times New Roman" w:cs="Times New Roman"/>
                <w:b/>
                <w:bCs/>
                <w:iCs/>
                <w:sz w:val="24"/>
                <w:szCs w:val="24"/>
                <w:lang w:eastAsia="lv-LV"/>
              </w:rPr>
            </w:pPr>
            <w:r w:rsidRPr="00E06355">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E06355" w:rsidRPr="00E06355" w14:paraId="423C6A9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3C6A9A" w14:textId="77777777" w:rsidR="00655F2C" w:rsidRPr="00E06355" w:rsidRDefault="00E5323B" w:rsidP="00E5323B">
            <w:pPr>
              <w:spacing w:after="0" w:line="240" w:lineRule="auto"/>
              <w:rPr>
                <w:rFonts w:ascii="Times New Roman" w:eastAsia="Times New Roman" w:hAnsi="Times New Roman" w:cs="Times New Roman"/>
                <w:iCs/>
                <w:sz w:val="24"/>
                <w:szCs w:val="24"/>
                <w:lang w:eastAsia="lv-LV"/>
              </w:rPr>
            </w:pPr>
            <w:r w:rsidRPr="00E0635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23C6A9B" w14:textId="77777777" w:rsidR="00E5323B" w:rsidRPr="00E06355" w:rsidRDefault="00E5323B" w:rsidP="00E5323B">
            <w:pPr>
              <w:spacing w:after="0" w:line="240" w:lineRule="auto"/>
              <w:rPr>
                <w:rFonts w:ascii="Times New Roman" w:eastAsia="Times New Roman" w:hAnsi="Times New Roman" w:cs="Times New Roman"/>
                <w:iCs/>
                <w:sz w:val="24"/>
                <w:szCs w:val="24"/>
                <w:lang w:eastAsia="lv-LV"/>
              </w:rPr>
            </w:pPr>
            <w:r w:rsidRPr="00E06355">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57AAEA7A" w14:textId="07F501A7" w:rsidR="00C62590" w:rsidRDefault="00B13E4F">
            <w:pPr>
              <w:spacing w:after="0" w:line="240" w:lineRule="auto"/>
              <w:jc w:val="both"/>
              <w:rPr>
                <w:rFonts w:ascii="Times New Roman" w:eastAsia="Times New Roman" w:hAnsi="Times New Roman" w:cs="Times New Roman"/>
                <w:iCs/>
                <w:sz w:val="24"/>
                <w:szCs w:val="24"/>
                <w:lang w:eastAsia="lv-LV"/>
              </w:rPr>
            </w:pPr>
            <w:r w:rsidRPr="00E06355">
              <w:rPr>
                <w:rFonts w:ascii="Times New Roman" w:eastAsia="Times New Roman" w:hAnsi="Times New Roman" w:cs="Times New Roman"/>
                <w:iCs/>
                <w:sz w:val="24"/>
                <w:szCs w:val="24"/>
                <w:lang w:eastAsia="lv-LV"/>
              </w:rPr>
              <w:t xml:space="preserve">Eiropas Komisijas 2018. gada 19. decembra </w:t>
            </w:r>
            <w:r w:rsidR="00180735">
              <w:rPr>
                <w:rFonts w:ascii="Times New Roman" w:eastAsia="Times New Roman" w:hAnsi="Times New Roman" w:cs="Times New Roman"/>
                <w:iCs/>
                <w:sz w:val="24"/>
                <w:szCs w:val="24"/>
                <w:lang w:eastAsia="lv-LV"/>
              </w:rPr>
              <w:t>D</w:t>
            </w:r>
            <w:r w:rsidRPr="00E06355">
              <w:rPr>
                <w:rFonts w:ascii="Times New Roman" w:eastAsia="Times New Roman" w:hAnsi="Times New Roman" w:cs="Times New Roman"/>
                <w:iCs/>
                <w:sz w:val="24"/>
                <w:szCs w:val="24"/>
                <w:lang w:eastAsia="lv-LV"/>
              </w:rPr>
              <w:t xml:space="preserve">eleģētā regula 2019/331, </w:t>
            </w:r>
            <w:r w:rsidR="00C62590" w:rsidRPr="00E06355">
              <w:rPr>
                <w:rFonts w:ascii="Times New Roman" w:eastAsia="Times New Roman" w:hAnsi="Times New Roman" w:cs="Times New Roman"/>
                <w:iCs/>
                <w:sz w:val="24"/>
                <w:szCs w:val="24"/>
                <w:lang w:eastAsia="lv-LV"/>
              </w:rPr>
              <w:t>ar ko nosaka Savienības mēroga pārejas noteikumus saskaņotai bezmaksas emisijas kvotu iedalei saskaņā ar Eiropas Parlamenta un Padomes Direktīvas 2003/87/EK 10.a pantu</w:t>
            </w:r>
            <w:r w:rsidR="005A395C">
              <w:rPr>
                <w:rFonts w:ascii="Times New Roman" w:eastAsia="Times New Roman" w:hAnsi="Times New Roman" w:cs="Times New Roman"/>
                <w:iCs/>
                <w:sz w:val="24"/>
                <w:szCs w:val="24"/>
                <w:lang w:eastAsia="lv-LV"/>
              </w:rPr>
              <w:t xml:space="preserve"> (turpmāk – regula Nr. 2019/331).</w:t>
            </w:r>
          </w:p>
          <w:p w14:paraId="453BA4B4" w14:textId="77777777" w:rsidR="00E06355" w:rsidRPr="00E06355" w:rsidRDefault="00E06355">
            <w:pPr>
              <w:spacing w:after="0" w:line="240" w:lineRule="auto"/>
              <w:jc w:val="both"/>
              <w:rPr>
                <w:rFonts w:ascii="Times New Roman" w:eastAsia="Times New Roman" w:hAnsi="Times New Roman" w:cs="Times New Roman"/>
                <w:iCs/>
                <w:sz w:val="24"/>
                <w:szCs w:val="24"/>
                <w:lang w:eastAsia="lv-LV"/>
              </w:rPr>
            </w:pPr>
          </w:p>
          <w:p w14:paraId="2A67B42F" w14:textId="5DB0EE65" w:rsidR="00E06355" w:rsidRDefault="00C62590" w:rsidP="0064335B">
            <w:pPr>
              <w:spacing w:after="0" w:line="240" w:lineRule="auto"/>
              <w:jc w:val="both"/>
              <w:rPr>
                <w:rFonts w:ascii="Times New Roman" w:eastAsia="Times New Roman" w:hAnsi="Times New Roman" w:cs="Times New Roman"/>
                <w:iCs/>
                <w:sz w:val="24"/>
                <w:szCs w:val="24"/>
                <w:lang w:eastAsia="lv-LV"/>
              </w:rPr>
            </w:pPr>
            <w:r w:rsidRPr="00E06355">
              <w:rPr>
                <w:rFonts w:ascii="Times New Roman" w:eastAsia="Times New Roman" w:hAnsi="Times New Roman" w:cs="Times New Roman"/>
                <w:iCs/>
                <w:sz w:val="24"/>
                <w:szCs w:val="24"/>
                <w:lang w:eastAsia="lv-LV"/>
              </w:rPr>
              <w:t>Eiropas Komisijas 2019. gada 31. oktobra</w:t>
            </w:r>
            <w:r w:rsidR="009871ED" w:rsidRPr="00E06355">
              <w:rPr>
                <w:rFonts w:ascii="Times New Roman" w:eastAsia="Times New Roman" w:hAnsi="Times New Roman" w:cs="Times New Roman"/>
                <w:iCs/>
                <w:sz w:val="24"/>
                <w:szCs w:val="24"/>
                <w:lang w:eastAsia="lv-LV"/>
              </w:rPr>
              <w:t xml:space="preserve"> </w:t>
            </w:r>
            <w:r w:rsidR="00180735">
              <w:rPr>
                <w:rFonts w:ascii="Times New Roman" w:eastAsia="Times New Roman" w:hAnsi="Times New Roman" w:cs="Times New Roman"/>
                <w:iCs/>
                <w:sz w:val="24"/>
                <w:szCs w:val="24"/>
                <w:lang w:eastAsia="lv-LV"/>
              </w:rPr>
              <w:t>Ī</w:t>
            </w:r>
            <w:r w:rsidR="009871ED" w:rsidRPr="00E06355">
              <w:rPr>
                <w:rFonts w:ascii="Times New Roman" w:eastAsia="Times New Roman" w:hAnsi="Times New Roman" w:cs="Times New Roman"/>
                <w:iCs/>
                <w:sz w:val="24"/>
                <w:szCs w:val="24"/>
                <w:lang w:eastAsia="lv-LV"/>
              </w:rPr>
              <w:t xml:space="preserve">stenošanas regula 2019/1842, </w:t>
            </w:r>
            <w:r w:rsidR="00650C88" w:rsidRPr="00E06355">
              <w:rPr>
                <w:rFonts w:ascii="Times New Roman" w:eastAsia="Times New Roman" w:hAnsi="Times New Roman" w:cs="Times New Roman"/>
                <w:iCs/>
                <w:sz w:val="24"/>
                <w:szCs w:val="24"/>
                <w:lang w:eastAsia="lv-LV"/>
              </w:rPr>
              <w:t>ar ko nosaka noteikumus Eiropas Parlamenta un Padomes Direktīvas 2003/87/EK piemērošanai attiecībā uz sīkāku kārtību, kā izdarāmi bezmaksas emisijas kvotu iedales pielāgojumi sak</w:t>
            </w:r>
            <w:r w:rsidR="00E06355" w:rsidRPr="00E06355">
              <w:rPr>
                <w:rFonts w:ascii="Times New Roman" w:eastAsia="Times New Roman" w:hAnsi="Times New Roman" w:cs="Times New Roman"/>
                <w:iCs/>
                <w:sz w:val="24"/>
                <w:szCs w:val="24"/>
                <w:lang w:eastAsia="lv-LV"/>
              </w:rPr>
              <w:t>arā ar darbības līmeņa izmaiņām</w:t>
            </w:r>
            <w:r w:rsidR="005A395C">
              <w:rPr>
                <w:rFonts w:ascii="Times New Roman" w:eastAsia="Times New Roman" w:hAnsi="Times New Roman" w:cs="Times New Roman"/>
                <w:iCs/>
                <w:sz w:val="24"/>
                <w:szCs w:val="24"/>
                <w:lang w:eastAsia="lv-LV"/>
              </w:rPr>
              <w:t xml:space="preserve"> (turpmāk – regula Nr. 2019/1842)</w:t>
            </w:r>
            <w:r w:rsidR="00E06355" w:rsidRPr="00E06355">
              <w:rPr>
                <w:rFonts w:ascii="Times New Roman" w:eastAsia="Times New Roman" w:hAnsi="Times New Roman" w:cs="Times New Roman"/>
                <w:iCs/>
                <w:sz w:val="24"/>
                <w:szCs w:val="24"/>
                <w:lang w:eastAsia="lv-LV"/>
              </w:rPr>
              <w:t>.</w:t>
            </w:r>
          </w:p>
          <w:p w14:paraId="1C2A5D7E" w14:textId="77777777" w:rsidR="00E06355" w:rsidRPr="00E06355" w:rsidRDefault="00E06355" w:rsidP="0064335B">
            <w:pPr>
              <w:spacing w:after="0" w:line="240" w:lineRule="auto"/>
              <w:jc w:val="both"/>
              <w:rPr>
                <w:rFonts w:ascii="Times New Roman" w:eastAsia="Times New Roman" w:hAnsi="Times New Roman" w:cs="Times New Roman"/>
                <w:iCs/>
                <w:sz w:val="24"/>
                <w:szCs w:val="24"/>
                <w:lang w:eastAsia="lv-LV"/>
              </w:rPr>
            </w:pPr>
          </w:p>
          <w:p w14:paraId="1D4E8597" w14:textId="18EF982B" w:rsidR="00E06355" w:rsidRDefault="00E06355" w:rsidP="0064335B">
            <w:pPr>
              <w:spacing w:after="0" w:line="240" w:lineRule="auto"/>
              <w:jc w:val="both"/>
              <w:rPr>
                <w:rFonts w:ascii="Times New Roman" w:hAnsi="Times New Roman"/>
                <w:sz w:val="24"/>
                <w:szCs w:val="24"/>
              </w:rPr>
            </w:pPr>
            <w:r w:rsidRPr="00E06355">
              <w:rPr>
                <w:rFonts w:ascii="Times New Roman" w:hAnsi="Times New Roman"/>
                <w:sz w:val="24"/>
                <w:szCs w:val="24"/>
              </w:rPr>
              <w:t>Eiropas Komisijas 2018. gada 19. decembra Īstenošanas regula Nr. 2018/2067 par datu verifikāciju un verificētāju akreditāciju saskaņā ar Eiropas Parlamenta un Padomes Direktīvu 2003/87/EK</w:t>
            </w:r>
            <w:r w:rsidR="005A395C">
              <w:rPr>
                <w:rFonts w:ascii="Times New Roman" w:hAnsi="Times New Roman"/>
                <w:sz w:val="24"/>
                <w:szCs w:val="24"/>
              </w:rPr>
              <w:t xml:space="preserve"> (turpmāk – regula Nr. 2018/2067)</w:t>
            </w:r>
            <w:r w:rsidRPr="00E06355">
              <w:rPr>
                <w:rFonts w:ascii="Times New Roman" w:hAnsi="Times New Roman"/>
                <w:sz w:val="24"/>
                <w:szCs w:val="24"/>
              </w:rPr>
              <w:t>.</w:t>
            </w:r>
          </w:p>
          <w:p w14:paraId="205164EC" w14:textId="77777777" w:rsidR="00E06355" w:rsidRPr="00E06355" w:rsidRDefault="00E06355" w:rsidP="0064335B">
            <w:pPr>
              <w:spacing w:after="0" w:line="240" w:lineRule="auto"/>
              <w:jc w:val="both"/>
              <w:rPr>
                <w:rFonts w:ascii="Times New Roman" w:hAnsi="Times New Roman"/>
                <w:sz w:val="24"/>
                <w:szCs w:val="24"/>
              </w:rPr>
            </w:pPr>
          </w:p>
          <w:p w14:paraId="1D9EB7BB" w14:textId="77777777" w:rsidR="00E06355" w:rsidRDefault="00E06355" w:rsidP="0064335B">
            <w:pPr>
              <w:spacing w:after="0" w:line="240" w:lineRule="auto"/>
              <w:jc w:val="both"/>
              <w:rPr>
                <w:rFonts w:ascii="Times New Roman" w:hAnsi="Times New Roman"/>
                <w:sz w:val="24"/>
                <w:szCs w:val="24"/>
              </w:rPr>
            </w:pPr>
            <w:r w:rsidRPr="00E06355">
              <w:rPr>
                <w:rFonts w:ascii="Times New Roman" w:eastAsia="Times New Roman" w:hAnsi="Times New Roman" w:cs="Times New Roman"/>
                <w:iCs/>
                <w:sz w:val="24"/>
                <w:szCs w:val="24"/>
                <w:lang w:eastAsia="lv-LV"/>
              </w:rPr>
              <w:t xml:space="preserve">Eiropas Komisijas 2018. gada 19. decembra </w:t>
            </w:r>
            <w:r w:rsidR="00180735">
              <w:rPr>
                <w:rFonts w:ascii="Times New Roman" w:eastAsia="Times New Roman" w:hAnsi="Times New Roman" w:cs="Times New Roman"/>
                <w:iCs/>
                <w:sz w:val="24"/>
                <w:szCs w:val="24"/>
                <w:lang w:eastAsia="lv-LV"/>
              </w:rPr>
              <w:t>Ī</w:t>
            </w:r>
            <w:r w:rsidRPr="00E06355">
              <w:rPr>
                <w:rFonts w:ascii="Times New Roman" w:eastAsia="Times New Roman" w:hAnsi="Times New Roman" w:cs="Times New Roman"/>
                <w:iCs/>
                <w:sz w:val="24"/>
                <w:szCs w:val="24"/>
                <w:lang w:eastAsia="lv-LV"/>
              </w:rPr>
              <w:t xml:space="preserve">stenošanas regula Nr. 2018/2066 </w:t>
            </w:r>
            <w:r w:rsidRPr="00E06355">
              <w:rPr>
                <w:rFonts w:ascii="Times New Roman" w:hAnsi="Times New Roman"/>
                <w:sz w:val="24"/>
                <w:szCs w:val="24"/>
              </w:rPr>
              <w:t>par siltumnīcefekta gāzu emisiju monitoringu un ziņošanu saskaņā ar Eiropas Parlamenta un Padomes Direktīvu 2003/87/EK un ar ko groza Komisijas Regulu (ES) Nr. 601/2012</w:t>
            </w:r>
            <w:r w:rsidR="005A395C">
              <w:rPr>
                <w:rFonts w:ascii="Times New Roman" w:hAnsi="Times New Roman"/>
                <w:sz w:val="24"/>
                <w:szCs w:val="24"/>
              </w:rPr>
              <w:t xml:space="preserve"> (turpmāk – regula Nr. 2018/2066)</w:t>
            </w:r>
            <w:r w:rsidRPr="00E06355">
              <w:rPr>
                <w:rFonts w:ascii="Times New Roman" w:hAnsi="Times New Roman"/>
                <w:sz w:val="24"/>
                <w:szCs w:val="24"/>
              </w:rPr>
              <w:t>.</w:t>
            </w:r>
          </w:p>
          <w:p w14:paraId="7D4B73E9" w14:textId="77777777" w:rsidR="001E0096" w:rsidRDefault="001E0096" w:rsidP="0064335B">
            <w:pPr>
              <w:spacing w:after="0" w:line="240" w:lineRule="auto"/>
              <w:jc w:val="both"/>
              <w:rPr>
                <w:rFonts w:ascii="Times New Roman" w:eastAsia="Times New Roman" w:hAnsi="Times New Roman" w:cs="Times New Roman"/>
                <w:iCs/>
                <w:sz w:val="24"/>
                <w:szCs w:val="24"/>
                <w:lang w:eastAsia="lv-LV"/>
              </w:rPr>
            </w:pPr>
          </w:p>
          <w:p w14:paraId="4ADDCB9B" w14:textId="10D87991" w:rsidR="00BA3973" w:rsidRDefault="001E0096" w:rsidP="0064335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Eiropas Komisijas 2020. gada 14. decembra </w:t>
            </w:r>
            <w:r w:rsidR="00515A42">
              <w:rPr>
                <w:rFonts w:ascii="Times New Roman" w:eastAsia="Times New Roman" w:hAnsi="Times New Roman" w:cs="Times New Roman"/>
                <w:iCs/>
                <w:sz w:val="24"/>
                <w:szCs w:val="24"/>
                <w:lang w:eastAsia="lv-LV"/>
              </w:rPr>
              <w:t xml:space="preserve">Īstenošanas regula </w:t>
            </w:r>
            <w:r w:rsidR="00BA3973">
              <w:rPr>
                <w:rFonts w:ascii="Times New Roman" w:eastAsia="Times New Roman" w:hAnsi="Times New Roman" w:cs="Times New Roman"/>
                <w:iCs/>
                <w:sz w:val="24"/>
                <w:szCs w:val="24"/>
                <w:lang w:eastAsia="lv-LV"/>
              </w:rPr>
              <w:t>2020/2084</w:t>
            </w:r>
            <w:r w:rsidR="00BA3973" w:rsidRPr="00BA3973">
              <w:rPr>
                <w:rFonts w:ascii="Times New Roman" w:eastAsia="Times New Roman" w:hAnsi="Times New Roman" w:cs="Times New Roman"/>
                <w:iCs/>
                <w:sz w:val="24"/>
                <w:szCs w:val="24"/>
                <w:lang w:eastAsia="lv-LV"/>
              </w:rPr>
              <w:t>, ar ko groza un labo Īstenošanas regulu (ES) 2018/2067 par datu verifikāciju un verificētāju akreditāciju saskaņā ar Eiropas Parlamenta un Padomes Direktīvu 2003/87/EK</w:t>
            </w:r>
            <w:r w:rsidR="00D13A36">
              <w:rPr>
                <w:rFonts w:ascii="Times New Roman" w:eastAsia="Times New Roman" w:hAnsi="Times New Roman" w:cs="Times New Roman"/>
                <w:iCs/>
                <w:sz w:val="24"/>
                <w:szCs w:val="24"/>
                <w:lang w:eastAsia="lv-LV"/>
              </w:rPr>
              <w:t xml:space="preserve"> (turpmāk – regula Nr. 2020/20854.</w:t>
            </w:r>
          </w:p>
          <w:p w14:paraId="4E572868" w14:textId="77777777" w:rsidR="00BA3973" w:rsidRPr="00BA3973" w:rsidRDefault="00BA3973" w:rsidP="0064335B">
            <w:pPr>
              <w:spacing w:after="0" w:line="240" w:lineRule="auto"/>
              <w:jc w:val="both"/>
              <w:rPr>
                <w:rFonts w:ascii="Times New Roman" w:hAnsi="Times New Roman" w:cs="Times New Roman"/>
                <w:sz w:val="24"/>
                <w:szCs w:val="24"/>
              </w:rPr>
            </w:pPr>
          </w:p>
          <w:p w14:paraId="423C6A9C" w14:textId="7031C73E" w:rsidR="00BA3973" w:rsidRPr="00BA3973" w:rsidRDefault="00BA3973" w:rsidP="0064335B">
            <w:pPr>
              <w:spacing w:after="0" w:line="240" w:lineRule="auto"/>
              <w:jc w:val="both"/>
              <w:rPr>
                <w:rFonts w:ascii="Times New Roman" w:eastAsia="Times New Roman" w:hAnsi="Times New Roman" w:cs="Times New Roman"/>
                <w:iCs/>
                <w:sz w:val="24"/>
                <w:szCs w:val="24"/>
                <w:lang w:eastAsia="lv-LV"/>
              </w:rPr>
            </w:pPr>
            <w:r w:rsidRPr="00BA3973">
              <w:rPr>
                <w:rFonts w:ascii="Times New Roman" w:hAnsi="Times New Roman" w:cs="Times New Roman"/>
                <w:sz w:val="24"/>
                <w:szCs w:val="24"/>
              </w:rPr>
              <w:t>Eiro</w:t>
            </w:r>
            <w:r>
              <w:rPr>
                <w:rFonts w:ascii="Times New Roman" w:hAnsi="Times New Roman" w:cs="Times New Roman"/>
                <w:sz w:val="24"/>
                <w:szCs w:val="24"/>
              </w:rPr>
              <w:t>pas Komisijas 2020. gada 14. decembra Īstenošanas regula 2020/2085</w:t>
            </w:r>
            <w:r w:rsidR="00D13A36" w:rsidRPr="00D13A36">
              <w:rPr>
                <w:rFonts w:ascii="Times New Roman" w:hAnsi="Times New Roman" w:cs="Times New Roman"/>
                <w:sz w:val="24"/>
                <w:szCs w:val="24"/>
              </w:rPr>
              <w:t>, ar ko groza un labo Īstenošanas regulu (ES) 2018/2066 par siltumnīcefekta gāzu emisiju monitoringu un ziņošanu saskaņā ar Eiropas Parlamenta un Padomes Direktīvu 2003/87/EK</w:t>
            </w:r>
            <w:r w:rsidR="00D13A36">
              <w:rPr>
                <w:rFonts w:ascii="Times New Roman" w:hAnsi="Times New Roman" w:cs="Times New Roman"/>
                <w:sz w:val="24"/>
                <w:szCs w:val="24"/>
              </w:rPr>
              <w:t xml:space="preserve"> </w:t>
            </w:r>
            <w:r w:rsidR="00D13A36">
              <w:rPr>
                <w:rFonts w:ascii="Times New Roman" w:eastAsia="Times New Roman" w:hAnsi="Times New Roman" w:cs="Times New Roman"/>
                <w:iCs/>
                <w:sz w:val="24"/>
                <w:szCs w:val="24"/>
                <w:lang w:eastAsia="lv-LV"/>
              </w:rPr>
              <w:t>(turpmāk – regula Nr. 2020/2085).</w:t>
            </w:r>
          </w:p>
        </w:tc>
      </w:tr>
      <w:tr w:rsidR="00E06355" w:rsidRPr="00E06355" w14:paraId="423C6AA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3C6A9E" w14:textId="6867A6D4" w:rsidR="00655F2C" w:rsidRPr="00E06355" w:rsidRDefault="00E5323B" w:rsidP="00E5323B">
            <w:pPr>
              <w:spacing w:after="0" w:line="240" w:lineRule="auto"/>
              <w:rPr>
                <w:rFonts w:ascii="Times New Roman" w:eastAsia="Times New Roman" w:hAnsi="Times New Roman" w:cs="Times New Roman"/>
                <w:iCs/>
                <w:sz w:val="24"/>
                <w:szCs w:val="24"/>
                <w:lang w:eastAsia="lv-LV"/>
              </w:rPr>
            </w:pPr>
            <w:r w:rsidRPr="00E06355">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23C6A9F" w14:textId="77777777" w:rsidR="00E5323B" w:rsidRPr="00E06355" w:rsidRDefault="00E5323B" w:rsidP="00E5323B">
            <w:pPr>
              <w:spacing w:after="0" w:line="240" w:lineRule="auto"/>
              <w:rPr>
                <w:rFonts w:ascii="Times New Roman" w:eastAsia="Times New Roman" w:hAnsi="Times New Roman" w:cs="Times New Roman"/>
                <w:iCs/>
                <w:sz w:val="24"/>
                <w:szCs w:val="24"/>
                <w:lang w:eastAsia="lv-LV"/>
              </w:rPr>
            </w:pPr>
            <w:r w:rsidRPr="00E06355">
              <w:rPr>
                <w:rFonts w:ascii="Times New Roman" w:eastAsia="Times New Roman" w:hAnsi="Times New Roman" w:cs="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423C6AA0" w14:textId="049F1CB6" w:rsidR="00E5323B" w:rsidRPr="00E06355" w:rsidRDefault="003C09A1"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w:t>
            </w:r>
            <w:r w:rsidR="00E06355" w:rsidRPr="00E06355">
              <w:rPr>
                <w:rFonts w:ascii="Times New Roman" w:eastAsia="Times New Roman" w:hAnsi="Times New Roman" w:cs="Times New Roman"/>
                <w:iCs/>
                <w:sz w:val="24"/>
                <w:szCs w:val="24"/>
                <w:lang w:eastAsia="lv-LV"/>
              </w:rPr>
              <w:t>rojekts šo jomu neskar.</w:t>
            </w:r>
          </w:p>
        </w:tc>
      </w:tr>
      <w:tr w:rsidR="00E06355" w:rsidRPr="00E06355" w14:paraId="423C6AA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3C6AA2" w14:textId="77777777" w:rsidR="00655F2C" w:rsidRPr="00E06355" w:rsidRDefault="00E5323B" w:rsidP="00E5323B">
            <w:pPr>
              <w:spacing w:after="0" w:line="240" w:lineRule="auto"/>
              <w:rPr>
                <w:rFonts w:ascii="Times New Roman" w:eastAsia="Times New Roman" w:hAnsi="Times New Roman" w:cs="Times New Roman"/>
                <w:iCs/>
                <w:sz w:val="24"/>
                <w:szCs w:val="24"/>
                <w:lang w:eastAsia="lv-LV"/>
              </w:rPr>
            </w:pPr>
            <w:r w:rsidRPr="00E06355">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23C6AA3" w14:textId="77777777" w:rsidR="00E5323B" w:rsidRPr="00E06355" w:rsidRDefault="00E5323B" w:rsidP="00E5323B">
            <w:pPr>
              <w:spacing w:after="0" w:line="240" w:lineRule="auto"/>
              <w:rPr>
                <w:rFonts w:ascii="Times New Roman" w:eastAsia="Times New Roman" w:hAnsi="Times New Roman" w:cs="Times New Roman"/>
                <w:iCs/>
                <w:sz w:val="24"/>
                <w:szCs w:val="24"/>
                <w:lang w:eastAsia="lv-LV"/>
              </w:rPr>
            </w:pPr>
            <w:r w:rsidRPr="00E0635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23C6AA4" w14:textId="54B52AE6" w:rsidR="00E5323B" w:rsidRPr="00E06355" w:rsidRDefault="00E06355" w:rsidP="00E5323B">
            <w:pPr>
              <w:spacing w:after="0" w:line="240" w:lineRule="auto"/>
              <w:rPr>
                <w:rFonts w:ascii="Times New Roman" w:eastAsia="Times New Roman" w:hAnsi="Times New Roman" w:cs="Times New Roman"/>
                <w:iCs/>
                <w:sz w:val="24"/>
                <w:szCs w:val="24"/>
                <w:lang w:eastAsia="lv-LV"/>
              </w:rPr>
            </w:pPr>
            <w:r w:rsidRPr="00E06355">
              <w:rPr>
                <w:rFonts w:ascii="Times New Roman" w:eastAsia="Times New Roman" w:hAnsi="Times New Roman" w:cs="Times New Roman"/>
                <w:iCs/>
                <w:sz w:val="24"/>
                <w:szCs w:val="24"/>
                <w:lang w:eastAsia="lv-LV"/>
              </w:rPr>
              <w:t>Nav</w:t>
            </w:r>
          </w:p>
        </w:tc>
      </w:tr>
    </w:tbl>
    <w:p w14:paraId="423C6AA6" w14:textId="77777777" w:rsidR="00E5323B" w:rsidRPr="00DA6709" w:rsidRDefault="00E5323B" w:rsidP="00E5323B">
      <w:pPr>
        <w:spacing w:after="0" w:line="240" w:lineRule="auto"/>
        <w:rPr>
          <w:rFonts w:ascii="Times New Roman" w:eastAsia="Times New Roman" w:hAnsi="Times New Roman" w:cs="Times New Roman"/>
          <w:iCs/>
          <w:color w:val="414142"/>
          <w:sz w:val="24"/>
          <w:szCs w:val="24"/>
          <w:lang w:eastAsia="lv-LV"/>
        </w:rPr>
      </w:pPr>
      <w:r w:rsidRPr="00DA6709">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91"/>
        <w:gridCol w:w="2176"/>
        <w:gridCol w:w="2237"/>
        <w:gridCol w:w="2451"/>
      </w:tblGrid>
      <w:tr w:rsidR="00E5323B" w:rsidRPr="00DA6709" w14:paraId="423C6AA8"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423C6AA7" w14:textId="77777777" w:rsidR="00655F2C" w:rsidRPr="00493DC7" w:rsidRDefault="00E5323B" w:rsidP="00E5323B">
            <w:pPr>
              <w:spacing w:after="0" w:line="240" w:lineRule="auto"/>
              <w:rPr>
                <w:rFonts w:ascii="Times New Roman" w:eastAsia="Times New Roman" w:hAnsi="Times New Roman" w:cs="Times New Roman"/>
                <w:b/>
                <w:bCs/>
                <w:iCs/>
                <w:sz w:val="24"/>
                <w:szCs w:val="24"/>
                <w:lang w:eastAsia="lv-LV"/>
              </w:rPr>
            </w:pPr>
            <w:r w:rsidRPr="00493DC7">
              <w:rPr>
                <w:rFonts w:ascii="Times New Roman" w:eastAsia="Times New Roman" w:hAnsi="Times New Roman" w:cs="Times New Roman"/>
                <w:b/>
                <w:bCs/>
                <w:iCs/>
                <w:sz w:val="24"/>
                <w:szCs w:val="24"/>
                <w:lang w:eastAsia="lv-LV"/>
              </w:rPr>
              <w:t>1. tabula</w:t>
            </w:r>
            <w:r w:rsidRPr="00493DC7">
              <w:rPr>
                <w:rFonts w:ascii="Times New Roman" w:eastAsia="Times New Roman" w:hAnsi="Times New Roman" w:cs="Times New Roman"/>
                <w:b/>
                <w:bCs/>
                <w:iCs/>
                <w:sz w:val="24"/>
                <w:szCs w:val="24"/>
                <w:lang w:eastAsia="lv-LV"/>
              </w:rPr>
              <w:br/>
              <w:t>Tiesību akta projekta atbilstība ES tiesību aktiem</w:t>
            </w:r>
          </w:p>
        </w:tc>
      </w:tr>
      <w:tr w:rsidR="00E5323B" w:rsidRPr="00DA6709" w14:paraId="423C6AAB" w14:textId="77777777" w:rsidTr="00493DC7">
        <w:trPr>
          <w:tblCellSpacing w:w="15" w:type="dxa"/>
        </w:trPr>
        <w:tc>
          <w:tcPr>
            <w:tcW w:w="1197" w:type="pct"/>
            <w:tcBorders>
              <w:top w:val="outset" w:sz="6" w:space="0" w:color="auto"/>
              <w:left w:val="outset" w:sz="6" w:space="0" w:color="auto"/>
              <w:bottom w:val="outset" w:sz="6" w:space="0" w:color="auto"/>
              <w:right w:val="outset" w:sz="6" w:space="0" w:color="auto"/>
            </w:tcBorders>
            <w:hideMark/>
          </w:tcPr>
          <w:p w14:paraId="423C6AA9" w14:textId="77777777" w:rsidR="00E5323B" w:rsidRPr="00493DC7" w:rsidRDefault="00E5323B" w:rsidP="00E5323B">
            <w:pPr>
              <w:spacing w:after="0" w:line="240" w:lineRule="auto"/>
              <w:rPr>
                <w:rFonts w:ascii="Times New Roman" w:eastAsia="Times New Roman" w:hAnsi="Times New Roman" w:cs="Times New Roman"/>
                <w:iCs/>
                <w:sz w:val="24"/>
                <w:szCs w:val="24"/>
                <w:lang w:eastAsia="lv-LV"/>
              </w:rPr>
            </w:pPr>
            <w:r w:rsidRPr="00493DC7">
              <w:rPr>
                <w:rFonts w:ascii="Times New Roman" w:eastAsia="Times New Roman" w:hAnsi="Times New Roman" w:cs="Times New Roman"/>
                <w:iCs/>
                <w:sz w:val="24"/>
                <w:szCs w:val="24"/>
                <w:lang w:eastAsia="lv-LV"/>
              </w:rPr>
              <w:lastRenderedPageBreak/>
              <w:t>Attiecīgā ES tiesību akta datums, numurs un nosaukums</w:t>
            </w:r>
          </w:p>
        </w:tc>
        <w:tc>
          <w:tcPr>
            <w:tcW w:w="3754" w:type="pct"/>
            <w:gridSpan w:val="3"/>
            <w:tcBorders>
              <w:top w:val="outset" w:sz="6" w:space="0" w:color="auto"/>
              <w:left w:val="outset" w:sz="6" w:space="0" w:color="auto"/>
              <w:bottom w:val="outset" w:sz="6" w:space="0" w:color="auto"/>
              <w:right w:val="outset" w:sz="6" w:space="0" w:color="auto"/>
            </w:tcBorders>
            <w:hideMark/>
          </w:tcPr>
          <w:p w14:paraId="423C6AAA" w14:textId="4068605A" w:rsidR="00E5323B" w:rsidRPr="00493DC7" w:rsidRDefault="00493DC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E5323B" w:rsidRPr="00DA6709" w14:paraId="423C6AB0" w14:textId="77777777" w:rsidTr="00493DC7">
        <w:trPr>
          <w:tblCellSpacing w:w="15" w:type="dxa"/>
        </w:trPr>
        <w:tc>
          <w:tcPr>
            <w:tcW w:w="1197" w:type="pct"/>
            <w:tcBorders>
              <w:top w:val="outset" w:sz="6" w:space="0" w:color="auto"/>
              <w:left w:val="outset" w:sz="6" w:space="0" w:color="auto"/>
              <w:bottom w:val="outset" w:sz="6" w:space="0" w:color="auto"/>
              <w:right w:val="outset" w:sz="6" w:space="0" w:color="auto"/>
            </w:tcBorders>
            <w:vAlign w:val="center"/>
            <w:hideMark/>
          </w:tcPr>
          <w:p w14:paraId="423C6AAC" w14:textId="77777777" w:rsidR="00655F2C" w:rsidRPr="00493DC7" w:rsidRDefault="00E5323B" w:rsidP="00E5323B">
            <w:pPr>
              <w:spacing w:after="0" w:line="240" w:lineRule="auto"/>
              <w:rPr>
                <w:rFonts w:ascii="Times New Roman" w:eastAsia="Times New Roman" w:hAnsi="Times New Roman" w:cs="Times New Roman"/>
                <w:iCs/>
                <w:sz w:val="24"/>
                <w:szCs w:val="24"/>
                <w:lang w:eastAsia="lv-LV"/>
              </w:rPr>
            </w:pPr>
            <w:r w:rsidRPr="00493DC7">
              <w:rPr>
                <w:rFonts w:ascii="Times New Roman" w:eastAsia="Times New Roman" w:hAnsi="Times New Roman" w:cs="Times New Roman"/>
                <w:iCs/>
                <w:sz w:val="24"/>
                <w:szCs w:val="24"/>
                <w:lang w:eastAsia="lv-LV"/>
              </w:rPr>
              <w:t>A</w:t>
            </w:r>
          </w:p>
        </w:tc>
        <w:tc>
          <w:tcPr>
            <w:tcW w:w="1197" w:type="pct"/>
            <w:tcBorders>
              <w:top w:val="outset" w:sz="6" w:space="0" w:color="auto"/>
              <w:left w:val="outset" w:sz="6" w:space="0" w:color="auto"/>
              <w:bottom w:val="outset" w:sz="6" w:space="0" w:color="auto"/>
              <w:right w:val="outset" w:sz="6" w:space="0" w:color="auto"/>
            </w:tcBorders>
            <w:vAlign w:val="center"/>
            <w:hideMark/>
          </w:tcPr>
          <w:p w14:paraId="423C6AAD" w14:textId="77777777" w:rsidR="00655F2C" w:rsidRPr="00493DC7" w:rsidRDefault="00E5323B" w:rsidP="00E5323B">
            <w:pPr>
              <w:spacing w:after="0" w:line="240" w:lineRule="auto"/>
              <w:rPr>
                <w:rFonts w:ascii="Times New Roman" w:eastAsia="Times New Roman" w:hAnsi="Times New Roman" w:cs="Times New Roman"/>
                <w:iCs/>
                <w:sz w:val="24"/>
                <w:szCs w:val="24"/>
                <w:lang w:eastAsia="lv-LV"/>
              </w:rPr>
            </w:pPr>
            <w:r w:rsidRPr="00493DC7">
              <w:rPr>
                <w:rFonts w:ascii="Times New Roman" w:eastAsia="Times New Roman" w:hAnsi="Times New Roman" w:cs="Times New Roman"/>
                <w:iCs/>
                <w:sz w:val="24"/>
                <w:szCs w:val="24"/>
                <w:lang w:eastAsia="lv-LV"/>
              </w:rPr>
              <w:t>B</w:t>
            </w:r>
          </w:p>
        </w:tc>
        <w:tc>
          <w:tcPr>
            <w:tcW w:w="1231" w:type="pct"/>
            <w:tcBorders>
              <w:top w:val="outset" w:sz="6" w:space="0" w:color="auto"/>
              <w:left w:val="outset" w:sz="6" w:space="0" w:color="auto"/>
              <w:bottom w:val="outset" w:sz="6" w:space="0" w:color="auto"/>
              <w:right w:val="outset" w:sz="6" w:space="0" w:color="auto"/>
            </w:tcBorders>
            <w:vAlign w:val="center"/>
            <w:hideMark/>
          </w:tcPr>
          <w:p w14:paraId="423C6AAE" w14:textId="77777777" w:rsidR="00655F2C" w:rsidRPr="00493DC7" w:rsidRDefault="00E5323B" w:rsidP="00E5323B">
            <w:pPr>
              <w:spacing w:after="0" w:line="240" w:lineRule="auto"/>
              <w:rPr>
                <w:rFonts w:ascii="Times New Roman" w:eastAsia="Times New Roman" w:hAnsi="Times New Roman" w:cs="Times New Roman"/>
                <w:iCs/>
                <w:sz w:val="24"/>
                <w:szCs w:val="24"/>
                <w:lang w:eastAsia="lv-LV"/>
              </w:rPr>
            </w:pPr>
            <w:r w:rsidRPr="00493DC7">
              <w:rPr>
                <w:rFonts w:ascii="Times New Roman" w:eastAsia="Times New Roman" w:hAnsi="Times New Roman" w:cs="Times New Roman"/>
                <w:iCs/>
                <w:sz w:val="24"/>
                <w:szCs w:val="24"/>
                <w:lang w:eastAsia="lv-LV"/>
              </w:rPr>
              <w:t>C</w:t>
            </w:r>
          </w:p>
        </w:tc>
        <w:tc>
          <w:tcPr>
            <w:tcW w:w="1294" w:type="pct"/>
            <w:tcBorders>
              <w:top w:val="outset" w:sz="6" w:space="0" w:color="auto"/>
              <w:left w:val="outset" w:sz="6" w:space="0" w:color="auto"/>
              <w:bottom w:val="outset" w:sz="6" w:space="0" w:color="auto"/>
              <w:right w:val="outset" w:sz="6" w:space="0" w:color="auto"/>
            </w:tcBorders>
            <w:vAlign w:val="center"/>
            <w:hideMark/>
          </w:tcPr>
          <w:p w14:paraId="423C6AAF" w14:textId="77777777" w:rsidR="00655F2C" w:rsidRPr="00493DC7" w:rsidRDefault="00E5323B" w:rsidP="00E5323B">
            <w:pPr>
              <w:spacing w:after="0" w:line="240" w:lineRule="auto"/>
              <w:rPr>
                <w:rFonts w:ascii="Times New Roman" w:eastAsia="Times New Roman" w:hAnsi="Times New Roman" w:cs="Times New Roman"/>
                <w:iCs/>
                <w:sz w:val="24"/>
                <w:szCs w:val="24"/>
                <w:lang w:eastAsia="lv-LV"/>
              </w:rPr>
            </w:pPr>
            <w:r w:rsidRPr="00493DC7">
              <w:rPr>
                <w:rFonts w:ascii="Times New Roman" w:eastAsia="Times New Roman" w:hAnsi="Times New Roman" w:cs="Times New Roman"/>
                <w:iCs/>
                <w:sz w:val="24"/>
                <w:szCs w:val="24"/>
                <w:lang w:eastAsia="lv-LV"/>
              </w:rPr>
              <w:t>D</w:t>
            </w:r>
          </w:p>
        </w:tc>
      </w:tr>
      <w:tr w:rsidR="00E5323B" w:rsidRPr="00DA6709" w14:paraId="423C6AB5" w14:textId="77777777" w:rsidTr="00493DC7">
        <w:trPr>
          <w:tblCellSpacing w:w="15" w:type="dxa"/>
        </w:trPr>
        <w:tc>
          <w:tcPr>
            <w:tcW w:w="1197" w:type="pct"/>
            <w:tcBorders>
              <w:top w:val="outset" w:sz="6" w:space="0" w:color="auto"/>
              <w:left w:val="outset" w:sz="6" w:space="0" w:color="auto"/>
              <w:bottom w:val="outset" w:sz="6" w:space="0" w:color="auto"/>
              <w:right w:val="outset" w:sz="6" w:space="0" w:color="auto"/>
            </w:tcBorders>
            <w:hideMark/>
          </w:tcPr>
          <w:p w14:paraId="423C6AB1" w14:textId="77777777" w:rsidR="00E5323B" w:rsidRPr="00493DC7" w:rsidRDefault="00E5323B" w:rsidP="00E5323B">
            <w:pPr>
              <w:spacing w:after="0" w:line="240" w:lineRule="auto"/>
              <w:rPr>
                <w:rFonts w:ascii="Times New Roman" w:eastAsia="Times New Roman" w:hAnsi="Times New Roman" w:cs="Times New Roman"/>
                <w:iCs/>
                <w:sz w:val="24"/>
                <w:szCs w:val="24"/>
                <w:lang w:eastAsia="lv-LV"/>
              </w:rPr>
            </w:pPr>
            <w:r w:rsidRPr="00493DC7">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1197" w:type="pct"/>
            <w:tcBorders>
              <w:top w:val="outset" w:sz="6" w:space="0" w:color="auto"/>
              <w:left w:val="outset" w:sz="6" w:space="0" w:color="auto"/>
              <w:bottom w:val="outset" w:sz="6" w:space="0" w:color="auto"/>
              <w:right w:val="outset" w:sz="6" w:space="0" w:color="auto"/>
            </w:tcBorders>
            <w:hideMark/>
          </w:tcPr>
          <w:p w14:paraId="423C6AB2" w14:textId="77777777" w:rsidR="00E5323B" w:rsidRPr="00493DC7" w:rsidRDefault="00E5323B" w:rsidP="00E5323B">
            <w:pPr>
              <w:spacing w:after="0" w:line="240" w:lineRule="auto"/>
              <w:rPr>
                <w:rFonts w:ascii="Times New Roman" w:eastAsia="Times New Roman" w:hAnsi="Times New Roman" w:cs="Times New Roman"/>
                <w:iCs/>
                <w:sz w:val="24"/>
                <w:szCs w:val="24"/>
                <w:lang w:eastAsia="lv-LV"/>
              </w:rPr>
            </w:pPr>
            <w:r w:rsidRPr="00493DC7">
              <w:rPr>
                <w:rFonts w:ascii="Times New Roman" w:eastAsia="Times New Roman" w:hAnsi="Times New Roman" w:cs="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1231" w:type="pct"/>
            <w:tcBorders>
              <w:top w:val="outset" w:sz="6" w:space="0" w:color="auto"/>
              <w:left w:val="outset" w:sz="6" w:space="0" w:color="auto"/>
              <w:bottom w:val="outset" w:sz="6" w:space="0" w:color="auto"/>
              <w:right w:val="outset" w:sz="6" w:space="0" w:color="auto"/>
            </w:tcBorders>
            <w:hideMark/>
          </w:tcPr>
          <w:p w14:paraId="423C6AB3" w14:textId="77777777" w:rsidR="00E5323B" w:rsidRPr="00493DC7" w:rsidRDefault="00E5323B" w:rsidP="00E5323B">
            <w:pPr>
              <w:spacing w:after="0" w:line="240" w:lineRule="auto"/>
              <w:rPr>
                <w:rFonts w:ascii="Times New Roman" w:eastAsia="Times New Roman" w:hAnsi="Times New Roman" w:cs="Times New Roman"/>
                <w:iCs/>
                <w:sz w:val="24"/>
                <w:szCs w:val="24"/>
                <w:lang w:eastAsia="lv-LV"/>
              </w:rPr>
            </w:pPr>
            <w:r w:rsidRPr="00493DC7">
              <w:rPr>
                <w:rFonts w:ascii="Times New Roman" w:eastAsia="Times New Roman" w:hAnsi="Times New Roman" w:cs="Times New Roman"/>
                <w:iCs/>
                <w:sz w:val="24"/>
                <w:szCs w:val="24"/>
                <w:lang w:eastAsia="lv-LV"/>
              </w:rPr>
              <w:t>Informācija par to, vai šīs tabulas A ailē minētās ES tiesību akta vienības tiek pārņemtas vai ieviestas pilnībā vai daļēji.</w:t>
            </w:r>
            <w:r w:rsidRPr="00493DC7">
              <w:rPr>
                <w:rFonts w:ascii="Times New Roman" w:eastAsia="Times New Roman" w:hAnsi="Times New Roman" w:cs="Times New Roman"/>
                <w:iCs/>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493DC7">
              <w:rPr>
                <w:rFonts w:ascii="Times New Roman" w:eastAsia="Times New Roman" w:hAnsi="Times New Roman" w:cs="Times New Roman"/>
                <w:iCs/>
                <w:sz w:val="24"/>
                <w:szCs w:val="24"/>
                <w:lang w:eastAsia="lv-LV"/>
              </w:rPr>
              <w:br/>
              <w:t>Norāda institūciju, kas ir atbildīga par šo saistību izpildi pilnībā</w:t>
            </w:r>
          </w:p>
        </w:tc>
        <w:tc>
          <w:tcPr>
            <w:tcW w:w="1294" w:type="pct"/>
            <w:tcBorders>
              <w:top w:val="outset" w:sz="6" w:space="0" w:color="auto"/>
              <w:left w:val="outset" w:sz="6" w:space="0" w:color="auto"/>
              <w:bottom w:val="outset" w:sz="6" w:space="0" w:color="auto"/>
              <w:right w:val="outset" w:sz="6" w:space="0" w:color="auto"/>
            </w:tcBorders>
            <w:hideMark/>
          </w:tcPr>
          <w:p w14:paraId="423C6AB4" w14:textId="77777777" w:rsidR="00E5323B" w:rsidRPr="00493DC7" w:rsidRDefault="00E5323B" w:rsidP="00E5323B">
            <w:pPr>
              <w:spacing w:after="0" w:line="240" w:lineRule="auto"/>
              <w:rPr>
                <w:rFonts w:ascii="Times New Roman" w:eastAsia="Times New Roman" w:hAnsi="Times New Roman" w:cs="Times New Roman"/>
                <w:iCs/>
                <w:sz w:val="24"/>
                <w:szCs w:val="24"/>
                <w:lang w:eastAsia="lv-LV"/>
              </w:rPr>
            </w:pPr>
            <w:r w:rsidRPr="00493DC7">
              <w:rPr>
                <w:rFonts w:ascii="Times New Roman" w:eastAsia="Times New Roman" w:hAnsi="Times New Roman" w:cs="Times New Roman"/>
                <w:iCs/>
                <w:sz w:val="24"/>
                <w:szCs w:val="24"/>
                <w:lang w:eastAsia="lv-LV"/>
              </w:rPr>
              <w:t>Informācija par to, vai šīs tabulas B ailē minētās projekta vienības paredz stingrākas prasības nekā šīs tabulas A ailē minētās ES tiesību akta vienības.</w:t>
            </w:r>
            <w:r w:rsidRPr="00493DC7">
              <w:rPr>
                <w:rFonts w:ascii="Times New Roman" w:eastAsia="Times New Roman" w:hAnsi="Times New Roman" w:cs="Times New Roman"/>
                <w:iCs/>
                <w:sz w:val="24"/>
                <w:szCs w:val="24"/>
                <w:lang w:eastAsia="lv-LV"/>
              </w:rPr>
              <w:br/>
              <w:t>Ja projekts satur stingrākas prasības nekā attiecīgais ES tiesību akts, norāda pamatojumu un samērīgumu.</w:t>
            </w:r>
            <w:r w:rsidRPr="00493DC7">
              <w:rPr>
                <w:rFonts w:ascii="Times New Roman" w:eastAsia="Times New Roman" w:hAnsi="Times New Roman" w:cs="Times New Roman"/>
                <w:iCs/>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493DC7" w:rsidRPr="00DA6709" w14:paraId="423C6ABA" w14:textId="77777777" w:rsidTr="00493DC7">
        <w:trPr>
          <w:tblCellSpacing w:w="15" w:type="dxa"/>
        </w:trPr>
        <w:tc>
          <w:tcPr>
            <w:tcW w:w="4967" w:type="pct"/>
            <w:gridSpan w:val="4"/>
            <w:tcBorders>
              <w:top w:val="outset" w:sz="6" w:space="0" w:color="auto"/>
              <w:left w:val="outset" w:sz="6" w:space="0" w:color="auto"/>
              <w:bottom w:val="outset" w:sz="6" w:space="0" w:color="auto"/>
              <w:right w:val="outset" w:sz="6" w:space="0" w:color="auto"/>
            </w:tcBorders>
          </w:tcPr>
          <w:p w14:paraId="423C6AB9" w14:textId="31B1F29D" w:rsidR="00493DC7" w:rsidRPr="00493DC7" w:rsidRDefault="00493DC7" w:rsidP="00E5323B">
            <w:pPr>
              <w:spacing w:after="0" w:line="240" w:lineRule="auto"/>
              <w:rPr>
                <w:rFonts w:ascii="Times New Roman" w:eastAsia="Times New Roman" w:hAnsi="Times New Roman" w:cs="Times New Roman"/>
                <w:iCs/>
                <w:sz w:val="24"/>
                <w:szCs w:val="24"/>
                <w:lang w:eastAsia="lv-LV"/>
              </w:rPr>
            </w:pPr>
            <w:r w:rsidRPr="00493DC7">
              <w:rPr>
                <w:rFonts w:ascii="Times New Roman" w:eastAsia="Times New Roman" w:hAnsi="Times New Roman" w:cs="Times New Roman"/>
                <w:iCs/>
                <w:sz w:val="24"/>
                <w:szCs w:val="24"/>
                <w:lang w:eastAsia="lv-LV"/>
              </w:rPr>
              <w:t>Projekts šo jomu neskar.</w:t>
            </w:r>
          </w:p>
        </w:tc>
      </w:tr>
      <w:tr w:rsidR="00E5323B" w:rsidRPr="00DA6709" w14:paraId="423C6ABD" w14:textId="77777777" w:rsidTr="00493DC7">
        <w:trPr>
          <w:tblCellSpacing w:w="15" w:type="dxa"/>
        </w:trPr>
        <w:tc>
          <w:tcPr>
            <w:tcW w:w="1197" w:type="pct"/>
            <w:tcBorders>
              <w:top w:val="outset" w:sz="6" w:space="0" w:color="auto"/>
              <w:left w:val="outset" w:sz="6" w:space="0" w:color="auto"/>
              <w:bottom w:val="outset" w:sz="6" w:space="0" w:color="auto"/>
              <w:right w:val="outset" w:sz="6" w:space="0" w:color="auto"/>
            </w:tcBorders>
            <w:hideMark/>
          </w:tcPr>
          <w:p w14:paraId="423C6ABB" w14:textId="77777777" w:rsidR="00E5323B" w:rsidRPr="0030592E" w:rsidRDefault="00E5323B" w:rsidP="00E5323B">
            <w:pPr>
              <w:spacing w:after="0" w:line="240" w:lineRule="auto"/>
              <w:rPr>
                <w:rFonts w:ascii="Times New Roman" w:eastAsia="Times New Roman" w:hAnsi="Times New Roman" w:cs="Times New Roman"/>
                <w:iCs/>
                <w:sz w:val="24"/>
                <w:szCs w:val="24"/>
                <w:lang w:eastAsia="lv-LV"/>
              </w:rPr>
            </w:pPr>
            <w:r w:rsidRPr="0030592E">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3754" w:type="pct"/>
            <w:gridSpan w:val="3"/>
            <w:tcBorders>
              <w:top w:val="outset" w:sz="6" w:space="0" w:color="auto"/>
              <w:left w:val="outset" w:sz="6" w:space="0" w:color="auto"/>
              <w:bottom w:val="outset" w:sz="6" w:space="0" w:color="auto"/>
              <w:right w:val="outset" w:sz="6" w:space="0" w:color="auto"/>
            </w:tcBorders>
            <w:hideMark/>
          </w:tcPr>
          <w:p w14:paraId="31613EF2" w14:textId="1FEE2E37" w:rsidR="00007A87" w:rsidRPr="0030592E" w:rsidRDefault="00AF3723" w:rsidP="0064335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Regulas Nr. 2019/1842 3. panta</w:t>
            </w:r>
            <w:r w:rsidR="003A2813">
              <w:rPr>
                <w:rFonts w:ascii="Times New Roman" w:eastAsia="Times New Roman" w:hAnsi="Times New Roman" w:cs="Times New Roman"/>
                <w:iCs/>
                <w:sz w:val="24"/>
                <w:szCs w:val="24"/>
                <w:lang w:eastAsia="lv-LV"/>
              </w:rPr>
              <w:t xml:space="preserve"> </w:t>
            </w:r>
            <w:r w:rsidR="003A2813" w:rsidRPr="003B1129">
              <w:rPr>
                <w:rFonts w:ascii="Times New Roman" w:eastAsia="Times New Roman" w:hAnsi="Times New Roman" w:cs="Times New Roman"/>
                <w:color w:val="000000"/>
                <w:sz w:val="24"/>
                <w:szCs w:val="24"/>
              </w:rPr>
              <w:t>pirmajā, otrajā, trešajā un piektajā</w:t>
            </w:r>
            <w:r w:rsidR="003A2813">
              <w:rPr>
                <w:rFonts w:ascii="Times New Roman" w:eastAsia="Times New Roman" w:hAnsi="Times New Roman" w:cs="Times New Roman"/>
                <w:color w:val="000000"/>
                <w:sz w:val="24"/>
                <w:szCs w:val="24"/>
              </w:rPr>
              <w:t xml:space="preserve"> daļā ir paredzētas dalībvalstu rīcības brīvības. </w:t>
            </w:r>
            <w:r w:rsidR="007B346C">
              <w:rPr>
                <w:rFonts w:ascii="Times New Roman" w:eastAsia="Times New Roman" w:hAnsi="Times New Roman" w:cs="Times New Roman"/>
                <w:color w:val="000000"/>
                <w:sz w:val="24"/>
                <w:szCs w:val="24"/>
              </w:rPr>
              <w:t>Latvija plāno izmantot visas šīs rīcību brīvības</w:t>
            </w:r>
            <w:r w:rsidR="001005A3">
              <w:rPr>
                <w:rFonts w:ascii="Times New Roman" w:eastAsia="Times New Roman" w:hAnsi="Times New Roman" w:cs="Times New Roman"/>
                <w:color w:val="000000"/>
                <w:sz w:val="24"/>
                <w:szCs w:val="24"/>
              </w:rPr>
              <w:t xml:space="preserve"> ar noteikumu projektu VSS-130, lai </w:t>
            </w:r>
            <w:r w:rsidR="00007A87" w:rsidRPr="0030592E">
              <w:rPr>
                <w:rFonts w:ascii="Times New Roman" w:eastAsia="Times New Roman" w:hAnsi="Times New Roman" w:cs="Times New Roman"/>
                <w:iCs/>
                <w:sz w:val="24"/>
                <w:szCs w:val="24"/>
                <w:lang w:eastAsia="lv-LV"/>
              </w:rPr>
              <w:t>atvieglotu administratīvo slogu operatoriem, verificētājiem</w:t>
            </w:r>
            <w:r w:rsidR="00877A90">
              <w:rPr>
                <w:rFonts w:ascii="Times New Roman" w:eastAsia="Times New Roman" w:hAnsi="Times New Roman" w:cs="Times New Roman"/>
                <w:iCs/>
                <w:sz w:val="24"/>
                <w:szCs w:val="24"/>
                <w:lang w:eastAsia="lv-LV"/>
              </w:rPr>
              <w:t>, VARAM</w:t>
            </w:r>
            <w:r w:rsidR="00007A87" w:rsidRPr="0030592E">
              <w:rPr>
                <w:rFonts w:ascii="Times New Roman" w:eastAsia="Times New Roman" w:hAnsi="Times New Roman" w:cs="Times New Roman"/>
                <w:iCs/>
                <w:sz w:val="24"/>
                <w:szCs w:val="24"/>
                <w:lang w:eastAsia="lv-LV"/>
              </w:rPr>
              <w:t xml:space="preserve"> un VVD.</w:t>
            </w:r>
          </w:p>
          <w:p w14:paraId="423C6ABC" w14:textId="1819CB99" w:rsidR="00007A87" w:rsidRPr="0030592E" w:rsidRDefault="00007A87" w:rsidP="00E5323B">
            <w:pPr>
              <w:spacing w:after="0" w:line="240" w:lineRule="auto"/>
              <w:rPr>
                <w:rFonts w:ascii="Times New Roman" w:eastAsia="Times New Roman" w:hAnsi="Times New Roman" w:cs="Times New Roman"/>
                <w:iCs/>
                <w:sz w:val="24"/>
                <w:szCs w:val="24"/>
                <w:lang w:eastAsia="lv-LV"/>
              </w:rPr>
            </w:pPr>
          </w:p>
        </w:tc>
      </w:tr>
      <w:tr w:rsidR="00E5323B" w:rsidRPr="00DA6709" w14:paraId="423C6AC0" w14:textId="77777777" w:rsidTr="00493DC7">
        <w:trPr>
          <w:tblCellSpacing w:w="15" w:type="dxa"/>
        </w:trPr>
        <w:tc>
          <w:tcPr>
            <w:tcW w:w="1197" w:type="pct"/>
            <w:tcBorders>
              <w:top w:val="outset" w:sz="6" w:space="0" w:color="auto"/>
              <w:left w:val="outset" w:sz="6" w:space="0" w:color="auto"/>
              <w:bottom w:val="outset" w:sz="6" w:space="0" w:color="auto"/>
              <w:right w:val="outset" w:sz="6" w:space="0" w:color="auto"/>
            </w:tcBorders>
            <w:hideMark/>
          </w:tcPr>
          <w:p w14:paraId="423C6ABE" w14:textId="709035E8" w:rsidR="00E5323B" w:rsidRPr="0030592E" w:rsidRDefault="00E5323B" w:rsidP="00E5323B">
            <w:pPr>
              <w:spacing w:after="0" w:line="240" w:lineRule="auto"/>
              <w:rPr>
                <w:rFonts w:ascii="Times New Roman" w:eastAsia="Times New Roman" w:hAnsi="Times New Roman" w:cs="Times New Roman"/>
                <w:iCs/>
                <w:sz w:val="24"/>
                <w:szCs w:val="24"/>
                <w:lang w:eastAsia="lv-LV"/>
              </w:rPr>
            </w:pPr>
            <w:r w:rsidRPr="0030592E">
              <w:rPr>
                <w:rFonts w:ascii="Times New Roman" w:eastAsia="Times New Roman" w:hAnsi="Times New Roman" w:cs="Times New Roman"/>
                <w:iCs/>
                <w:sz w:val="24"/>
                <w:szCs w:val="24"/>
                <w:lang w:eastAsia="lv-LV"/>
              </w:rPr>
              <w:t xml:space="preserve">Saistības sniegt paziņojumu ES institūcijām un ES dalībvalstīm atbilstoši normatīvajiem aktiem, kas regulē informācijas sniegšanu par tehnisko noteikumu, valsts atbalsta piešķiršanas un </w:t>
            </w:r>
            <w:r w:rsidRPr="0030592E">
              <w:rPr>
                <w:rFonts w:ascii="Times New Roman" w:eastAsia="Times New Roman" w:hAnsi="Times New Roman" w:cs="Times New Roman"/>
                <w:iCs/>
                <w:sz w:val="24"/>
                <w:szCs w:val="24"/>
                <w:lang w:eastAsia="lv-LV"/>
              </w:rPr>
              <w:lastRenderedPageBreak/>
              <w:t>finanšu noteikumu (attiecībā uz monetāro politiku) projektiem</w:t>
            </w:r>
          </w:p>
        </w:tc>
        <w:tc>
          <w:tcPr>
            <w:tcW w:w="3754" w:type="pct"/>
            <w:gridSpan w:val="3"/>
            <w:tcBorders>
              <w:top w:val="outset" w:sz="6" w:space="0" w:color="auto"/>
              <w:left w:val="outset" w:sz="6" w:space="0" w:color="auto"/>
              <w:bottom w:val="outset" w:sz="6" w:space="0" w:color="auto"/>
              <w:right w:val="outset" w:sz="6" w:space="0" w:color="auto"/>
            </w:tcBorders>
            <w:hideMark/>
          </w:tcPr>
          <w:p w14:paraId="423C6ABF" w14:textId="671D20F2" w:rsidR="00E5323B" w:rsidRPr="0030592E" w:rsidRDefault="003C09A1"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Noteikumu p</w:t>
            </w:r>
            <w:r w:rsidR="0030592E" w:rsidRPr="0030592E">
              <w:rPr>
                <w:rFonts w:ascii="Times New Roman" w:eastAsia="Times New Roman" w:hAnsi="Times New Roman" w:cs="Times New Roman"/>
                <w:iCs/>
                <w:sz w:val="24"/>
                <w:szCs w:val="24"/>
                <w:lang w:eastAsia="lv-LV"/>
              </w:rPr>
              <w:t>rojekts šo jomu neskar.</w:t>
            </w:r>
          </w:p>
        </w:tc>
      </w:tr>
      <w:tr w:rsidR="00E5323B" w:rsidRPr="00DA6709" w14:paraId="423C6AC3" w14:textId="77777777" w:rsidTr="00493DC7">
        <w:trPr>
          <w:tblCellSpacing w:w="15" w:type="dxa"/>
        </w:trPr>
        <w:tc>
          <w:tcPr>
            <w:tcW w:w="1197" w:type="pct"/>
            <w:tcBorders>
              <w:top w:val="outset" w:sz="6" w:space="0" w:color="auto"/>
              <w:left w:val="outset" w:sz="6" w:space="0" w:color="auto"/>
              <w:bottom w:val="outset" w:sz="6" w:space="0" w:color="auto"/>
              <w:right w:val="outset" w:sz="6" w:space="0" w:color="auto"/>
            </w:tcBorders>
            <w:hideMark/>
          </w:tcPr>
          <w:p w14:paraId="423C6AC1" w14:textId="77777777" w:rsidR="00E5323B" w:rsidRPr="0030592E" w:rsidRDefault="00E5323B" w:rsidP="00E5323B">
            <w:pPr>
              <w:spacing w:after="0" w:line="240" w:lineRule="auto"/>
              <w:rPr>
                <w:rFonts w:ascii="Times New Roman" w:eastAsia="Times New Roman" w:hAnsi="Times New Roman" w:cs="Times New Roman"/>
                <w:iCs/>
                <w:sz w:val="24"/>
                <w:szCs w:val="24"/>
                <w:lang w:eastAsia="lv-LV"/>
              </w:rPr>
            </w:pPr>
            <w:r w:rsidRPr="0030592E">
              <w:rPr>
                <w:rFonts w:ascii="Times New Roman" w:eastAsia="Times New Roman" w:hAnsi="Times New Roman" w:cs="Times New Roman"/>
                <w:iCs/>
                <w:sz w:val="24"/>
                <w:szCs w:val="24"/>
                <w:lang w:eastAsia="lv-LV"/>
              </w:rPr>
              <w:t>Cita informācija</w:t>
            </w:r>
          </w:p>
        </w:tc>
        <w:tc>
          <w:tcPr>
            <w:tcW w:w="3754" w:type="pct"/>
            <w:gridSpan w:val="3"/>
            <w:tcBorders>
              <w:top w:val="outset" w:sz="6" w:space="0" w:color="auto"/>
              <w:left w:val="outset" w:sz="6" w:space="0" w:color="auto"/>
              <w:bottom w:val="outset" w:sz="6" w:space="0" w:color="auto"/>
              <w:right w:val="outset" w:sz="6" w:space="0" w:color="auto"/>
            </w:tcBorders>
            <w:hideMark/>
          </w:tcPr>
          <w:p w14:paraId="423C6AC2" w14:textId="1F1E06AD" w:rsidR="00E00FAF" w:rsidRPr="0030592E" w:rsidRDefault="001F1AEB" w:rsidP="00A17699">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Ar noteikumu projekts tiks īstenotas regulas</w:t>
            </w:r>
            <w:r w:rsidR="005A395C">
              <w:rPr>
                <w:rFonts w:ascii="Times New Roman" w:eastAsia="Times New Roman" w:hAnsi="Times New Roman" w:cs="Times New Roman"/>
                <w:iCs/>
                <w:sz w:val="24"/>
                <w:szCs w:val="24"/>
                <w:lang w:eastAsia="lv-LV"/>
              </w:rPr>
              <w:t xml:space="preserve"> Nr. 2019/331, regulas Nr. 2019/1842, </w:t>
            </w:r>
            <w:r w:rsidR="005A395C">
              <w:rPr>
                <w:rFonts w:ascii="Times New Roman" w:hAnsi="Times New Roman"/>
                <w:sz w:val="24"/>
                <w:szCs w:val="24"/>
              </w:rPr>
              <w:t>regulas Nr. </w:t>
            </w:r>
            <w:r w:rsidR="00D13A36">
              <w:rPr>
                <w:rFonts w:ascii="Times New Roman" w:hAnsi="Times New Roman"/>
                <w:sz w:val="24"/>
                <w:szCs w:val="24"/>
              </w:rPr>
              <w:t>2020/2084</w:t>
            </w:r>
            <w:r w:rsidR="005A395C">
              <w:rPr>
                <w:rFonts w:ascii="Times New Roman" w:hAnsi="Times New Roman"/>
                <w:sz w:val="24"/>
                <w:szCs w:val="24"/>
              </w:rPr>
              <w:t xml:space="preserve"> un regulas Nr. </w:t>
            </w:r>
            <w:r w:rsidR="00D13A36">
              <w:rPr>
                <w:rFonts w:ascii="Times New Roman" w:hAnsi="Times New Roman"/>
                <w:sz w:val="24"/>
                <w:szCs w:val="24"/>
              </w:rPr>
              <w:t>2020/2085</w:t>
            </w:r>
            <w:r w:rsidR="005A395C">
              <w:rPr>
                <w:rFonts w:ascii="Times New Roman" w:hAnsi="Times New Roman"/>
                <w:sz w:val="24"/>
                <w:szCs w:val="24"/>
              </w:rPr>
              <w:t xml:space="preserve"> prasības, kas attiecās uz darbības līmeņa ziņojumu sagatavošanu, iesniegšanu, verificēšanu un apstiprināšanu. </w:t>
            </w:r>
            <w:r w:rsidR="00E00FAF">
              <w:rPr>
                <w:rFonts w:ascii="Times New Roman" w:hAnsi="Times New Roman"/>
                <w:sz w:val="24"/>
                <w:szCs w:val="24"/>
              </w:rPr>
              <w:t xml:space="preserve">Papildus, </w:t>
            </w:r>
            <w:r w:rsidR="00AE0831">
              <w:rPr>
                <w:rFonts w:ascii="Times New Roman" w:hAnsi="Times New Roman"/>
                <w:sz w:val="24"/>
                <w:szCs w:val="24"/>
              </w:rPr>
              <w:t>ar noteikumu projektu tiks īstenotas regulas Nr. 2018/2066 daļas, kas attiecās uz jauniem nosacījumiem par biomasas pakāpēm emisiju ziņošanā.</w:t>
            </w:r>
          </w:p>
        </w:tc>
      </w:tr>
      <w:tr w:rsidR="00E5323B" w:rsidRPr="00DA6709" w14:paraId="423C6AC5"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423C6AC4" w14:textId="56D370A6" w:rsidR="00655F2C" w:rsidRPr="00900EF6" w:rsidRDefault="00E5323B" w:rsidP="001450E4">
            <w:pPr>
              <w:spacing w:after="0" w:line="240" w:lineRule="auto"/>
              <w:rPr>
                <w:rFonts w:ascii="Times New Roman" w:eastAsia="Times New Roman" w:hAnsi="Times New Roman" w:cs="Times New Roman"/>
                <w:b/>
                <w:bCs/>
                <w:iCs/>
                <w:sz w:val="24"/>
                <w:szCs w:val="24"/>
                <w:lang w:eastAsia="lv-LV"/>
              </w:rPr>
            </w:pPr>
            <w:r w:rsidRPr="00900EF6">
              <w:rPr>
                <w:rFonts w:ascii="Times New Roman" w:eastAsia="Times New Roman" w:hAnsi="Times New Roman" w:cs="Times New Roman"/>
                <w:b/>
                <w:bCs/>
                <w:iCs/>
                <w:sz w:val="24"/>
                <w:szCs w:val="24"/>
                <w:lang w:eastAsia="lv-LV"/>
              </w:rPr>
              <w:t>2. tabula</w:t>
            </w:r>
            <w:r w:rsidRPr="00900EF6">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p>
        </w:tc>
      </w:tr>
      <w:tr w:rsidR="001450E4" w:rsidRPr="00DA6709" w14:paraId="423C6AC8" w14:textId="77777777" w:rsidTr="001450E4">
        <w:trPr>
          <w:tblCellSpacing w:w="15" w:type="dxa"/>
        </w:trPr>
        <w:tc>
          <w:tcPr>
            <w:tcW w:w="4967" w:type="pct"/>
            <w:gridSpan w:val="4"/>
            <w:tcBorders>
              <w:top w:val="outset" w:sz="6" w:space="0" w:color="auto"/>
              <w:left w:val="outset" w:sz="6" w:space="0" w:color="auto"/>
              <w:bottom w:val="outset" w:sz="6" w:space="0" w:color="auto"/>
              <w:right w:val="outset" w:sz="6" w:space="0" w:color="auto"/>
            </w:tcBorders>
            <w:hideMark/>
          </w:tcPr>
          <w:p w14:paraId="423C6AC7" w14:textId="5E32A339" w:rsidR="001450E4" w:rsidRPr="00900EF6" w:rsidRDefault="00BD4D57" w:rsidP="00900EF6">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w:t>
            </w:r>
            <w:r w:rsidR="00900EF6" w:rsidRPr="00900EF6">
              <w:rPr>
                <w:rFonts w:ascii="Times New Roman" w:eastAsia="Times New Roman" w:hAnsi="Times New Roman" w:cs="Times New Roman"/>
                <w:iCs/>
                <w:sz w:val="24"/>
                <w:szCs w:val="24"/>
                <w:lang w:eastAsia="lv-LV"/>
              </w:rPr>
              <w:t>rojekts šo jomu neskar</w:t>
            </w:r>
          </w:p>
        </w:tc>
      </w:tr>
    </w:tbl>
    <w:p w14:paraId="423C6ADB" w14:textId="77777777" w:rsidR="00E5323B" w:rsidRPr="00DA6709" w:rsidRDefault="00E5323B" w:rsidP="00E5323B">
      <w:pPr>
        <w:spacing w:after="0" w:line="240" w:lineRule="auto"/>
        <w:rPr>
          <w:rFonts w:ascii="Times New Roman" w:eastAsia="Times New Roman" w:hAnsi="Times New Roman" w:cs="Times New Roman"/>
          <w:iCs/>
          <w:color w:val="414142"/>
          <w:sz w:val="24"/>
          <w:szCs w:val="24"/>
          <w:lang w:eastAsia="lv-LV"/>
        </w:rPr>
      </w:pPr>
      <w:r w:rsidRPr="00DA6709">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493DC7" w:rsidRPr="00493DC7" w14:paraId="423C6AD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23C6ADC" w14:textId="77777777" w:rsidR="00655F2C" w:rsidRPr="00493DC7" w:rsidRDefault="00E5323B" w:rsidP="00E5323B">
            <w:pPr>
              <w:spacing w:after="0" w:line="240" w:lineRule="auto"/>
              <w:rPr>
                <w:rFonts w:ascii="Times New Roman" w:eastAsia="Times New Roman" w:hAnsi="Times New Roman" w:cs="Times New Roman"/>
                <w:b/>
                <w:bCs/>
                <w:iCs/>
                <w:sz w:val="24"/>
                <w:szCs w:val="24"/>
                <w:lang w:eastAsia="lv-LV"/>
              </w:rPr>
            </w:pPr>
            <w:r w:rsidRPr="00493DC7">
              <w:rPr>
                <w:rFonts w:ascii="Times New Roman" w:eastAsia="Times New Roman" w:hAnsi="Times New Roman" w:cs="Times New Roman"/>
                <w:b/>
                <w:bCs/>
                <w:iCs/>
                <w:sz w:val="24"/>
                <w:szCs w:val="24"/>
                <w:lang w:eastAsia="lv-LV"/>
              </w:rPr>
              <w:t>VI. Sabiedrības līdzdalība un komunikācijas aktivitātes</w:t>
            </w:r>
          </w:p>
        </w:tc>
      </w:tr>
      <w:tr w:rsidR="00493DC7" w:rsidRPr="00493DC7" w14:paraId="423C6AE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3C6ADE" w14:textId="77777777" w:rsidR="00655F2C" w:rsidRPr="00493DC7" w:rsidRDefault="00E5323B" w:rsidP="00E5323B">
            <w:pPr>
              <w:spacing w:after="0" w:line="240" w:lineRule="auto"/>
              <w:rPr>
                <w:rFonts w:ascii="Times New Roman" w:eastAsia="Times New Roman" w:hAnsi="Times New Roman" w:cs="Times New Roman"/>
                <w:iCs/>
                <w:sz w:val="24"/>
                <w:szCs w:val="24"/>
                <w:lang w:eastAsia="lv-LV"/>
              </w:rPr>
            </w:pPr>
            <w:r w:rsidRPr="00493DC7">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23C6ADF" w14:textId="77777777" w:rsidR="00E5323B" w:rsidRPr="00493DC7" w:rsidRDefault="00E5323B" w:rsidP="00E5323B">
            <w:pPr>
              <w:spacing w:after="0" w:line="240" w:lineRule="auto"/>
              <w:rPr>
                <w:rFonts w:ascii="Times New Roman" w:eastAsia="Times New Roman" w:hAnsi="Times New Roman" w:cs="Times New Roman"/>
                <w:iCs/>
                <w:sz w:val="24"/>
                <w:szCs w:val="24"/>
                <w:lang w:eastAsia="lv-LV"/>
              </w:rPr>
            </w:pPr>
            <w:r w:rsidRPr="00493DC7">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423C6AE0" w14:textId="4FB99EED" w:rsidR="005867AC" w:rsidRPr="00493DC7" w:rsidRDefault="005867AC" w:rsidP="007541DE">
            <w:pPr>
              <w:spacing w:after="0" w:line="240" w:lineRule="auto"/>
              <w:jc w:val="both"/>
              <w:rPr>
                <w:rFonts w:ascii="Times New Roman" w:eastAsia="Times New Roman" w:hAnsi="Times New Roman" w:cs="Times New Roman"/>
                <w:iCs/>
                <w:sz w:val="24"/>
                <w:szCs w:val="24"/>
                <w:lang w:eastAsia="lv-LV"/>
              </w:rPr>
            </w:pPr>
            <w:r w:rsidRPr="00493DC7">
              <w:rPr>
                <w:rFonts w:ascii="Times New Roman" w:eastAsia="Times New Roman" w:hAnsi="Times New Roman" w:cs="Times New Roman"/>
                <w:iCs/>
                <w:sz w:val="24"/>
                <w:szCs w:val="24"/>
                <w:lang w:eastAsia="lv-LV"/>
              </w:rPr>
              <w:t>Sabiedrības līdzdalība ir nodrošināta saskaņā ar Ministru kabineta 2009. gada 25. augusta noteikumu Nr. 970 “Sabiedrības līdzdalības kārtība attīstības plānošanas procesā” 7.4.</w:t>
            </w:r>
            <w:r w:rsidRPr="00493DC7">
              <w:rPr>
                <w:rFonts w:ascii="Times New Roman" w:eastAsia="Times New Roman" w:hAnsi="Times New Roman" w:cs="Times New Roman"/>
                <w:iCs/>
                <w:sz w:val="24"/>
                <w:szCs w:val="24"/>
                <w:vertAlign w:val="superscript"/>
                <w:lang w:eastAsia="lv-LV"/>
              </w:rPr>
              <w:t>1</w:t>
            </w:r>
            <w:r w:rsidRPr="00493DC7">
              <w:rPr>
                <w:rFonts w:ascii="Times New Roman" w:eastAsia="Times New Roman" w:hAnsi="Times New Roman" w:cs="Times New Roman"/>
                <w:iCs/>
                <w:sz w:val="24"/>
                <w:szCs w:val="24"/>
                <w:lang w:eastAsia="lv-LV"/>
              </w:rPr>
              <w:t xml:space="preserve"> apakšpunktu, sabiedrības pārstāvjus aicinot līdzdarboties, rakstiski sniedzot viedokli par noteikumu </w:t>
            </w:r>
            <w:r w:rsidR="00033149">
              <w:rPr>
                <w:rFonts w:ascii="Times New Roman" w:eastAsia="Times New Roman" w:hAnsi="Times New Roman" w:cs="Times New Roman"/>
                <w:iCs/>
                <w:sz w:val="24"/>
                <w:szCs w:val="24"/>
                <w:lang w:eastAsia="lv-LV"/>
              </w:rPr>
              <w:t xml:space="preserve">Nr. 769 </w:t>
            </w:r>
            <w:r w:rsidRPr="00493DC7">
              <w:rPr>
                <w:rFonts w:ascii="Times New Roman" w:eastAsia="Times New Roman" w:hAnsi="Times New Roman" w:cs="Times New Roman"/>
                <w:iCs/>
                <w:sz w:val="24"/>
                <w:szCs w:val="24"/>
                <w:lang w:eastAsia="lv-LV"/>
              </w:rPr>
              <w:t>projektu tā izstrādes stadijā. Sabiedrības pārstāvji ir informēti par iespēju līdzdarboties, publicējot paziņojumu par līdzdalības procesu VARAM tīmekļvietnē</w:t>
            </w:r>
            <w:r w:rsidR="00BA56F0" w:rsidRPr="00493DC7">
              <w:rPr>
                <w:rFonts w:ascii="Times New Roman" w:eastAsia="Times New Roman" w:hAnsi="Times New Roman" w:cs="Times New Roman"/>
                <w:iCs/>
                <w:sz w:val="24"/>
                <w:szCs w:val="24"/>
                <w:lang w:eastAsia="lv-LV"/>
              </w:rPr>
              <w:t xml:space="preserve">, kā arī Valsts </w:t>
            </w:r>
            <w:r w:rsidR="00180735">
              <w:rPr>
                <w:rFonts w:ascii="Times New Roman" w:eastAsia="Times New Roman" w:hAnsi="Times New Roman" w:cs="Times New Roman"/>
                <w:iCs/>
                <w:sz w:val="24"/>
                <w:szCs w:val="24"/>
                <w:lang w:eastAsia="lv-LV"/>
              </w:rPr>
              <w:t>k</w:t>
            </w:r>
            <w:r w:rsidR="00BA56F0" w:rsidRPr="00493DC7">
              <w:rPr>
                <w:rFonts w:ascii="Times New Roman" w:eastAsia="Times New Roman" w:hAnsi="Times New Roman" w:cs="Times New Roman"/>
                <w:iCs/>
                <w:sz w:val="24"/>
                <w:szCs w:val="24"/>
                <w:lang w:eastAsia="lv-LV"/>
              </w:rPr>
              <w:t>ancelejas tīmekļvietnē.</w:t>
            </w:r>
          </w:p>
        </w:tc>
      </w:tr>
      <w:tr w:rsidR="00493DC7" w:rsidRPr="00493DC7" w14:paraId="423C6AE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3C6AE2" w14:textId="77777777" w:rsidR="00655F2C" w:rsidRPr="00493DC7" w:rsidRDefault="00E5323B" w:rsidP="00E5323B">
            <w:pPr>
              <w:spacing w:after="0" w:line="240" w:lineRule="auto"/>
              <w:rPr>
                <w:rFonts w:ascii="Times New Roman" w:eastAsia="Times New Roman" w:hAnsi="Times New Roman" w:cs="Times New Roman"/>
                <w:iCs/>
                <w:sz w:val="24"/>
                <w:szCs w:val="24"/>
                <w:lang w:eastAsia="lv-LV"/>
              </w:rPr>
            </w:pPr>
            <w:r w:rsidRPr="00493DC7">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23C6AE3" w14:textId="77777777" w:rsidR="00E5323B" w:rsidRPr="00493DC7" w:rsidRDefault="00E5323B" w:rsidP="00E5323B">
            <w:pPr>
              <w:spacing w:after="0" w:line="240" w:lineRule="auto"/>
              <w:rPr>
                <w:rFonts w:ascii="Times New Roman" w:eastAsia="Times New Roman" w:hAnsi="Times New Roman" w:cs="Times New Roman"/>
                <w:iCs/>
                <w:sz w:val="24"/>
                <w:szCs w:val="24"/>
                <w:lang w:eastAsia="lv-LV"/>
              </w:rPr>
            </w:pPr>
            <w:r w:rsidRPr="00493DC7">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423C6AE4" w14:textId="218BB22E" w:rsidR="00280F0F" w:rsidRPr="00493DC7" w:rsidRDefault="00280F0F" w:rsidP="007541DE">
            <w:pPr>
              <w:spacing w:after="0" w:line="240" w:lineRule="auto"/>
              <w:jc w:val="both"/>
              <w:rPr>
                <w:rFonts w:ascii="Times New Roman" w:eastAsia="Times New Roman" w:hAnsi="Times New Roman" w:cs="Times New Roman"/>
                <w:iCs/>
                <w:sz w:val="24"/>
                <w:szCs w:val="24"/>
                <w:lang w:eastAsia="lv-LV"/>
              </w:rPr>
            </w:pPr>
            <w:r w:rsidRPr="00493DC7">
              <w:rPr>
                <w:rFonts w:ascii="Times New Roman" w:hAnsi="Times New Roman"/>
                <w:sz w:val="24"/>
                <w:szCs w:val="24"/>
              </w:rPr>
              <w:t>Noteikumu</w:t>
            </w:r>
            <w:r w:rsidR="00033149">
              <w:rPr>
                <w:rFonts w:ascii="Times New Roman" w:hAnsi="Times New Roman"/>
                <w:sz w:val="24"/>
                <w:szCs w:val="24"/>
              </w:rPr>
              <w:t xml:space="preserve"> </w:t>
            </w:r>
            <w:r w:rsidRPr="00493DC7">
              <w:rPr>
                <w:rFonts w:ascii="Times New Roman" w:hAnsi="Times New Roman"/>
                <w:sz w:val="24"/>
                <w:szCs w:val="24"/>
              </w:rPr>
              <w:t xml:space="preserve">projekts </w:t>
            </w:r>
            <w:r w:rsidR="0070396D">
              <w:rPr>
                <w:rFonts w:ascii="Times New Roman" w:hAnsi="Times New Roman"/>
                <w:sz w:val="24"/>
                <w:szCs w:val="24"/>
              </w:rPr>
              <w:t xml:space="preserve">2020. gada 6. oktobrī </w:t>
            </w:r>
            <w:r w:rsidRPr="00493DC7">
              <w:rPr>
                <w:rFonts w:ascii="Times New Roman" w:hAnsi="Times New Roman"/>
                <w:sz w:val="24"/>
                <w:szCs w:val="24"/>
              </w:rPr>
              <w:t>publicēts VARAM tīmekļvietnē (</w:t>
            </w:r>
            <w:hyperlink r:id="rId9" w:history="1">
              <w:r w:rsidRPr="00493DC7">
                <w:rPr>
                  <w:rStyle w:val="Hyperlink"/>
                  <w:rFonts w:ascii="Times New Roman" w:hAnsi="Times New Roman"/>
                  <w:color w:val="auto"/>
                  <w:sz w:val="24"/>
                  <w:szCs w:val="24"/>
                </w:rPr>
                <w:t>www.varam.gov.lv</w:t>
              </w:r>
            </w:hyperlink>
            <w:r w:rsidRPr="00493DC7">
              <w:rPr>
                <w:rFonts w:ascii="Times New Roman" w:hAnsi="Times New Roman"/>
                <w:sz w:val="24"/>
                <w:szCs w:val="24"/>
              </w:rPr>
              <w:t>)</w:t>
            </w:r>
            <w:r w:rsidR="00FA24D6" w:rsidRPr="00C16C53">
              <w:rPr>
                <w:rFonts w:ascii="Times New Roman" w:hAnsi="Times New Roman"/>
                <w:sz w:val="24"/>
                <w:szCs w:val="24"/>
              </w:rPr>
              <w:t xml:space="preserve"> un Valsts kancelejas tīmekļvietnē (</w:t>
            </w:r>
            <w:hyperlink r:id="rId10" w:history="1">
              <w:r w:rsidR="00FA24D6" w:rsidRPr="001C6D4A">
                <w:rPr>
                  <w:rStyle w:val="Hyperlink"/>
                  <w:rFonts w:ascii="Times New Roman" w:hAnsi="Times New Roman"/>
                  <w:sz w:val="24"/>
                  <w:szCs w:val="24"/>
                </w:rPr>
                <w:t>https://www.mk.gov.lv/content/ministru-kabineta-diskusiju-dokumenti</w:t>
              </w:r>
            </w:hyperlink>
            <w:r w:rsidR="00FA24D6">
              <w:rPr>
                <w:rFonts w:ascii="Times New Roman" w:hAnsi="Times New Roman"/>
                <w:sz w:val="24"/>
                <w:szCs w:val="24"/>
              </w:rPr>
              <w:t xml:space="preserve"> </w:t>
            </w:r>
            <w:r w:rsidR="00FA24D6" w:rsidRPr="00C16C53">
              <w:rPr>
                <w:rFonts w:ascii="Times New Roman" w:hAnsi="Times New Roman"/>
                <w:sz w:val="24"/>
                <w:szCs w:val="24"/>
              </w:rPr>
              <w:t>).</w:t>
            </w:r>
          </w:p>
        </w:tc>
      </w:tr>
      <w:tr w:rsidR="00493DC7" w:rsidRPr="00493DC7" w14:paraId="423C6AE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3C6AE6" w14:textId="77777777" w:rsidR="00655F2C" w:rsidRPr="00493DC7" w:rsidRDefault="00E5323B" w:rsidP="00E5323B">
            <w:pPr>
              <w:spacing w:after="0" w:line="240" w:lineRule="auto"/>
              <w:rPr>
                <w:rFonts w:ascii="Times New Roman" w:eastAsia="Times New Roman" w:hAnsi="Times New Roman" w:cs="Times New Roman"/>
                <w:iCs/>
                <w:sz w:val="24"/>
                <w:szCs w:val="24"/>
                <w:lang w:eastAsia="lv-LV"/>
              </w:rPr>
            </w:pPr>
            <w:r w:rsidRPr="00493DC7">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23C6AE7" w14:textId="77777777" w:rsidR="00E5323B" w:rsidRPr="00493DC7" w:rsidRDefault="00E5323B" w:rsidP="00E5323B">
            <w:pPr>
              <w:spacing w:after="0" w:line="240" w:lineRule="auto"/>
              <w:rPr>
                <w:rFonts w:ascii="Times New Roman" w:eastAsia="Times New Roman" w:hAnsi="Times New Roman" w:cs="Times New Roman"/>
                <w:iCs/>
                <w:sz w:val="24"/>
                <w:szCs w:val="24"/>
                <w:lang w:eastAsia="lv-LV"/>
              </w:rPr>
            </w:pPr>
            <w:r w:rsidRPr="00493DC7">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423C6AE8" w14:textId="63EC0E30" w:rsidR="00403380" w:rsidRPr="00493DC7" w:rsidRDefault="00D63163" w:rsidP="00403380">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sz w:val="24"/>
                <w:szCs w:val="24"/>
              </w:rPr>
              <w:t xml:space="preserve">Sabiedrības līdzdalības </w:t>
            </w:r>
            <w:r w:rsidR="000D747A">
              <w:rPr>
                <w:rFonts w:ascii="Times New Roman" w:hAnsi="Times New Roman"/>
                <w:sz w:val="24"/>
                <w:szCs w:val="24"/>
              </w:rPr>
              <w:t xml:space="preserve">laikā LATAK </w:t>
            </w:r>
            <w:r w:rsidR="00BE3729">
              <w:rPr>
                <w:rFonts w:ascii="Times New Roman" w:hAnsi="Times New Roman"/>
                <w:sz w:val="24"/>
                <w:szCs w:val="24"/>
              </w:rPr>
              <w:t xml:space="preserve">iesniedza iebildumu par noteikumu projekta </w:t>
            </w:r>
            <w:r w:rsidR="00034240">
              <w:rPr>
                <w:rFonts w:ascii="Times New Roman" w:hAnsi="Times New Roman"/>
                <w:sz w:val="24"/>
                <w:szCs w:val="24"/>
              </w:rPr>
              <w:t>3</w:t>
            </w:r>
            <w:r w:rsidR="00392AE2">
              <w:rPr>
                <w:rFonts w:ascii="Times New Roman" w:hAnsi="Times New Roman"/>
                <w:sz w:val="24"/>
                <w:szCs w:val="24"/>
              </w:rPr>
              <w:t>6</w:t>
            </w:r>
            <w:r w:rsidR="00034240">
              <w:rPr>
                <w:rFonts w:ascii="Times New Roman" w:hAnsi="Times New Roman"/>
                <w:sz w:val="24"/>
                <w:szCs w:val="24"/>
              </w:rPr>
              <w:t>.</w:t>
            </w:r>
            <w:r w:rsidR="00BD0528">
              <w:rPr>
                <w:rFonts w:ascii="Times New Roman" w:hAnsi="Times New Roman"/>
                <w:sz w:val="24"/>
                <w:szCs w:val="24"/>
              </w:rPr>
              <w:t xml:space="preserve"> punktu norādot, ka attiecīgais standarts ir spēkā tikai līdz </w:t>
            </w:r>
            <w:r w:rsidR="00403380">
              <w:rPr>
                <w:rFonts w:ascii="Times New Roman" w:hAnsi="Times New Roman"/>
                <w:sz w:val="24"/>
                <w:szCs w:val="24"/>
              </w:rPr>
              <w:t xml:space="preserve">2020.  gada 31. decembrim un aicināja VARAM </w:t>
            </w:r>
            <w:r w:rsidR="00403380" w:rsidRPr="00403380">
              <w:rPr>
                <w:rFonts w:ascii="Times New Roman" w:hAnsi="Times New Roman"/>
                <w:sz w:val="24"/>
                <w:szCs w:val="24"/>
              </w:rPr>
              <w:t xml:space="preserve">izvērtēt iespēju </w:t>
            </w:r>
            <w:r w:rsidR="00403380" w:rsidRPr="00A42DBC">
              <w:rPr>
                <w:rFonts w:ascii="Times New Roman" w:hAnsi="Times New Roman" w:cs="Times New Roman"/>
                <w:sz w:val="24"/>
                <w:szCs w:val="24"/>
              </w:rPr>
              <w:t>aizstāt tiešo atsauci uz standartu ar atsauci uz attiecīg</w:t>
            </w:r>
            <w:r w:rsidR="00392AE2">
              <w:rPr>
                <w:rFonts w:ascii="Times New Roman" w:hAnsi="Times New Roman" w:cs="Times New Roman"/>
                <w:sz w:val="24"/>
                <w:szCs w:val="24"/>
              </w:rPr>
              <w:t>ajiem</w:t>
            </w:r>
            <w:r w:rsidR="00403380" w:rsidRPr="00A42DBC">
              <w:rPr>
                <w:rFonts w:ascii="Times New Roman" w:hAnsi="Times New Roman" w:cs="Times New Roman"/>
                <w:sz w:val="24"/>
                <w:szCs w:val="24"/>
              </w:rPr>
              <w:t xml:space="preserve"> normatīv</w:t>
            </w:r>
            <w:r w:rsidR="00392AE2">
              <w:rPr>
                <w:rFonts w:ascii="Times New Roman" w:hAnsi="Times New Roman" w:cs="Times New Roman"/>
                <w:sz w:val="24"/>
                <w:szCs w:val="24"/>
              </w:rPr>
              <w:t>ajiem</w:t>
            </w:r>
            <w:r w:rsidR="00403380" w:rsidRPr="00A42DBC">
              <w:rPr>
                <w:rFonts w:ascii="Times New Roman" w:hAnsi="Times New Roman" w:cs="Times New Roman"/>
                <w:sz w:val="24"/>
                <w:szCs w:val="24"/>
              </w:rPr>
              <w:t xml:space="preserve"> akt</w:t>
            </w:r>
            <w:r w:rsidR="00392AE2">
              <w:rPr>
                <w:rFonts w:ascii="Times New Roman" w:hAnsi="Times New Roman" w:cs="Times New Roman"/>
                <w:sz w:val="24"/>
                <w:szCs w:val="24"/>
              </w:rPr>
              <w:t>iem</w:t>
            </w:r>
            <w:r w:rsidR="00403380" w:rsidRPr="0070396D">
              <w:rPr>
                <w:rFonts w:ascii="Times New Roman" w:hAnsi="Times New Roman" w:cs="Times New Roman"/>
                <w:sz w:val="24"/>
                <w:szCs w:val="24"/>
              </w:rPr>
              <w:t xml:space="preserve">. Noteikumu projekta </w:t>
            </w:r>
            <w:r w:rsidR="00403380" w:rsidRPr="007014EF">
              <w:rPr>
                <w:rFonts w:ascii="Times New Roman" w:hAnsi="Times New Roman" w:cs="Times New Roman"/>
                <w:sz w:val="24"/>
                <w:szCs w:val="24"/>
              </w:rPr>
              <w:t>3</w:t>
            </w:r>
            <w:r w:rsidR="0009124C">
              <w:rPr>
                <w:rFonts w:ascii="Times New Roman" w:hAnsi="Times New Roman" w:cs="Times New Roman"/>
                <w:sz w:val="24"/>
                <w:szCs w:val="24"/>
              </w:rPr>
              <w:t>6</w:t>
            </w:r>
            <w:r w:rsidR="00403380" w:rsidRPr="007014EF">
              <w:rPr>
                <w:rFonts w:ascii="Times New Roman" w:hAnsi="Times New Roman" w:cs="Times New Roman"/>
                <w:sz w:val="24"/>
                <w:szCs w:val="24"/>
              </w:rPr>
              <w:t>. punkts</w:t>
            </w:r>
            <w:r w:rsidR="00403380" w:rsidRPr="00DA141D">
              <w:rPr>
                <w:rFonts w:ascii="Times New Roman" w:hAnsi="Times New Roman" w:cs="Times New Roman"/>
                <w:sz w:val="24"/>
                <w:szCs w:val="24"/>
              </w:rPr>
              <w:t xml:space="preserve"> </w:t>
            </w:r>
            <w:r w:rsidR="00A42DBC" w:rsidRPr="00DA141D">
              <w:rPr>
                <w:rFonts w:ascii="Times New Roman" w:hAnsi="Times New Roman" w:cs="Times New Roman"/>
                <w:sz w:val="24"/>
                <w:szCs w:val="24"/>
              </w:rPr>
              <w:t>ir precizēts</w:t>
            </w:r>
            <w:r w:rsidR="009C69BC">
              <w:rPr>
                <w:rFonts w:ascii="Times New Roman" w:hAnsi="Times New Roman" w:cs="Times New Roman"/>
                <w:sz w:val="24"/>
                <w:szCs w:val="24"/>
              </w:rPr>
              <w:t>,</w:t>
            </w:r>
            <w:r w:rsidR="00A42DBC" w:rsidRPr="00DA141D">
              <w:rPr>
                <w:rFonts w:ascii="Times New Roman" w:hAnsi="Times New Roman" w:cs="Times New Roman"/>
                <w:sz w:val="24"/>
                <w:szCs w:val="24"/>
              </w:rPr>
              <w:t xml:space="preserve"> ņemot vērā LATAK sniegto informāciju.</w:t>
            </w:r>
            <w:r w:rsidR="00A42DBC">
              <w:t xml:space="preserve"> </w:t>
            </w:r>
          </w:p>
        </w:tc>
      </w:tr>
      <w:tr w:rsidR="00493DC7" w:rsidRPr="00493DC7" w14:paraId="423C6AE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3C6AEA" w14:textId="77777777" w:rsidR="00655F2C" w:rsidRPr="00493DC7" w:rsidRDefault="00E5323B" w:rsidP="00E5323B">
            <w:pPr>
              <w:spacing w:after="0" w:line="240" w:lineRule="auto"/>
              <w:rPr>
                <w:rFonts w:ascii="Times New Roman" w:eastAsia="Times New Roman" w:hAnsi="Times New Roman" w:cs="Times New Roman"/>
                <w:iCs/>
                <w:sz w:val="24"/>
                <w:szCs w:val="24"/>
                <w:lang w:eastAsia="lv-LV"/>
              </w:rPr>
            </w:pPr>
            <w:r w:rsidRPr="00493DC7">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23C6AEB" w14:textId="77777777" w:rsidR="00E5323B" w:rsidRPr="00493DC7" w:rsidRDefault="00E5323B" w:rsidP="00E5323B">
            <w:pPr>
              <w:spacing w:after="0" w:line="240" w:lineRule="auto"/>
              <w:rPr>
                <w:rFonts w:ascii="Times New Roman" w:eastAsia="Times New Roman" w:hAnsi="Times New Roman" w:cs="Times New Roman"/>
                <w:iCs/>
                <w:sz w:val="24"/>
                <w:szCs w:val="24"/>
                <w:lang w:eastAsia="lv-LV"/>
              </w:rPr>
            </w:pPr>
            <w:r w:rsidRPr="00493DC7">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23C6AEC" w14:textId="073F488F" w:rsidR="00996217" w:rsidRPr="00493DC7" w:rsidRDefault="00996217" w:rsidP="0064335B">
            <w:pPr>
              <w:spacing w:after="0" w:line="240" w:lineRule="auto"/>
              <w:jc w:val="both"/>
              <w:rPr>
                <w:rFonts w:ascii="Times New Roman" w:eastAsia="Times New Roman" w:hAnsi="Times New Roman" w:cs="Times New Roman"/>
                <w:iCs/>
                <w:sz w:val="24"/>
                <w:szCs w:val="24"/>
                <w:lang w:eastAsia="lv-LV"/>
              </w:rPr>
            </w:pPr>
            <w:r w:rsidRPr="00493DC7">
              <w:rPr>
                <w:rFonts w:ascii="Times New Roman" w:eastAsia="Times New Roman" w:hAnsi="Times New Roman" w:cs="Times New Roman"/>
                <w:iCs/>
                <w:sz w:val="24"/>
                <w:szCs w:val="24"/>
                <w:lang w:eastAsia="lv-LV"/>
              </w:rPr>
              <w:t>Noteikumu projekts tika saskaņots ar VVD un LATAK.</w:t>
            </w:r>
          </w:p>
        </w:tc>
      </w:tr>
    </w:tbl>
    <w:p w14:paraId="423C6AEE" w14:textId="77777777" w:rsidR="00E5323B" w:rsidRPr="00DA6709" w:rsidRDefault="00E5323B" w:rsidP="00E5323B">
      <w:pPr>
        <w:spacing w:after="0" w:line="240" w:lineRule="auto"/>
        <w:rPr>
          <w:rFonts w:ascii="Times New Roman" w:eastAsia="Times New Roman" w:hAnsi="Times New Roman" w:cs="Times New Roman"/>
          <w:iCs/>
          <w:color w:val="414142"/>
          <w:sz w:val="24"/>
          <w:szCs w:val="24"/>
          <w:lang w:eastAsia="lv-LV"/>
        </w:rPr>
      </w:pPr>
      <w:r w:rsidRPr="00DA6709">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493DC7" w:rsidRPr="00493DC7" w14:paraId="423C6AF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23C6AEF" w14:textId="77777777" w:rsidR="00655F2C" w:rsidRPr="00493DC7" w:rsidRDefault="00E5323B" w:rsidP="00E5323B">
            <w:pPr>
              <w:spacing w:after="0" w:line="240" w:lineRule="auto"/>
              <w:rPr>
                <w:rFonts w:ascii="Times New Roman" w:eastAsia="Times New Roman" w:hAnsi="Times New Roman" w:cs="Times New Roman"/>
                <w:b/>
                <w:bCs/>
                <w:iCs/>
                <w:sz w:val="24"/>
                <w:szCs w:val="24"/>
                <w:lang w:eastAsia="lv-LV"/>
              </w:rPr>
            </w:pPr>
            <w:r w:rsidRPr="00493DC7">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493DC7" w:rsidRPr="00493DC7" w14:paraId="423C6AF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3C6AF1" w14:textId="77777777" w:rsidR="00655F2C" w:rsidRPr="00493DC7" w:rsidRDefault="00E5323B" w:rsidP="00E5323B">
            <w:pPr>
              <w:spacing w:after="0" w:line="240" w:lineRule="auto"/>
              <w:rPr>
                <w:rFonts w:ascii="Times New Roman" w:eastAsia="Times New Roman" w:hAnsi="Times New Roman" w:cs="Times New Roman"/>
                <w:iCs/>
                <w:sz w:val="24"/>
                <w:szCs w:val="24"/>
                <w:lang w:eastAsia="lv-LV"/>
              </w:rPr>
            </w:pPr>
            <w:r w:rsidRPr="00493DC7">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23C6AF2" w14:textId="77777777" w:rsidR="00E5323B" w:rsidRPr="00493DC7" w:rsidRDefault="00E5323B" w:rsidP="00E5323B">
            <w:pPr>
              <w:spacing w:after="0" w:line="240" w:lineRule="auto"/>
              <w:rPr>
                <w:rFonts w:ascii="Times New Roman" w:eastAsia="Times New Roman" w:hAnsi="Times New Roman" w:cs="Times New Roman"/>
                <w:iCs/>
                <w:sz w:val="24"/>
                <w:szCs w:val="24"/>
                <w:lang w:eastAsia="lv-LV"/>
              </w:rPr>
            </w:pPr>
            <w:r w:rsidRPr="00493DC7">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423C6AF3" w14:textId="79AFA8DF" w:rsidR="009424A1" w:rsidRPr="00493DC7" w:rsidRDefault="009424A1" w:rsidP="00E5323B">
            <w:pPr>
              <w:spacing w:after="0" w:line="240" w:lineRule="auto"/>
              <w:rPr>
                <w:rFonts w:ascii="Times New Roman" w:eastAsia="Times New Roman" w:hAnsi="Times New Roman" w:cs="Times New Roman"/>
                <w:iCs/>
                <w:sz w:val="24"/>
                <w:szCs w:val="24"/>
                <w:lang w:eastAsia="lv-LV"/>
              </w:rPr>
            </w:pPr>
            <w:r w:rsidRPr="00493DC7">
              <w:rPr>
                <w:rFonts w:ascii="Times New Roman" w:eastAsia="Times New Roman" w:hAnsi="Times New Roman" w:cs="Times New Roman"/>
                <w:iCs/>
                <w:sz w:val="24"/>
                <w:szCs w:val="24"/>
                <w:lang w:eastAsia="lv-LV"/>
              </w:rPr>
              <w:t>VARAM, VVD un LATAK.</w:t>
            </w:r>
          </w:p>
        </w:tc>
      </w:tr>
      <w:tr w:rsidR="00493DC7" w:rsidRPr="00493DC7" w14:paraId="423C6AF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3C6AF5" w14:textId="77777777" w:rsidR="00655F2C" w:rsidRPr="00493DC7" w:rsidRDefault="00E5323B" w:rsidP="00E5323B">
            <w:pPr>
              <w:spacing w:after="0" w:line="240" w:lineRule="auto"/>
              <w:rPr>
                <w:rFonts w:ascii="Times New Roman" w:eastAsia="Times New Roman" w:hAnsi="Times New Roman" w:cs="Times New Roman"/>
                <w:iCs/>
                <w:sz w:val="24"/>
                <w:szCs w:val="24"/>
                <w:lang w:eastAsia="lv-LV"/>
              </w:rPr>
            </w:pPr>
            <w:r w:rsidRPr="00493DC7">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423C6AF6" w14:textId="77777777" w:rsidR="00E5323B" w:rsidRPr="00493DC7" w:rsidRDefault="00E5323B" w:rsidP="00E5323B">
            <w:pPr>
              <w:spacing w:after="0" w:line="240" w:lineRule="auto"/>
              <w:rPr>
                <w:rFonts w:ascii="Times New Roman" w:eastAsia="Times New Roman" w:hAnsi="Times New Roman" w:cs="Times New Roman"/>
                <w:iCs/>
                <w:sz w:val="24"/>
                <w:szCs w:val="24"/>
                <w:lang w:eastAsia="lv-LV"/>
              </w:rPr>
            </w:pPr>
            <w:r w:rsidRPr="00493DC7">
              <w:rPr>
                <w:rFonts w:ascii="Times New Roman" w:eastAsia="Times New Roman" w:hAnsi="Times New Roman" w:cs="Times New Roman"/>
                <w:iCs/>
                <w:sz w:val="24"/>
                <w:szCs w:val="24"/>
                <w:lang w:eastAsia="lv-LV"/>
              </w:rPr>
              <w:t>Projekta izpildes ietekme uz pārvaldes funkcijām un institucionālo struktūru.</w:t>
            </w:r>
            <w:r w:rsidRPr="00493DC7">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47EB0626" w14:textId="21CF521E" w:rsidR="00430308" w:rsidRPr="00493DC7" w:rsidRDefault="00430308" w:rsidP="009E38DE">
            <w:pPr>
              <w:spacing w:after="0" w:line="240" w:lineRule="auto"/>
              <w:jc w:val="both"/>
              <w:rPr>
                <w:rFonts w:ascii="Times New Roman" w:eastAsia="Times New Roman" w:hAnsi="Times New Roman" w:cs="Times New Roman"/>
                <w:iCs/>
                <w:sz w:val="24"/>
                <w:szCs w:val="24"/>
                <w:lang w:eastAsia="lv-LV"/>
              </w:rPr>
            </w:pPr>
            <w:r w:rsidRPr="00493DC7">
              <w:rPr>
                <w:rFonts w:ascii="Times New Roman" w:eastAsia="Times New Roman" w:hAnsi="Times New Roman" w:cs="Times New Roman"/>
                <w:iCs/>
                <w:sz w:val="24"/>
                <w:szCs w:val="24"/>
                <w:lang w:eastAsia="lv-LV"/>
              </w:rPr>
              <w:t>Noteikumu projektā iekļautie nosacījumi var radīt ietekmi uz pārvaldes funkcijām, tomēr tas neietekmēs institucionālo sistēmu.</w:t>
            </w:r>
          </w:p>
          <w:p w14:paraId="1E57C51C" w14:textId="77777777" w:rsidR="00430308" w:rsidRPr="00493DC7" w:rsidRDefault="00430308">
            <w:pPr>
              <w:spacing w:after="0" w:line="240" w:lineRule="auto"/>
              <w:jc w:val="both"/>
              <w:rPr>
                <w:rFonts w:ascii="Times New Roman" w:eastAsia="Times New Roman" w:hAnsi="Times New Roman" w:cs="Times New Roman"/>
                <w:iCs/>
                <w:sz w:val="24"/>
                <w:szCs w:val="24"/>
                <w:lang w:eastAsia="lv-LV"/>
              </w:rPr>
            </w:pPr>
          </w:p>
          <w:p w14:paraId="28318CD4" w14:textId="298E1D45" w:rsidR="00430308" w:rsidRPr="00493DC7" w:rsidRDefault="00430308">
            <w:pPr>
              <w:spacing w:after="0" w:line="240" w:lineRule="auto"/>
              <w:jc w:val="both"/>
              <w:rPr>
                <w:rFonts w:ascii="Times New Roman" w:eastAsia="Times New Roman" w:hAnsi="Times New Roman" w:cs="Times New Roman"/>
                <w:iCs/>
                <w:sz w:val="24"/>
                <w:szCs w:val="24"/>
                <w:lang w:eastAsia="lv-LV"/>
              </w:rPr>
            </w:pPr>
            <w:r w:rsidRPr="00493DC7">
              <w:rPr>
                <w:rFonts w:ascii="Times New Roman" w:eastAsia="Times New Roman" w:hAnsi="Times New Roman" w:cs="Times New Roman"/>
                <w:iCs/>
                <w:sz w:val="24"/>
                <w:szCs w:val="24"/>
                <w:lang w:eastAsia="lv-LV"/>
              </w:rPr>
              <w:t xml:space="preserve">Noteikumu projektā iekļauto nosacījumu izpildei nav nepieciešams veidot jaunas institūcijas, likvidēt vai reorganizēt esošās institūcijas. </w:t>
            </w:r>
          </w:p>
          <w:p w14:paraId="0FF469B3" w14:textId="77777777" w:rsidR="00430308" w:rsidRPr="00493DC7" w:rsidRDefault="00430308">
            <w:pPr>
              <w:spacing w:after="0" w:line="240" w:lineRule="auto"/>
              <w:jc w:val="both"/>
              <w:rPr>
                <w:rFonts w:ascii="Times New Roman" w:eastAsia="Times New Roman" w:hAnsi="Times New Roman" w:cs="Times New Roman"/>
                <w:iCs/>
                <w:sz w:val="24"/>
                <w:szCs w:val="24"/>
                <w:lang w:eastAsia="lv-LV"/>
              </w:rPr>
            </w:pPr>
          </w:p>
          <w:p w14:paraId="2E87B2D9" w14:textId="4C05A7C6" w:rsidR="00430308" w:rsidRPr="00493DC7" w:rsidRDefault="00430308">
            <w:pPr>
              <w:spacing w:after="0" w:line="240" w:lineRule="auto"/>
              <w:jc w:val="both"/>
              <w:rPr>
                <w:rFonts w:ascii="Times New Roman" w:eastAsia="Times New Roman" w:hAnsi="Times New Roman" w:cs="Times New Roman"/>
                <w:iCs/>
                <w:sz w:val="24"/>
                <w:szCs w:val="24"/>
                <w:lang w:eastAsia="lv-LV"/>
              </w:rPr>
            </w:pPr>
            <w:r w:rsidRPr="00493DC7">
              <w:rPr>
                <w:rFonts w:ascii="Times New Roman" w:eastAsia="Times New Roman" w:hAnsi="Times New Roman" w:cs="Times New Roman"/>
                <w:iCs/>
                <w:sz w:val="24"/>
                <w:szCs w:val="24"/>
                <w:lang w:eastAsia="lv-LV"/>
              </w:rPr>
              <w:t>Noteikumu projektā iekļauto nosacījumu izpilde neatstās ietekmi uz cilvēkresursiem.</w:t>
            </w:r>
          </w:p>
          <w:p w14:paraId="26E4F8DD" w14:textId="77777777" w:rsidR="00430308" w:rsidRPr="00493DC7" w:rsidRDefault="00430308">
            <w:pPr>
              <w:spacing w:after="0" w:line="240" w:lineRule="auto"/>
              <w:jc w:val="both"/>
              <w:rPr>
                <w:rFonts w:ascii="Times New Roman" w:eastAsia="Times New Roman" w:hAnsi="Times New Roman" w:cs="Times New Roman"/>
                <w:iCs/>
                <w:sz w:val="24"/>
                <w:szCs w:val="24"/>
                <w:lang w:eastAsia="lv-LV"/>
              </w:rPr>
            </w:pPr>
          </w:p>
          <w:p w14:paraId="423C6AF7" w14:textId="10022A41" w:rsidR="00E5323B" w:rsidRPr="00493DC7" w:rsidRDefault="00430308" w:rsidP="007541DE">
            <w:pPr>
              <w:spacing w:after="0" w:line="240" w:lineRule="auto"/>
              <w:jc w:val="both"/>
              <w:rPr>
                <w:rFonts w:ascii="Times New Roman" w:eastAsia="Times New Roman" w:hAnsi="Times New Roman" w:cs="Times New Roman"/>
                <w:iCs/>
                <w:sz w:val="24"/>
                <w:szCs w:val="24"/>
                <w:lang w:eastAsia="lv-LV"/>
              </w:rPr>
            </w:pPr>
            <w:r w:rsidRPr="00493DC7">
              <w:rPr>
                <w:rFonts w:ascii="Times New Roman" w:eastAsia="Times New Roman" w:hAnsi="Times New Roman" w:cs="Times New Roman"/>
                <w:iCs/>
                <w:sz w:val="24"/>
                <w:szCs w:val="24"/>
                <w:lang w:eastAsia="lv-LV"/>
              </w:rPr>
              <w:t>Noteikumu projekta izpildē iesaistītās institūcijas noteikumu</w:t>
            </w:r>
            <w:r w:rsidR="008A6D27">
              <w:rPr>
                <w:rFonts w:ascii="Times New Roman" w:eastAsia="Times New Roman" w:hAnsi="Times New Roman" w:cs="Times New Roman"/>
                <w:iCs/>
                <w:sz w:val="24"/>
                <w:szCs w:val="24"/>
                <w:lang w:eastAsia="lv-LV"/>
              </w:rPr>
              <w:t xml:space="preserve"> Nr. 769</w:t>
            </w:r>
            <w:r w:rsidRPr="00493DC7">
              <w:rPr>
                <w:rFonts w:ascii="Times New Roman" w:eastAsia="Times New Roman" w:hAnsi="Times New Roman" w:cs="Times New Roman"/>
                <w:iCs/>
                <w:sz w:val="24"/>
                <w:szCs w:val="24"/>
                <w:lang w:eastAsia="lv-LV"/>
              </w:rPr>
              <w:t xml:space="preserve"> projektā iekļautos pasākumu nodrošinās piešķirto valsts budžeta līdzekļu ietvaros.</w:t>
            </w:r>
          </w:p>
        </w:tc>
      </w:tr>
      <w:tr w:rsidR="00493DC7" w:rsidRPr="00493DC7" w14:paraId="423C6AF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3C6AF9" w14:textId="77777777" w:rsidR="00655F2C" w:rsidRPr="00493DC7" w:rsidRDefault="00E5323B" w:rsidP="00E5323B">
            <w:pPr>
              <w:spacing w:after="0" w:line="240" w:lineRule="auto"/>
              <w:rPr>
                <w:rFonts w:ascii="Times New Roman" w:eastAsia="Times New Roman" w:hAnsi="Times New Roman" w:cs="Times New Roman"/>
                <w:iCs/>
                <w:sz w:val="24"/>
                <w:szCs w:val="24"/>
                <w:lang w:eastAsia="lv-LV"/>
              </w:rPr>
            </w:pPr>
            <w:r w:rsidRPr="00493DC7">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23C6AFA" w14:textId="77777777" w:rsidR="00E5323B" w:rsidRPr="00493DC7" w:rsidRDefault="00E5323B" w:rsidP="00E5323B">
            <w:pPr>
              <w:spacing w:after="0" w:line="240" w:lineRule="auto"/>
              <w:rPr>
                <w:rFonts w:ascii="Times New Roman" w:eastAsia="Times New Roman" w:hAnsi="Times New Roman" w:cs="Times New Roman"/>
                <w:iCs/>
                <w:sz w:val="24"/>
                <w:szCs w:val="24"/>
                <w:lang w:eastAsia="lv-LV"/>
              </w:rPr>
            </w:pPr>
            <w:r w:rsidRPr="00493DC7">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23C6AFB" w14:textId="2E05FCE6" w:rsidR="00E5323B" w:rsidRPr="00493DC7" w:rsidRDefault="00430308" w:rsidP="00E5323B">
            <w:pPr>
              <w:spacing w:after="0" w:line="240" w:lineRule="auto"/>
              <w:rPr>
                <w:rFonts w:ascii="Times New Roman" w:eastAsia="Times New Roman" w:hAnsi="Times New Roman" w:cs="Times New Roman"/>
                <w:iCs/>
                <w:sz w:val="24"/>
                <w:szCs w:val="24"/>
                <w:lang w:eastAsia="lv-LV"/>
              </w:rPr>
            </w:pPr>
            <w:r w:rsidRPr="00493DC7">
              <w:rPr>
                <w:rFonts w:ascii="Times New Roman" w:eastAsia="Times New Roman" w:hAnsi="Times New Roman" w:cs="Times New Roman"/>
                <w:iCs/>
                <w:sz w:val="24"/>
                <w:szCs w:val="24"/>
                <w:lang w:eastAsia="lv-LV"/>
              </w:rPr>
              <w:t>Nav</w:t>
            </w:r>
          </w:p>
        </w:tc>
      </w:tr>
    </w:tbl>
    <w:p w14:paraId="423C6AFD" w14:textId="77777777" w:rsidR="00C25B49" w:rsidRPr="00DA6709" w:rsidRDefault="00C25B49" w:rsidP="00894C55">
      <w:pPr>
        <w:spacing w:after="0" w:line="240" w:lineRule="auto"/>
        <w:rPr>
          <w:rFonts w:ascii="Times New Roman" w:hAnsi="Times New Roman" w:cs="Times New Roman"/>
          <w:sz w:val="28"/>
          <w:szCs w:val="28"/>
        </w:rPr>
      </w:pPr>
    </w:p>
    <w:p w14:paraId="423C6AFE" w14:textId="77777777" w:rsidR="00E5323B" w:rsidRPr="00DA6709" w:rsidRDefault="00E5323B" w:rsidP="00894C55">
      <w:pPr>
        <w:spacing w:after="0" w:line="240" w:lineRule="auto"/>
        <w:rPr>
          <w:rFonts w:ascii="Times New Roman" w:hAnsi="Times New Roman" w:cs="Times New Roman"/>
          <w:sz w:val="28"/>
          <w:szCs w:val="28"/>
        </w:rPr>
      </w:pPr>
    </w:p>
    <w:p w14:paraId="5EFB91BB" w14:textId="02A01F1C" w:rsidR="00DA0DC8" w:rsidRPr="003D7F0C" w:rsidRDefault="00DA0DC8" w:rsidP="00DA0DC8">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Vides aizsardzības un reģionālās attīstības</w:t>
      </w:r>
      <w:r w:rsidRPr="003D7F0C">
        <w:rPr>
          <w:rFonts w:ascii="Times New Roman" w:hAnsi="Times New Roman" w:cs="Times New Roman"/>
          <w:sz w:val="28"/>
          <w:szCs w:val="28"/>
        </w:rPr>
        <w:t xml:space="preserve"> </w:t>
      </w:r>
      <w:r>
        <w:rPr>
          <w:rFonts w:ascii="Times New Roman" w:hAnsi="Times New Roman" w:cs="Times New Roman"/>
          <w:sz w:val="28"/>
          <w:szCs w:val="28"/>
        </w:rPr>
        <w:t xml:space="preserve">ministrs </w:t>
      </w:r>
      <w:r>
        <w:rPr>
          <w:rFonts w:ascii="Times New Roman" w:hAnsi="Times New Roman" w:cs="Times New Roman"/>
          <w:sz w:val="28"/>
          <w:szCs w:val="28"/>
        </w:rPr>
        <w:tab/>
      </w:r>
      <w:r>
        <w:rPr>
          <w:rFonts w:ascii="Times New Roman" w:hAnsi="Times New Roman" w:cs="Times New Roman"/>
          <w:sz w:val="28"/>
          <w:szCs w:val="28"/>
        </w:rPr>
        <w:tab/>
      </w:r>
      <w:r w:rsidR="00827D5E">
        <w:rPr>
          <w:rFonts w:ascii="Times New Roman" w:hAnsi="Times New Roman" w:cs="Times New Roman"/>
          <w:sz w:val="28"/>
          <w:szCs w:val="28"/>
        </w:rPr>
        <w:t xml:space="preserve">Artūrs Toms </w:t>
      </w:r>
      <w:proofErr w:type="spellStart"/>
      <w:r w:rsidR="00827D5E">
        <w:rPr>
          <w:rFonts w:ascii="Times New Roman" w:hAnsi="Times New Roman" w:cs="Times New Roman"/>
          <w:sz w:val="28"/>
          <w:szCs w:val="28"/>
        </w:rPr>
        <w:t>Plešs</w:t>
      </w:r>
      <w:proofErr w:type="spellEnd"/>
    </w:p>
    <w:p w14:paraId="423C6B00" w14:textId="77777777" w:rsidR="00894C55" w:rsidRPr="00DA6709" w:rsidRDefault="00894C55" w:rsidP="00894C55">
      <w:pPr>
        <w:spacing w:after="0" w:line="240" w:lineRule="auto"/>
        <w:ind w:firstLine="720"/>
        <w:rPr>
          <w:rFonts w:ascii="Times New Roman" w:hAnsi="Times New Roman" w:cs="Times New Roman"/>
          <w:sz w:val="28"/>
          <w:szCs w:val="28"/>
        </w:rPr>
      </w:pPr>
    </w:p>
    <w:p w14:paraId="423C6B02" w14:textId="77777777" w:rsidR="00894C55" w:rsidRPr="00DA6709" w:rsidRDefault="00894C55" w:rsidP="00A17699">
      <w:pPr>
        <w:tabs>
          <w:tab w:val="left" w:pos="6237"/>
        </w:tabs>
        <w:spacing w:after="0" w:line="240" w:lineRule="auto"/>
        <w:rPr>
          <w:rFonts w:ascii="Times New Roman" w:hAnsi="Times New Roman" w:cs="Times New Roman"/>
          <w:sz w:val="28"/>
          <w:szCs w:val="28"/>
        </w:rPr>
      </w:pPr>
    </w:p>
    <w:p w14:paraId="423C6B04" w14:textId="77777777" w:rsidR="00894C55" w:rsidRPr="00DA6709" w:rsidRDefault="00894C55" w:rsidP="00A17699">
      <w:pPr>
        <w:tabs>
          <w:tab w:val="left" w:pos="6237"/>
        </w:tabs>
        <w:spacing w:after="0" w:line="240" w:lineRule="auto"/>
        <w:rPr>
          <w:rFonts w:ascii="Times New Roman" w:hAnsi="Times New Roman" w:cs="Times New Roman"/>
          <w:sz w:val="28"/>
          <w:szCs w:val="28"/>
        </w:rPr>
      </w:pPr>
    </w:p>
    <w:p w14:paraId="15A23CB5" w14:textId="77777777" w:rsidR="00493DC7" w:rsidRPr="00A17699" w:rsidRDefault="00493DC7" w:rsidP="00493DC7">
      <w:pPr>
        <w:tabs>
          <w:tab w:val="left" w:pos="6237"/>
        </w:tabs>
        <w:spacing w:after="0" w:line="240" w:lineRule="auto"/>
        <w:rPr>
          <w:rFonts w:ascii="Times New Roman" w:hAnsi="Times New Roman" w:cs="Times New Roman"/>
          <w:sz w:val="20"/>
          <w:szCs w:val="20"/>
        </w:rPr>
      </w:pPr>
      <w:r w:rsidRPr="00A17699">
        <w:rPr>
          <w:rFonts w:ascii="Times New Roman" w:hAnsi="Times New Roman" w:cs="Times New Roman"/>
          <w:sz w:val="20"/>
          <w:szCs w:val="20"/>
        </w:rPr>
        <w:t>Leimane</w:t>
      </w:r>
      <w:r w:rsidR="00D133F8" w:rsidRPr="00A17699">
        <w:rPr>
          <w:rFonts w:ascii="Times New Roman" w:hAnsi="Times New Roman" w:cs="Times New Roman"/>
          <w:sz w:val="20"/>
          <w:szCs w:val="20"/>
        </w:rPr>
        <w:t xml:space="preserve"> </w:t>
      </w:r>
      <w:r w:rsidRPr="00A17699">
        <w:rPr>
          <w:rFonts w:ascii="Times New Roman" w:hAnsi="Times New Roman" w:cs="Times New Roman"/>
          <w:sz w:val="20"/>
          <w:szCs w:val="20"/>
        </w:rPr>
        <w:t xml:space="preserve">67026528 </w:t>
      </w:r>
    </w:p>
    <w:p w14:paraId="423C6B06" w14:textId="0BFFAC1F" w:rsidR="00894C55" w:rsidRPr="00A17699" w:rsidRDefault="00493DC7" w:rsidP="00493DC7">
      <w:pPr>
        <w:tabs>
          <w:tab w:val="left" w:pos="6237"/>
        </w:tabs>
        <w:spacing w:after="0" w:line="240" w:lineRule="auto"/>
        <w:rPr>
          <w:rFonts w:ascii="Times New Roman" w:hAnsi="Times New Roman" w:cs="Times New Roman"/>
          <w:sz w:val="20"/>
          <w:szCs w:val="20"/>
        </w:rPr>
      </w:pPr>
      <w:r w:rsidRPr="00A17699">
        <w:rPr>
          <w:rFonts w:ascii="Times New Roman" w:hAnsi="Times New Roman" w:cs="Times New Roman"/>
          <w:sz w:val="20"/>
          <w:szCs w:val="20"/>
        </w:rPr>
        <w:t>Liza.Leimane@varam.gov.lv</w:t>
      </w:r>
    </w:p>
    <w:sectPr w:rsidR="00894C55" w:rsidRPr="00A17699" w:rsidSect="009A2654">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8C65B9" w14:textId="77777777" w:rsidR="00E07F06" w:rsidRDefault="00E07F06" w:rsidP="00894C55">
      <w:pPr>
        <w:spacing w:after="0" w:line="240" w:lineRule="auto"/>
      </w:pPr>
      <w:r>
        <w:separator/>
      </w:r>
    </w:p>
  </w:endnote>
  <w:endnote w:type="continuationSeparator" w:id="0">
    <w:p w14:paraId="1E8D7E86" w14:textId="77777777" w:rsidR="00E07F06" w:rsidRDefault="00E07F06" w:rsidP="00894C55">
      <w:pPr>
        <w:spacing w:after="0" w:line="240" w:lineRule="auto"/>
      </w:pPr>
      <w:r>
        <w:continuationSeparator/>
      </w:r>
    </w:p>
  </w:endnote>
  <w:endnote w:type="continuationNotice" w:id="1">
    <w:p w14:paraId="48732A15" w14:textId="77777777" w:rsidR="00E07F06" w:rsidRDefault="00E07F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C6B0C" w14:textId="3DD02784" w:rsidR="00894C55" w:rsidRPr="00063814" w:rsidRDefault="00063814" w:rsidP="00063814">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8A0DBD">
      <w:rPr>
        <w:rFonts w:ascii="Times New Roman" w:hAnsi="Times New Roman" w:cs="Times New Roman"/>
        <w:noProof/>
        <w:sz w:val="20"/>
        <w:szCs w:val="20"/>
      </w:rPr>
      <w:t>VARAMAnot_02032021_Groz769</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C6B0D" w14:textId="6BBD3084" w:rsidR="009A2654" w:rsidRPr="00063814" w:rsidRDefault="00063814" w:rsidP="00063814">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8A0DBD">
      <w:rPr>
        <w:rFonts w:ascii="Times New Roman" w:hAnsi="Times New Roman" w:cs="Times New Roman"/>
        <w:noProof/>
        <w:sz w:val="20"/>
        <w:szCs w:val="20"/>
      </w:rPr>
      <w:t>VARAMAnot_02032021_Groz769</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D993CE" w14:textId="77777777" w:rsidR="00E07F06" w:rsidRDefault="00E07F06" w:rsidP="00894C55">
      <w:pPr>
        <w:spacing w:after="0" w:line="240" w:lineRule="auto"/>
      </w:pPr>
      <w:r>
        <w:separator/>
      </w:r>
    </w:p>
  </w:footnote>
  <w:footnote w:type="continuationSeparator" w:id="0">
    <w:p w14:paraId="6546C66F" w14:textId="77777777" w:rsidR="00E07F06" w:rsidRDefault="00E07F06" w:rsidP="00894C55">
      <w:pPr>
        <w:spacing w:after="0" w:line="240" w:lineRule="auto"/>
      </w:pPr>
      <w:r>
        <w:continuationSeparator/>
      </w:r>
    </w:p>
  </w:footnote>
  <w:footnote w:type="continuationNotice" w:id="1">
    <w:p w14:paraId="54581A46" w14:textId="77777777" w:rsidR="00E07F06" w:rsidRDefault="00E07F06">
      <w:pPr>
        <w:spacing w:after="0" w:line="240" w:lineRule="auto"/>
      </w:pPr>
    </w:p>
  </w:footnote>
  <w:footnote w:id="2">
    <w:p w14:paraId="467ED290" w14:textId="09C89140" w:rsidR="00DB0CE9" w:rsidRPr="003D2173" w:rsidRDefault="00DB0CE9">
      <w:pPr>
        <w:pStyle w:val="FootnoteText"/>
        <w:rPr>
          <w:rFonts w:ascii="Times New Roman" w:hAnsi="Times New Roman" w:cs="Times New Roman"/>
        </w:rPr>
      </w:pPr>
      <w:r w:rsidRPr="003D2173">
        <w:rPr>
          <w:rStyle w:val="FootnoteReference"/>
          <w:rFonts w:ascii="Times New Roman" w:hAnsi="Times New Roman" w:cs="Times New Roman"/>
        </w:rPr>
        <w:footnoteRef/>
      </w:r>
      <w:r w:rsidRPr="003D2173">
        <w:rPr>
          <w:rFonts w:ascii="Times New Roman" w:hAnsi="Times New Roman" w:cs="Times New Roman"/>
        </w:rPr>
        <w:t xml:space="preserve"> https://data.consilium.europa.eu/doc/document/ST-169-2014-INIT/lv/pdf</w:t>
      </w:r>
    </w:p>
  </w:footnote>
  <w:footnote w:id="3">
    <w:p w14:paraId="6A31674E" w14:textId="5C8C5FA7" w:rsidR="009E3E7E" w:rsidRPr="00585EAD" w:rsidRDefault="009E3E7E">
      <w:pPr>
        <w:pStyle w:val="FootnoteText"/>
        <w:rPr>
          <w:rFonts w:ascii="Times New Roman" w:hAnsi="Times New Roman" w:cs="Times New Roman"/>
        </w:rPr>
      </w:pPr>
      <w:r w:rsidRPr="00585EAD">
        <w:rPr>
          <w:rStyle w:val="FootnoteReference"/>
          <w:rFonts w:ascii="Times New Roman" w:hAnsi="Times New Roman" w:cs="Times New Roman"/>
        </w:rPr>
        <w:footnoteRef/>
      </w:r>
      <w:r w:rsidRPr="00585EAD">
        <w:rPr>
          <w:rFonts w:ascii="Times New Roman" w:hAnsi="Times New Roman" w:cs="Times New Roman"/>
        </w:rPr>
        <w:t xml:space="preserve"> </w:t>
      </w:r>
      <w:r w:rsidR="00585EAD" w:rsidRPr="00585EAD">
        <w:rPr>
          <w:rFonts w:ascii="Times New Roman" w:hAnsi="Times New Roman" w:cs="Times New Roman"/>
        </w:rPr>
        <w:t>https://ec.europa.eu/clima/news/timing-distribution-free-allowances-2021_en</w:t>
      </w:r>
    </w:p>
  </w:footnote>
  <w:footnote w:id="4">
    <w:p w14:paraId="12CAF408" w14:textId="2ADD1E02" w:rsidR="00B714DF" w:rsidRPr="00F50E49" w:rsidRDefault="00B714DF">
      <w:pPr>
        <w:pStyle w:val="FootnoteText"/>
        <w:rPr>
          <w:rFonts w:ascii="Times New Roman" w:hAnsi="Times New Roman" w:cs="Times New Roman"/>
        </w:rPr>
      </w:pPr>
      <w:r w:rsidRPr="00F50E49">
        <w:rPr>
          <w:rStyle w:val="FootnoteReference"/>
          <w:rFonts w:ascii="Times New Roman" w:hAnsi="Times New Roman" w:cs="Times New Roman"/>
        </w:rPr>
        <w:footnoteRef/>
      </w:r>
      <w:r w:rsidRPr="00F50E49">
        <w:rPr>
          <w:rFonts w:ascii="Times New Roman" w:hAnsi="Times New Roman" w:cs="Times New Roman"/>
        </w:rPr>
        <w:t xml:space="preserve"> </w:t>
      </w:r>
      <w:r w:rsidR="00F50E49" w:rsidRPr="00F50E49">
        <w:rPr>
          <w:rFonts w:ascii="Times New Roman" w:hAnsi="Times New Roman" w:cs="Times New Roman"/>
        </w:rPr>
        <w:t>https://www.fm.gov.lv/lv/230100-valsts-vides-dienests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23C6B0B" w14:textId="6EDAF46C"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9C69BC">
          <w:rPr>
            <w:rFonts w:ascii="Times New Roman" w:hAnsi="Times New Roman" w:cs="Times New Roman"/>
            <w:noProof/>
            <w:sz w:val="24"/>
            <w:szCs w:val="20"/>
          </w:rPr>
          <w:t>13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42337"/>
    <w:multiLevelType w:val="hybridMultilevel"/>
    <w:tmpl w:val="40346D4A"/>
    <w:lvl w:ilvl="0" w:tplc="1390D23E">
      <w:start w:val="1"/>
      <w:numFmt w:val="bullet"/>
      <w:lvlText w:val=""/>
      <w:lvlJc w:val="left"/>
      <w:pPr>
        <w:ind w:left="890" w:hanging="360"/>
      </w:pPr>
      <w:rPr>
        <w:rFonts w:ascii="Symbol" w:hAnsi="Symbol" w:hint="default"/>
      </w:rPr>
    </w:lvl>
    <w:lvl w:ilvl="1" w:tplc="04260003">
      <w:start w:val="1"/>
      <w:numFmt w:val="bullet"/>
      <w:lvlText w:val="o"/>
      <w:lvlJc w:val="left"/>
      <w:pPr>
        <w:ind w:left="1610" w:hanging="360"/>
      </w:pPr>
      <w:rPr>
        <w:rFonts w:ascii="Courier New" w:hAnsi="Courier New" w:cs="Courier New" w:hint="default"/>
      </w:rPr>
    </w:lvl>
    <w:lvl w:ilvl="2" w:tplc="04260005">
      <w:start w:val="1"/>
      <w:numFmt w:val="bullet"/>
      <w:lvlText w:val=""/>
      <w:lvlJc w:val="left"/>
      <w:pPr>
        <w:ind w:left="2330" w:hanging="360"/>
      </w:pPr>
      <w:rPr>
        <w:rFonts w:ascii="Wingdings" w:hAnsi="Wingdings" w:hint="default"/>
      </w:rPr>
    </w:lvl>
    <w:lvl w:ilvl="3" w:tplc="04260001">
      <w:start w:val="1"/>
      <w:numFmt w:val="bullet"/>
      <w:lvlText w:val=""/>
      <w:lvlJc w:val="left"/>
      <w:pPr>
        <w:ind w:left="3050" w:hanging="360"/>
      </w:pPr>
      <w:rPr>
        <w:rFonts w:ascii="Symbol" w:hAnsi="Symbol" w:hint="default"/>
      </w:rPr>
    </w:lvl>
    <w:lvl w:ilvl="4" w:tplc="04260003">
      <w:start w:val="1"/>
      <w:numFmt w:val="bullet"/>
      <w:lvlText w:val="o"/>
      <w:lvlJc w:val="left"/>
      <w:pPr>
        <w:ind w:left="3770" w:hanging="360"/>
      </w:pPr>
      <w:rPr>
        <w:rFonts w:ascii="Courier New" w:hAnsi="Courier New" w:cs="Courier New" w:hint="default"/>
      </w:rPr>
    </w:lvl>
    <w:lvl w:ilvl="5" w:tplc="04260005">
      <w:start w:val="1"/>
      <w:numFmt w:val="bullet"/>
      <w:lvlText w:val=""/>
      <w:lvlJc w:val="left"/>
      <w:pPr>
        <w:ind w:left="4490" w:hanging="360"/>
      </w:pPr>
      <w:rPr>
        <w:rFonts w:ascii="Wingdings" w:hAnsi="Wingdings" w:hint="default"/>
      </w:rPr>
    </w:lvl>
    <w:lvl w:ilvl="6" w:tplc="04260001">
      <w:start w:val="1"/>
      <w:numFmt w:val="bullet"/>
      <w:lvlText w:val=""/>
      <w:lvlJc w:val="left"/>
      <w:pPr>
        <w:ind w:left="5210" w:hanging="360"/>
      </w:pPr>
      <w:rPr>
        <w:rFonts w:ascii="Symbol" w:hAnsi="Symbol" w:hint="default"/>
      </w:rPr>
    </w:lvl>
    <w:lvl w:ilvl="7" w:tplc="04260003">
      <w:start w:val="1"/>
      <w:numFmt w:val="bullet"/>
      <w:lvlText w:val="o"/>
      <w:lvlJc w:val="left"/>
      <w:pPr>
        <w:ind w:left="5930" w:hanging="360"/>
      </w:pPr>
      <w:rPr>
        <w:rFonts w:ascii="Courier New" w:hAnsi="Courier New" w:cs="Courier New" w:hint="default"/>
      </w:rPr>
    </w:lvl>
    <w:lvl w:ilvl="8" w:tplc="04260005">
      <w:start w:val="1"/>
      <w:numFmt w:val="bullet"/>
      <w:lvlText w:val=""/>
      <w:lvlJc w:val="left"/>
      <w:pPr>
        <w:ind w:left="6650" w:hanging="360"/>
      </w:pPr>
      <w:rPr>
        <w:rFonts w:ascii="Wingdings" w:hAnsi="Wingdings" w:hint="default"/>
      </w:rPr>
    </w:lvl>
  </w:abstractNum>
  <w:abstractNum w:abstractNumId="1" w15:restartNumberingAfterBreak="0">
    <w:nsid w:val="11023EA4"/>
    <w:multiLevelType w:val="hybridMultilevel"/>
    <w:tmpl w:val="4E7C76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4D86606"/>
    <w:multiLevelType w:val="hybridMultilevel"/>
    <w:tmpl w:val="738ACF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7204C75"/>
    <w:multiLevelType w:val="hybridMultilevel"/>
    <w:tmpl w:val="B09616D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ECF27EB"/>
    <w:multiLevelType w:val="hybridMultilevel"/>
    <w:tmpl w:val="B1ACB5EC"/>
    <w:lvl w:ilvl="0" w:tplc="8B1A018C">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1EB691B"/>
    <w:multiLevelType w:val="hybridMultilevel"/>
    <w:tmpl w:val="13AAB5F4"/>
    <w:lvl w:ilvl="0" w:tplc="043A62EE">
      <w:start w:val="1"/>
      <w:numFmt w:val="bullet"/>
      <w:lvlText w:val="•"/>
      <w:lvlJc w:val="left"/>
      <w:pPr>
        <w:tabs>
          <w:tab w:val="num" w:pos="720"/>
        </w:tabs>
        <w:ind w:left="720" w:hanging="360"/>
      </w:pPr>
      <w:rPr>
        <w:rFonts w:ascii="Arial" w:hAnsi="Arial" w:hint="default"/>
      </w:rPr>
    </w:lvl>
    <w:lvl w:ilvl="1" w:tplc="B83C4A34" w:tentative="1">
      <w:start w:val="1"/>
      <w:numFmt w:val="bullet"/>
      <w:lvlText w:val="•"/>
      <w:lvlJc w:val="left"/>
      <w:pPr>
        <w:tabs>
          <w:tab w:val="num" w:pos="1440"/>
        </w:tabs>
        <w:ind w:left="1440" w:hanging="360"/>
      </w:pPr>
      <w:rPr>
        <w:rFonts w:ascii="Arial" w:hAnsi="Arial" w:hint="default"/>
      </w:rPr>
    </w:lvl>
    <w:lvl w:ilvl="2" w:tplc="0324FB34" w:tentative="1">
      <w:start w:val="1"/>
      <w:numFmt w:val="bullet"/>
      <w:lvlText w:val="•"/>
      <w:lvlJc w:val="left"/>
      <w:pPr>
        <w:tabs>
          <w:tab w:val="num" w:pos="2160"/>
        </w:tabs>
        <w:ind w:left="2160" w:hanging="360"/>
      </w:pPr>
      <w:rPr>
        <w:rFonts w:ascii="Arial" w:hAnsi="Arial" w:hint="default"/>
      </w:rPr>
    </w:lvl>
    <w:lvl w:ilvl="3" w:tplc="A30441C8" w:tentative="1">
      <w:start w:val="1"/>
      <w:numFmt w:val="bullet"/>
      <w:lvlText w:val="•"/>
      <w:lvlJc w:val="left"/>
      <w:pPr>
        <w:tabs>
          <w:tab w:val="num" w:pos="2880"/>
        </w:tabs>
        <w:ind w:left="2880" w:hanging="360"/>
      </w:pPr>
      <w:rPr>
        <w:rFonts w:ascii="Arial" w:hAnsi="Arial" w:hint="default"/>
      </w:rPr>
    </w:lvl>
    <w:lvl w:ilvl="4" w:tplc="2B689FDE" w:tentative="1">
      <w:start w:val="1"/>
      <w:numFmt w:val="bullet"/>
      <w:lvlText w:val="•"/>
      <w:lvlJc w:val="left"/>
      <w:pPr>
        <w:tabs>
          <w:tab w:val="num" w:pos="3600"/>
        </w:tabs>
        <w:ind w:left="3600" w:hanging="360"/>
      </w:pPr>
      <w:rPr>
        <w:rFonts w:ascii="Arial" w:hAnsi="Arial" w:hint="default"/>
      </w:rPr>
    </w:lvl>
    <w:lvl w:ilvl="5" w:tplc="72520EB6" w:tentative="1">
      <w:start w:val="1"/>
      <w:numFmt w:val="bullet"/>
      <w:lvlText w:val="•"/>
      <w:lvlJc w:val="left"/>
      <w:pPr>
        <w:tabs>
          <w:tab w:val="num" w:pos="4320"/>
        </w:tabs>
        <w:ind w:left="4320" w:hanging="360"/>
      </w:pPr>
      <w:rPr>
        <w:rFonts w:ascii="Arial" w:hAnsi="Arial" w:hint="default"/>
      </w:rPr>
    </w:lvl>
    <w:lvl w:ilvl="6" w:tplc="DA1A910A" w:tentative="1">
      <w:start w:val="1"/>
      <w:numFmt w:val="bullet"/>
      <w:lvlText w:val="•"/>
      <w:lvlJc w:val="left"/>
      <w:pPr>
        <w:tabs>
          <w:tab w:val="num" w:pos="5040"/>
        </w:tabs>
        <w:ind w:left="5040" w:hanging="360"/>
      </w:pPr>
      <w:rPr>
        <w:rFonts w:ascii="Arial" w:hAnsi="Arial" w:hint="default"/>
      </w:rPr>
    </w:lvl>
    <w:lvl w:ilvl="7" w:tplc="C944ECEA" w:tentative="1">
      <w:start w:val="1"/>
      <w:numFmt w:val="bullet"/>
      <w:lvlText w:val="•"/>
      <w:lvlJc w:val="left"/>
      <w:pPr>
        <w:tabs>
          <w:tab w:val="num" w:pos="5760"/>
        </w:tabs>
        <w:ind w:left="5760" w:hanging="360"/>
      </w:pPr>
      <w:rPr>
        <w:rFonts w:ascii="Arial" w:hAnsi="Arial" w:hint="default"/>
      </w:rPr>
    </w:lvl>
    <w:lvl w:ilvl="8" w:tplc="75DE2A5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803781A"/>
    <w:multiLevelType w:val="hybridMultilevel"/>
    <w:tmpl w:val="61460F3C"/>
    <w:lvl w:ilvl="0" w:tplc="5262F9F8">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1C3983"/>
    <w:multiLevelType w:val="hybridMultilevel"/>
    <w:tmpl w:val="41C0D4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66B4220"/>
    <w:multiLevelType w:val="hybridMultilevel"/>
    <w:tmpl w:val="01E627B4"/>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9" w15:restartNumberingAfterBreak="0">
    <w:nsid w:val="5196396D"/>
    <w:multiLevelType w:val="hybridMultilevel"/>
    <w:tmpl w:val="8F60CC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45A16C9"/>
    <w:multiLevelType w:val="multilevel"/>
    <w:tmpl w:val="9C701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F8002D"/>
    <w:multiLevelType w:val="hybridMultilevel"/>
    <w:tmpl w:val="D3866C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707E5150"/>
    <w:multiLevelType w:val="hybridMultilevel"/>
    <w:tmpl w:val="4E7C76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7F96BE7"/>
    <w:multiLevelType w:val="hybridMultilevel"/>
    <w:tmpl w:val="A87AC2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6"/>
  </w:num>
  <w:num w:numId="3">
    <w:abstractNumId w:val="4"/>
  </w:num>
  <w:num w:numId="4">
    <w:abstractNumId w:val="3"/>
  </w:num>
  <w:num w:numId="5">
    <w:abstractNumId w:val="13"/>
  </w:num>
  <w:num w:numId="6">
    <w:abstractNumId w:val="7"/>
  </w:num>
  <w:num w:numId="7">
    <w:abstractNumId w:val="9"/>
  </w:num>
  <w:num w:numId="8">
    <w:abstractNumId w:val="2"/>
  </w:num>
  <w:num w:numId="9">
    <w:abstractNumId w:val="11"/>
  </w:num>
  <w:num w:numId="10">
    <w:abstractNumId w:val="8"/>
  </w:num>
  <w:num w:numId="11">
    <w:abstractNumId w:val="5"/>
  </w:num>
  <w:num w:numId="12">
    <w:abstractNumId w:val="12"/>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7A87"/>
    <w:rsid w:val="0001027E"/>
    <w:rsid w:val="00012E27"/>
    <w:rsid w:val="00012E99"/>
    <w:rsid w:val="00013B08"/>
    <w:rsid w:val="0002777F"/>
    <w:rsid w:val="00033149"/>
    <w:rsid w:val="00034240"/>
    <w:rsid w:val="00037AA5"/>
    <w:rsid w:val="00042B57"/>
    <w:rsid w:val="00051165"/>
    <w:rsid w:val="0005749B"/>
    <w:rsid w:val="00062EA8"/>
    <w:rsid w:val="00063814"/>
    <w:rsid w:val="00064ED7"/>
    <w:rsid w:val="00067B2F"/>
    <w:rsid w:val="000748F8"/>
    <w:rsid w:val="00076E94"/>
    <w:rsid w:val="00077CB8"/>
    <w:rsid w:val="00081668"/>
    <w:rsid w:val="0009124C"/>
    <w:rsid w:val="00095A31"/>
    <w:rsid w:val="000A2629"/>
    <w:rsid w:val="000A33E5"/>
    <w:rsid w:val="000C0EAE"/>
    <w:rsid w:val="000C5053"/>
    <w:rsid w:val="000D5DB5"/>
    <w:rsid w:val="000D747A"/>
    <w:rsid w:val="000E4F55"/>
    <w:rsid w:val="001005A3"/>
    <w:rsid w:val="001019F6"/>
    <w:rsid w:val="00116EBA"/>
    <w:rsid w:val="00121B8A"/>
    <w:rsid w:val="001404AC"/>
    <w:rsid w:val="00142CC4"/>
    <w:rsid w:val="001450E4"/>
    <w:rsid w:val="00145653"/>
    <w:rsid w:val="00160CFD"/>
    <w:rsid w:val="001616FC"/>
    <w:rsid w:val="00161BCE"/>
    <w:rsid w:val="00167D64"/>
    <w:rsid w:val="00173CD0"/>
    <w:rsid w:val="00180735"/>
    <w:rsid w:val="00180909"/>
    <w:rsid w:val="001818F1"/>
    <w:rsid w:val="00181F0E"/>
    <w:rsid w:val="001A06A3"/>
    <w:rsid w:val="001A70AF"/>
    <w:rsid w:val="001B4D9D"/>
    <w:rsid w:val="001C3FD8"/>
    <w:rsid w:val="001C4E45"/>
    <w:rsid w:val="001E0096"/>
    <w:rsid w:val="001E1BBE"/>
    <w:rsid w:val="001E2ECD"/>
    <w:rsid w:val="001F1AEB"/>
    <w:rsid w:val="001F4BD0"/>
    <w:rsid w:val="002037EB"/>
    <w:rsid w:val="0021004D"/>
    <w:rsid w:val="00210337"/>
    <w:rsid w:val="0023067F"/>
    <w:rsid w:val="00232478"/>
    <w:rsid w:val="00243426"/>
    <w:rsid w:val="00265BBF"/>
    <w:rsid w:val="00267932"/>
    <w:rsid w:val="002748B1"/>
    <w:rsid w:val="00280F0F"/>
    <w:rsid w:val="002823AB"/>
    <w:rsid w:val="00283D17"/>
    <w:rsid w:val="002856AD"/>
    <w:rsid w:val="00290CF5"/>
    <w:rsid w:val="00291897"/>
    <w:rsid w:val="002932EA"/>
    <w:rsid w:val="002964B5"/>
    <w:rsid w:val="002B073D"/>
    <w:rsid w:val="002B7C4F"/>
    <w:rsid w:val="002E1C05"/>
    <w:rsid w:val="0030592E"/>
    <w:rsid w:val="0031156C"/>
    <w:rsid w:val="0031479C"/>
    <w:rsid w:val="00322C20"/>
    <w:rsid w:val="00326C23"/>
    <w:rsid w:val="00330D38"/>
    <w:rsid w:val="00333D7D"/>
    <w:rsid w:val="00335CBB"/>
    <w:rsid w:val="0037531C"/>
    <w:rsid w:val="00376A52"/>
    <w:rsid w:val="003819D8"/>
    <w:rsid w:val="00392AE2"/>
    <w:rsid w:val="003A2813"/>
    <w:rsid w:val="003A61B7"/>
    <w:rsid w:val="003B0BF9"/>
    <w:rsid w:val="003C09A1"/>
    <w:rsid w:val="003C6475"/>
    <w:rsid w:val="003C7FDD"/>
    <w:rsid w:val="003D2173"/>
    <w:rsid w:val="003D2AF0"/>
    <w:rsid w:val="003E0791"/>
    <w:rsid w:val="003E2522"/>
    <w:rsid w:val="003E2AB9"/>
    <w:rsid w:val="003F28AC"/>
    <w:rsid w:val="00403380"/>
    <w:rsid w:val="00410291"/>
    <w:rsid w:val="00415D2F"/>
    <w:rsid w:val="004210AD"/>
    <w:rsid w:val="00421735"/>
    <w:rsid w:val="00430308"/>
    <w:rsid w:val="004313D9"/>
    <w:rsid w:val="004375FB"/>
    <w:rsid w:val="00443C90"/>
    <w:rsid w:val="004454FE"/>
    <w:rsid w:val="00455262"/>
    <w:rsid w:val="00456E40"/>
    <w:rsid w:val="0046427A"/>
    <w:rsid w:val="0046536F"/>
    <w:rsid w:val="00466D79"/>
    <w:rsid w:val="00471F27"/>
    <w:rsid w:val="004875B1"/>
    <w:rsid w:val="00493DC7"/>
    <w:rsid w:val="004B03CD"/>
    <w:rsid w:val="004B58F3"/>
    <w:rsid w:val="004C5D4E"/>
    <w:rsid w:val="004D010F"/>
    <w:rsid w:val="004D19D4"/>
    <w:rsid w:val="004D7BF6"/>
    <w:rsid w:val="004E43E8"/>
    <w:rsid w:val="004F4F48"/>
    <w:rsid w:val="0050178F"/>
    <w:rsid w:val="00507689"/>
    <w:rsid w:val="00514AD1"/>
    <w:rsid w:val="00515A42"/>
    <w:rsid w:val="005213B1"/>
    <w:rsid w:val="00530982"/>
    <w:rsid w:val="00533B4B"/>
    <w:rsid w:val="00561801"/>
    <w:rsid w:val="00575AB7"/>
    <w:rsid w:val="005833F9"/>
    <w:rsid w:val="00585EAD"/>
    <w:rsid w:val="005867AC"/>
    <w:rsid w:val="005A395C"/>
    <w:rsid w:val="005B36FA"/>
    <w:rsid w:val="005C1ABB"/>
    <w:rsid w:val="005C5361"/>
    <w:rsid w:val="005D03F5"/>
    <w:rsid w:val="005D6104"/>
    <w:rsid w:val="005D6B48"/>
    <w:rsid w:val="005F0734"/>
    <w:rsid w:val="00603455"/>
    <w:rsid w:val="0060722A"/>
    <w:rsid w:val="00607284"/>
    <w:rsid w:val="006077E9"/>
    <w:rsid w:val="00614781"/>
    <w:rsid w:val="00631267"/>
    <w:rsid w:val="006327E3"/>
    <w:rsid w:val="0064335B"/>
    <w:rsid w:val="00650C88"/>
    <w:rsid w:val="006519B3"/>
    <w:rsid w:val="00655F2C"/>
    <w:rsid w:val="006574BB"/>
    <w:rsid w:val="00663C33"/>
    <w:rsid w:val="00674004"/>
    <w:rsid w:val="006762D6"/>
    <w:rsid w:val="006775A0"/>
    <w:rsid w:val="006803DA"/>
    <w:rsid w:val="006808C0"/>
    <w:rsid w:val="006818BB"/>
    <w:rsid w:val="0069227F"/>
    <w:rsid w:val="00693E0F"/>
    <w:rsid w:val="006950FB"/>
    <w:rsid w:val="00697F5D"/>
    <w:rsid w:val="006A2846"/>
    <w:rsid w:val="006B1965"/>
    <w:rsid w:val="006B7F13"/>
    <w:rsid w:val="006C0BB9"/>
    <w:rsid w:val="006C1D97"/>
    <w:rsid w:val="006D4505"/>
    <w:rsid w:val="006D5FEB"/>
    <w:rsid w:val="006E0D5F"/>
    <w:rsid w:val="006E1081"/>
    <w:rsid w:val="006E42AB"/>
    <w:rsid w:val="006E6F10"/>
    <w:rsid w:val="007014EF"/>
    <w:rsid w:val="0070396D"/>
    <w:rsid w:val="00717DEB"/>
    <w:rsid w:val="00720585"/>
    <w:rsid w:val="00740C7F"/>
    <w:rsid w:val="00744925"/>
    <w:rsid w:val="007541DE"/>
    <w:rsid w:val="00757E6D"/>
    <w:rsid w:val="00773AF6"/>
    <w:rsid w:val="00773BD2"/>
    <w:rsid w:val="00782818"/>
    <w:rsid w:val="00783860"/>
    <w:rsid w:val="00783E0B"/>
    <w:rsid w:val="007844BF"/>
    <w:rsid w:val="00793A2A"/>
    <w:rsid w:val="00795F71"/>
    <w:rsid w:val="00797681"/>
    <w:rsid w:val="007A04D1"/>
    <w:rsid w:val="007A0A61"/>
    <w:rsid w:val="007A3F3F"/>
    <w:rsid w:val="007A4BBA"/>
    <w:rsid w:val="007B346C"/>
    <w:rsid w:val="007B7BE2"/>
    <w:rsid w:val="007B7EFD"/>
    <w:rsid w:val="007C66B8"/>
    <w:rsid w:val="007D0094"/>
    <w:rsid w:val="007D17DA"/>
    <w:rsid w:val="007D1CD7"/>
    <w:rsid w:val="007D66A0"/>
    <w:rsid w:val="007E5F7A"/>
    <w:rsid w:val="007E73AB"/>
    <w:rsid w:val="00813668"/>
    <w:rsid w:val="0081548C"/>
    <w:rsid w:val="00815B91"/>
    <w:rsid w:val="00816C11"/>
    <w:rsid w:val="00827D5E"/>
    <w:rsid w:val="0083320B"/>
    <w:rsid w:val="0083383A"/>
    <w:rsid w:val="00840ED4"/>
    <w:rsid w:val="00851AAA"/>
    <w:rsid w:val="00860517"/>
    <w:rsid w:val="008713DC"/>
    <w:rsid w:val="00877A90"/>
    <w:rsid w:val="00877AC7"/>
    <w:rsid w:val="00881334"/>
    <w:rsid w:val="008905F3"/>
    <w:rsid w:val="00894C55"/>
    <w:rsid w:val="008A0DBD"/>
    <w:rsid w:val="008A419E"/>
    <w:rsid w:val="008A6D27"/>
    <w:rsid w:val="008B4ED2"/>
    <w:rsid w:val="008B6FFA"/>
    <w:rsid w:val="008C4F84"/>
    <w:rsid w:val="008D1B31"/>
    <w:rsid w:val="008D3CA4"/>
    <w:rsid w:val="008F7C51"/>
    <w:rsid w:val="00900EF6"/>
    <w:rsid w:val="00903D02"/>
    <w:rsid w:val="0091221A"/>
    <w:rsid w:val="00917F74"/>
    <w:rsid w:val="00921C1C"/>
    <w:rsid w:val="00936276"/>
    <w:rsid w:val="009424A1"/>
    <w:rsid w:val="00946003"/>
    <w:rsid w:val="00946BEC"/>
    <w:rsid w:val="00955CAA"/>
    <w:rsid w:val="00955FBB"/>
    <w:rsid w:val="009660AF"/>
    <w:rsid w:val="00967D70"/>
    <w:rsid w:val="00971133"/>
    <w:rsid w:val="00974B50"/>
    <w:rsid w:val="00977D6E"/>
    <w:rsid w:val="009871ED"/>
    <w:rsid w:val="009873A6"/>
    <w:rsid w:val="00990970"/>
    <w:rsid w:val="00996217"/>
    <w:rsid w:val="009A0125"/>
    <w:rsid w:val="009A2654"/>
    <w:rsid w:val="009C5A3A"/>
    <w:rsid w:val="009C69BC"/>
    <w:rsid w:val="009D591A"/>
    <w:rsid w:val="009D6D55"/>
    <w:rsid w:val="009E38DE"/>
    <w:rsid w:val="009E3E7E"/>
    <w:rsid w:val="009E415F"/>
    <w:rsid w:val="00A05F8E"/>
    <w:rsid w:val="00A10FC3"/>
    <w:rsid w:val="00A13522"/>
    <w:rsid w:val="00A17699"/>
    <w:rsid w:val="00A345A1"/>
    <w:rsid w:val="00A34B05"/>
    <w:rsid w:val="00A4019E"/>
    <w:rsid w:val="00A42DBC"/>
    <w:rsid w:val="00A6073E"/>
    <w:rsid w:val="00A6220E"/>
    <w:rsid w:val="00A82AB3"/>
    <w:rsid w:val="00A82FF8"/>
    <w:rsid w:val="00A91505"/>
    <w:rsid w:val="00A93462"/>
    <w:rsid w:val="00AA37F4"/>
    <w:rsid w:val="00AA790C"/>
    <w:rsid w:val="00AB79D1"/>
    <w:rsid w:val="00AC014D"/>
    <w:rsid w:val="00AC1853"/>
    <w:rsid w:val="00AC40D0"/>
    <w:rsid w:val="00AE0831"/>
    <w:rsid w:val="00AE163E"/>
    <w:rsid w:val="00AE21DF"/>
    <w:rsid w:val="00AE2F57"/>
    <w:rsid w:val="00AE5567"/>
    <w:rsid w:val="00AE7967"/>
    <w:rsid w:val="00AF1239"/>
    <w:rsid w:val="00AF3723"/>
    <w:rsid w:val="00B00FC2"/>
    <w:rsid w:val="00B0235D"/>
    <w:rsid w:val="00B02D07"/>
    <w:rsid w:val="00B13E4F"/>
    <w:rsid w:val="00B16480"/>
    <w:rsid w:val="00B2165C"/>
    <w:rsid w:val="00B27F4B"/>
    <w:rsid w:val="00B40C87"/>
    <w:rsid w:val="00B410F1"/>
    <w:rsid w:val="00B418ED"/>
    <w:rsid w:val="00B46F67"/>
    <w:rsid w:val="00B714DF"/>
    <w:rsid w:val="00B743BA"/>
    <w:rsid w:val="00B76D59"/>
    <w:rsid w:val="00B8155D"/>
    <w:rsid w:val="00B821EE"/>
    <w:rsid w:val="00B83295"/>
    <w:rsid w:val="00B86216"/>
    <w:rsid w:val="00B926AE"/>
    <w:rsid w:val="00BA20AA"/>
    <w:rsid w:val="00BA3973"/>
    <w:rsid w:val="00BA56F0"/>
    <w:rsid w:val="00BD0528"/>
    <w:rsid w:val="00BD4425"/>
    <w:rsid w:val="00BD4D57"/>
    <w:rsid w:val="00BE3729"/>
    <w:rsid w:val="00BF0F33"/>
    <w:rsid w:val="00C10596"/>
    <w:rsid w:val="00C220C2"/>
    <w:rsid w:val="00C25B49"/>
    <w:rsid w:val="00C26AEA"/>
    <w:rsid w:val="00C32C17"/>
    <w:rsid w:val="00C343E0"/>
    <w:rsid w:val="00C45A53"/>
    <w:rsid w:val="00C57397"/>
    <w:rsid w:val="00C57CF5"/>
    <w:rsid w:val="00C62590"/>
    <w:rsid w:val="00C65EC2"/>
    <w:rsid w:val="00C73256"/>
    <w:rsid w:val="00C75080"/>
    <w:rsid w:val="00C7665E"/>
    <w:rsid w:val="00C83415"/>
    <w:rsid w:val="00C93226"/>
    <w:rsid w:val="00C94479"/>
    <w:rsid w:val="00CA7F96"/>
    <w:rsid w:val="00CB3E1A"/>
    <w:rsid w:val="00CC0D2D"/>
    <w:rsid w:val="00CE067F"/>
    <w:rsid w:val="00CE0B0C"/>
    <w:rsid w:val="00CE363C"/>
    <w:rsid w:val="00CE5657"/>
    <w:rsid w:val="00CF3843"/>
    <w:rsid w:val="00D10786"/>
    <w:rsid w:val="00D133F8"/>
    <w:rsid w:val="00D13A36"/>
    <w:rsid w:val="00D14A3E"/>
    <w:rsid w:val="00D2667D"/>
    <w:rsid w:val="00D27A94"/>
    <w:rsid w:val="00D47993"/>
    <w:rsid w:val="00D50B97"/>
    <w:rsid w:val="00D5161C"/>
    <w:rsid w:val="00D51CA4"/>
    <w:rsid w:val="00D55D01"/>
    <w:rsid w:val="00D56B99"/>
    <w:rsid w:val="00D62A7F"/>
    <w:rsid w:val="00D63163"/>
    <w:rsid w:val="00D63C99"/>
    <w:rsid w:val="00D723BB"/>
    <w:rsid w:val="00D7619A"/>
    <w:rsid w:val="00D76B95"/>
    <w:rsid w:val="00D83661"/>
    <w:rsid w:val="00D863FE"/>
    <w:rsid w:val="00D90123"/>
    <w:rsid w:val="00D91CED"/>
    <w:rsid w:val="00DA0DC8"/>
    <w:rsid w:val="00DA141D"/>
    <w:rsid w:val="00DA6709"/>
    <w:rsid w:val="00DA796D"/>
    <w:rsid w:val="00DB0CE9"/>
    <w:rsid w:val="00DC7BD2"/>
    <w:rsid w:val="00DD4E2E"/>
    <w:rsid w:val="00DD7E79"/>
    <w:rsid w:val="00DE1F01"/>
    <w:rsid w:val="00DE47C7"/>
    <w:rsid w:val="00DE48FE"/>
    <w:rsid w:val="00DF361F"/>
    <w:rsid w:val="00E00FAF"/>
    <w:rsid w:val="00E06355"/>
    <w:rsid w:val="00E07F06"/>
    <w:rsid w:val="00E12FC6"/>
    <w:rsid w:val="00E1613C"/>
    <w:rsid w:val="00E20887"/>
    <w:rsid w:val="00E23E93"/>
    <w:rsid w:val="00E3716B"/>
    <w:rsid w:val="00E44D75"/>
    <w:rsid w:val="00E5323B"/>
    <w:rsid w:val="00E75528"/>
    <w:rsid w:val="00E8749E"/>
    <w:rsid w:val="00E90C01"/>
    <w:rsid w:val="00E90D74"/>
    <w:rsid w:val="00E97FD1"/>
    <w:rsid w:val="00EA211F"/>
    <w:rsid w:val="00EA486E"/>
    <w:rsid w:val="00EB3879"/>
    <w:rsid w:val="00EB3F59"/>
    <w:rsid w:val="00EB486D"/>
    <w:rsid w:val="00EB642E"/>
    <w:rsid w:val="00ED0E3F"/>
    <w:rsid w:val="00EE117D"/>
    <w:rsid w:val="00EE3432"/>
    <w:rsid w:val="00EF1BCC"/>
    <w:rsid w:val="00EF4B24"/>
    <w:rsid w:val="00F030D7"/>
    <w:rsid w:val="00F05A47"/>
    <w:rsid w:val="00F066BF"/>
    <w:rsid w:val="00F248C7"/>
    <w:rsid w:val="00F50E49"/>
    <w:rsid w:val="00F52975"/>
    <w:rsid w:val="00F57B0C"/>
    <w:rsid w:val="00F614BD"/>
    <w:rsid w:val="00F64DF1"/>
    <w:rsid w:val="00F74047"/>
    <w:rsid w:val="00F76D52"/>
    <w:rsid w:val="00F77212"/>
    <w:rsid w:val="00F80D58"/>
    <w:rsid w:val="00F81264"/>
    <w:rsid w:val="00F8563F"/>
    <w:rsid w:val="00F92657"/>
    <w:rsid w:val="00FA24D6"/>
    <w:rsid w:val="00FB0853"/>
    <w:rsid w:val="00FD36AE"/>
    <w:rsid w:val="00FD3DAD"/>
    <w:rsid w:val="00FE4405"/>
    <w:rsid w:val="00FE457C"/>
    <w:rsid w:val="00FF2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3C6981"/>
  <w15:docId w15:val="{61FF7313-7FD8-47BB-95B7-DB93B3D5C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Strong">
    <w:name w:val="Strong"/>
    <w:basedOn w:val="DefaultParagraphFont"/>
    <w:uiPriority w:val="22"/>
    <w:qFormat/>
    <w:rsid w:val="00B13E4F"/>
    <w:rPr>
      <w:b/>
      <w:bCs/>
    </w:rPr>
  </w:style>
  <w:style w:type="paragraph" w:styleId="ListParagraph">
    <w:name w:val="List Paragraph"/>
    <w:basedOn w:val="Normal"/>
    <w:uiPriority w:val="34"/>
    <w:qFormat/>
    <w:rsid w:val="00081668"/>
    <w:pPr>
      <w:ind w:left="720"/>
      <w:contextualSpacing/>
    </w:pPr>
  </w:style>
  <w:style w:type="paragraph" w:customStyle="1" w:styleId="naiskr">
    <w:name w:val="naiskr"/>
    <w:basedOn w:val="Normal"/>
    <w:uiPriority w:val="99"/>
    <w:rsid w:val="00AB79D1"/>
    <w:pPr>
      <w:spacing w:before="75" w:after="75" w:line="240" w:lineRule="auto"/>
    </w:pPr>
    <w:rPr>
      <w:rFonts w:ascii="Times New Roman" w:eastAsia="Times New Roman" w:hAnsi="Times New Roman" w:cs="Times New Roman"/>
      <w:sz w:val="24"/>
      <w:szCs w:val="24"/>
      <w:lang w:eastAsia="lv-LV"/>
    </w:rPr>
  </w:style>
  <w:style w:type="paragraph" w:styleId="Title">
    <w:name w:val="Title"/>
    <w:basedOn w:val="Normal"/>
    <w:link w:val="TitleChar"/>
    <w:qFormat/>
    <w:rsid w:val="00063814"/>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063814"/>
    <w:rPr>
      <w:rFonts w:ascii="Times New Roman" w:eastAsia="Times New Roman" w:hAnsi="Times New Roman" w:cs="Times New Roman"/>
      <w:sz w:val="28"/>
      <w:szCs w:val="20"/>
    </w:rPr>
  </w:style>
  <w:style w:type="character" w:styleId="CommentReference">
    <w:name w:val="annotation reference"/>
    <w:basedOn w:val="DefaultParagraphFont"/>
    <w:uiPriority w:val="99"/>
    <w:semiHidden/>
    <w:unhideWhenUsed/>
    <w:rsid w:val="009E38DE"/>
    <w:rPr>
      <w:sz w:val="16"/>
      <w:szCs w:val="16"/>
    </w:rPr>
  </w:style>
  <w:style w:type="paragraph" w:styleId="CommentText">
    <w:name w:val="annotation text"/>
    <w:basedOn w:val="Normal"/>
    <w:link w:val="CommentTextChar"/>
    <w:uiPriority w:val="99"/>
    <w:semiHidden/>
    <w:unhideWhenUsed/>
    <w:rsid w:val="009E38DE"/>
    <w:pPr>
      <w:spacing w:line="240" w:lineRule="auto"/>
    </w:pPr>
    <w:rPr>
      <w:sz w:val="20"/>
      <w:szCs w:val="20"/>
    </w:rPr>
  </w:style>
  <w:style w:type="character" w:customStyle="1" w:styleId="CommentTextChar">
    <w:name w:val="Comment Text Char"/>
    <w:basedOn w:val="DefaultParagraphFont"/>
    <w:link w:val="CommentText"/>
    <w:uiPriority w:val="99"/>
    <w:semiHidden/>
    <w:rsid w:val="009E38DE"/>
    <w:rPr>
      <w:sz w:val="20"/>
      <w:szCs w:val="20"/>
    </w:rPr>
  </w:style>
  <w:style w:type="paragraph" w:styleId="CommentSubject">
    <w:name w:val="annotation subject"/>
    <w:basedOn w:val="CommentText"/>
    <w:next w:val="CommentText"/>
    <w:link w:val="CommentSubjectChar"/>
    <w:uiPriority w:val="99"/>
    <w:semiHidden/>
    <w:unhideWhenUsed/>
    <w:rsid w:val="009E38DE"/>
    <w:rPr>
      <w:b/>
      <w:bCs/>
    </w:rPr>
  </w:style>
  <w:style w:type="character" w:customStyle="1" w:styleId="CommentSubjectChar">
    <w:name w:val="Comment Subject Char"/>
    <w:basedOn w:val="CommentTextChar"/>
    <w:link w:val="CommentSubject"/>
    <w:uiPriority w:val="99"/>
    <w:semiHidden/>
    <w:rsid w:val="009E38DE"/>
    <w:rPr>
      <w:b/>
      <w:bCs/>
      <w:sz w:val="20"/>
      <w:szCs w:val="20"/>
    </w:rPr>
  </w:style>
  <w:style w:type="paragraph" w:styleId="NormalWeb">
    <w:name w:val="Normal (Web)"/>
    <w:basedOn w:val="Normal"/>
    <w:uiPriority w:val="99"/>
    <w:semiHidden/>
    <w:unhideWhenUsed/>
    <w:rsid w:val="006519B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markhd996kxmk">
    <w:name w:val="markhd996kxmk"/>
    <w:basedOn w:val="DefaultParagraphFont"/>
    <w:rsid w:val="006519B3"/>
  </w:style>
  <w:style w:type="paragraph" w:styleId="FootnoteText">
    <w:name w:val="footnote text"/>
    <w:basedOn w:val="Normal"/>
    <w:link w:val="FootnoteTextChar"/>
    <w:uiPriority w:val="99"/>
    <w:semiHidden/>
    <w:unhideWhenUsed/>
    <w:rsid w:val="00DB0C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0CE9"/>
    <w:rPr>
      <w:sz w:val="20"/>
      <w:szCs w:val="20"/>
    </w:rPr>
  </w:style>
  <w:style w:type="character" w:styleId="FootnoteReference">
    <w:name w:val="footnote reference"/>
    <w:basedOn w:val="DefaultParagraphFont"/>
    <w:uiPriority w:val="99"/>
    <w:semiHidden/>
    <w:unhideWhenUsed/>
    <w:rsid w:val="00DB0CE9"/>
    <w:rPr>
      <w:vertAlign w:val="superscript"/>
    </w:rPr>
  </w:style>
  <w:style w:type="paragraph" w:customStyle="1" w:styleId="Normal1">
    <w:name w:val="Normal1"/>
    <w:basedOn w:val="Normal"/>
    <w:rsid w:val="00A34B0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C32C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74901">
      <w:bodyDiv w:val="1"/>
      <w:marLeft w:val="0"/>
      <w:marRight w:val="0"/>
      <w:marTop w:val="0"/>
      <w:marBottom w:val="0"/>
      <w:divBdr>
        <w:top w:val="none" w:sz="0" w:space="0" w:color="auto"/>
        <w:left w:val="none" w:sz="0" w:space="0" w:color="auto"/>
        <w:bottom w:val="none" w:sz="0" w:space="0" w:color="auto"/>
        <w:right w:val="none" w:sz="0" w:space="0" w:color="auto"/>
      </w:divBdr>
    </w:div>
    <w:div w:id="122891367">
      <w:bodyDiv w:val="1"/>
      <w:marLeft w:val="0"/>
      <w:marRight w:val="0"/>
      <w:marTop w:val="0"/>
      <w:marBottom w:val="0"/>
      <w:divBdr>
        <w:top w:val="none" w:sz="0" w:space="0" w:color="auto"/>
        <w:left w:val="none" w:sz="0" w:space="0" w:color="auto"/>
        <w:bottom w:val="none" w:sz="0" w:space="0" w:color="auto"/>
        <w:right w:val="none" w:sz="0" w:space="0" w:color="auto"/>
      </w:divBdr>
    </w:div>
    <w:div w:id="173884024">
      <w:bodyDiv w:val="1"/>
      <w:marLeft w:val="0"/>
      <w:marRight w:val="0"/>
      <w:marTop w:val="0"/>
      <w:marBottom w:val="0"/>
      <w:divBdr>
        <w:top w:val="none" w:sz="0" w:space="0" w:color="auto"/>
        <w:left w:val="none" w:sz="0" w:space="0" w:color="auto"/>
        <w:bottom w:val="none" w:sz="0" w:space="0" w:color="auto"/>
        <w:right w:val="none" w:sz="0" w:space="0" w:color="auto"/>
      </w:divBdr>
      <w:divsChild>
        <w:div w:id="1959606026">
          <w:marLeft w:val="547"/>
          <w:marRight w:val="0"/>
          <w:marTop w:val="96"/>
          <w:marBottom w:val="0"/>
          <w:divBdr>
            <w:top w:val="none" w:sz="0" w:space="0" w:color="auto"/>
            <w:left w:val="none" w:sz="0" w:space="0" w:color="auto"/>
            <w:bottom w:val="none" w:sz="0" w:space="0" w:color="auto"/>
            <w:right w:val="none" w:sz="0" w:space="0" w:color="auto"/>
          </w:divBdr>
        </w:div>
      </w:divsChild>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90537234">
      <w:bodyDiv w:val="1"/>
      <w:marLeft w:val="0"/>
      <w:marRight w:val="0"/>
      <w:marTop w:val="0"/>
      <w:marBottom w:val="0"/>
      <w:divBdr>
        <w:top w:val="none" w:sz="0" w:space="0" w:color="auto"/>
        <w:left w:val="none" w:sz="0" w:space="0" w:color="auto"/>
        <w:bottom w:val="none" w:sz="0" w:space="0" w:color="auto"/>
        <w:right w:val="none" w:sz="0" w:space="0" w:color="auto"/>
      </w:divBdr>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02679202">
      <w:bodyDiv w:val="1"/>
      <w:marLeft w:val="0"/>
      <w:marRight w:val="0"/>
      <w:marTop w:val="0"/>
      <w:marBottom w:val="0"/>
      <w:divBdr>
        <w:top w:val="none" w:sz="0" w:space="0" w:color="auto"/>
        <w:left w:val="none" w:sz="0" w:space="0" w:color="auto"/>
        <w:bottom w:val="none" w:sz="0" w:space="0" w:color="auto"/>
        <w:right w:val="none" w:sz="0" w:space="0" w:color="auto"/>
      </w:divBdr>
    </w:div>
    <w:div w:id="427892437">
      <w:bodyDiv w:val="1"/>
      <w:marLeft w:val="0"/>
      <w:marRight w:val="0"/>
      <w:marTop w:val="0"/>
      <w:marBottom w:val="0"/>
      <w:divBdr>
        <w:top w:val="none" w:sz="0" w:space="0" w:color="auto"/>
        <w:left w:val="none" w:sz="0" w:space="0" w:color="auto"/>
        <w:bottom w:val="none" w:sz="0" w:space="0" w:color="auto"/>
        <w:right w:val="none" w:sz="0" w:space="0" w:color="auto"/>
      </w:divBdr>
      <w:divsChild>
        <w:div w:id="1935088145">
          <w:marLeft w:val="0"/>
          <w:marRight w:val="0"/>
          <w:marTop w:val="0"/>
          <w:marBottom w:val="0"/>
          <w:divBdr>
            <w:top w:val="none" w:sz="0" w:space="0" w:color="auto"/>
            <w:left w:val="none" w:sz="0" w:space="0" w:color="auto"/>
            <w:bottom w:val="none" w:sz="0" w:space="0" w:color="auto"/>
            <w:right w:val="none" w:sz="0" w:space="0" w:color="auto"/>
          </w:divBdr>
          <w:divsChild>
            <w:div w:id="1796293730">
              <w:marLeft w:val="0"/>
              <w:marRight w:val="0"/>
              <w:marTop w:val="0"/>
              <w:marBottom w:val="0"/>
              <w:divBdr>
                <w:top w:val="none" w:sz="0" w:space="0" w:color="auto"/>
                <w:left w:val="none" w:sz="0" w:space="0" w:color="auto"/>
                <w:bottom w:val="none" w:sz="0" w:space="0" w:color="auto"/>
                <w:right w:val="none" w:sz="0" w:space="0" w:color="auto"/>
              </w:divBdr>
              <w:divsChild>
                <w:div w:id="1809735860">
                  <w:marLeft w:val="0"/>
                  <w:marRight w:val="0"/>
                  <w:marTop w:val="0"/>
                  <w:marBottom w:val="0"/>
                  <w:divBdr>
                    <w:top w:val="none" w:sz="0" w:space="0" w:color="auto"/>
                    <w:left w:val="none" w:sz="0" w:space="0" w:color="auto"/>
                    <w:bottom w:val="none" w:sz="0" w:space="0" w:color="auto"/>
                    <w:right w:val="none" w:sz="0" w:space="0" w:color="auto"/>
                  </w:divBdr>
                  <w:divsChild>
                    <w:div w:id="1891191326">
                      <w:marLeft w:val="0"/>
                      <w:marRight w:val="0"/>
                      <w:marTop w:val="0"/>
                      <w:marBottom w:val="0"/>
                      <w:divBdr>
                        <w:top w:val="none" w:sz="0" w:space="0" w:color="auto"/>
                        <w:left w:val="none" w:sz="0" w:space="0" w:color="auto"/>
                        <w:bottom w:val="none" w:sz="0" w:space="0" w:color="auto"/>
                        <w:right w:val="none" w:sz="0" w:space="0" w:color="auto"/>
                      </w:divBdr>
                      <w:divsChild>
                        <w:div w:id="632833515">
                          <w:marLeft w:val="0"/>
                          <w:marRight w:val="0"/>
                          <w:marTop w:val="0"/>
                          <w:marBottom w:val="0"/>
                          <w:divBdr>
                            <w:top w:val="none" w:sz="0" w:space="0" w:color="auto"/>
                            <w:left w:val="none" w:sz="0" w:space="0" w:color="auto"/>
                            <w:bottom w:val="none" w:sz="0" w:space="0" w:color="auto"/>
                            <w:right w:val="none" w:sz="0" w:space="0" w:color="auto"/>
                          </w:divBdr>
                          <w:divsChild>
                            <w:div w:id="1762946530">
                              <w:marLeft w:val="0"/>
                              <w:marRight w:val="0"/>
                              <w:marTop w:val="0"/>
                              <w:marBottom w:val="0"/>
                              <w:divBdr>
                                <w:top w:val="none" w:sz="0" w:space="0" w:color="auto"/>
                                <w:left w:val="none" w:sz="0" w:space="0" w:color="auto"/>
                                <w:bottom w:val="none" w:sz="0" w:space="0" w:color="auto"/>
                                <w:right w:val="none" w:sz="0" w:space="0" w:color="auto"/>
                              </w:divBdr>
                              <w:divsChild>
                                <w:div w:id="1405756762">
                                  <w:marLeft w:val="0"/>
                                  <w:marRight w:val="0"/>
                                  <w:marTop w:val="0"/>
                                  <w:marBottom w:val="0"/>
                                  <w:divBdr>
                                    <w:top w:val="none" w:sz="0" w:space="0" w:color="auto"/>
                                    <w:left w:val="none" w:sz="0" w:space="0" w:color="auto"/>
                                    <w:bottom w:val="none" w:sz="0" w:space="0" w:color="auto"/>
                                    <w:right w:val="none" w:sz="0" w:space="0" w:color="auto"/>
                                  </w:divBdr>
                                </w:div>
                                <w:div w:id="1974751672">
                                  <w:marLeft w:val="0"/>
                                  <w:marRight w:val="0"/>
                                  <w:marTop w:val="0"/>
                                  <w:marBottom w:val="0"/>
                                  <w:divBdr>
                                    <w:top w:val="none" w:sz="0" w:space="0" w:color="auto"/>
                                    <w:left w:val="none" w:sz="0" w:space="0" w:color="auto"/>
                                    <w:bottom w:val="none" w:sz="0" w:space="0" w:color="auto"/>
                                    <w:right w:val="none" w:sz="0" w:space="0" w:color="auto"/>
                                  </w:divBdr>
                                </w:div>
                                <w:div w:id="614095291">
                                  <w:marLeft w:val="0"/>
                                  <w:marRight w:val="0"/>
                                  <w:marTop w:val="0"/>
                                  <w:marBottom w:val="0"/>
                                  <w:divBdr>
                                    <w:top w:val="none" w:sz="0" w:space="0" w:color="auto"/>
                                    <w:left w:val="none" w:sz="0" w:space="0" w:color="auto"/>
                                    <w:bottom w:val="none" w:sz="0" w:space="0" w:color="auto"/>
                                    <w:right w:val="none" w:sz="0" w:space="0" w:color="auto"/>
                                  </w:divBdr>
                                </w:div>
                                <w:div w:id="2134902357">
                                  <w:marLeft w:val="0"/>
                                  <w:marRight w:val="0"/>
                                  <w:marTop w:val="0"/>
                                  <w:marBottom w:val="0"/>
                                  <w:divBdr>
                                    <w:top w:val="none" w:sz="0" w:space="0" w:color="auto"/>
                                    <w:left w:val="none" w:sz="0" w:space="0" w:color="auto"/>
                                    <w:bottom w:val="none" w:sz="0" w:space="0" w:color="auto"/>
                                    <w:right w:val="none" w:sz="0" w:space="0" w:color="auto"/>
                                  </w:divBdr>
                                </w:div>
                                <w:div w:id="396585">
                                  <w:marLeft w:val="0"/>
                                  <w:marRight w:val="0"/>
                                  <w:marTop w:val="0"/>
                                  <w:marBottom w:val="0"/>
                                  <w:divBdr>
                                    <w:top w:val="none" w:sz="0" w:space="0" w:color="auto"/>
                                    <w:left w:val="none" w:sz="0" w:space="0" w:color="auto"/>
                                    <w:bottom w:val="none" w:sz="0" w:space="0" w:color="auto"/>
                                    <w:right w:val="none" w:sz="0" w:space="0" w:color="auto"/>
                                  </w:divBdr>
                                </w:div>
                                <w:div w:id="1888179776">
                                  <w:marLeft w:val="0"/>
                                  <w:marRight w:val="0"/>
                                  <w:marTop w:val="0"/>
                                  <w:marBottom w:val="0"/>
                                  <w:divBdr>
                                    <w:top w:val="none" w:sz="0" w:space="0" w:color="auto"/>
                                    <w:left w:val="none" w:sz="0" w:space="0" w:color="auto"/>
                                    <w:bottom w:val="none" w:sz="0" w:space="0" w:color="auto"/>
                                    <w:right w:val="none" w:sz="0" w:space="0" w:color="auto"/>
                                  </w:divBdr>
                                </w:div>
                                <w:div w:id="104077580">
                                  <w:marLeft w:val="0"/>
                                  <w:marRight w:val="0"/>
                                  <w:marTop w:val="0"/>
                                  <w:marBottom w:val="0"/>
                                  <w:divBdr>
                                    <w:top w:val="none" w:sz="0" w:space="0" w:color="auto"/>
                                    <w:left w:val="none" w:sz="0" w:space="0" w:color="auto"/>
                                    <w:bottom w:val="none" w:sz="0" w:space="0" w:color="auto"/>
                                    <w:right w:val="none" w:sz="0" w:space="0" w:color="auto"/>
                                  </w:divBdr>
                                </w:div>
                                <w:div w:id="1750956474">
                                  <w:marLeft w:val="0"/>
                                  <w:marRight w:val="0"/>
                                  <w:marTop w:val="0"/>
                                  <w:marBottom w:val="0"/>
                                  <w:divBdr>
                                    <w:top w:val="none" w:sz="0" w:space="0" w:color="auto"/>
                                    <w:left w:val="none" w:sz="0" w:space="0" w:color="auto"/>
                                    <w:bottom w:val="none" w:sz="0" w:space="0" w:color="auto"/>
                                    <w:right w:val="none" w:sz="0" w:space="0" w:color="auto"/>
                                  </w:divBdr>
                                </w:div>
                                <w:div w:id="198273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5198419">
      <w:bodyDiv w:val="1"/>
      <w:marLeft w:val="0"/>
      <w:marRight w:val="0"/>
      <w:marTop w:val="0"/>
      <w:marBottom w:val="0"/>
      <w:divBdr>
        <w:top w:val="none" w:sz="0" w:space="0" w:color="auto"/>
        <w:left w:val="none" w:sz="0" w:space="0" w:color="auto"/>
        <w:bottom w:val="none" w:sz="0" w:space="0" w:color="auto"/>
        <w:right w:val="none" w:sz="0" w:space="0" w:color="auto"/>
      </w:divBdr>
    </w:div>
    <w:div w:id="482739621">
      <w:bodyDiv w:val="1"/>
      <w:marLeft w:val="0"/>
      <w:marRight w:val="0"/>
      <w:marTop w:val="0"/>
      <w:marBottom w:val="0"/>
      <w:divBdr>
        <w:top w:val="none" w:sz="0" w:space="0" w:color="auto"/>
        <w:left w:val="none" w:sz="0" w:space="0" w:color="auto"/>
        <w:bottom w:val="none" w:sz="0" w:space="0" w:color="auto"/>
        <w:right w:val="none" w:sz="0" w:space="0" w:color="auto"/>
      </w:divBdr>
    </w:div>
    <w:div w:id="666981394">
      <w:bodyDiv w:val="1"/>
      <w:marLeft w:val="0"/>
      <w:marRight w:val="0"/>
      <w:marTop w:val="0"/>
      <w:marBottom w:val="0"/>
      <w:divBdr>
        <w:top w:val="none" w:sz="0" w:space="0" w:color="auto"/>
        <w:left w:val="none" w:sz="0" w:space="0" w:color="auto"/>
        <w:bottom w:val="none" w:sz="0" w:space="0" w:color="auto"/>
        <w:right w:val="none" w:sz="0" w:space="0" w:color="auto"/>
      </w:divBdr>
    </w:div>
    <w:div w:id="808206796">
      <w:bodyDiv w:val="1"/>
      <w:marLeft w:val="0"/>
      <w:marRight w:val="0"/>
      <w:marTop w:val="0"/>
      <w:marBottom w:val="0"/>
      <w:divBdr>
        <w:top w:val="none" w:sz="0" w:space="0" w:color="auto"/>
        <w:left w:val="none" w:sz="0" w:space="0" w:color="auto"/>
        <w:bottom w:val="none" w:sz="0" w:space="0" w:color="auto"/>
        <w:right w:val="none" w:sz="0" w:space="0" w:color="auto"/>
      </w:divBdr>
    </w:div>
    <w:div w:id="947158901">
      <w:bodyDiv w:val="1"/>
      <w:marLeft w:val="0"/>
      <w:marRight w:val="0"/>
      <w:marTop w:val="0"/>
      <w:marBottom w:val="0"/>
      <w:divBdr>
        <w:top w:val="none" w:sz="0" w:space="0" w:color="auto"/>
        <w:left w:val="none" w:sz="0" w:space="0" w:color="auto"/>
        <w:bottom w:val="none" w:sz="0" w:space="0" w:color="auto"/>
        <w:right w:val="none" w:sz="0" w:space="0" w:color="auto"/>
      </w:divBdr>
    </w:div>
    <w:div w:id="1228884132">
      <w:bodyDiv w:val="1"/>
      <w:marLeft w:val="0"/>
      <w:marRight w:val="0"/>
      <w:marTop w:val="0"/>
      <w:marBottom w:val="0"/>
      <w:divBdr>
        <w:top w:val="none" w:sz="0" w:space="0" w:color="auto"/>
        <w:left w:val="none" w:sz="0" w:space="0" w:color="auto"/>
        <w:bottom w:val="none" w:sz="0" w:space="0" w:color="auto"/>
        <w:right w:val="none" w:sz="0" w:space="0" w:color="auto"/>
      </w:divBdr>
    </w:div>
    <w:div w:id="1243488796">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443525907">
      <w:bodyDiv w:val="1"/>
      <w:marLeft w:val="0"/>
      <w:marRight w:val="0"/>
      <w:marTop w:val="0"/>
      <w:marBottom w:val="0"/>
      <w:divBdr>
        <w:top w:val="none" w:sz="0" w:space="0" w:color="auto"/>
        <w:left w:val="none" w:sz="0" w:space="0" w:color="auto"/>
        <w:bottom w:val="none" w:sz="0" w:space="0" w:color="auto"/>
        <w:right w:val="none" w:sz="0" w:space="0" w:color="auto"/>
      </w:divBdr>
    </w:div>
    <w:div w:id="1807317428">
      <w:bodyDiv w:val="1"/>
      <w:marLeft w:val="0"/>
      <w:marRight w:val="0"/>
      <w:marTop w:val="0"/>
      <w:marBottom w:val="0"/>
      <w:divBdr>
        <w:top w:val="none" w:sz="0" w:space="0" w:color="auto"/>
        <w:left w:val="none" w:sz="0" w:space="0" w:color="auto"/>
        <w:bottom w:val="none" w:sz="0" w:space="0" w:color="auto"/>
        <w:right w:val="none" w:sz="0" w:space="0" w:color="auto"/>
      </w:divBdr>
    </w:div>
    <w:div w:id="1828932450">
      <w:bodyDiv w:val="1"/>
      <w:marLeft w:val="0"/>
      <w:marRight w:val="0"/>
      <w:marTop w:val="0"/>
      <w:marBottom w:val="0"/>
      <w:divBdr>
        <w:top w:val="none" w:sz="0" w:space="0" w:color="auto"/>
        <w:left w:val="none" w:sz="0" w:space="0" w:color="auto"/>
        <w:bottom w:val="none" w:sz="0" w:space="0" w:color="auto"/>
        <w:right w:val="none" w:sz="0" w:space="0" w:color="auto"/>
      </w:divBdr>
    </w:div>
    <w:div w:id="206918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b.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mk.gov.lv/content/ministru-kabineta-diskusiju-dokumenti" TargetMode="External"/><Relationship Id="rId4" Type="http://schemas.openxmlformats.org/officeDocument/2006/relationships/settings" Target="settings.xml"/><Relationship Id="rId9" Type="http://schemas.openxmlformats.org/officeDocument/2006/relationships/hyperlink" Target="http://www.varam.gov.lv/lat/likumdosana/normativo_aktu_projekti/klimata_parmainu_joma/?doc=27525"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4339D"/>
    <w:rsid w:val="00057C8B"/>
    <w:rsid w:val="00067354"/>
    <w:rsid w:val="00084514"/>
    <w:rsid w:val="00096A93"/>
    <w:rsid w:val="000F31AB"/>
    <w:rsid w:val="0010022F"/>
    <w:rsid w:val="002A2620"/>
    <w:rsid w:val="002E3501"/>
    <w:rsid w:val="003145A8"/>
    <w:rsid w:val="00344186"/>
    <w:rsid w:val="00472F39"/>
    <w:rsid w:val="0048495D"/>
    <w:rsid w:val="00486EC0"/>
    <w:rsid w:val="004B2D17"/>
    <w:rsid w:val="00523A63"/>
    <w:rsid w:val="0059610C"/>
    <w:rsid w:val="0065461A"/>
    <w:rsid w:val="006A035B"/>
    <w:rsid w:val="006A25F6"/>
    <w:rsid w:val="006C2955"/>
    <w:rsid w:val="00717EBE"/>
    <w:rsid w:val="008B623B"/>
    <w:rsid w:val="008D39C9"/>
    <w:rsid w:val="009A5760"/>
    <w:rsid w:val="009C1B4C"/>
    <w:rsid w:val="00A416AE"/>
    <w:rsid w:val="00AD4A2F"/>
    <w:rsid w:val="00B3767C"/>
    <w:rsid w:val="00C00671"/>
    <w:rsid w:val="00CA1A22"/>
    <w:rsid w:val="00D205F0"/>
    <w:rsid w:val="00D861FA"/>
    <w:rsid w:val="00E9538E"/>
    <w:rsid w:val="00F95F73"/>
    <w:rsid w:val="00FF404C"/>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8">
    <w:name w:val="B2513C7936974E769D1103048039203D8"/>
    <w:rsid w:val="00FF5D4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39474-4D81-4870-A732-ECDD51107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12</Pages>
  <Words>14792</Words>
  <Characters>8432</Characters>
  <Application>Microsoft Office Word</Application>
  <DocSecurity>0</DocSecurity>
  <Lines>70</Lines>
  <Paragraphs>46</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2012. gada 13. novembra noteikumos Nr. 769 “Noteikumi par stacionāro tehnoloģisko iekārtu dalību Eiropas Savienības emisijas kvotu tirdzniecības sistēmā”” sākotnējās ietekmes novērtējuma zi</vt:lpstr>
    </vt:vector>
  </TitlesOfParts>
  <Company>Vides aizsardzības un reģionālās attīstības ministrija</Company>
  <LinksUpToDate>false</LinksUpToDate>
  <CharactersWithSpaces>23178</CharactersWithSpaces>
  <SharedDoc>false</SharedDoc>
  <HLinks>
    <vt:vector size="12" baseType="variant">
      <vt:variant>
        <vt:i4>5439561</vt:i4>
      </vt:variant>
      <vt:variant>
        <vt:i4>3</vt:i4>
      </vt:variant>
      <vt:variant>
        <vt:i4>0</vt:i4>
      </vt:variant>
      <vt:variant>
        <vt:i4>5</vt:i4>
      </vt:variant>
      <vt:variant>
        <vt:lpwstr>http://www.varam.gov.lv/lat/likumdosana/normativo_aktu_projekti/klimata_parmainu_joma/?doc=27525</vt:lpwstr>
      </vt:variant>
      <vt:variant>
        <vt:lpwstr/>
      </vt:variant>
      <vt:variant>
        <vt:i4>5505105</vt:i4>
      </vt:variant>
      <vt:variant>
        <vt:i4>0</vt:i4>
      </vt:variant>
      <vt:variant>
        <vt:i4>0</vt:i4>
      </vt:variant>
      <vt:variant>
        <vt:i4>5</vt:i4>
      </vt:variant>
      <vt:variant>
        <vt:lpwstr>https://likumi.lv/doc.php?id=203061</vt:lpwstr>
      </vt:variant>
      <vt:variant>
        <vt:lpwstr>p60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2012. gada 13. novembra noteikumos Nr. 769 “Noteikumi par stacionāro tehnoloģisko iekārtu dalību Eiropas Savienības emisijas kvotu tirdzniecības sistēmā”” sākotnējās ietekmes novērtējuma ziņojums (anotācija)</dc:title>
  <dc:subject>Anotācija</dc:subject>
  <dc:creator>Liza.Leimane@varam.gov.lv</dc:creator>
  <cp:keywords/>
  <dc:description>67026528 
Liza.Leimane@varam.gov.lv</dc:description>
  <cp:lastModifiedBy>Marta Ošleja</cp:lastModifiedBy>
  <cp:revision>57</cp:revision>
  <dcterms:created xsi:type="dcterms:W3CDTF">2021-02-01T14:24:00Z</dcterms:created>
  <dcterms:modified xsi:type="dcterms:W3CDTF">2021-03-02T12:40:00Z</dcterms:modified>
  <cp:category>Vides politika</cp:category>
</cp:coreProperties>
</file>