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BEB3" w14:textId="77777777" w:rsidR="00831266" w:rsidRPr="00337B21" w:rsidRDefault="000A531F" w:rsidP="00831266">
      <w:pPr>
        <w:jc w:val="center"/>
        <w:rPr>
          <w:b/>
          <w:sz w:val="28"/>
          <w:szCs w:val="28"/>
        </w:rPr>
      </w:pPr>
      <w:r w:rsidRPr="00337B21">
        <w:rPr>
          <w:b/>
          <w:sz w:val="28"/>
          <w:szCs w:val="28"/>
        </w:rPr>
        <w:t>Izziņa par atzinumos sniegtajiem iebildumiem</w:t>
      </w:r>
      <w:r w:rsidR="00831266" w:rsidRPr="00337B21">
        <w:rPr>
          <w:b/>
          <w:sz w:val="28"/>
          <w:szCs w:val="28"/>
        </w:rPr>
        <w:t xml:space="preserve"> </w:t>
      </w:r>
    </w:p>
    <w:p w14:paraId="6C8F2033" w14:textId="515C0DEF" w:rsidR="004D1569" w:rsidRPr="00337B21" w:rsidRDefault="00421776" w:rsidP="004021B9">
      <w:pPr>
        <w:jc w:val="center"/>
        <w:rPr>
          <w:b/>
          <w:sz w:val="28"/>
          <w:szCs w:val="28"/>
          <w:lang w:eastAsia="en-US"/>
        </w:rPr>
      </w:pPr>
      <w:r w:rsidRPr="00337B21">
        <w:rPr>
          <w:b/>
          <w:bCs/>
          <w:sz w:val="28"/>
          <w:szCs w:val="28"/>
        </w:rPr>
        <w:t>Ministru kabineta noteikumiem “Grozījumi Ministru kabineta 2016. gada 1. marta noteikumos Nr. 131 “Rūpniecisko avāriju riska novērtēšanas kārtība un riska samazināšanas pasākumi””</w:t>
      </w:r>
      <w:r w:rsidR="009B1EEA" w:rsidRPr="00337B21">
        <w:rPr>
          <w:b/>
          <w:sz w:val="28"/>
          <w:szCs w:val="28"/>
        </w:rPr>
        <w:t xml:space="preserve"> </w:t>
      </w:r>
      <w:r w:rsidR="004D1569" w:rsidRPr="00337B21">
        <w:rPr>
          <w:b/>
          <w:sz w:val="28"/>
          <w:szCs w:val="28"/>
        </w:rPr>
        <w:t>(VSS</w:t>
      </w:r>
      <w:r w:rsidR="001A67DB" w:rsidRPr="00337B21">
        <w:rPr>
          <w:b/>
          <w:sz w:val="28"/>
          <w:szCs w:val="28"/>
        </w:rPr>
        <w:t xml:space="preserve"> </w:t>
      </w:r>
      <w:r w:rsidR="004D1569" w:rsidRPr="00337B21">
        <w:rPr>
          <w:b/>
          <w:sz w:val="28"/>
          <w:szCs w:val="28"/>
        </w:rPr>
        <w:t xml:space="preserve">- </w:t>
      </w:r>
      <w:r w:rsidRPr="00337B21">
        <w:rPr>
          <w:b/>
          <w:sz w:val="28"/>
          <w:szCs w:val="28"/>
        </w:rPr>
        <w:t>4</w:t>
      </w:r>
      <w:r w:rsidR="00A76D70" w:rsidRPr="00337B21">
        <w:rPr>
          <w:b/>
          <w:sz w:val="28"/>
          <w:szCs w:val="28"/>
        </w:rPr>
        <w:t>6</w:t>
      </w:r>
      <w:r w:rsidR="004D1569" w:rsidRPr="00337B21">
        <w:rPr>
          <w:b/>
          <w:sz w:val="28"/>
          <w:szCs w:val="28"/>
        </w:rPr>
        <w:t xml:space="preserve">) </w:t>
      </w:r>
    </w:p>
    <w:p w14:paraId="527F9148" w14:textId="77777777" w:rsidR="00B31214" w:rsidRPr="00337B21" w:rsidRDefault="00B31214" w:rsidP="000A531F">
      <w:pPr>
        <w:jc w:val="center"/>
        <w:rPr>
          <w:b/>
        </w:rPr>
      </w:pPr>
    </w:p>
    <w:p w14:paraId="45771458" w14:textId="33EE27F4" w:rsidR="000A531F" w:rsidRPr="00337B21" w:rsidRDefault="000A531F" w:rsidP="000A531F">
      <w:pPr>
        <w:jc w:val="center"/>
        <w:rPr>
          <w:b/>
        </w:rPr>
      </w:pPr>
      <w:r w:rsidRPr="00337B21">
        <w:rPr>
          <w:b/>
        </w:rPr>
        <w:t>I.</w:t>
      </w:r>
      <w:r w:rsidR="00EA4FB1" w:rsidRPr="00337B21">
        <w:rPr>
          <w:b/>
        </w:rPr>
        <w:t xml:space="preserve"> </w:t>
      </w:r>
      <w:r w:rsidRPr="00337B21">
        <w:rPr>
          <w:b/>
        </w:rPr>
        <w:t>Jautājumi, par kuriem saskaņošanā vienošanās nav panākta</w:t>
      </w:r>
    </w:p>
    <w:tbl>
      <w:tblPr>
        <w:tblStyle w:val="TableGrid"/>
        <w:tblW w:w="15021" w:type="dxa"/>
        <w:tblLayout w:type="fixed"/>
        <w:tblLook w:val="01E0" w:firstRow="1" w:lastRow="1" w:firstColumn="1" w:lastColumn="1" w:noHBand="0" w:noVBand="0"/>
      </w:tblPr>
      <w:tblGrid>
        <w:gridCol w:w="648"/>
        <w:gridCol w:w="1757"/>
        <w:gridCol w:w="3544"/>
        <w:gridCol w:w="4419"/>
        <w:gridCol w:w="1620"/>
        <w:gridCol w:w="3033"/>
      </w:tblGrid>
      <w:tr w:rsidR="00337B21" w:rsidRPr="00337B21" w14:paraId="2DA0C375" w14:textId="77777777" w:rsidTr="00926D97">
        <w:tc>
          <w:tcPr>
            <w:tcW w:w="648" w:type="dxa"/>
            <w:vAlign w:val="center"/>
          </w:tcPr>
          <w:p w14:paraId="04544725" w14:textId="77777777" w:rsidR="000A531F" w:rsidRPr="00337B21" w:rsidRDefault="000A531F" w:rsidP="0016680D">
            <w:pPr>
              <w:jc w:val="center"/>
            </w:pPr>
            <w:proofErr w:type="spellStart"/>
            <w:r w:rsidRPr="00337B21">
              <w:t>Nr.p.k</w:t>
            </w:r>
            <w:proofErr w:type="spellEnd"/>
            <w:r w:rsidRPr="00337B21">
              <w:t>.</w:t>
            </w:r>
          </w:p>
        </w:tc>
        <w:tc>
          <w:tcPr>
            <w:tcW w:w="1757" w:type="dxa"/>
            <w:vAlign w:val="center"/>
          </w:tcPr>
          <w:p w14:paraId="3039FB62" w14:textId="77777777" w:rsidR="000A531F" w:rsidRPr="00337B21" w:rsidRDefault="000A531F" w:rsidP="0016680D">
            <w:pPr>
              <w:jc w:val="center"/>
            </w:pPr>
            <w:r w:rsidRPr="00337B21">
              <w:t>Saskaņošanai nosūtītā projekta redakcija (konkrēta punkta (panta) redakcija)</w:t>
            </w:r>
          </w:p>
        </w:tc>
        <w:tc>
          <w:tcPr>
            <w:tcW w:w="3544" w:type="dxa"/>
            <w:vAlign w:val="center"/>
          </w:tcPr>
          <w:p w14:paraId="3B6DA722" w14:textId="77777777" w:rsidR="000A531F" w:rsidRPr="00337B21" w:rsidRDefault="000A531F" w:rsidP="0016680D">
            <w:pPr>
              <w:jc w:val="center"/>
            </w:pPr>
            <w:r w:rsidRPr="00337B21">
              <w:t>Atzinumā norādītais ministrijas (citas institūcijas) iebildums, kā arī saskaņošanā papildus izteiktais iebildums par projekta konkrēto punktu (pantu)</w:t>
            </w:r>
          </w:p>
        </w:tc>
        <w:tc>
          <w:tcPr>
            <w:tcW w:w="4419" w:type="dxa"/>
            <w:vAlign w:val="center"/>
          </w:tcPr>
          <w:p w14:paraId="78B19698" w14:textId="77777777" w:rsidR="000A531F" w:rsidRPr="00337B21" w:rsidRDefault="000A531F" w:rsidP="0016680D">
            <w:pPr>
              <w:jc w:val="center"/>
            </w:pPr>
            <w:r w:rsidRPr="00337B21">
              <w:t>Atbildīgās ministrijas pamatojums iebilduma noraidījumam</w:t>
            </w:r>
          </w:p>
        </w:tc>
        <w:tc>
          <w:tcPr>
            <w:tcW w:w="1620" w:type="dxa"/>
            <w:vAlign w:val="center"/>
          </w:tcPr>
          <w:p w14:paraId="4FEB3DDA" w14:textId="77777777" w:rsidR="000A531F" w:rsidRPr="00337B21" w:rsidRDefault="000A531F" w:rsidP="0016680D">
            <w:pPr>
              <w:jc w:val="center"/>
            </w:pPr>
            <w:r w:rsidRPr="00337B21">
              <w:t>Atzinuma sniedzēja uzturētais iebildums, ja tas atšķiras no atzinumā norādītā iebilduma pamatojuma</w:t>
            </w:r>
          </w:p>
        </w:tc>
        <w:tc>
          <w:tcPr>
            <w:tcW w:w="3033" w:type="dxa"/>
            <w:vAlign w:val="center"/>
          </w:tcPr>
          <w:p w14:paraId="0EB0BF1F" w14:textId="77777777" w:rsidR="000A531F" w:rsidRPr="00337B21" w:rsidRDefault="000A531F" w:rsidP="0016680D">
            <w:pPr>
              <w:jc w:val="center"/>
            </w:pPr>
            <w:r w:rsidRPr="00337B21">
              <w:t>Projekta attiecīgā punkta (panta) galīgā redakcija</w:t>
            </w:r>
          </w:p>
        </w:tc>
      </w:tr>
      <w:tr w:rsidR="00337B21" w:rsidRPr="00337B21" w14:paraId="0C29CA32" w14:textId="77777777" w:rsidTr="43AC5C39">
        <w:tc>
          <w:tcPr>
            <w:tcW w:w="648" w:type="dxa"/>
          </w:tcPr>
          <w:p w14:paraId="0B772604" w14:textId="77777777" w:rsidR="000A531F" w:rsidRPr="00337B21" w:rsidRDefault="000A531F" w:rsidP="0016680D">
            <w:pPr>
              <w:jc w:val="center"/>
            </w:pPr>
            <w:r w:rsidRPr="00337B21">
              <w:t>1.</w:t>
            </w:r>
          </w:p>
        </w:tc>
        <w:tc>
          <w:tcPr>
            <w:tcW w:w="1757" w:type="dxa"/>
          </w:tcPr>
          <w:p w14:paraId="74FA1801" w14:textId="77777777" w:rsidR="000A531F" w:rsidRPr="00337B21" w:rsidRDefault="000A531F" w:rsidP="0016680D">
            <w:pPr>
              <w:jc w:val="center"/>
            </w:pPr>
            <w:r w:rsidRPr="00337B21">
              <w:t>2.</w:t>
            </w:r>
          </w:p>
        </w:tc>
        <w:tc>
          <w:tcPr>
            <w:tcW w:w="3544" w:type="dxa"/>
          </w:tcPr>
          <w:p w14:paraId="3977D32D" w14:textId="77777777" w:rsidR="000A531F" w:rsidRPr="00337B21" w:rsidRDefault="000A531F" w:rsidP="0016680D">
            <w:pPr>
              <w:jc w:val="center"/>
            </w:pPr>
            <w:r w:rsidRPr="00337B21">
              <w:t>3.</w:t>
            </w:r>
          </w:p>
        </w:tc>
        <w:tc>
          <w:tcPr>
            <w:tcW w:w="4419" w:type="dxa"/>
          </w:tcPr>
          <w:p w14:paraId="44ED4615" w14:textId="77777777" w:rsidR="000A531F" w:rsidRPr="00337B21" w:rsidRDefault="000A531F" w:rsidP="0016680D">
            <w:pPr>
              <w:jc w:val="center"/>
            </w:pPr>
            <w:r w:rsidRPr="00337B21">
              <w:t>4.</w:t>
            </w:r>
          </w:p>
        </w:tc>
        <w:tc>
          <w:tcPr>
            <w:tcW w:w="1620" w:type="dxa"/>
          </w:tcPr>
          <w:p w14:paraId="5DA65A36" w14:textId="77777777" w:rsidR="000A531F" w:rsidRPr="00337B21" w:rsidRDefault="000A531F" w:rsidP="0016680D">
            <w:pPr>
              <w:jc w:val="center"/>
            </w:pPr>
            <w:r w:rsidRPr="00337B21">
              <w:t>5.</w:t>
            </w:r>
          </w:p>
        </w:tc>
        <w:tc>
          <w:tcPr>
            <w:tcW w:w="3033" w:type="dxa"/>
          </w:tcPr>
          <w:p w14:paraId="51DFA780" w14:textId="77777777" w:rsidR="000A531F" w:rsidRPr="00337B21" w:rsidRDefault="000A531F" w:rsidP="0016680D">
            <w:pPr>
              <w:jc w:val="center"/>
            </w:pPr>
            <w:r w:rsidRPr="00337B21">
              <w:t>6.</w:t>
            </w:r>
          </w:p>
        </w:tc>
      </w:tr>
      <w:tr w:rsidR="008F545C" w:rsidRPr="00337B21" w14:paraId="2064E541" w14:textId="77777777" w:rsidTr="43AC5C39">
        <w:tc>
          <w:tcPr>
            <w:tcW w:w="648" w:type="dxa"/>
          </w:tcPr>
          <w:p w14:paraId="3A3E9AD5" w14:textId="76D701CA" w:rsidR="008F545C" w:rsidRPr="00337B21" w:rsidRDefault="008F545C" w:rsidP="008F545C">
            <w:pPr>
              <w:jc w:val="center"/>
            </w:pPr>
          </w:p>
        </w:tc>
        <w:tc>
          <w:tcPr>
            <w:tcW w:w="1757" w:type="dxa"/>
          </w:tcPr>
          <w:p w14:paraId="0EC6BFD7" w14:textId="48C2E677" w:rsidR="008F545C" w:rsidRPr="00337B21" w:rsidRDefault="008F545C" w:rsidP="008F545C">
            <w:pPr>
              <w:jc w:val="center"/>
            </w:pPr>
          </w:p>
        </w:tc>
        <w:tc>
          <w:tcPr>
            <w:tcW w:w="3544" w:type="dxa"/>
          </w:tcPr>
          <w:p w14:paraId="7DA29702" w14:textId="77E9AD18" w:rsidR="008F545C" w:rsidRPr="00337B21" w:rsidRDefault="008F545C" w:rsidP="008F545C">
            <w:pPr>
              <w:jc w:val="center"/>
            </w:pPr>
          </w:p>
        </w:tc>
        <w:tc>
          <w:tcPr>
            <w:tcW w:w="4419" w:type="dxa"/>
          </w:tcPr>
          <w:p w14:paraId="61882AED" w14:textId="22EBBD1E" w:rsidR="008F545C" w:rsidRPr="00337B21" w:rsidRDefault="008F545C" w:rsidP="008F545C">
            <w:pPr>
              <w:pStyle w:val="BodyText"/>
              <w:spacing w:after="0"/>
              <w:jc w:val="both"/>
            </w:pPr>
          </w:p>
        </w:tc>
        <w:tc>
          <w:tcPr>
            <w:tcW w:w="1620" w:type="dxa"/>
          </w:tcPr>
          <w:p w14:paraId="3FE3A209" w14:textId="77777777" w:rsidR="008F545C" w:rsidRPr="00337B21" w:rsidRDefault="008F545C" w:rsidP="008F545C">
            <w:pPr>
              <w:jc w:val="center"/>
            </w:pPr>
          </w:p>
        </w:tc>
        <w:tc>
          <w:tcPr>
            <w:tcW w:w="3033" w:type="dxa"/>
          </w:tcPr>
          <w:p w14:paraId="1ACC083E" w14:textId="1D8E4AC4" w:rsidR="008F545C" w:rsidRPr="00337B21" w:rsidRDefault="008F545C" w:rsidP="008F545C">
            <w:pPr>
              <w:jc w:val="center"/>
            </w:pPr>
          </w:p>
        </w:tc>
      </w:tr>
    </w:tbl>
    <w:p w14:paraId="59BBA0F7" w14:textId="721B7E6E" w:rsidR="00AA6CE9" w:rsidRPr="00337B21" w:rsidRDefault="00AA6CE9" w:rsidP="0053729A">
      <w:pPr>
        <w:jc w:val="center"/>
        <w:rPr>
          <w:b/>
        </w:rPr>
      </w:pPr>
    </w:p>
    <w:p w14:paraId="303ADE27" w14:textId="77777777" w:rsidR="00B623BC" w:rsidRPr="00337B21" w:rsidRDefault="00B623BC" w:rsidP="00B623BC">
      <w:pPr>
        <w:pStyle w:val="naisf"/>
        <w:spacing w:before="0" w:after="0"/>
        <w:ind w:firstLine="0"/>
        <w:rPr>
          <w:b/>
        </w:rPr>
      </w:pPr>
      <w:r w:rsidRPr="00337B21">
        <w:rPr>
          <w:b/>
        </w:rPr>
        <w:t xml:space="preserve">Informācija par </w:t>
      </w:r>
      <w:proofErr w:type="spellStart"/>
      <w:r w:rsidRPr="00337B21">
        <w:rPr>
          <w:b/>
        </w:rPr>
        <w:t>starpministriju</w:t>
      </w:r>
      <w:proofErr w:type="spellEnd"/>
      <w:r w:rsidRPr="00337B21">
        <w:rPr>
          <w:b/>
        </w:rPr>
        <w:t xml:space="preserve"> (starpinstitūciju) sanāksmi vai elektronisko saskaņošanu</w:t>
      </w:r>
    </w:p>
    <w:p w14:paraId="5D694832" w14:textId="77777777" w:rsidR="00B623BC" w:rsidRPr="00337B21" w:rsidRDefault="00B623BC" w:rsidP="00B623BC">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337B21" w:rsidRPr="00337B21" w14:paraId="5FBD68DB" w14:textId="77777777" w:rsidTr="000A5EF6">
        <w:trPr>
          <w:trHeight w:val="391"/>
        </w:trPr>
        <w:tc>
          <w:tcPr>
            <w:tcW w:w="6345" w:type="dxa"/>
          </w:tcPr>
          <w:p w14:paraId="2B0391B0" w14:textId="77777777" w:rsidR="00B623BC" w:rsidRPr="00337B21" w:rsidRDefault="00B623BC" w:rsidP="0016680D">
            <w:pPr>
              <w:pStyle w:val="naisf"/>
              <w:spacing w:before="0" w:after="0"/>
              <w:ind w:firstLine="0"/>
            </w:pPr>
            <w:r w:rsidRPr="00337B21">
              <w:t>Datums</w:t>
            </w:r>
          </w:p>
        </w:tc>
        <w:tc>
          <w:tcPr>
            <w:tcW w:w="6237" w:type="dxa"/>
            <w:gridSpan w:val="2"/>
            <w:tcBorders>
              <w:bottom w:val="single" w:sz="4" w:space="0" w:color="auto"/>
            </w:tcBorders>
          </w:tcPr>
          <w:p w14:paraId="42F8D984" w14:textId="4924ED06" w:rsidR="00A321C8" w:rsidRPr="00337B21" w:rsidRDefault="00A321C8" w:rsidP="00183ED1">
            <w:pPr>
              <w:pStyle w:val="NormalWeb"/>
              <w:spacing w:before="0" w:after="0"/>
            </w:pPr>
            <w:r w:rsidRPr="00337B21">
              <w:t>202</w:t>
            </w:r>
            <w:r w:rsidR="0036475E" w:rsidRPr="00337B21">
              <w:t>1</w:t>
            </w:r>
            <w:r w:rsidRPr="00337B21">
              <w:t xml:space="preserve">. </w:t>
            </w:r>
            <w:r w:rsidR="00183ED1" w:rsidRPr="00337B21">
              <w:t xml:space="preserve">gada </w:t>
            </w:r>
            <w:r w:rsidR="008276EB">
              <w:t>22</w:t>
            </w:r>
            <w:r w:rsidR="00926D97" w:rsidRPr="00337B21">
              <w:t>. </w:t>
            </w:r>
            <w:r w:rsidR="00AD1CFC" w:rsidRPr="00337B21">
              <w:t>februāra</w:t>
            </w:r>
            <w:r w:rsidRPr="00337B21">
              <w:t xml:space="preserve"> elektroniskā saskaņošana</w:t>
            </w:r>
            <w:r w:rsidR="00C25ECC" w:rsidRPr="00337B21">
              <w:t xml:space="preserve"> </w:t>
            </w:r>
          </w:p>
        </w:tc>
      </w:tr>
      <w:tr w:rsidR="00337B21" w:rsidRPr="00337B21" w14:paraId="418DDFDA" w14:textId="77777777" w:rsidTr="00926D97">
        <w:tc>
          <w:tcPr>
            <w:tcW w:w="6345" w:type="dxa"/>
          </w:tcPr>
          <w:p w14:paraId="006C737A" w14:textId="77777777" w:rsidR="00B623BC" w:rsidRPr="00337B21" w:rsidRDefault="00B623BC" w:rsidP="0016680D">
            <w:pPr>
              <w:pStyle w:val="naisf"/>
              <w:spacing w:before="0" w:after="0"/>
              <w:ind w:firstLine="0"/>
            </w:pPr>
          </w:p>
        </w:tc>
        <w:tc>
          <w:tcPr>
            <w:tcW w:w="6237" w:type="dxa"/>
            <w:gridSpan w:val="2"/>
            <w:tcBorders>
              <w:top w:val="single" w:sz="4" w:space="0" w:color="auto"/>
            </w:tcBorders>
          </w:tcPr>
          <w:p w14:paraId="5B96C199" w14:textId="77777777" w:rsidR="00B623BC" w:rsidRPr="00337B21" w:rsidRDefault="00B623BC" w:rsidP="0016680D">
            <w:pPr>
              <w:pStyle w:val="NormalWeb"/>
              <w:spacing w:before="0" w:after="0"/>
              <w:ind w:firstLine="720"/>
            </w:pPr>
          </w:p>
        </w:tc>
      </w:tr>
      <w:tr w:rsidR="00337B21" w:rsidRPr="00337B21" w14:paraId="6C513EAF" w14:textId="77777777" w:rsidTr="00926D97">
        <w:tc>
          <w:tcPr>
            <w:tcW w:w="6345" w:type="dxa"/>
          </w:tcPr>
          <w:p w14:paraId="7AD18841" w14:textId="77777777" w:rsidR="00B623BC" w:rsidRPr="00337B21" w:rsidRDefault="00B623BC" w:rsidP="0016680D">
            <w:pPr>
              <w:pStyle w:val="naiskr"/>
              <w:spacing w:before="0" w:after="0"/>
            </w:pPr>
            <w:r w:rsidRPr="00337B21">
              <w:t>Saskaņošanas dalībnieki</w:t>
            </w:r>
          </w:p>
        </w:tc>
        <w:tc>
          <w:tcPr>
            <w:tcW w:w="6237" w:type="dxa"/>
            <w:gridSpan w:val="2"/>
          </w:tcPr>
          <w:p w14:paraId="5365328D" w14:textId="160D1A08" w:rsidR="00B623BC" w:rsidRPr="00337B21" w:rsidRDefault="23C17F04" w:rsidP="00A227DF">
            <w:pPr>
              <w:pStyle w:val="NormalWeb"/>
              <w:spacing w:before="0" w:after="0"/>
              <w:jc w:val="both"/>
              <w:rPr>
                <w:b/>
                <w:bCs/>
                <w:u w:val="single"/>
              </w:rPr>
            </w:pPr>
            <w:r w:rsidRPr="00337B21">
              <w:rPr>
                <w:u w:val="single"/>
              </w:rPr>
              <w:t xml:space="preserve">Tieslietu ministrija, Finanšu ministrija, Ekonomikas ministrija, </w:t>
            </w:r>
            <w:proofErr w:type="spellStart"/>
            <w:r w:rsidR="00421776" w:rsidRPr="00337B21">
              <w:rPr>
                <w:u w:val="single"/>
              </w:rPr>
              <w:t>Iekšlietu</w:t>
            </w:r>
            <w:proofErr w:type="spellEnd"/>
            <w:r w:rsidR="00421776" w:rsidRPr="00337B21">
              <w:rPr>
                <w:u w:val="single"/>
              </w:rPr>
              <w:t xml:space="preserve"> ministrija, </w:t>
            </w:r>
            <w:r w:rsidRPr="00337B21">
              <w:rPr>
                <w:u w:val="single"/>
              </w:rPr>
              <w:t>Labklājības ministrija, Veselības ministrija, Latvijas Darba devēju konfederācija</w:t>
            </w:r>
          </w:p>
        </w:tc>
      </w:tr>
      <w:tr w:rsidR="00B623BC" w:rsidRPr="00337B21" w14:paraId="25F92B6C" w14:textId="77777777" w:rsidTr="3C1063B5">
        <w:trPr>
          <w:trHeight w:val="285"/>
        </w:trPr>
        <w:tc>
          <w:tcPr>
            <w:tcW w:w="6345" w:type="dxa"/>
          </w:tcPr>
          <w:p w14:paraId="395CB8F5" w14:textId="77777777" w:rsidR="00B623BC" w:rsidRPr="00337B21" w:rsidRDefault="00B623BC" w:rsidP="0016680D">
            <w:pPr>
              <w:pStyle w:val="naiskr"/>
              <w:spacing w:before="0" w:after="0"/>
            </w:pPr>
          </w:p>
        </w:tc>
        <w:tc>
          <w:tcPr>
            <w:tcW w:w="1203" w:type="dxa"/>
          </w:tcPr>
          <w:p w14:paraId="353066D2" w14:textId="77777777" w:rsidR="00B623BC" w:rsidRPr="00337B21" w:rsidRDefault="00B623BC" w:rsidP="0016680D">
            <w:pPr>
              <w:pStyle w:val="naiskr"/>
              <w:spacing w:before="0" w:after="0"/>
              <w:ind w:firstLine="720"/>
            </w:pPr>
          </w:p>
        </w:tc>
        <w:tc>
          <w:tcPr>
            <w:tcW w:w="5034" w:type="dxa"/>
          </w:tcPr>
          <w:p w14:paraId="1CE55BA3" w14:textId="77777777" w:rsidR="00B623BC" w:rsidRPr="00337B21" w:rsidRDefault="00B623BC" w:rsidP="0016680D">
            <w:pPr>
              <w:pStyle w:val="naiskr"/>
              <w:spacing w:before="0" w:after="0"/>
              <w:ind w:firstLine="12"/>
            </w:pPr>
          </w:p>
        </w:tc>
      </w:tr>
    </w:tbl>
    <w:p w14:paraId="63039258" w14:textId="3ECAA762" w:rsidR="00B623BC" w:rsidRPr="00337B21" w:rsidRDefault="00B623BC" w:rsidP="00B623BC"/>
    <w:tbl>
      <w:tblPr>
        <w:tblW w:w="17900" w:type="dxa"/>
        <w:tblLook w:val="00A0" w:firstRow="1" w:lastRow="0" w:firstColumn="1" w:lastColumn="0" w:noHBand="0" w:noVBand="0"/>
      </w:tblPr>
      <w:tblGrid>
        <w:gridCol w:w="6708"/>
        <w:gridCol w:w="6089"/>
        <w:gridCol w:w="69"/>
        <w:gridCol w:w="5034"/>
      </w:tblGrid>
      <w:tr w:rsidR="00337B21" w:rsidRPr="00337B21" w14:paraId="409C3233" w14:textId="77777777" w:rsidTr="00776F75">
        <w:trPr>
          <w:trHeight w:val="285"/>
        </w:trPr>
        <w:tc>
          <w:tcPr>
            <w:tcW w:w="6708" w:type="dxa"/>
          </w:tcPr>
          <w:p w14:paraId="1B121815" w14:textId="77777777" w:rsidR="00B623BC" w:rsidRPr="00337B21" w:rsidRDefault="00B623BC" w:rsidP="0016680D">
            <w:pPr>
              <w:pStyle w:val="naiskr"/>
              <w:spacing w:before="0" w:after="0"/>
            </w:pPr>
            <w:r w:rsidRPr="00337B21">
              <w:t>Saskaņošanas dalībnieki izskatīja šādu ministriju (citu institūciju) iebildumus</w:t>
            </w:r>
          </w:p>
        </w:tc>
        <w:tc>
          <w:tcPr>
            <w:tcW w:w="6158" w:type="dxa"/>
            <w:gridSpan w:val="2"/>
            <w:tcBorders>
              <w:bottom w:val="single" w:sz="4" w:space="0" w:color="auto"/>
            </w:tcBorders>
          </w:tcPr>
          <w:p w14:paraId="076C35ED" w14:textId="77777777" w:rsidR="00776F75" w:rsidRPr="00337B21" w:rsidRDefault="00776F75" w:rsidP="00A227DF">
            <w:pPr>
              <w:pStyle w:val="naiskr"/>
              <w:spacing w:before="0" w:after="0"/>
            </w:pPr>
          </w:p>
          <w:p w14:paraId="20329680" w14:textId="6B32BB62" w:rsidR="00B623BC" w:rsidRPr="00337B21" w:rsidRDefault="008857B7" w:rsidP="00A227DF">
            <w:pPr>
              <w:pStyle w:val="naiskr"/>
              <w:spacing w:before="0" w:after="0"/>
            </w:pPr>
            <w:r w:rsidRPr="00337B21">
              <w:t>Tieslietu ministrija</w:t>
            </w:r>
            <w:r w:rsidR="00776F75" w:rsidRPr="00337B21">
              <w:t>s</w:t>
            </w:r>
          </w:p>
        </w:tc>
        <w:tc>
          <w:tcPr>
            <w:tcW w:w="5034" w:type="dxa"/>
          </w:tcPr>
          <w:p w14:paraId="4FC4812B" w14:textId="77777777" w:rsidR="00B623BC" w:rsidRPr="00337B21" w:rsidRDefault="00B623BC" w:rsidP="009D25BC">
            <w:pPr>
              <w:pStyle w:val="naiskr"/>
              <w:spacing w:before="0" w:after="0"/>
              <w:ind w:firstLine="720"/>
            </w:pPr>
          </w:p>
        </w:tc>
      </w:tr>
      <w:tr w:rsidR="00337B21" w:rsidRPr="00337B21" w14:paraId="0C96785B" w14:textId="77777777" w:rsidTr="009D25BC">
        <w:trPr>
          <w:gridAfter w:val="2"/>
          <w:wAfter w:w="5103" w:type="dxa"/>
        </w:trPr>
        <w:tc>
          <w:tcPr>
            <w:tcW w:w="6708" w:type="dxa"/>
          </w:tcPr>
          <w:p w14:paraId="69CA6FD9" w14:textId="77777777" w:rsidR="00A321C8" w:rsidRPr="00337B21" w:rsidRDefault="00A321C8" w:rsidP="00A321C8">
            <w:pPr>
              <w:pStyle w:val="naiskr"/>
              <w:spacing w:before="0" w:after="0"/>
            </w:pPr>
            <w:r w:rsidRPr="00337B21">
              <w:t>Ministrijas (citas institūcijas), kuras nav ieradušās uz sanāksmi vai kuras nav atbildējušas uz uzaicinājumu piedalīties elektroniskajā saskaņošanā</w:t>
            </w:r>
          </w:p>
        </w:tc>
        <w:tc>
          <w:tcPr>
            <w:tcW w:w="6089" w:type="dxa"/>
          </w:tcPr>
          <w:p w14:paraId="1631B918" w14:textId="632C5272" w:rsidR="00A321C8" w:rsidRPr="00337B21" w:rsidRDefault="00A321C8" w:rsidP="00005B63">
            <w:pPr>
              <w:pStyle w:val="naiskr"/>
              <w:spacing w:before="0" w:after="0"/>
            </w:pPr>
          </w:p>
        </w:tc>
      </w:tr>
    </w:tbl>
    <w:p w14:paraId="483A7FE7" w14:textId="6D32785B" w:rsidR="00C73711" w:rsidRPr="00337B21" w:rsidRDefault="000A531F" w:rsidP="00C73711">
      <w:pPr>
        <w:pStyle w:val="naisf"/>
        <w:spacing w:before="0" w:after="0"/>
        <w:ind w:firstLine="0"/>
        <w:jc w:val="center"/>
        <w:rPr>
          <w:b/>
        </w:rPr>
      </w:pPr>
      <w:r w:rsidRPr="00337B21">
        <w:rPr>
          <w:b/>
          <w:sz w:val="28"/>
          <w:szCs w:val="28"/>
        </w:rPr>
        <w:lastRenderedPageBreak/>
        <w:t>II.</w:t>
      </w:r>
      <w:r w:rsidR="000A7B5B" w:rsidRPr="00337B21">
        <w:rPr>
          <w:b/>
          <w:sz w:val="28"/>
          <w:szCs w:val="28"/>
        </w:rPr>
        <w:t> </w:t>
      </w:r>
      <w:r w:rsidR="00930695" w:rsidRPr="00337B21">
        <w:rPr>
          <w:b/>
        </w:rPr>
        <w:t>Jautājumi, par kuriem saskaņošanā vienošanās ir panākta</w:t>
      </w:r>
    </w:p>
    <w:tbl>
      <w:tblPr>
        <w:tblStyle w:val="TableGrid"/>
        <w:tblW w:w="14596" w:type="dxa"/>
        <w:tblLayout w:type="fixed"/>
        <w:tblLook w:val="04A0" w:firstRow="1" w:lastRow="0" w:firstColumn="1" w:lastColumn="0" w:noHBand="0" w:noVBand="1"/>
      </w:tblPr>
      <w:tblGrid>
        <w:gridCol w:w="846"/>
        <w:gridCol w:w="2410"/>
        <w:gridCol w:w="4252"/>
        <w:gridCol w:w="3657"/>
        <w:gridCol w:w="3431"/>
      </w:tblGrid>
      <w:tr w:rsidR="00337B21" w:rsidRPr="00337B21" w14:paraId="0595D7DB" w14:textId="40B9FCAF" w:rsidTr="007E4F65">
        <w:tc>
          <w:tcPr>
            <w:tcW w:w="846" w:type="dxa"/>
          </w:tcPr>
          <w:p w14:paraId="0D648B00" w14:textId="77777777" w:rsidR="00A76D70" w:rsidRPr="00337B21" w:rsidRDefault="00A76D70" w:rsidP="00A76D70">
            <w:pPr>
              <w:pStyle w:val="naisf"/>
              <w:spacing w:before="0" w:after="0"/>
              <w:ind w:firstLine="0"/>
              <w:jc w:val="center"/>
            </w:pPr>
            <w:r w:rsidRPr="00337B21">
              <w:t>Nr.</w:t>
            </w:r>
          </w:p>
          <w:p w14:paraId="088DC59F" w14:textId="65353C37" w:rsidR="00E23947" w:rsidRPr="00337B21" w:rsidRDefault="00A76D70" w:rsidP="00A76D70">
            <w:pPr>
              <w:pStyle w:val="naisf"/>
              <w:spacing w:before="0" w:after="0"/>
              <w:ind w:firstLine="0"/>
              <w:jc w:val="center"/>
            </w:pPr>
            <w:r w:rsidRPr="00337B21">
              <w:t>p.k.</w:t>
            </w:r>
          </w:p>
        </w:tc>
        <w:tc>
          <w:tcPr>
            <w:tcW w:w="2410" w:type="dxa"/>
          </w:tcPr>
          <w:p w14:paraId="41E30F2C" w14:textId="77777777" w:rsidR="00E23947" w:rsidRPr="00337B21" w:rsidRDefault="00E23947" w:rsidP="0016680D">
            <w:pPr>
              <w:pStyle w:val="naisf"/>
              <w:spacing w:before="0" w:after="0"/>
              <w:ind w:firstLine="0"/>
              <w:jc w:val="center"/>
            </w:pPr>
            <w:r w:rsidRPr="00337B21">
              <w:t>Saskaņošanai nosūtītā projekta redakcija (konkrēta punkta (panta) redakcija)</w:t>
            </w:r>
          </w:p>
        </w:tc>
        <w:tc>
          <w:tcPr>
            <w:tcW w:w="4252" w:type="dxa"/>
          </w:tcPr>
          <w:p w14:paraId="3EC9DD7B" w14:textId="77777777" w:rsidR="00E23947" w:rsidRPr="00337B21" w:rsidRDefault="00E23947" w:rsidP="0016680D">
            <w:pPr>
              <w:pStyle w:val="naisf"/>
              <w:spacing w:before="0" w:after="0"/>
              <w:ind w:firstLine="0"/>
              <w:jc w:val="center"/>
            </w:pPr>
            <w:r w:rsidRPr="00337B21">
              <w:t>Atzinumā norādītais ministrijas (citas institūcijas) iebildums, kā arī saskaņošanā papildus izteiktais iebildums par projekta konkrēto punktu (pantu)</w:t>
            </w:r>
          </w:p>
        </w:tc>
        <w:tc>
          <w:tcPr>
            <w:tcW w:w="3657" w:type="dxa"/>
          </w:tcPr>
          <w:p w14:paraId="614290FF" w14:textId="77777777" w:rsidR="00E23947" w:rsidRPr="00337B21" w:rsidRDefault="00E23947" w:rsidP="0016680D">
            <w:pPr>
              <w:pStyle w:val="naisf"/>
              <w:spacing w:before="0" w:after="0"/>
              <w:ind w:firstLine="0"/>
              <w:jc w:val="center"/>
            </w:pPr>
            <w:r w:rsidRPr="00337B21">
              <w:t>Atbildīgās ministrijas norāde par to, ka iebildums ir ņemts vērā, vai informācija par saskaņošanā panākto alternatīvo risinājumu</w:t>
            </w:r>
          </w:p>
        </w:tc>
        <w:tc>
          <w:tcPr>
            <w:tcW w:w="3431" w:type="dxa"/>
          </w:tcPr>
          <w:p w14:paraId="3A1FA110" w14:textId="571BB516" w:rsidR="00E23947" w:rsidRPr="008276EB" w:rsidRDefault="00E23947" w:rsidP="0016680D">
            <w:pPr>
              <w:pStyle w:val="naisf"/>
              <w:spacing w:before="0" w:after="0"/>
              <w:ind w:firstLine="0"/>
              <w:jc w:val="center"/>
            </w:pPr>
            <w:r w:rsidRPr="008276EB">
              <w:t>Projekta attiecīgā punkta (panta) galīgā redakcija</w:t>
            </w:r>
          </w:p>
        </w:tc>
      </w:tr>
      <w:tr w:rsidR="00337B21" w:rsidRPr="00337B21" w14:paraId="2D636B00" w14:textId="77777777" w:rsidTr="007E4F65">
        <w:tc>
          <w:tcPr>
            <w:tcW w:w="846" w:type="dxa"/>
          </w:tcPr>
          <w:p w14:paraId="646D48F8" w14:textId="77777777" w:rsidR="008016E6" w:rsidRPr="00337B21" w:rsidRDefault="008016E6" w:rsidP="006F412B">
            <w:pPr>
              <w:pStyle w:val="naisf"/>
              <w:numPr>
                <w:ilvl w:val="0"/>
                <w:numId w:val="31"/>
              </w:numPr>
              <w:spacing w:before="0" w:after="0"/>
              <w:jc w:val="center"/>
            </w:pPr>
          </w:p>
        </w:tc>
        <w:tc>
          <w:tcPr>
            <w:tcW w:w="2410" w:type="dxa"/>
          </w:tcPr>
          <w:p w14:paraId="2490831C" w14:textId="77777777" w:rsidR="003E615D" w:rsidRPr="00337B21" w:rsidRDefault="003E615D" w:rsidP="003E615D">
            <w:pPr>
              <w:autoSpaceDE w:val="0"/>
              <w:autoSpaceDN w:val="0"/>
              <w:adjustRightInd w:val="0"/>
            </w:pPr>
            <w:r w:rsidRPr="00337B21">
              <w:t xml:space="preserve">1. Papildināt noteikumus ar </w:t>
            </w:r>
            <w:r w:rsidRPr="00337B21">
              <w:rPr>
                <w:rFonts w:eastAsia="Calibri"/>
              </w:rPr>
              <w:t>2.6.</w:t>
            </w:r>
            <w:r w:rsidRPr="00337B21">
              <w:rPr>
                <w:rFonts w:eastAsia="Calibri"/>
                <w:vertAlign w:val="superscript"/>
              </w:rPr>
              <w:t>1</w:t>
            </w:r>
            <w:r w:rsidRPr="00337B21">
              <w:t> punktu šādā redakcijā:</w:t>
            </w:r>
          </w:p>
          <w:p w14:paraId="57028C75" w14:textId="77777777" w:rsidR="003E615D" w:rsidRPr="00337B21" w:rsidRDefault="003E615D" w:rsidP="003E615D">
            <w:pPr>
              <w:autoSpaceDE w:val="0"/>
              <w:autoSpaceDN w:val="0"/>
              <w:adjustRightInd w:val="0"/>
              <w:ind w:firstLine="709"/>
              <w:jc w:val="both"/>
              <w:rPr>
                <w:rFonts w:ascii="Verdana" w:hAnsi="Verdana" w:cs="ArialMT"/>
              </w:rPr>
            </w:pPr>
            <w:r w:rsidRPr="00337B21">
              <w:t>“2.6.</w:t>
            </w:r>
            <w:r w:rsidRPr="00337B21">
              <w:rPr>
                <w:vertAlign w:val="superscript"/>
              </w:rPr>
              <w:t>1</w:t>
            </w:r>
            <w:r w:rsidRPr="00337B21">
              <w:t xml:space="preserve"> cits objekts – objekts vai darbības vieta, kas ietilpst šo noteikumu darbības jomā, vai zemāka līmeņa uzņēmums, kas kļūst par augstāka līmeņa uzņēmumu, vai otrādi 2015. gada 1. jūnijā vai vēlāk tādu iemeslu dēļ, kas nav minēti 2.13. punktā;”</w:t>
            </w:r>
          </w:p>
          <w:p w14:paraId="4F953C6B" w14:textId="77777777" w:rsidR="008016E6" w:rsidRPr="00337B21" w:rsidRDefault="008016E6" w:rsidP="00EA5AA9">
            <w:pPr>
              <w:spacing w:before="100" w:beforeAutospacing="1"/>
              <w:jc w:val="both"/>
            </w:pPr>
          </w:p>
        </w:tc>
        <w:tc>
          <w:tcPr>
            <w:tcW w:w="4252" w:type="dxa"/>
          </w:tcPr>
          <w:p w14:paraId="2401C106" w14:textId="7C31A2D5" w:rsidR="00597AEB" w:rsidRPr="00337B21" w:rsidRDefault="00597AEB" w:rsidP="00032C54">
            <w:pPr>
              <w:pStyle w:val="ListParagraph"/>
              <w:ind w:left="0"/>
              <w:jc w:val="both"/>
              <w:rPr>
                <w:b/>
                <w:bCs/>
              </w:rPr>
            </w:pPr>
            <w:r w:rsidRPr="00337B21">
              <w:rPr>
                <w:b/>
                <w:bCs/>
              </w:rPr>
              <w:t>Tieslietu ministrijas 2021. gada 29. janvāra atzinums Nr. 1-9.1/88</w:t>
            </w:r>
          </w:p>
          <w:p w14:paraId="555E1A1F" w14:textId="6AA833BB" w:rsidR="00D045CA" w:rsidRPr="00337B21" w:rsidRDefault="00D045CA" w:rsidP="00032C54">
            <w:pPr>
              <w:jc w:val="both"/>
            </w:pPr>
            <w:r w:rsidRPr="00337B21">
              <w:t xml:space="preserve">1. Lūdzam noteikumu projekta 1. punktā ietvertajā Ministru kabineta 2016. gada 1. marta noteikumu Nr. 131 </w:t>
            </w:r>
            <w:bookmarkStart w:id="0" w:name="_Hlk62636792"/>
            <w:r w:rsidRPr="00337B21">
              <w:t>"</w:t>
            </w:r>
            <w:bookmarkEnd w:id="0"/>
            <w:r w:rsidRPr="00337B21">
              <w:t>Rūpniecisko avāriju riska novērtēšanas kārtība un riska samazināšanas pasākumi"</w:t>
            </w:r>
            <w:bookmarkStart w:id="1" w:name="_Hlk62639365"/>
            <w:r w:rsidRPr="00337B21">
              <w:t>"</w:t>
            </w:r>
            <w:bookmarkEnd w:id="1"/>
            <w:r w:rsidRPr="00337B21">
              <w:t xml:space="preserve"> (turpmāk – noteikumi Nr. 131) 2.6.</w:t>
            </w:r>
            <w:r w:rsidRPr="00337B21">
              <w:rPr>
                <w:vertAlign w:val="superscript"/>
              </w:rPr>
              <w:t>1</w:t>
            </w:r>
            <w:r w:rsidRPr="00337B21">
              <w:t xml:space="preserve"> apakšpunktā nelietot terminu </w:t>
            </w:r>
            <w:bookmarkStart w:id="2" w:name="_Hlk62629959"/>
            <w:r w:rsidRPr="00337B21">
              <w:t>"</w:t>
            </w:r>
            <w:bookmarkEnd w:id="2"/>
            <w:r w:rsidRPr="00337B21">
              <w:t xml:space="preserve">uzņēmums" </w:t>
            </w:r>
            <w:bookmarkStart w:id="3" w:name="_Hlk62631774"/>
            <w:r w:rsidRPr="00337B21">
              <w:t>("augstāka līmeņa uzņēmums"/"zemāka līmeņa uzņēmums")</w:t>
            </w:r>
            <w:bookmarkEnd w:id="3"/>
            <w:r w:rsidRPr="00337B21">
              <w:t>. Norādām, ka saskaņā ar Komerclikuma 18. pantu termins "uzņēmums" apzīmē organizatoriski saimniecisku vienību un nevis komercdarbības vai saimnieciskās darbības subjektu. Ņemot vērā minēto, lūdzam jēdziena "uzņēmums" lietojumu precizēt, tā vietā izmantojot terminu "objekts</w:t>
            </w:r>
            <w:bookmarkStart w:id="4" w:name="_Hlk62639897"/>
            <w:r w:rsidRPr="00337B21">
              <w:t>"</w:t>
            </w:r>
            <w:bookmarkEnd w:id="4"/>
            <w:r w:rsidRPr="00337B21">
              <w:t xml:space="preserve"> līdzīgi kā citviet noteikumu projektā, kā arī saskaņot noteikumu projektā lietoto terminoloģiju, jo, piemēram, noteikumu projekta 2. punktā izteiktajā noteikumu Nr. 131 2.10. apakšpunktā lietoti termini "augstāka līmeņa riska objekts" un "zemāka līmeņa riska objekts". Norādām, ka viena jēdziena izteikšanai jāizmanto </w:t>
            </w:r>
            <w:r w:rsidRPr="00337B21">
              <w:lastRenderedPageBreak/>
              <w:t>vieni un tie paši termini. Iekšējā terminoloģiskā konsekvence nodrošina normatīvā akta skaidrību, novēršot pretrunīgus viedokļus vai šaubas par dažādu terminu saturu.</w:t>
            </w:r>
          </w:p>
          <w:p w14:paraId="2B3BA50C" w14:textId="3925DA3A" w:rsidR="008016E6" w:rsidRPr="00337B21" w:rsidRDefault="00D045CA" w:rsidP="00032C54">
            <w:pPr>
              <w:ind w:firstLine="567"/>
              <w:jc w:val="both"/>
              <w:rPr>
                <w:bCs/>
                <w:iCs/>
              </w:rPr>
            </w:pPr>
            <w:r w:rsidRPr="00337B21">
              <w:t>Vienlaikus lūdzam izvērtēt un nepieciešamības gadījumā precizēt noteikumu projekta 1. punktu, ņemot vērā, ka Eiropas Parlamenta un Padomes 2012. gada 4. jūlija Direktīvas 2012/18/ES par lielu ar bīstamām vielām saistītu avāriju risku pārvaldību, ar kuru groza un vēlāk atceļ Padomes Direktīvu 96/82/EK, (turpmāk – direktīva Nr. 2012/18/ES) 3. panta 1. punkts paredz, ka "cits uzņēmums" ir darbības vieta, kas ietilpst šīs direktīvas darbības jomā, vai zemāka līmeņa uzņēmums, kas kļūst par augstāka līmeņa uzņēmumu, vai otrādi 2015. gada 1. jūnijā vai vēlāk tādu iemeslu dēļ, kas nav minēti 5. punktā. Attiecīgi (pielāgojot minētās direktīvas terminoloģiju ar noteikumos Nr. 131 lietoto terminoloģiju) secināms, ka minētās direktīvas izpratnē "cits objekts" ir tai skaitā darbības vieta, nevis objekts vai darba vieta.</w:t>
            </w:r>
          </w:p>
        </w:tc>
        <w:tc>
          <w:tcPr>
            <w:tcW w:w="3657" w:type="dxa"/>
          </w:tcPr>
          <w:p w14:paraId="3C240E7A" w14:textId="77777777" w:rsidR="00CC7587" w:rsidRPr="00337B21" w:rsidRDefault="00CC7587" w:rsidP="00CC7587">
            <w:pPr>
              <w:pStyle w:val="BodyText"/>
              <w:spacing w:after="0"/>
              <w:jc w:val="both"/>
              <w:rPr>
                <w:rFonts w:eastAsia="Calibri"/>
                <w:b/>
                <w:bCs/>
                <w:lang w:eastAsia="en-US"/>
              </w:rPr>
            </w:pPr>
            <w:r w:rsidRPr="00337B21">
              <w:rPr>
                <w:rFonts w:eastAsia="Calibri"/>
                <w:b/>
                <w:bCs/>
                <w:lang w:eastAsia="en-US"/>
              </w:rPr>
              <w:lastRenderedPageBreak/>
              <w:t xml:space="preserve">Iebildums ņemts vērā. </w:t>
            </w:r>
          </w:p>
          <w:p w14:paraId="5D82571A" w14:textId="77777777" w:rsidR="00860937" w:rsidRPr="00337B21" w:rsidRDefault="00860937" w:rsidP="00307D0B">
            <w:pPr>
              <w:autoSpaceDE w:val="0"/>
              <w:autoSpaceDN w:val="0"/>
              <w:adjustRightInd w:val="0"/>
              <w:jc w:val="both"/>
            </w:pPr>
          </w:p>
          <w:p w14:paraId="2A377E79" w14:textId="0709193E" w:rsidR="00720F1B" w:rsidRPr="00337B21" w:rsidRDefault="00720F1B" w:rsidP="004F7EC5">
            <w:pPr>
              <w:autoSpaceDE w:val="0"/>
              <w:autoSpaceDN w:val="0"/>
              <w:adjustRightInd w:val="0"/>
              <w:jc w:val="both"/>
            </w:pPr>
          </w:p>
        </w:tc>
        <w:tc>
          <w:tcPr>
            <w:tcW w:w="3431" w:type="dxa"/>
          </w:tcPr>
          <w:p w14:paraId="251C12D0" w14:textId="77777777" w:rsidR="004B044A" w:rsidRPr="008276EB" w:rsidRDefault="004B044A" w:rsidP="004B044A">
            <w:pPr>
              <w:autoSpaceDE w:val="0"/>
              <w:autoSpaceDN w:val="0"/>
              <w:adjustRightInd w:val="0"/>
            </w:pPr>
            <w:r w:rsidRPr="008276EB">
              <w:t xml:space="preserve">1. Papildināt noteikumus ar </w:t>
            </w:r>
            <w:r w:rsidRPr="008276EB">
              <w:rPr>
                <w:rFonts w:eastAsia="Calibri"/>
              </w:rPr>
              <w:t>2.6.</w:t>
            </w:r>
            <w:r w:rsidRPr="008276EB">
              <w:rPr>
                <w:rFonts w:eastAsia="Calibri"/>
                <w:vertAlign w:val="superscript"/>
              </w:rPr>
              <w:t>1</w:t>
            </w:r>
            <w:r w:rsidRPr="008276EB">
              <w:t> apakšpunktu šādā redakcijā:</w:t>
            </w:r>
          </w:p>
          <w:p w14:paraId="410A6DFC" w14:textId="77777777" w:rsidR="004B044A" w:rsidRPr="008276EB" w:rsidRDefault="004B044A" w:rsidP="004B044A">
            <w:pPr>
              <w:autoSpaceDE w:val="0"/>
              <w:autoSpaceDN w:val="0"/>
              <w:adjustRightInd w:val="0"/>
              <w:ind w:firstLine="709"/>
              <w:jc w:val="both"/>
            </w:pPr>
            <w:r w:rsidRPr="008276EB">
              <w:t>“2.6.</w:t>
            </w:r>
            <w:r w:rsidRPr="008276EB">
              <w:rPr>
                <w:vertAlign w:val="superscript"/>
              </w:rPr>
              <w:t>1</w:t>
            </w:r>
            <w:r w:rsidRPr="008276EB">
              <w:t xml:space="preserve"> cits objekts – darbības vieta, kas ietilpst šo noteikumu darbības jomā, vai zemāka riska līmeņa objekts, kas kļūst par augstāka riska līmeņa objektu, vai otrādi 2015. gada 1. jūnijā vai vēlāk tādu iemeslu dēļ, kas nav minēti 2.13. punktā;”</w:t>
            </w:r>
          </w:p>
          <w:p w14:paraId="2DFBBBE1" w14:textId="7F9C3C77" w:rsidR="008016E6" w:rsidRPr="008276EB" w:rsidRDefault="008016E6" w:rsidP="00EA5AA9">
            <w:pPr>
              <w:jc w:val="both"/>
            </w:pPr>
          </w:p>
        </w:tc>
      </w:tr>
      <w:tr w:rsidR="00337B21" w:rsidRPr="00337B21" w14:paraId="388EAA5E" w14:textId="77777777" w:rsidTr="007E4F65">
        <w:tc>
          <w:tcPr>
            <w:tcW w:w="846" w:type="dxa"/>
          </w:tcPr>
          <w:p w14:paraId="5A0CA4AF" w14:textId="77777777" w:rsidR="008016E6" w:rsidRPr="00337B21" w:rsidRDefault="008016E6" w:rsidP="006F412B">
            <w:pPr>
              <w:pStyle w:val="naisf"/>
              <w:numPr>
                <w:ilvl w:val="0"/>
                <w:numId w:val="31"/>
              </w:numPr>
              <w:spacing w:before="0" w:after="0"/>
              <w:jc w:val="center"/>
            </w:pPr>
          </w:p>
        </w:tc>
        <w:tc>
          <w:tcPr>
            <w:tcW w:w="2410" w:type="dxa"/>
          </w:tcPr>
          <w:p w14:paraId="7E2D7087" w14:textId="77777777" w:rsidR="00601D20" w:rsidRPr="00337B21" w:rsidRDefault="00601D20" w:rsidP="00601D20">
            <w:pPr>
              <w:jc w:val="both"/>
            </w:pPr>
            <w:r w:rsidRPr="00337B21">
              <w:t>2. Izteikt noteikumu 2.10. punktu šādā redakcijā:</w:t>
            </w:r>
          </w:p>
          <w:p w14:paraId="3216A491" w14:textId="2DD679A2" w:rsidR="008016E6" w:rsidRPr="00337B21" w:rsidRDefault="00601D20" w:rsidP="009510A7">
            <w:pPr>
              <w:autoSpaceDE w:val="0"/>
              <w:autoSpaceDN w:val="0"/>
              <w:adjustRightInd w:val="0"/>
              <w:ind w:firstLine="709"/>
              <w:jc w:val="both"/>
            </w:pPr>
            <w:r w:rsidRPr="00337B21">
              <w:t xml:space="preserve">“2.10. esošs objekts – objekts, uz </w:t>
            </w:r>
            <w:r w:rsidRPr="00337B21">
              <w:lastRenderedPageBreak/>
              <w:t>kuru attiecas šie noteikumi, kā arī tiesiskais regulējums par rūpniecisko avāriju riska novērtēšanas kārtību un riska samazināšanas pasākumiem 2015. gada 31. maijā un, sākot ar 2015. gada 1. jūniju turpinās, ja netiek mainīta tā zemāka līmeņa riska objekta vai augstāka līmeņa riska objekta klasifikācija;”</w:t>
            </w:r>
          </w:p>
        </w:tc>
        <w:tc>
          <w:tcPr>
            <w:tcW w:w="4252" w:type="dxa"/>
          </w:tcPr>
          <w:p w14:paraId="16124C60" w14:textId="77777777" w:rsidR="00597AEB" w:rsidRPr="00337B21" w:rsidRDefault="00597AEB" w:rsidP="00597AEB">
            <w:pPr>
              <w:pStyle w:val="ListParagraph"/>
              <w:ind w:left="0"/>
              <w:jc w:val="both"/>
              <w:rPr>
                <w:b/>
                <w:bCs/>
              </w:rPr>
            </w:pPr>
            <w:r w:rsidRPr="00337B21">
              <w:rPr>
                <w:b/>
                <w:bCs/>
              </w:rPr>
              <w:lastRenderedPageBreak/>
              <w:t>Tieslietu ministrijas 2021. gada 29. janvāra atzinums Nr. 1-9.1/88</w:t>
            </w:r>
          </w:p>
          <w:p w14:paraId="7C668614" w14:textId="580A03DD" w:rsidR="00E07872" w:rsidRPr="00337B21" w:rsidRDefault="00E07872" w:rsidP="00765E0A">
            <w:pPr>
              <w:jc w:val="both"/>
            </w:pPr>
            <w:r w:rsidRPr="00337B21">
              <w:t xml:space="preserve">2. Vēršam uzmanību, ka no noteikumu projekta 2. punktā izteiktā noteikumu Nr. 131 2.10. apakšpunkta nav skaidri </w:t>
            </w:r>
            <w:r w:rsidRPr="00337B21">
              <w:lastRenderedPageBreak/>
              <w:t>saprotams, kas konkrēti, sākot ar 2015. gada 1. jūniju, turpinās. Attiecīgi lūdzam atbilstoši precizēt noteikumu projekta 2. punktu, nodrošinot skaidru tiesību normu. Norādām, ka atbilstoši juridiskās tehnikas prasībām tiesību normai ir jābūt skaidrai, lai tās lietotājs un piemērotājs gūtu nepārprotamu priekšstatu par savām tiesībām un pienākumiem.</w:t>
            </w:r>
          </w:p>
          <w:p w14:paraId="29B42419" w14:textId="77777777" w:rsidR="008016E6" w:rsidRPr="00337B21" w:rsidRDefault="008016E6" w:rsidP="00EA5AA9">
            <w:pPr>
              <w:pStyle w:val="NormalWeb"/>
              <w:tabs>
                <w:tab w:val="left" w:pos="993"/>
              </w:tabs>
              <w:spacing w:before="0" w:after="0"/>
              <w:ind w:right="11" w:firstLine="709"/>
              <w:jc w:val="both"/>
              <w:rPr>
                <w:bCs/>
                <w:iCs/>
              </w:rPr>
            </w:pPr>
          </w:p>
        </w:tc>
        <w:tc>
          <w:tcPr>
            <w:tcW w:w="3657" w:type="dxa"/>
          </w:tcPr>
          <w:p w14:paraId="7ED98940" w14:textId="68948548" w:rsidR="00EA4852" w:rsidRPr="00337B21" w:rsidRDefault="00881F0A" w:rsidP="00953EE5">
            <w:pPr>
              <w:pStyle w:val="BodyText"/>
              <w:spacing w:after="0"/>
              <w:jc w:val="both"/>
              <w:rPr>
                <w:rFonts w:eastAsia="Calibri"/>
                <w:b/>
                <w:bCs/>
                <w:lang w:eastAsia="en-US"/>
              </w:rPr>
            </w:pPr>
            <w:r w:rsidRPr="00337B21">
              <w:rPr>
                <w:rFonts w:eastAsia="Calibri"/>
                <w:b/>
                <w:bCs/>
                <w:lang w:eastAsia="en-US"/>
              </w:rPr>
              <w:lastRenderedPageBreak/>
              <w:t xml:space="preserve">Iebildums ņemts vērā. </w:t>
            </w:r>
          </w:p>
        </w:tc>
        <w:tc>
          <w:tcPr>
            <w:tcW w:w="3431" w:type="dxa"/>
          </w:tcPr>
          <w:p w14:paraId="0B42E8D1" w14:textId="77777777" w:rsidR="005D56D1" w:rsidRPr="008276EB" w:rsidRDefault="005D56D1" w:rsidP="005D56D1">
            <w:pPr>
              <w:jc w:val="both"/>
            </w:pPr>
            <w:r w:rsidRPr="008276EB">
              <w:t>2. Izteikt noteikumu 2.10. apakšpunktu šādā redakcijā:</w:t>
            </w:r>
          </w:p>
          <w:p w14:paraId="20EA53B3" w14:textId="77777777" w:rsidR="005D56D1" w:rsidRPr="008276EB" w:rsidRDefault="005D56D1" w:rsidP="005D56D1">
            <w:pPr>
              <w:autoSpaceDE w:val="0"/>
              <w:autoSpaceDN w:val="0"/>
              <w:adjustRightInd w:val="0"/>
              <w:ind w:firstLine="709"/>
              <w:jc w:val="both"/>
            </w:pPr>
            <w:r w:rsidRPr="008276EB">
              <w:t xml:space="preserve">“2.10. esošs objekts – objekts, uz kuru attiecas šie </w:t>
            </w:r>
            <w:r w:rsidRPr="008276EB">
              <w:lastRenderedPageBreak/>
              <w:t>noteikumi, kā arī uz kuru 2015. gada 31. maijā un, sākot ar 2015. gada 1. jūniju, attiecas rūpniecisko avāriju riska novērtēšanas kārtības un riska samazināšanas pasākumu tiesiskais regulējums, ja netiek mainīts tā zemāka riska līmeņa objekta vai augstāka riska līmeņa objekta iedalījums;”</w:t>
            </w:r>
          </w:p>
          <w:p w14:paraId="7A7368F6" w14:textId="027A608D" w:rsidR="007E3FD3" w:rsidRPr="008276EB" w:rsidRDefault="007E3FD3" w:rsidP="0081378A">
            <w:pPr>
              <w:shd w:val="clear" w:color="auto" w:fill="FFFFFF"/>
            </w:pPr>
          </w:p>
        </w:tc>
      </w:tr>
      <w:tr w:rsidR="00337B21" w:rsidRPr="00337B21" w14:paraId="408ABECA" w14:textId="77777777" w:rsidTr="007E4F65">
        <w:tc>
          <w:tcPr>
            <w:tcW w:w="846" w:type="dxa"/>
          </w:tcPr>
          <w:p w14:paraId="15092DC7" w14:textId="77777777" w:rsidR="002E058F" w:rsidRPr="00337B21" w:rsidRDefault="002E058F" w:rsidP="002E058F">
            <w:pPr>
              <w:pStyle w:val="naisf"/>
              <w:numPr>
                <w:ilvl w:val="0"/>
                <w:numId w:val="31"/>
              </w:numPr>
              <w:spacing w:before="0" w:after="0"/>
              <w:jc w:val="center"/>
            </w:pPr>
          </w:p>
        </w:tc>
        <w:tc>
          <w:tcPr>
            <w:tcW w:w="2410" w:type="dxa"/>
          </w:tcPr>
          <w:p w14:paraId="3E0CCA99" w14:textId="77777777" w:rsidR="002E058F" w:rsidRPr="00337B21" w:rsidRDefault="002E058F" w:rsidP="002E058F">
            <w:pPr>
              <w:jc w:val="both"/>
            </w:pPr>
            <w:r w:rsidRPr="00337B21">
              <w:t>4. Izteikt noteikumu 2.13. punktu šādā redakcijā:</w:t>
            </w:r>
          </w:p>
          <w:p w14:paraId="3888113A" w14:textId="77777777" w:rsidR="00E042CA" w:rsidRPr="00337B21" w:rsidRDefault="00E042CA" w:rsidP="002E058F">
            <w:pPr>
              <w:autoSpaceDE w:val="0"/>
              <w:autoSpaceDN w:val="0"/>
              <w:adjustRightInd w:val="0"/>
              <w:ind w:firstLine="709"/>
              <w:jc w:val="both"/>
            </w:pPr>
          </w:p>
          <w:p w14:paraId="0BC513D8" w14:textId="63FB3E0B" w:rsidR="002E058F" w:rsidRPr="00337B21" w:rsidRDefault="002E058F" w:rsidP="00E042CA">
            <w:pPr>
              <w:autoSpaceDE w:val="0"/>
              <w:autoSpaceDN w:val="0"/>
              <w:adjustRightInd w:val="0"/>
              <w:jc w:val="both"/>
            </w:pPr>
            <w:r w:rsidRPr="00337B21">
              <w:t xml:space="preserve">“2.13. jauns objekts ir: </w:t>
            </w:r>
          </w:p>
          <w:p w14:paraId="6AE57FC0" w14:textId="77777777" w:rsidR="002E058F" w:rsidRPr="00337B21" w:rsidRDefault="002E058F" w:rsidP="002E058F">
            <w:pPr>
              <w:autoSpaceDE w:val="0"/>
              <w:autoSpaceDN w:val="0"/>
              <w:adjustRightInd w:val="0"/>
              <w:jc w:val="both"/>
            </w:pPr>
          </w:p>
          <w:p w14:paraId="22970B27" w14:textId="2EFAE9BB" w:rsidR="002E058F" w:rsidRPr="00337B21" w:rsidRDefault="002E058F" w:rsidP="002E058F">
            <w:pPr>
              <w:autoSpaceDE w:val="0"/>
              <w:autoSpaceDN w:val="0"/>
              <w:adjustRightInd w:val="0"/>
              <w:jc w:val="both"/>
            </w:pPr>
            <w:r w:rsidRPr="00337B21">
              <w:t>2.13.1. objekts, kas sāk darbību vai tiek uzbūvēts 2015. gada 1. jūnijā vai pēc minētās dienas;</w:t>
            </w:r>
          </w:p>
          <w:p w14:paraId="3ED29069" w14:textId="77777777" w:rsidR="002E058F" w:rsidRPr="00337B21" w:rsidRDefault="002E058F" w:rsidP="002E058F">
            <w:pPr>
              <w:autoSpaceDE w:val="0"/>
              <w:autoSpaceDN w:val="0"/>
              <w:adjustRightInd w:val="0"/>
              <w:jc w:val="both"/>
            </w:pPr>
          </w:p>
          <w:p w14:paraId="1C2DF2ED" w14:textId="6F44D9B2" w:rsidR="002E058F" w:rsidRPr="00337B21" w:rsidRDefault="002E058F" w:rsidP="00957391">
            <w:pPr>
              <w:autoSpaceDE w:val="0"/>
              <w:autoSpaceDN w:val="0"/>
              <w:adjustRightInd w:val="0"/>
              <w:jc w:val="both"/>
            </w:pPr>
            <w:r w:rsidRPr="00337B21">
              <w:t xml:space="preserve">2.13.2. darbības vieta, kas ir šo noteikumu darbības jomā, vai zemāka līmeņa riska </w:t>
            </w:r>
            <w:r w:rsidRPr="00337B21">
              <w:lastRenderedPageBreak/>
              <w:t>objekts, kas kļūst par augstāka līmeņa riska objektu, vai otrādi 2015. gada 1. jūnijā vai vēlāk saistībā ar to, ka tiek pārveidoti tā objekti vai mainītas darbības un šo izmaiņu dēļ mainās objekta bīstamo vielu krājumu saraksts;”</w:t>
            </w:r>
          </w:p>
        </w:tc>
        <w:tc>
          <w:tcPr>
            <w:tcW w:w="4252" w:type="dxa"/>
          </w:tcPr>
          <w:p w14:paraId="0F2C4A5A" w14:textId="77777777" w:rsidR="00D2173B" w:rsidRPr="00337B21" w:rsidRDefault="00D2173B" w:rsidP="00D2173B">
            <w:pPr>
              <w:pStyle w:val="ListParagraph"/>
              <w:ind w:left="0"/>
              <w:jc w:val="both"/>
              <w:rPr>
                <w:b/>
                <w:bCs/>
              </w:rPr>
            </w:pPr>
            <w:r w:rsidRPr="00337B21">
              <w:rPr>
                <w:b/>
                <w:bCs/>
              </w:rPr>
              <w:lastRenderedPageBreak/>
              <w:t>Tieslietu ministrijas 2021. gada 29. janvāra atzinums Nr. 1-9.1/88</w:t>
            </w:r>
          </w:p>
          <w:p w14:paraId="29CD3A74" w14:textId="73DB4C64" w:rsidR="002E058F" w:rsidRPr="00957391" w:rsidRDefault="002E058F" w:rsidP="00765E0A">
            <w:pPr>
              <w:jc w:val="both"/>
            </w:pPr>
            <w:r w:rsidRPr="00337B21">
              <w:t xml:space="preserve">3. Lūdzam izvērtēt un nepieciešamības gadījumā precizēt noteikumu projekta 4. punktā izteikto noteikumu Nr. 131 2.13.2. apakšpunktu. Proti, vēršam uzmanību, ka atbilstoši direktīvas Nr. 2012/18/ES 3. panta 5. punkta "b" apakšpunktam jauns uzņēmums ir tai skaitā darbības vieta, kas ir šīs direktīvas darbības jomā, vai </w:t>
            </w:r>
            <w:bookmarkStart w:id="5" w:name="_Hlk62639832"/>
            <w:r w:rsidRPr="00337B21">
              <w:t xml:space="preserve">zemāka līmeņa uzņēmums, kas kļūst par augstāka līmeņa uzņēmumu, vai otrādi 2015. gada 1. jūnijā vai vēlāk saistībā ar to, ka tiek pārveidoti tā objekti </w:t>
            </w:r>
            <w:bookmarkEnd w:id="5"/>
            <w:r w:rsidRPr="00337B21">
              <w:t xml:space="preserve">vai mainītas darbības un šo izmaiņu dēļ mainās uzņēmuma bīstamo </w:t>
            </w:r>
            <w:r w:rsidRPr="00337B21">
              <w:lastRenderedPageBreak/>
              <w:t>vielu krājumu saraksts. Tomēr iepretim iepriekš norādītās direktīvas vienības latviešu valodas versijai angļu valodas versija paredz, ka pārveidoti tiek nevis objekti, bet gan iekārtas (</w:t>
            </w:r>
            <w:proofErr w:type="spellStart"/>
            <w:r w:rsidRPr="00337B21">
              <w:rPr>
                <w:i/>
                <w:iCs/>
              </w:rPr>
              <w:t>installations</w:t>
            </w:r>
            <w:proofErr w:type="spellEnd"/>
            <w:r w:rsidRPr="00337B21">
              <w:t>), kas ir arī loģiskāks skaidrojums (tulkojums), jo pretējā gadījumā veidojas neskaidra konstrukcija, ka: "zemāka līmeņa riska objekts kļūst par augstāka riska līmeņa objektu vai otrādi (..) saistībā ar to, ka tiek pārveidoti tā objekti".</w:t>
            </w:r>
          </w:p>
        </w:tc>
        <w:tc>
          <w:tcPr>
            <w:tcW w:w="3657" w:type="dxa"/>
          </w:tcPr>
          <w:p w14:paraId="0999A05D" w14:textId="77777777" w:rsidR="00B02DB1" w:rsidRPr="00337B21" w:rsidRDefault="00B02DB1" w:rsidP="00B02DB1">
            <w:pPr>
              <w:pStyle w:val="BodyText"/>
              <w:spacing w:after="0"/>
              <w:jc w:val="both"/>
              <w:rPr>
                <w:rFonts w:eastAsia="Calibri"/>
                <w:b/>
                <w:bCs/>
                <w:lang w:eastAsia="en-US"/>
              </w:rPr>
            </w:pPr>
            <w:r w:rsidRPr="00337B21">
              <w:rPr>
                <w:rFonts w:eastAsia="Calibri"/>
                <w:b/>
                <w:bCs/>
                <w:lang w:eastAsia="en-US"/>
              </w:rPr>
              <w:lastRenderedPageBreak/>
              <w:t xml:space="preserve">Iebildums ņemts vērā. </w:t>
            </w:r>
          </w:p>
          <w:p w14:paraId="41482B23" w14:textId="39251AE6" w:rsidR="002E058F" w:rsidRPr="00337B21" w:rsidRDefault="002E058F" w:rsidP="002E058F">
            <w:pPr>
              <w:jc w:val="both"/>
              <w:rPr>
                <w:strike/>
              </w:rPr>
            </w:pPr>
          </w:p>
        </w:tc>
        <w:tc>
          <w:tcPr>
            <w:tcW w:w="3431" w:type="dxa"/>
          </w:tcPr>
          <w:p w14:paraId="0D9EE949" w14:textId="77777777" w:rsidR="00F329C9" w:rsidRPr="008276EB" w:rsidRDefault="00F329C9" w:rsidP="00F329C9">
            <w:pPr>
              <w:jc w:val="both"/>
            </w:pPr>
            <w:r w:rsidRPr="008276EB">
              <w:t>4. Izteikt noteikumu 2.13. apakšpunktu šādā redakcijā:</w:t>
            </w:r>
          </w:p>
          <w:p w14:paraId="2468458D" w14:textId="77777777" w:rsidR="00F329C9" w:rsidRPr="008276EB" w:rsidRDefault="00F329C9" w:rsidP="00F329C9">
            <w:pPr>
              <w:autoSpaceDE w:val="0"/>
              <w:autoSpaceDN w:val="0"/>
              <w:adjustRightInd w:val="0"/>
              <w:ind w:firstLine="709"/>
              <w:jc w:val="both"/>
            </w:pPr>
            <w:r w:rsidRPr="008276EB">
              <w:t xml:space="preserve">“2.13. jauns objekts ir: </w:t>
            </w:r>
          </w:p>
          <w:p w14:paraId="4F40F642" w14:textId="77777777" w:rsidR="00F329C9" w:rsidRPr="008276EB" w:rsidRDefault="00F329C9" w:rsidP="00F329C9">
            <w:pPr>
              <w:autoSpaceDE w:val="0"/>
              <w:autoSpaceDN w:val="0"/>
              <w:adjustRightInd w:val="0"/>
              <w:ind w:firstLine="709"/>
              <w:jc w:val="both"/>
            </w:pPr>
            <w:r w:rsidRPr="008276EB">
              <w:t>2.13.1. objekts, kas sāk darbību vai tiek uzbūvēts 2015. gada 1. jūnijā vai pēc minētās dienas;</w:t>
            </w:r>
          </w:p>
          <w:p w14:paraId="0A34191F" w14:textId="77777777" w:rsidR="00F329C9" w:rsidRPr="008276EB" w:rsidRDefault="00F329C9" w:rsidP="00F329C9">
            <w:pPr>
              <w:autoSpaceDE w:val="0"/>
              <w:autoSpaceDN w:val="0"/>
              <w:adjustRightInd w:val="0"/>
              <w:ind w:firstLine="709"/>
              <w:jc w:val="both"/>
            </w:pPr>
            <w:r w:rsidRPr="008276EB">
              <w:t xml:space="preserve">2.13.2. darbības vieta, kas ir šo noteikumu darbības jomā, vai zemāka riska līmeņa objekts, kas kļūst par augstāka riska līmeņa objektu, vai otrādi 2015. gada 1. jūnijā vai vēlāk saistībā ar to, ka tiek pārveidotas tā iekārtas vai mainītas darbības </w:t>
            </w:r>
            <w:r w:rsidRPr="008276EB">
              <w:lastRenderedPageBreak/>
              <w:t>un šo izmaiņu dēļ mainās objekta bīstamo vielu krājumu saraksts;”</w:t>
            </w:r>
          </w:p>
          <w:p w14:paraId="08ABC3FF" w14:textId="77777777" w:rsidR="002E058F" w:rsidRPr="008276EB" w:rsidRDefault="002E058F" w:rsidP="002E058F">
            <w:pPr>
              <w:jc w:val="both"/>
            </w:pPr>
          </w:p>
        </w:tc>
      </w:tr>
      <w:tr w:rsidR="00337B21" w:rsidRPr="00337B21" w14:paraId="3ED52F4A" w14:textId="77777777" w:rsidTr="00263EA8">
        <w:trPr>
          <w:trHeight w:val="3676"/>
        </w:trPr>
        <w:tc>
          <w:tcPr>
            <w:tcW w:w="846" w:type="dxa"/>
          </w:tcPr>
          <w:p w14:paraId="25C62B38" w14:textId="77777777" w:rsidR="000F500D" w:rsidRPr="00337B21" w:rsidRDefault="000F500D" w:rsidP="000F500D">
            <w:pPr>
              <w:pStyle w:val="naisf"/>
              <w:numPr>
                <w:ilvl w:val="0"/>
                <w:numId w:val="31"/>
              </w:numPr>
              <w:spacing w:before="0" w:after="0"/>
              <w:jc w:val="center"/>
            </w:pPr>
          </w:p>
        </w:tc>
        <w:tc>
          <w:tcPr>
            <w:tcW w:w="2410" w:type="dxa"/>
          </w:tcPr>
          <w:p w14:paraId="66150CC5" w14:textId="42D2C800" w:rsidR="000F500D" w:rsidRPr="00337B21" w:rsidRDefault="000F500D" w:rsidP="000F500D">
            <w:pPr>
              <w:jc w:val="both"/>
            </w:pPr>
            <w:r w:rsidRPr="00337B21">
              <w:t>5. Aizstāt noteikumu 2.14. punktā vārdu “inspicēšana” ar vārdu “inspekcija”.</w:t>
            </w:r>
          </w:p>
          <w:p w14:paraId="3E74C309" w14:textId="77777777" w:rsidR="000F500D" w:rsidRPr="00337B21" w:rsidRDefault="000F500D" w:rsidP="000F500D">
            <w:pPr>
              <w:spacing w:before="100" w:beforeAutospacing="1"/>
              <w:jc w:val="both"/>
            </w:pPr>
          </w:p>
        </w:tc>
        <w:tc>
          <w:tcPr>
            <w:tcW w:w="4252" w:type="dxa"/>
          </w:tcPr>
          <w:p w14:paraId="7A103ACB" w14:textId="77777777" w:rsidR="000F500D" w:rsidRPr="00337B21" w:rsidRDefault="000F500D" w:rsidP="000F500D">
            <w:pPr>
              <w:pStyle w:val="ListParagraph"/>
              <w:ind w:left="0"/>
              <w:jc w:val="both"/>
              <w:rPr>
                <w:b/>
                <w:bCs/>
              </w:rPr>
            </w:pPr>
            <w:r w:rsidRPr="00337B21">
              <w:rPr>
                <w:b/>
                <w:bCs/>
              </w:rPr>
              <w:t>Tieslietu ministrijas 2021. gada 29. janvāra atzinums Nr. 1-9.1/88</w:t>
            </w:r>
          </w:p>
          <w:p w14:paraId="206AF2E2" w14:textId="6CB50250" w:rsidR="000F500D" w:rsidRPr="00337B21" w:rsidRDefault="000F500D" w:rsidP="00765E0A">
            <w:pPr>
              <w:jc w:val="both"/>
            </w:pPr>
            <w:r w:rsidRPr="00337B21">
              <w:t xml:space="preserve">4. Vēršam uzmanību, ka ne tikai noteikumu Nr. 131 2.14. apakšpunktā, bet arī citviet šajos noteikumos tiek lietots termins "inspicēšana" termina "inspekcija" vietā (sk., piem., X nodaļu, 109. punktu). Attiecīgi lūdzam izvērtēt un atbilstoši papildināt noteikumu projekta 5. punktu, paredzot termina </w:t>
            </w:r>
            <w:bookmarkStart w:id="6" w:name="_Hlk62732259"/>
            <w:r w:rsidRPr="00337B21">
              <w:t>"</w:t>
            </w:r>
            <w:bookmarkEnd w:id="6"/>
            <w:r w:rsidRPr="00337B21">
              <w:t>inspekcija" konsekventu lietojumu noteikumos Nr. 131 vai sniegt pamatotu skaidrojumu par atšķirīgas terminoloģijas lietošanas nepieciešamību.</w:t>
            </w:r>
          </w:p>
        </w:tc>
        <w:tc>
          <w:tcPr>
            <w:tcW w:w="3657" w:type="dxa"/>
          </w:tcPr>
          <w:p w14:paraId="41F48DEF" w14:textId="7740024B" w:rsidR="00E00D4B" w:rsidRPr="00337B21" w:rsidRDefault="000F500D" w:rsidP="001C103B">
            <w:pPr>
              <w:pStyle w:val="BodyText"/>
              <w:spacing w:after="0"/>
              <w:jc w:val="both"/>
              <w:rPr>
                <w:rFonts w:eastAsia="Calibri"/>
                <w:b/>
                <w:bCs/>
                <w:lang w:eastAsia="en-US"/>
              </w:rPr>
            </w:pPr>
            <w:r w:rsidRPr="00337B21">
              <w:rPr>
                <w:rFonts w:eastAsia="Calibri"/>
                <w:b/>
                <w:bCs/>
                <w:lang w:eastAsia="en-US"/>
              </w:rPr>
              <w:t xml:space="preserve">Iebildums ņemts vērā. </w:t>
            </w:r>
          </w:p>
        </w:tc>
        <w:tc>
          <w:tcPr>
            <w:tcW w:w="3431" w:type="dxa"/>
          </w:tcPr>
          <w:p w14:paraId="25E3B82E" w14:textId="77777777" w:rsidR="00260292" w:rsidRPr="008276EB" w:rsidRDefault="00260292" w:rsidP="00765E0A">
            <w:pPr>
              <w:jc w:val="both"/>
            </w:pPr>
            <w:r w:rsidRPr="008276EB">
              <w:t>5. Aizstāt noteikumu 2.14. apakšpunktā un 109. punktā vārdu “inspicēšana” (attiecīgā locījumā) ar vārdu “inspekcija” (attiecīgā locījumā).</w:t>
            </w:r>
          </w:p>
          <w:p w14:paraId="6B0B23B0" w14:textId="1A946C62" w:rsidR="001F5450" w:rsidRPr="008276EB" w:rsidRDefault="001F5450" w:rsidP="00D357D0"/>
          <w:p w14:paraId="4B0EAB5D" w14:textId="77777777" w:rsidR="00337B21" w:rsidRPr="008276EB" w:rsidRDefault="00337B21" w:rsidP="00D357D0"/>
          <w:p w14:paraId="5C79803F" w14:textId="77777777" w:rsidR="004A700F" w:rsidRPr="008276EB" w:rsidRDefault="004A700F" w:rsidP="004A700F">
            <w:pPr>
              <w:contextualSpacing/>
              <w:jc w:val="both"/>
            </w:pPr>
            <w:r w:rsidRPr="008276EB">
              <w:t>12. Izteikt X. nodaļas nosaukumu šādā redakcijā:</w:t>
            </w:r>
          </w:p>
          <w:p w14:paraId="3C39C6E8" w14:textId="77777777" w:rsidR="004A700F" w:rsidRPr="008276EB" w:rsidRDefault="004A700F" w:rsidP="004A700F">
            <w:pPr>
              <w:ind w:firstLine="720"/>
              <w:contextualSpacing/>
              <w:jc w:val="center"/>
              <w:rPr>
                <w:b/>
                <w:bCs/>
              </w:rPr>
            </w:pPr>
            <w:r w:rsidRPr="008276EB">
              <w:rPr>
                <w:b/>
                <w:bCs/>
              </w:rPr>
              <w:t>“X. Inspekcijas”.</w:t>
            </w:r>
          </w:p>
          <w:p w14:paraId="30472812" w14:textId="77777777" w:rsidR="00260292" w:rsidRPr="008276EB" w:rsidRDefault="00260292" w:rsidP="00D357D0"/>
          <w:p w14:paraId="5DF5EEC0" w14:textId="25650A41" w:rsidR="00260292" w:rsidRPr="008276EB" w:rsidRDefault="00260292" w:rsidP="00D357D0"/>
        </w:tc>
      </w:tr>
      <w:tr w:rsidR="00337B21" w:rsidRPr="00337B21" w14:paraId="57013667" w14:textId="77777777" w:rsidTr="007E4F65">
        <w:tc>
          <w:tcPr>
            <w:tcW w:w="846" w:type="dxa"/>
          </w:tcPr>
          <w:p w14:paraId="40FDFF99" w14:textId="77777777" w:rsidR="000F500D" w:rsidRPr="00337B21" w:rsidRDefault="000F500D" w:rsidP="000F500D">
            <w:pPr>
              <w:pStyle w:val="naisf"/>
              <w:numPr>
                <w:ilvl w:val="0"/>
                <w:numId w:val="31"/>
              </w:numPr>
              <w:spacing w:before="0" w:after="0"/>
              <w:jc w:val="center"/>
            </w:pPr>
          </w:p>
        </w:tc>
        <w:tc>
          <w:tcPr>
            <w:tcW w:w="2410" w:type="dxa"/>
          </w:tcPr>
          <w:p w14:paraId="6B435776" w14:textId="77777777" w:rsidR="000F500D" w:rsidRPr="00337B21" w:rsidRDefault="000F500D" w:rsidP="000F500D">
            <w:pPr>
              <w:spacing w:before="100" w:beforeAutospacing="1"/>
              <w:jc w:val="both"/>
            </w:pPr>
          </w:p>
        </w:tc>
        <w:tc>
          <w:tcPr>
            <w:tcW w:w="4252" w:type="dxa"/>
          </w:tcPr>
          <w:p w14:paraId="4CEC5D7E" w14:textId="77777777" w:rsidR="000F500D" w:rsidRPr="00337B21" w:rsidRDefault="000F500D" w:rsidP="000F500D">
            <w:pPr>
              <w:pStyle w:val="ListParagraph"/>
              <w:ind w:left="0"/>
              <w:jc w:val="both"/>
              <w:rPr>
                <w:b/>
                <w:bCs/>
              </w:rPr>
            </w:pPr>
            <w:r w:rsidRPr="00337B21">
              <w:rPr>
                <w:b/>
                <w:bCs/>
              </w:rPr>
              <w:t>Tieslietu ministrijas 2021. gada 29. janvāra atzinums Nr. 1-9.1/88</w:t>
            </w:r>
          </w:p>
          <w:p w14:paraId="76B68C2B" w14:textId="77777777" w:rsidR="000F500D" w:rsidRPr="00337B21" w:rsidRDefault="000F500D" w:rsidP="000F500D"/>
          <w:p w14:paraId="09247C05" w14:textId="22CB9241" w:rsidR="000F500D" w:rsidRPr="00337B21" w:rsidRDefault="000F500D" w:rsidP="00765E0A">
            <w:pPr>
              <w:jc w:val="both"/>
            </w:pPr>
            <w:r w:rsidRPr="00337B21">
              <w:t xml:space="preserve">5. Lūdzam izvērtēt noteikumu Nr. 131 62. punktā ietvertā tiesiskā regulējuma efektivitāti un atbilstību direktīvas Nr. 2012/18/ES 15. panta 2. punkta </w:t>
            </w:r>
            <w:r w:rsidRPr="00337B21">
              <w:lastRenderedPageBreak/>
              <w:t>prasībām, nepieciešamības gadījumā ar noteikumu projektu atbilstoši precizējot minēto noteikumu Nr. 131 vienību. Norādām, ka saskaņā ar likuma "Par presi un citiem masu informācijas līdzekļiem" 2. panta otrajā daļā noteikto pašvaldības neizdod laikrakstus, bet gan informatīvos izdevumus. 2020. gada 2. novembrī stājās spēkā grozījumi likumā "Par pašvaldībām", kuros iekļauts regulējums 14.</w:t>
            </w:r>
            <w:r w:rsidRPr="00337B21">
              <w:rPr>
                <w:vertAlign w:val="superscript"/>
              </w:rPr>
              <w:t>1</w:t>
            </w:r>
            <w:r w:rsidRPr="00337B21">
              <w:t xml:space="preserve"> pantā par pašvaldības informatīvo izdevumu izdošanu, kas noteic, ka pašvaldība ir tiesīga izdot informatīvu – periodisku iespiedtehnikā izdotu izdevumu, kurā tā informē vietējos iedzīvotājus par šā likuma 6. pantā noteikto funkciju izpildi, kā arī publicē šajā likumā un citos normatīvajos aktos noteikto informāciju. Grozījumi paredz, ka informatīvo izdevumu izdod ne biežāk kā reizi mēnesī. Šis ierobežojums neattiecas uz informatīvajiem izdevumiem, kuros publicē tikai pašvaldības un tās institūciju pieņemtos tiesību aktus un to skaidrojumus. Ņemot vērā minēto un to, ka 2020. gada 5. novembrī tika pieņemti grozījumi likumā "Par presi un citiem masu informācijas līdzekļiem", kas paredz noteikt liegumu pašvaldībām un to iestādēm dibināt un izdot masu informācijas līdzekļus (sk. 8. panta pirmo </w:t>
            </w:r>
            <w:r w:rsidRPr="00337B21">
              <w:lastRenderedPageBreak/>
              <w:t>daļu un pārejas noteikumu 3. punktu), nav skaidri saprotams, kādos konkrēti pašvaldības izdotos vietējos laikrakstos varētu tikt publicēts noteikumu Nr. 131 62. punktā minētais paziņojums, kā arī nav gūstama pārliecība par attiecīgu laikrakstu pieļaujamību.</w:t>
            </w:r>
          </w:p>
          <w:p w14:paraId="117F43A1" w14:textId="77777777" w:rsidR="000F500D" w:rsidRPr="00337B21" w:rsidRDefault="000F500D" w:rsidP="000F500D">
            <w:pPr>
              <w:pStyle w:val="NormalWeb"/>
              <w:tabs>
                <w:tab w:val="left" w:pos="993"/>
              </w:tabs>
              <w:spacing w:before="0" w:after="0"/>
              <w:ind w:right="11" w:firstLine="709"/>
              <w:jc w:val="both"/>
              <w:rPr>
                <w:bCs/>
                <w:iCs/>
              </w:rPr>
            </w:pPr>
          </w:p>
        </w:tc>
        <w:tc>
          <w:tcPr>
            <w:tcW w:w="3657" w:type="dxa"/>
          </w:tcPr>
          <w:p w14:paraId="5A523168" w14:textId="2C132EDF" w:rsidR="000F500D" w:rsidRPr="00337B21" w:rsidRDefault="00111EBD" w:rsidP="00C907AE">
            <w:pPr>
              <w:pStyle w:val="BodyText"/>
              <w:spacing w:after="0"/>
              <w:jc w:val="both"/>
              <w:rPr>
                <w:rFonts w:eastAsia="Calibri"/>
                <w:b/>
                <w:bCs/>
                <w:lang w:eastAsia="en-US"/>
              </w:rPr>
            </w:pPr>
            <w:r w:rsidRPr="00337B21">
              <w:rPr>
                <w:rFonts w:eastAsia="Calibri"/>
                <w:b/>
                <w:bCs/>
                <w:lang w:eastAsia="en-US"/>
              </w:rPr>
              <w:lastRenderedPageBreak/>
              <w:t xml:space="preserve">Iebildums ņemts vērā. </w:t>
            </w:r>
          </w:p>
        </w:tc>
        <w:tc>
          <w:tcPr>
            <w:tcW w:w="3431" w:type="dxa"/>
          </w:tcPr>
          <w:p w14:paraId="7C85F993" w14:textId="77777777" w:rsidR="00933332" w:rsidRPr="008276EB" w:rsidRDefault="00933332" w:rsidP="00765E0A">
            <w:pPr>
              <w:contextualSpacing/>
              <w:jc w:val="both"/>
            </w:pPr>
            <w:r w:rsidRPr="008276EB">
              <w:t>10. Aizstāt noteikumu 62. punktā vārdus “vismaz vienā pašvaldības izdotajā laikrakstā” ar vārdiem “pašvaldības informatīvajā izdevumā vai tās tīmekļa vietnē”.</w:t>
            </w:r>
          </w:p>
          <w:p w14:paraId="1E3E4C48" w14:textId="77777777" w:rsidR="000F500D" w:rsidRPr="008276EB" w:rsidRDefault="000F500D" w:rsidP="00933332"/>
        </w:tc>
      </w:tr>
      <w:tr w:rsidR="00337B21" w:rsidRPr="00337B21" w14:paraId="180C6461" w14:textId="77777777" w:rsidTr="007E4F65">
        <w:tc>
          <w:tcPr>
            <w:tcW w:w="846" w:type="dxa"/>
          </w:tcPr>
          <w:p w14:paraId="6490FBDC" w14:textId="77777777" w:rsidR="000F500D" w:rsidRPr="00337B21" w:rsidRDefault="000F500D" w:rsidP="000F500D">
            <w:pPr>
              <w:pStyle w:val="naisf"/>
              <w:numPr>
                <w:ilvl w:val="0"/>
                <w:numId w:val="31"/>
              </w:numPr>
              <w:spacing w:before="0" w:after="0"/>
              <w:jc w:val="center"/>
            </w:pPr>
          </w:p>
        </w:tc>
        <w:tc>
          <w:tcPr>
            <w:tcW w:w="2410" w:type="dxa"/>
          </w:tcPr>
          <w:p w14:paraId="291B1D16" w14:textId="25FA9E4E" w:rsidR="000F500D" w:rsidRPr="00337B21" w:rsidRDefault="000F500D" w:rsidP="000F500D">
            <w:pPr>
              <w:spacing w:before="100" w:beforeAutospacing="1"/>
              <w:jc w:val="both"/>
            </w:pPr>
            <w:r w:rsidRPr="00337B21">
              <w:t>Anotācija</w:t>
            </w:r>
          </w:p>
        </w:tc>
        <w:tc>
          <w:tcPr>
            <w:tcW w:w="4252" w:type="dxa"/>
          </w:tcPr>
          <w:p w14:paraId="542C558A" w14:textId="77777777" w:rsidR="000F500D" w:rsidRPr="00337B21" w:rsidRDefault="000F500D" w:rsidP="000F500D">
            <w:pPr>
              <w:pStyle w:val="ListParagraph"/>
              <w:ind w:left="0"/>
              <w:jc w:val="both"/>
              <w:rPr>
                <w:b/>
                <w:bCs/>
              </w:rPr>
            </w:pPr>
            <w:r w:rsidRPr="00337B21">
              <w:rPr>
                <w:b/>
                <w:bCs/>
              </w:rPr>
              <w:t>Tieslietu ministrijas 2021. gada 29. janvāra atzinums Nr. 1-9.1/88</w:t>
            </w:r>
          </w:p>
          <w:p w14:paraId="103799A1" w14:textId="53260AC2" w:rsidR="000F500D" w:rsidRPr="005A55F0" w:rsidRDefault="000F500D" w:rsidP="00765E0A">
            <w:pPr>
              <w:jc w:val="both"/>
            </w:pPr>
            <w:r w:rsidRPr="00337B21">
              <w:t xml:space="preserve">6. Saskaņā ar Ministru kabineta 2009. gada 15. decembra instrukcijas Nr. 19 "Tiesību akta projekta sākotnējās ietekmes izvērtēšanas kārtība" (turpmāk – instrukcija Nr. 19) 14. punktu lūdzam izvērtēt un noteikumu projekta anotāciju papildināt ar skaidrojumu par katra konkrētā būtiskā grozījuma noteikumos Nr. 131 nepieciešamību un mērķi, tai skaitā anotācijas I sadaļas 2. punktā skaidri un nepārprotami identificējot, ar kurām noteikumu projekta normām tiek pārņemtas </w:t>
            </w:r>
            <w:bookmarkStart w:id="7" w:name="_Hlk62731540"/>
            <w:r w:rsidRPr="00337B21">
              <w:t>direktīvas Nr. 2012/18/ES prasības</w:t>
            </w:r>
            <w:bookmarkEnd w:id="7"/>
            <w:r w:rsidRPr="00337B21">
              <w:t>, kā arī detalizēti atspoguļojot to, kā konkrēti ar noteikumu projektu minēto direktīvu prasības tiek pārņemtas.</w:t>
            </w:r>
          </w:p>
        </w:tc>
        <w:tc>
          <w:tcPr>
            <w:tcW w:w="3657" w:type="dxa"/>
          </w:tcPr>
          <w:p w14:paraId="75D10838" w14:textId="77777777" w:rsidR="00FF4D28" w:rsidRPr="00337B21" w:rsidRDefault="00FF4D28" w:rsidP="00FF4D28">
            <w:pPr>
              <w:pStyle w:val="BodyText"/>
              <w:spacing w:after="0"/>
              <w:jc w:val="both"/>
              <w:rPr>
                <w:rFonts w:eastAsia="Calibri"/>
                <w:b/>
                <w:bCs/>
                <w:lang w:eastAsia="en-US"/>
              </w:rPr>
            </w:pPr>
            <w:r w:rsidRPr="00337B21">
              <w:rPr>
                <w:rFonts w:eastAsia="Calibri"/>
                <w:b/>
                <w:bCs/>
                <w:lang w:eastAsia="en-US"/>
              </w:rPr>
              <w:t xml:space="preserve">Iebildums ņemts vērā. </w:t>
            </w:r>
          </w:p>
          <w:p w14:paraId="68484550" w14:textId="77777777" w:rsidR="00FF4D28" w:rsidRPr="00337B21" w:rsidRDefault="00FF4D28" w:rsidP="000F500D">
            <w:pPr>
              <w:jc w:val="both"/>
            </w:pPr>
          </w:p>
          <w:p w14:paraId="400D77A6" w14:textId="4DE6DDB3" w:rsidR="000F500D" w:rsidRPr="00337B21" w:rsidRDefault="000F500D" w:rsidP="000F500D">
            <w:pPr>
              <w:jc w:val="both"/>
            </w:pPr>
          </w:p>
        </w:tc>
        <w:tc>
          <w:tcPr>
            <w:tcW w:w="3431" w:type="dxa"/>
          </w:tcPr>
          <w:p w14:paraId="5FB4040E" w14:textId="20629D61" w:rsidR="000F500D" w:rsidRPr="008276EB" w:rsidRDefault="0067572E" w:rsidP="000F500D">
            <w:pPr>
              <w:jc w:val="both"/>
            </w:pPr>
            <w:r w:rsidRPr="008276EB">
              <w:t>Skatīt anotāciju.</w:t>
            </w:r>
          </w:p>
        </w:tc>
      </w:tr>
      <w:tr w:rsidR="00337B21" w:rsidRPr="00337B21" w14:paraId="47C66A8B" w14:textId="77777777" w:rsidTr="007E4F65">
        <w:tc>
          <w:tcPr>
            <w:tcW w:w="846" w:type="dxa"/>
          </w:tcPr>
          <w:p w14:paraId="4494BB1C" w14:textId="6A9620EE" w:rsidR="004B7EB0" w:rsidRPr="00337B21" w:rsidRDefault="004B7EB0" w:rsidP="004B7EB0">
            <w:pPr>
              <w:pStyle w:val="naisf"/>
              <w:numPr>
                <w:ilvl w:val="0"/>
                <w:numId w:val="31"/>
              </w:numPr>
              <w:spacing w:before="0" w:after="0"/>
              <w:jc w:val="center"/>
            </w:pPr>
          </w:p>
        </w:tc>
        <w:tc>
          <w:tcPr>
            <w:tcW w:w="2410" w:type="dxa"/>
          </w:tcPr>
          <w:p w14:paraId="18DB0102" w14:textId="70188DEF" w:rsidR="004B7EB0" w:rsidRPr="00337B21" w:rsidRDefault="004B7EB0" w:rsidP="004B7EB0">
            <w:pPr>
              <w:spacing w:before="100" w:beforeAutospacing="1"/>
            </w:pPr>
            <w:r w:rsidRPr="00337B21">
              <w:t xml:space="preserve">Anotācija. </w:t>
            </w:r>
          </w:p>
        </w:tc>
        <w:tc>
          <w:tcPr>
            <w:tcW w:w="4252" w:type="dxa"/>
          </w:tcPr>
          <w:p w14:paraId="5101B163" w14:textId="77777777" w:rsidR="004B7EB0" w:rsidRPr="00337B21" w:rsidRDefault="004B7EB0" w:rsidP="004B7EB0">
            <w:pPr>
              <w:pStyle w:val="ListParagraph"/>
              <w:ind w:left="0"/>
              <w:jc w:val="both"/>
              <w:rPr>
                <w:b/>
                <w:bCs/>
              </w:rPr>
            </w:pPr>
            <w:r w:rsidRPr="00337B21">
              <w:rPr>
                <w:b/>
                <w:bCs/>
              </w:rPr>
              <w:t>Tieslietu ministrijas 2021. gada 29. janvāra atzinums Nr. 1-9.1/88</w:t>
            </w:r>
          </w:p>
          <w:p w14:paraId="496AED77" w14:textId="48FF045F" w:rsidR="004B7EB0" w:rsidRPr="00337B21" w:rsidRDefault="004B7EB0" w:rsidP="004B7EB0">
            <w:pPr>
              <w:jc w:val="both"/>
            </w:pPr>
            <w:r w:rsidRPr="00337B21">
              <w:t xml:space="preserve">7. Noteikumu projekta anotācijā norādīts, ka noteikumu projekts noteikumu Nr. 131 46. punktā aktualizē veidu kā sabiedrība iegūst informāciju un par </w:t>
            </w:r>
            <w:proofErr w:type="spellStart"/>
            <w:r w:rsidRPr="00337B21">
              <w:t>ārpusobjekta</w:t>
            </w:r>
            <w:proofErr w:type="spellEnd"/>
            <w:r w:rsidRPr="00337B21">
              <w:t xml:space="preserve"> </w:t>
            </w:r>
            <w:r w:rsidRPr="00337B21">
              <w:lastRenderedPageBreak/>
              <w:t>civilās aizsardzības plānu, ja tas ir izstrādāts vai būtiski mainīts, un nosaka ka informācija tiek publicēta Valsts ugunsdzēsības un glābšanas dienesta tīmekļa vietnē, jo prakse rāda, ka vispiemērotākais veids sabiedrības līdzdalības nodrošināšanai ir piemērot to pašu pieeju, kāda tiek organizēta, izstrādājot normatīvos aktus vai to grozījumus. Saistībā ar minēto lūdzam papildināt noteikumu projekta anotāciju ar izvērstāku skaidrojumu par to, kā konkrēti prakse atspoguļo sabiedrības līdzdalības nodrošināšanas veida piemērotību (piemēram, norādot problemātiku līdzšinējā noteikumu Nr. 131 46. punktā paredzētajā pieejā, atbilstoši kurai sabiedrībai iespēja sniegt viedokli par plānu ir nodrošināta plašsaziņas līdzekļos).</w:t>
            </w:r>
          </w:p>
          <w:p w14:paraId="2624C513" w14:textId="77777777" w:rsidR="004B7EB0" w:rsidRPr="00337B21" w:rsidRDefault="004B7EB0" w:rsidP="004B7EB0">
            <w:pPr>
              <w:ind w:firstLine="567"/>
              <w:jc w:val="both"/>
            </w:pPr>
            <w:r w:rsidRPr="00337B21">
              <w:t>Nepieciešamības gadījumā lūdzam precizēt noteikumu projektu.</w:t>
            </w:r>
          </w:p>
          <w:p w14:paraId="75E08AE1" w14:textId="5F829F88" w:rsidR="004B7EB0" w:rsidRPr="00337B21" w:rsidRDefault="004B7EB0" w:rsidP="004B7EB0">
            <w:pPr>
              <w:ind w:firstLine="567"/>
              <w:jc w:val="both"/>
              <w:rPr>
                <w:bCs/>
                <w:iCs/>
              </w:rPr>
            </w:pPr>
            <w:r w:rsidRPr="00337B21">
              <w:t xml:space="preserve">Vienlaikus lūdzam izvērtēt iespēju papildināt noteikumu projektu un paredzēt tajā minimālu termiņu (laika periodu), kādā sabiedrība pēc attiecīgas informācijas publicēšanas Valsts ugunsdzēsības un glābšanas dienesta tīmekļvietnē var iesniegt Valsts ugunsdzēsības un glābšanas dienestam jautājumus, ierosinājumus vai viedokli par plānu, tādējādi nodrošinot, ka sabiedrībai </w:t>
            </w:r>
            <w:r w:rsidRPr="00337B21">
              <w:lastRenderedPageBreak/>
              <w:t>katrā gadījumā ir nodrošināta pienācīga iespēja izteikt viedokli, vai alternatīvi sniegt pamatotu skaidrojumu, kādēļ to noteikumos Nr. 131 nav nepieciešams regulēt.</w:t>
            </w:r>
          </w:p>
        </w:tc>
        <w:tc>
          <w:tcPr>
            <w:tcW w:w="3657" w:type="dxa"/>
          </w:tcPr>
          <w:p w14:paraId="37980F04" w14:textId="77777777" w:rsidR="004B7EB0" w:rsidRPr="00337B21" w:rsidRDefault="004B7EB0" w:rsidP="004B7EB0">
            <w:pPr>
              <w:pStyle w:val="BodyText"/>
              <w:spacing w:after="0"/>
              <w:jc w:val="both"/>
              <w:rPr>
                <w:rFonts w:eastAsia="Calibri"/>
                <w:b/>
                <w:bCs/>
                <w:lang w:eastAsia="en-US"/>
              </w:rPr>
            </w:pPr>
            <w:r w:rsidRPr="00337B21">
              <w:rPr>
                <w:rFonts w:eastAsia="Calibri"/>
                <w:b/>
                <w:bCs/>
                <w:lang w:eastAsia="en-US"/>
              </w:rPr>
              <w:lastRenderedPageBreak/>
              <w:t xml:space="preserve">Iebildums ņemts vērā. </w:t>
            </w:r>
          </w:p>
          <w:p w14:paraId="063C172D" w14:textId="77777777" w:rsidR="004B7EB0" w:rsidRPr="00337B21" w:rsidRDefault="004B7EB0" w:rsidP="004B7EB0">
            <w:pPr>
              <w:jc w:val="both"/>
            </w:pPr>
          </w:p>
          <w:p w14:paraId="4835E7C4" w14:textId="35954041" w:rsidR="004B7EB0" w:rsidRPr="00337B21" w:rsidRDefault="004B7EB0" w:rsidP="004B7EB0">
            <w:pPr>
              <w:jc w:val="both"/>
            </w:pPr>
          </w:p>
        </w:tc>
        <w:tc>
          <w:tcPr>
            <w:tcW w:w="3431" w:type="dxa"/>
          </w:tcPr>
          <w:p w14:paraId="14EC4958" w14:textId="1EF783FE" w:rsidR="004B7EB0" w:rsidRPr="008276EB" w:rsidRDefault="004B7EB0" w:rsidP="004B7EB0">
            <w:pPr>
              <w:jc w:val="both"/>
            </w:pPr>
            <w:r w:rsidRPr="008276EB">
              <w:t>Skatīt anotāciju.</w:t>
            </w:r>
          </w:p>
        </w:tc>
      </w:tr>
      <w:tr w:rsidR="004B7EB0" w:rsidRPr="00337B21" w14:paraId="12F6F33F" w14:textId="77777777" w:rsidTr="007E4F65">
        <w:tc>
          <w:tcPr>
            <w:tcW w:w="846" w:type="dxa"/>
          </w:tcPr>
          <w:p w14:paraId="5640636E" w14:textId="50A00D7A" w:rsidR="004B7EB0" w:rsidRPr="00337B21" w:rsidRDefault="004B7EB0" w:rsidP="004B7EB0">
            <w:pPr>
              <w:pStyle w:val="naisf"/>
              <w:numPr>
                <w:ilvl w:val="0"/>
                <w:numId w:val="31"/>
              </w:numPr>
              <w:spacing w:before="0" w:after="0"/>
              <w:jc w:val="center"/>
            </w:pPr>
          </w:p>
        </w:tc>
        <w:tc>
          <w:tcPr>
            <w:tcW w:w="2410" w:type="dxa"/>
          </w:tcPr>
          <w:p w14:paraId="7F334C0C" w14:textId="31BC1EDB" w:rsidR="004B7EB0" w:rsidRPr="00337B21" w:rsidRDefault="004B7EB0" w:rsidP="004B7EB0">
            <w:pPr>
              <w:jc w:val="both"/>
            </w:pPr>
            <w:r w:rsidRPr="00337B21">
              <w:t>Anotācija</w:t>
            </w:r>
          </w:p>
        </w:tc>
        <w:tc>
          <w:tcPr>
            <w:tcW w:w="4252" w:type="dxa"/>
          </w:tcPr>
          <w:p w14:paraId="0C26E794" w14:textId="77777777" w:rsidR="004B7EB0" w:rsidRPr="00337B21" w:rsidRDefault="004B7EB0" w:rsidP="004B7EB0">
            <w:pPr>
              <w:pStyle w:val="ListParagraph"/>
              <w:ind w:left="0"/>
              <w:jc w:val="both"/>
              <w:rPr>
                <w:b/>
                <w:bCs/>
              </w:rPr>
            </w:pPr>
            <w:r w:rsidRPr="00337B21">
              <w:rPr>
                <w:b/>
                <w:bCs/>
              </w:rPr>
              <w:t>Tieslietu ministrijas 2021. gada 29. janvāra atzinums Nr. 1-9.1/88</w:t>
            </w:r>
          </w:p>
          <w:p w14:paraId="477F6316" w14:textId="4B8EC041" w:rsidR="004B7EB0" w:rsidRPr="00337B21" w:rsidRDefault="004B7EB0" w:rsidP="004B7EB0">
            <w:pPr>
              <w:jc w:val="both"/>
            </w:pPr>
            <w:r w:rsidRPr="00337B21">
              <w:t xml:space="preserve">8. Lūdzam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vai ir korekti un pilnīgi pārņemtas (tai skaitā kādā pakāpē pārņemtas) direktīvas Nr. 2012/18/ES prasības. Proti, vēršam uzmanību, ka šobrīd no noteikumu projekta anotācijas V sadaļas tabulas Nr. 1 nav gūstama pārliecība par vairāku </w:t>
            </w:r>
            <w:bookmarkStart w:id="8" w:name="_Hlk62655174"/>
            <w:r w:rsidRPr="00337B21">
              <w:t xml:space="preserve">direktīvas Nr. 2012/18/ES </w:t>
            </w:r>
            <w:bookmarkEnd w:id="8"/>
            <w:r w:rsidRPr="00337B21">
              <w:t>prasību pārņemšanu, t.i., kā:</w:t>
            </w:r>
          </w:p>
          <w:p w14:paraId="7D091BB4" w14:textId="77777777" w:rsidR="004B7EB0" w:rsidRPr="00337B21" w:rsidRDefault="004B7EB0" w:rsidP="004B7EB0">
            <w:pPr>
              <w:ind w:firstLine="567"/>
              <w:jc w:val="both"/>
            </w:pPr>
            <w:r w:rsidRPr="00337B21">
              <w:t>1) atbilstoši noteikumu projekta 8. punktam tiek pārņemtas minētās direktīvas 3. panta 7. punkta prasības;</w:t>
            </w:r>
          </w:p>
          <w:p w14:paraId="6178CAFD" w14:textId="77777777" w:rsidR="004B7EB0" w:rsidRPr="00337B21" w:rsidRDefault="004B7EB0" w:rsidP="004B7EB0">
            <w:pPr>
              <w:ind w:firstLine="567"/>
              <w:jc w:val="both"/>
            </w:pPr>
            <w:r w:rsidRPr="00337B21">
              <w:lastRenderedPageBreak/>
              <w:t>2) atbilstoši noteikumu projekta 6. punktam tiek pārņemtas minētās direktīvas 12. panta 5. punkta prasības;</w:t>
            </w:r>
          </w:p>
          <w:p w14:paraId="72103CD3" w14:textId="77777777" w:rsidR="004B7EB0" w:rsidRPr="00337B21" w:rsidRDefault="004B7EB0" w:rsidP="004B7EB0">
            <w:pPr>
              <w:ind w:firstLine="567"/>
              <w:jc w:val="both"/>
            </w:pPr>
            <w:r w:rsidRPr="00337B21">
              <w:t>3) atbilstoši noteikumu projekta 7. punktam tiek pārņemtas minētās direktīvas 13. panta 1. punkta ''b'' apakšpunkta prasības.</w:t>
            </w:r>
          </w:p>
          <w:p w14:paraId="73FA6096" w14:textId="77777777" w:rsidR="004B7EB0" w:rsidRPr="00337B21" w:rsidRDefault="004B7EB0" w:rsidP="004B7EB0">
            <w:pPr>
              <w:ind w:firstLine="567"/>
              <w:jc w:val="both"/>
            </w:pPr>
            <w:r w:rsidRPr="00337B21">
              <w:t>Vienlaikus lūdzam salāgot noteikumu projekta anotācijā ietverto informāciju par direktīvas Nr. 2012/18/ES prasību pārņemšanu ar informāciju, kas norādīta noteikumu Nr. 131 anotācijā. Piemēram, norādām, ka no noteikumu Nr. 131 anotācijas izriet, ka direktīvas Nr. 2012/18/ES 12. panta 5. punkts pārņemts noteikumu Nr. 131 46. un 73. punktā, kas ir pretrunā noteikumu projekta anotācijā sniegtajai informāciju par minētās direktīvas vienības pārņemšanu.</w:t>
            </w:r>
          </w:p>
          <w:p w14:paraId="6DF9676F" w14:textId="10070E7A" w:rsidR="004B7EB0" w:rsidRPr="00337B21" w:rsidRDefault="004B7EB0" w:rsidP="004B7EB0">
            <w:pPr>
              <w:ind w:firstLine="567"/>
              <w:jc w:val="both"/>
              <w:rPr>
                <w:iCs/>
              </w:rPr>
            </w:pPr>
            <w:r w:rsidRPr="00337B21">
              <w:t xml:space="preserve">Kā arī atbilstoši instrukcijas Nr. 19 55.4. apakšpunktam, kas noteic, ja projekts ir jāpieņem, lai izbeigtu pret Latvijas Republiku uzsāktu pārkāpuma procedūras vai tiesvedības Eiropas Savienības Tiesā lietu, norāda pārkāpuma procedūras vai Eiropas Savienības Tiesā ierosinātās lietas numuru un to ES tiesību aktu, saistībā ar kuru ir uzsākta pārkāpuma procedūras lieta, lūdzam attiecīgi papildināt noteikumu projekta anotācijas 1. punktu ar informāciju par pārkāpuma </w:t>
            </w:r>
            <w:r w:rsidRPr="00337B21">
              <w:lastRenderedPageBreak/>
              <w:t>procedūru, uz ko šobrīd norādīts noteikumu projekta anotācijas I sadaļas 2. punktā.</w:t>
            </w:r>
          </w:p>
        </w:tc>
        <w:tc>
          <w:tcPr>
            <w:tcW w:w="3657" w:type="dxa"/>
          </w:tcPr>
          <w:p w14:paraId="4A51C4F5" w14:textId="77777777" w:rsidR="004B7EB0" w:rsidRPr="00337B21" w:rsidRDefault="004B7EB0" w:rsidP="004B7EB0">
            <w:pPr>
              <w:pStyle w:val="BodyText"/>
              <w:spacing w:after="0"/>
              <w:jc w:val="both"/>
              <w:rPr>
                <w:rFonts w:eastAsia="Calibri"/>
                <w:b/>
                <w:bCs/>
                <w:lang w:eastAsia="en-US"/>
              </w:rPr>
            </w:pPr>
            <w:r w:rsidRPr="00337B21">
              <w:rPr>
                <w:rFonts w:eastAsia="Calibri"/>
                <w:b/>
                <w:bCs/>
                <w:lang w:eastAsia="en-US"/>
              </w:rPr>
              <w:lastRenderedPageBreak/>
              <w:t xml:space="preserve">Iebildums ņemts vērā. </w:t>
            </w:r>
          </w:p>
          <w:p w14:paraId="49D1B706" w14:textId="77777777" w:rsidR="004B7EB0" w:rsidRPr="00337B21" w:rsidRDefault="004B7EB0" w:rsidP="004B7EB0">
            <w:pPr>
              <w:jc w:val="both"/>
              <w:rPr>
                <w:rStyle w:val="normaltextrun"/>
              </w:rPr>
            </w:pPr>
          </w:p>
          <w:p w14:paraId="14020FED" w14:textId="58489DED" w:rsidR="004B7EB0" w:rsidRPr="00337B21" w:rsidRDefault="004B7EB0" w:rsidP="004B7EB0">
            <w:pPr>
              <w:jc w:val="both"/>
              <w:rPr>
                <w:rStyle w:val="normaltextrun"/>
              </w:rPr>
            </w:pPr>
          </w:p>
        </w:tc>
        <w:tc>
          <w:tcPr>
            <w:tcW w:w="3431" w:type="dxa"/>
          </w:tcPr>
          <w:p w14:paraId="2E29C1A7" w14:textId="0653C596" w:rsidR="004B7EB0" w:rsidRPr="008276EB" w:rsidRDefault="004B7EB0" w:rsidP="004B7EB0">
            <w:pPr>
              <w:jc w:val="both"/>
              <w:rPr>
                <w:rFonts w:eastAsia="Calibri"/>
                <w:lang w:eastAsia="en-US"/>
              </w:rPr>
            </w:pPr>
            <w:r w:rsidRPr="008276EB">
              <w:t>Skatīt anotāciju.</w:t>
            </w:r>
          </w:p>
        </w:tc>
      </w:tr>
    </w:tbl>
    <w:p w14:paraId="38ADC35F" w14:textId="5741AEEF" w:rsidR="004C332C" w:rsidRPr="00337B21" w:rsidRDefault="004C332C" w:rsidP="000A531F">
      <w:pPr>
        <w:jc w:val="both"/>
        <w:rPr>
          <w:sz w:val="20"/>
          <w:szCs w:val="20"/>
        </w:rPr>
      </w:pPr>
    </w:p>
    <w:tbl>
      <w:tblPr>
        <w:tblW w:w="13884" w:type="dxa"/>
        <w:tblLayout w:type="fixed"/>
        <w:tblLook w:val="00A0" w:firstRow="1" w:lastRow="0" w:firstColumn="1" w:lastColumn="0" w:noHBand="0" w:noVBand="0"/>
      </w:tblPr>
      <w:tblGrid>
        <w:gridCol w:w="4649"/>
        <w:gridCol w:w="9235"/>
      </w:tblGrid>
      <w:tr w:rsidR="00337B21" w:rsidRPr="00337B21" w14:paraId="7CBB31F2" w14:textId="77777777" w:rsidTr="006C29E1">
        <w:tc>
          <w:tcPr>
            <w:tcW w:w="4649" w:type="dxa"/>
          </w:tcPr>
          <w:p w14:paraId="43F061E0" w14:textId="77777777" w:rsidR="004C4960" w:rsidRPr="00337B21" w:rsidRDefault="004C4960" w:rsidP="0016680D">
            <w:pPr>
              <w:pStyle w:val="naiskr"/>
              <w:spacing w:before="0" w:after="0"/>
            </w:pPr>
            <w:r w:rsidRPr="00337B21">
              <w:t>Atbildīgā amatpersona</w:t>
            </w:r>
          </w:p>
        </w:tc>
        <w:tc>
          <w:tcPr>
            <w:tcW w:w="9235" w:type="dxa"/>
          </w:tcPr>
          <w:p w14:paraId="0AD7328E" w14:textId="72910301" w:rsidR="004C4960" w:rsidRPr="00337B21" w:rsidRDefault="004C4960" w:rsidP="004C4960">
            <w:pPr>
              <w:jc w:val="center"/>
            </w:pPr>
            <w:r w:rsidRPr="00337B21">
              <w:t>Kristīne Kazerovska</w:t>
            </w:r>
          </w:p>
        </w:tc>
      </w:tr>
      <w:tr w:rsidR="004C4960" w:rsidRPr="00337B21" w14:paraId="7E451787" w14:textId="77777777" w:rsidTr="006C29E1">
        <w:tc>
          <w:tcPr>
            <w:tcW w:w="4649" w:type="dxa"/>
          </w:tcPr>
          <w:p w14:paraId="3478123E" w14:textId="77777777" w:rsidR="004C4960" w:rsidRPr="00337B21" w:rsidRDefault="004C4960" w:rsidP="0016680D">
            <w:pPr>
              <w:pStyle w:val="naiskr"/>
              <w:spacing w:before="0" w:after="0"/>
              <w:ind w:firstLine="720"/>
            </w:pPr>
          </w:p>
        </w:tc>
        <w:tc>
          <w:tcPr>
            <w:tcW w:w="9235" w:type="dxa"/>
            <w:tcBorders>
              <w:top w:val="single" w:sz="6" w:space="0" w:color="000000"/>
            </w:tcBorders>
          </w:tcPr>
          <w:p w14:paraId="7D609BC7" w14:textId="77777777" w:rsidR="004C4960" w:rsidRPr="00337B21" w:rsidRDefault="004C4960" w:rsidP="0016680D">
            <w:pPr>
              <w:pStyle w:val="naisc"/>
              <w:spacing w:before="0" w:after="0"/>
              <w:ind w:firstLine="720"/>
            </w:pPr>
            <w:r w:rsidRPr="00337B21">
              <w:t>(paraksts*)</w:t>
            </w:r>
          </w:p>
        </w:tc>
      </w:tr>
    </w:tbl>
    <w:p w14:paraId="3BA48829" w14:textId="77777777" w:rsidR="004C4960" w:rsidRPr="00337B21" w:rsidRDefault="004C4960" w:rsidP="004C4960">
      <w:pPr>
        <w:pStyle w:val="naisf"/>
        <w:spacing w:before="0" w:after="0"/>
        <w:ind w:firstLine="0"/>
        <w:rPr>
          <w:sz w:val="16"/>
          <w:szCs w:val="16"/>
        </w:rPr>
      </w:pPr>
    </w:p>
    <w:p w14:paraId="320858F3" w14:textId="77777777" w:rsidR="004C4960" w:rsidRPr="00337B21" w:rsidRDefault="004C4960" w:rsidP="004C4960">
      <w:pPr>
        <w:pStyle w:val="naisf"/>
        <w:spacing w:before="0" w:after="0"/>
        <w:ind w:firstLine="720"/>
      </w:pPr>
      <w:r w:rsidRPr="00337B21">
        <w:t>Piezīme. * Dokumenta rekvizītu "paraksts" neaizpilda, ja elektroniskais dokuments ir sagatavots atbilstoši normatīvajiem aktiem par elektronisko dokumentu noformēšanu.</w:t>
      </w:r>
    </w:p>
    <w:p w14:paraId="751353CE" w14:textId="77777777" w:rsidR="00196EEE" w:rsidRPr="00337B21" w:rsidRDefault="00196EEE" w:rsidP="004C4960">
      <w:pPr>
        <w:pStyle w:val="naisf"/>
        <w:spacing w:before="0" w:after="0"/>
        <w:ind w:firstLine="720"/>
      </w:pPr>
    </w:p>
    <w:p w14:paraId="56EF8A78" w14:textId="77777777" w:rsidR="000B7F94" w:rsidRPr="00337B21" w:rsidRDefault="000B7F94" w:rsidP="00196EEE">
      <w:pPr>
        <w:pStyle w:val="naisf"/>
        <w:spacing w:before="0" w:after="0"/>
        <w:ind w:left="2160" w:firstLine="720"/>
        <w:jc w:val="left"/>
      </w:pPr>
    </w:p>
    <w:p w14:paraId="0C2FEC02" w14:textId="326A8A73" w:rsidR="00196EEE" w:rsidRPr="00337B21" w:rsidRDefault="00196EEE" w:rsidP="00196EEE">
      <w:pPr>
        <w:pStyle w:val="naisf"/>
        <w:spacing w:before="0" w:after="0"/>
        <w:ind w:left="2160" w:firstLine="720"/>
        <w:jc w:val="left"/>
      </w:pPr>
      <w:r w:rsidRPr="00337B21">
        <w:t>Kristīne Kazerovska</w:t>
      </w:r>
    </w:p>
    <w:tbl>
      <w:tblPr>
        <w:tblW w:w="0" w:type="auto"/>
        <w:tblLook w:val="00A0" w:firstRow="1" w:lastRow="0" w:firstColumn="1" w:lastColumn="0" w:noHBand="0" w:noVBand="0"/>
      </w:tblPr>
      <w:tblGrid>
        <w:gridCol w:w="8268"/>
      </w:tblGrid>
      <w:tr w:rsidR="00337B21" w:rsidRPr="00337B21" w14:paraId="656324B6" w14:textId="77777777" w:rsidTr="0016680D">
        <w:tc>
          <w:tcPr>
            <w:tcW w:w="8268" w:type="dxa"/>
            <w:tcBorders>
              <w:top w:val="single" w:sz="4" w:space="0" w:color="000000"/>
            </w:tcBorders>
          </w:tcPr>
          <w:p w14:paraId="257DC7B5" w14:textId="3ABAABBE" w:rsidR="00196EEE" w:rsidRPr="00337B21" w:rsidRDefault="00196EEE" w:rsidP="007A434D">
            <w:pPr>
              <w:jc w:val="center"/>
            </w:pPr>
            <w:r w:rsidRPr="00337B21">
              <w:t>(par projektu atbildīgās amatpersonas vārds un uzvārds)</w:t>
            </w:r>
          </w:p>
        </w:tc>
      </w:tr>
      <w:tr w:rsidR="00337B21" w:rsidRPr="00337B21" w14:paraId="15C89FC8" w14:textId="77777777" w:rsidTr="0016680D">
        <w:tc>
          <w:tcPr>
            <w:tcW w:w="8268" w:type="dxa"/>
            <w:tcBorders>
              <w:bottom w:val="single" w:sz="4" w:space="0" w:color="000000"/>
            </w:tcBorders>
          </w:tcPr>
          <w:p w14:paraId="278433EC" w14:textId="194E9D5A" w:rsidR="00196EEE" w:rsidRPr="00337B21" w:rsidRDefault="00196EEE" w:rsidP="00196EEE">
            <w:pPr>
              <w:pStyle w:val="naisf"/>
              <w:spacing w:before="0" w:after="0"/>
              <w:ind w:left="2160" w:hanging="2126"/>
              <w:jc w:val="center"/>
            </w:pPr>
            <w:r w:rsidRPr="00337B21">
              <w:t>Vides aizsardzības departamenta Piesārņojuma novēršanas nodaļas vecākā eksperte</w:t>
            </w:r>
          </w:p>
        </w:tc>
      </w:tr>
      <w:tr w:rsidR="00337B21" w:rsidRPr="00337B21" w14:paraId="28C5B43B" w14:textId="77777777" w:rsidTr="0016680D">
        <w:tc>
          <w:tcPr>
            <w:tcW w:w="8268" w:type="dxa"/>
            <w:tcBorders>
              <w:top w:val="single" w:sz="4" w:space="0" w:color="000000"/>
            </w:tcBorders>
          </w:tcPr>
          <w:p w14:paraId="4CA6743A" w14:textId="1636EDB6" w:rsidR="00196EEE" w:rsidRPr="00337B21" w:rsidRDefault="00196EEE" w:rsidP="007A434D">
            <w:pPr>
              <w:jc w:val="center"/>
            </w:pPr>
            <w:r w:rsidRPr="00337B21">
              <w:t>(amats)</w:t>
            </w:r>
          </w:p>
        </w:tc>
      </w:tr>
      <w:tr w:rsidR="00337B21" w:rsidRPr="00337B21" w14:paraId="6D8B450D" w14:textId="77777777" w:rsidTr="0016680D">
        <w:tc>
          <w:tcPr>
            <w:tcW w:w="8268" w:type="dxa"/>
            <w:tcBorders>
              <w:bottom w:val="single" w:sz="4" w:space="0" w:color="000000"/>
            </w:tcBorders>
          </w:tcPr>
          <w:p w14:paraId="43A00922" w14:textId="3B9DB6D4" w:rsidR="00196EEE" w:rsidRPr="00337B21" w:rsidRDefault="00196EEE" w:rsidP="00196EEE">
            <w:pPr>
              <w:pStyle w:val="naisf"/>
              <w:spacing w:before="0" w:after="0"/>
              <w:ind w:left="2160" w:hanging="425"/>
              <w:jc w:val="left"/>
            </w:pPr>
            <w:r w:rsidRPr="00337B21">
              <w:t>tālr. nr.: 67026516</w:t>
            </w:r>
          </w:p>
        </w:tc>
      </w:tr>
      <w:tr w:rsidR="00337B21" w:rsidRPr="00337B21" w14:paraId="73539531" w14:textId="77777777" w:rsidTr="0016680D">
        <w:tc>
          <w:tcPr>
            <w:tcW w:w="8268" w:type="dxa"/>
            <w:tcBorders>
              <w:top w:val="single" w:sz="4" w:space="0" w:color="000000"/>
            </w:tcBorders>
          </w:tcPr>
          <w:p w14:paraId="12E4EC8D" w14:textId="3217A69A" w:rsidR="00196EEE" w:rsidRPr="00337B21" w:rsidRDefault="00196EEE" w:rsidP="007A434D">
            <w:pPr>
              <w:jc w:val="center"/>
            </w:pPr>
            <w:r w:rsidRPr="00337B21">
              <w:t>(</w:t>
            </w:r>
            <w:r w:rsidR="006D564A" w:rsidRPr="00337B21">
              <w:t>tālruņa numurs</w:t>
            </w:r>
            <w:r w:rsidRPr="00337B21">
              <w:t>)</w:t>
            </w:r>
          </w:p>
        </w:tc>
      </w:tr>
      <w:tr w:rsidR="00337B21" w:rsidRPr="00337B21" w14:paraId="61532201" w14:textId="77777777" w:rsidTr="0016680D">
        <w:tc>
          <w:tcPr>
            <w:tcW w:w="8268" w:type="dxa"/>
            <w:tcBorders>
              <w:bottom w:val="single" w:sz="4" w:space="0" w:color="000000"/>
            </w:tcBorders>
          </w:tcPr>
          <w:p w14:paraId="688F6CF0" w14:textId="1FBE899D" w:rsidR="00196EEE" w:rsidRPr="00337B21" w:rsidRDefault="000A7B5B" w:rsidP="00196EEE">
            <w:pPr>
              <w:jc w:val="center"/>
            </w:pPr>
            <w:r w:rsidRPr="00337B21">
              <w:t>K</w:t>
            </w:r>
            <w:r w:rsidR="00196EEE" w:rsidRPr="00337B21">
              <w:t>ristine.</w:t>
            </w:r>
            <w:r w:rsidRPr="00337B21">
              <w:t>K</w:t>
            </w:r>
            <w:r w:rsidR="00196EEE" w:rsidRPr="00337B21">
              <w:t>azerovska@varam.gov.lv</w:t>
            </w:r>
          </w:p>
        </w:tc>
      </w:tr>
      <w:tr w:rsidR="00196EEE" w:rsidRPr="00337B21" w14:paraId="08E4C3C2" w14:textId="77777777" w:rsidTr="0016680D">
        <w:tc>
          <w:tcPr>
            <w:tcW w:w="8268" w:type="dxa"/>
            <w:tcBorders>
              <w:top w:val="single" w:sz="4" w:space="0" w:color="000000"/>
            </w:tcBorders>
          </w:tcPr>
          <w:p w14:paraId="4D4C7301" w14:textId="77777777" w:rsidR="00196EEE" w:rsidRPr="00337B21" w:rsidRDefault="00196EEE" w:rsidP="0016680D">
            <w:pPr>
              <w:jc w:val="center"/>
            </w:pPr>
            <w:r w:rsidRPr="00337B21">
              <w:t>(e-pasta adrese)</w:t>
            </w:r>
          </w:p>
        </w:tc>
      </w:tr>
    </w:tbl>
    <w:p w14:paraId="1AFF1E24" w14:textId="67865F5B" w:rsidR="00D40FF7" w:rsidRPr="00337B21" w:rsidRDefault="00D40FF7" w:rsidP="000A531F">
      <w:pPr>
        <w:jc w:val="both"/>
        <w:rPr>
          <w:sz w:val="20"/>
          <w:szCs w:val="20"/>
        </w:rPr>
      </w:pPr>
    </w:p>
    <w:sectPr w:rsidR="00D40FF7" w:rsidRPr="00337B21" w:rsidSect="0016680D">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101CB" w14:textId="77777777" w:rsidR="006D36ED" w:rsidRDefault="006D36ED" w:rsidP="000A531F">
      <w:r>
        <w:separator/>
      </w:r>
    </w:p>
  </w:endnote>
  <w:endnote w:type="continuationSeparator" w:id="0">
    <w:p w14:paraId="43E5E7CF" w14:textId="77777777" w:rsidR="006D36ED" w:rsidRDefault="006D36ED" w:rsidP="000A531F">
      <w:r>
        <w:continuationSeparator/>
      </w:r>
    </w:p>
  </w:endnote>
  <w:endnote w:type="continuationNotice" w:id="1">
    <w:p w14:paraId="5F5F87BD" w14:textId="77777777" w:rsidR="006D36ED" w:rsidRDefault="006D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MT">
    <w:altName w:val="Arial"/>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C159" w14:textId="79CE9FD0" w:rsidR="00005B63" w:rsidRPr="0036475E" w:rsidRDefault="0036475E" w:rsidP="0036475E">
    <w:pPr>
      <w:pStyle w:val="Footer"/>
      <w:rPr>
        <w:bCs/>
        <w:sz w:val="20"/>
        <w:szCs w:val="20"/>
        <w:lang w:eastAsia="ko-KR"/>
      </w:rPr>
    </w:pPr>
    <w:r>
      <w:rPr>
        <w:bCs/>
        <w:sz w:val="20"/>
        <w:szCs w:val="20"/>
        <w:lang w:eastAsia="ko-KR"/>
      </w:rPr>
      <w:t>VARAMIzz_</w:t>
    </w:r>
    <w:r w:rsidR="008276EB">
      <w:rPr>
        <w:bCs/>
        <w:sz w:val="20"/>
        <w:szCs w:val="20"/>
        <w:lang w:eastAsia="ko-KR"/>
      </w:rPr>
      <w:t>0</w:t>
    </w:r>
    <w:r w:rsidR="00473155">
      <w:rPr>
        <w:bCs/>
        <w:sz w:val="20"/>
        <w:szCs w:val="20"/>
        <w:lang w:eastAsia="ko-KR"/>
      </w:rPr>
      <w:t>3</w:t>
    </w:r>
    <w:r w:rsidR="008276EB">
      <w:rPr>
        <w:bCs/>
        <w:sz w:val="20"/>
        <w:szCs w:val="20"/>
        <w:lang w:eastAsia="ko-KR"/>
      </w:rPr>
      <w:t>03</w:t>
    </w:r>
    <w:r>
      <w:rPr>
        <w:bCs/>
        <w:sz w:val="20"/>
        <w:szCs w:val="20"/>
        <w:lang w:eastAsia="ko-KR"/>
      </w:rPr>
      <w:t>21_MK_131_groz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9B15" w14:textId="5406C1E6" w:rsidR="00005B63" w:rsidRPr="005B2325" w:rsidRDefault="009F0B2A" w:rsidP="005B2325">
    <w:pPr>
      <w:pStyle w:val="Footer"/>
      <w:rPr>
        <w:bCs/>
        <w:sz w:val="20"/>
        <w:szCs w:val="20"/>
        <w:lang w:eastAsia="ko-KR"/>
      </w:rPr>
    </w:pPr>
    <w:r>
      <w:rPr>
        <w:bCs/>
        <w:sz w:val="20"/>
        <w:szCs w:val="20"/>
        <w:lang w:eastAsia="ko-KR"/>
      </w:rPr>
      <w:t>VARAMIzz_</w:t>
    </w:r>
    <w:r w:rsidR="008276EB">
      <w:rPr>
        <w:bCs/>
        <w:sz w:val="20"/>
        <w:szCs w:val="20"/>
        <w:lang w:eastAsia="ko-KR"/>
      </w:rPr>
      <w:t>0</w:t>
    </w:r>
    <w:r w:rsidR="00473155">
      <w:rPr>
        <w:bCs/>
        <w:sz w:val="20"/>
        <w:szCs w:val="20"/>
        <w:lang w:eastAsia="ko-KR"/>
      </w:rPr>
      <w:t>3</w:t>
    </w:r>
    <w:r w:rsidR="008276EB">
      <w:rPr>
        <w:bCs/>
        <w:sz w:val="20"/>
        <w:szCs w:val="20"/>
        <w:lang w:eastAsia="ko-KR"/>
      </w:rPr>
      <w:t>03</w:t>
    </w:r>
    <w:r w:rsidR="0036475E">
      <w:rPr>
        <w:bCs/>
        <w:sz w:val="20"/>
        <w:szCs w:val="20"/>
        <w:lang w:eastAsia="ko-KR"/>
      </w:rPr>
      <w:t>21</w:t>
    </w:r>
    <w:r w:rsidR="00005B63">
      <w:rPr>
        <w:bCs/>
        <w:sz w:val="20"/>
        <w:szCs w:val="20"/>
        <w:lang w:eastAsia="ko-KR"/>
      </w:rPr>
      <w:t>_</w:t>
    </w:r>
    <w:r w:rsidR="0036475E">
      <w:rPr>
        <w:bCs/>
        <w:sz w:val="20"/>
        <w:szCs w:val="20"/>
        <w:lang w:eastAsia="ko-KR"/>
      </w:rPr>
      <w:t>MK_131_groz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B433D" w14:textId="77777777" w:rsidR="006D36ED" w:rsidRDefault="006D36ED" w:rsidP="000A531F">
      <w:r>
        <w:separator/>
      </w:r>
    </w:p>
  </w:footnote>
  <w:footnote w:type="continuationSeparator" w:id="0">
    <w:p w14:paraId="56A02E34" w14:textId="77777777" w:rsidR="006D36ED" w:rsidRDefault="006D36ED" w:rsidP="000A531F">
      <w:r>
        <w:continuationSeparator/>
      </w:r>
    </w:p>
  </w:footnote>
  <w:footnote w:type="continuationNotice" w:id="1">
    <w:p w14:paraId="1B1659F6" w14:textId="77777777" w:rsidR="006D36ED" w:rsidRDefault="006D3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5D9C" w14:textId="77777777" w:rsidR="00005B63" w:rsidRDefault="00005B63" w:rsidP="001668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F5FE32" w14:textId="77777777" w:rsidR="00005B63" w:rsidRDefault="0000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1FCB" w14:textId="77777777" w:rsidR="00005B63" w:rsidRDefault="00005B63" w:rsidP="001668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AA9">
      <w:rPr>
        <w:rStyle w:val="PageNumber"/>
        <w:noProof/>
      </w:rPr>
      <w:t>6</w:t>
    </w:r>
    <w:r>
      <w:rPr>
        <w:rStyle w:val="PageNumber"/>
      </w:rPr>
      <w:fldChar w:fldCharType="end"/>
    </w:r>
  </w:p>
  <w:p w14:paraId="11F96333" w14:textId="77777777" w:rsidR="00005B63" w:rsidRDefault="0000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B60D9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1D4515"/>
    <w:multiLevelType w:val="hybridMultilevel"/>
    <w:tmpl w:val="4FB67036"/>
    <w:lvl w:ilvl="0" w:tplc="613EF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66B3C"/>
    <w:multiLevelType w:val="hybridMultilevel"/>
    <w:tmpl w:val="D0DAD8C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E2B2AA0"/>
    <w:multiLevelType w:val="multilevel"/>
    <w:tmpl w:val="092C35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55E6F76"/>
    <w:multiLevelType w:val="hybridMultilevel"/>
    <w:tmpl w:val="9BE072A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1B43D13"/>
    <w:multiLevelType w:val="hybridMultilevel"/>
    <w:tmpl w:val="E5EAC866"/>
    <w:lvl w:ilvl="0" w:tplc="EB8AC24E">
      <w:start w:val="1"/>
      <w:numFmt w:val="decimal"/>
      <w:lvlText w:val="%1."/>
      <w:lvlJc w:val="left"/>
      <w:pPr>
        <w:ind w:left="360" w:hanging="360"/>
      </w:pPr>
      <w:rPr>
        <w:rFonts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3495CB7"/>
    <w:multiLevelType w:val="hybridMultilevel"/>
    <w:tmpl w:val="83B2BEB0"/>
    <w:lvl w:ilvl="0" w:tplc="C76E3938">
      <w:start w:val="3"/>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15:restartNumberingAfterBreak="0">
    <w:nsid w:val="269738C8"/>
    <w:multiLevelType w:val="hybridMultilevel"/>
    <w:tmpl w:val="B17A42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E42DD9"/>
    <w:multiLevelType w:val="hybridMultilevel"/>
    <w:tmpl w:val="1C5EA4BA"/>
    <w:lvl w:ilvl="0" w:tplc="B8AC57E4">
      <w:start w:val="1"/>
      <w:numFmt w:val="decimal"/>
      <w:lvlText w:val="%1."/>
      <w:lvlJc w:val="left"/>
      <w:pPr>
        <w:ind w:left="1000" w:hanging="10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6761C76"/>
    <w:multiLevelType w:val="hybridMultilevel"/>
    <w:tmpl w:val="CE3453D2"/>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5D24A0E"/>
    <w:multiLevelType w:val="hybridMultilevel"/>
    <w:tmpl w:val="AC863114"/>
    <w:lvl w:ilvl="0" w:tplc="452E7018">
      <w:start w:val="2"/>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940C6A"/>
    <w:multiLevelType w:val="hybridMultilevel"/>
    <w:tmpl w:val="9B024C16"/>
    <w:lvl w:ilvl="0" w:tplc="39DC077C">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20555E2"/>
    <w:multiLevelType w:val="hybridMultilevel"/>
    <w:tmpl w:val="08D880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7B79DE"/>
    <w:multiLevelType w:val="hybridMultilevel"/>
    <w:tmpl w:val="8FC27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EF682D"/>
    <w:multiLevelType w:val="hybridMultilevel"/>
    <w:tmpl w:val="4ABC5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372047"/>
    <w:multiLevelType w:val="hybridMultilevel"/>
    <w:tmpl w:val="32821D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522999"/>
    <w:multiLevelType w:val="hybridMultilevel"/>
    <w:tmpl w:val="256C2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73B090F"/>
    <w:multiLevelType w:val="hybridMultilevel"/>
    <w:tmpl w:val="122EF44E"/>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4" w15:restartNumberingAfterBreak="0">
    <w:nsid w:val="6E770A5A"/>
    <w:multiLevelType w:val="hybridMultilevel"/>
    <w:tmpl w:val="26DC356E"/>
    <w:lvl w:ilvl="0" w:tplc="E73A61E6">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0DD15BA"/>
    <w:multiLevelType w:val="multilevel"/>
    <w:tmpl w:val="8E3E4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224668"/>
    <w:multiLevelType w:val="hybridMultilevel"/>
    <w:tmpl w:val="5B401986"/>
    <w:lvl w:ilvl="0" w:tplc="1C02D8E4">
      <w:start w:val="1"/>
      <w:numFmt w:val="decimal"/>
      <w:lvlText w:val="%1."/>
      <w:lvlJc w:val="left"/>
      <w:pPr>
        <w:ind w:left="360" w:hanging="360"/>
      </w:pPr>
      <w:rPr>
        <w:rFonts w:eastAsia="Times New Roman" w:hint="default"/>
        <w:color w:val="000000" w:themeColor="text1"/>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8621F26"/>
    <w:multiLevelType w:val="hybridMultilevel"/>
    <w:tmpl w:val="B44405FC"/>
    <w:lvl w:ilvl="0" w:tplc="F10AA54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A4C0E7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843004"/>
    <w:multiLevelType w:val="hybridMultilevel"/>
    <w:tmpl w:val="2202E718"/>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4"/>
  </w:num>
  <w:num w:numId="2">
    <w:abstractNumId w:val="2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8"/>
  </w:num>
  <w:num w:numId="6">
    <w:abstractNumId w:val="12"/>
  </w:num>
  <w:num w:numId="7">
    <w:abstractNumId w:val="2"/>
  </w:num>
  <w:num w:numId="8">
    <w:abstractNumId w:val="0"/>
  </w:num>
  <w:num w:numId="9">
    <w:abstractNumId w:val="21"/>
  </w:num>
  <w:num w:numId="10">
    <w:abstractNumId w:val="1"/>
  </w:num>
  <w:num w:numId="11">
    <w:abstractNumId w:val="2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25"/>
  </w:num>
  <w:num w:numId="16">
    <w:abstractNumId w:val="6"/>
  </w:num>
  <w:num w:numId="17">
    <w:abstractNumId w:val="27"/>
  </w:num>
  <w:num w:numId="18">
    <w:abstractNumId w:val="13"/>
  </w:num>
  <w:num w:numId="19">
    <w:abstractNumId w:val="22"/>
  </w:num>
  <w:num w:numId="20">
    <w:abstractNumId w:val="9"/>
  </w:num>
  <w:num w:numId="21">
    <w:abstractNumId w:val="3"/>
  </w:num>
  <w:num w:numId="22">
    <w:abstractNumId w:val="14"/>
  </w:num>
  <w:num w:numId="23">
    <w:abstractNumId w:val="29"/>
  </w:num>
  <w:num w:numId="24">
    <w:abstractNumId w:val="5"/>
  </w:num>
  <w:num w:numId="25">
    <w:abstractNumId w:val="4"/>
  </w:num>
  <w:num w:numId="26">
    <w:abstractNumId w:val="15"/>
  </w:num>
  <w:num w:numId="27">
    <w:abstractNumId w:val="16"/>
  </w:num>
  <w:num w:numId="28">
    <w:abstractNumId w:val="7"/>
  </w:num>
  <w:num w:numId="29">
    <w:abstractNumId w:val="11"/>
  </w:num>
  <w:num w:numId="30">
    <w:abstractNumId w:val="10"/>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00692"/>
    <w:rsid w:val="00001C90"/>
    <w:rsid w:val="00002398"/>
    <w:rsid w:val="00005311"/>
    <w:rsid w:val="000058E0"/>
    <w:rsid w:val="00005B63"/>
    <w:rsid w:val="00007A39"/>
    <w:rsid w:val="000165FD"/>
    <w:rsid w:val="00021AE9"/>
    <w:rsid w:val="000226A5"/>
    <w:rsid w:val="00023C08"/>
    <w:rsid w:val="00025F0E"/>
    <w:rsid w:val="00025F6C"/>
    <w:rsid w:val="0003114C"/>
    <w:rsid w:val="00032C54"/>
    <w:rsid w:val="00033F4A"/>
    <w:rsid w:val="00036659"/>
    <w:rsid w:val="000400C2"/>
    <w:rsid w:val="00041F13"/>
    <w:rsid w:val="00043ADA"/>
    <w:rsid w:val="00044F89"/>
    <w:rsid w:val="00045432"/>
    <w:rsid w:val="00050DDA"/>
    <w:rsid w:val="00054FE8"/>
    <w:rsid w:val="000560FE"/>
    <w:rsid w:val="000575DA"/>
    <w:rsid w:val="00061A88"/>
    <w:rsid w:val="0006523D"/>
    <w:rsid w:val="000678AF"/>
    <w:rsid w:val="00067D81"/>
    <w:rsid w:val="0007105B"/>
    <w:rsid w:val="00074204"/>
    <w:rsid w:val="000826D6"/>
    <w:rsid w:val="00086745"/>
    <w:rsid w:val="00094296"/>
    <w:rsid w:val="00097479"/>
    <w:rsid w:val="000A15ED"/>
    <w:rsid w:val="000A39DD"/>
    <w:rsid w:val="000A3C85"/>
    <w:rsid w:val="000A531F"/>
    <w:rsid w:val="000A5EF6"/>
    <w:rsid w:val="000A7B5B"/>
    <w:rsid w:val="000B04B0"/>
    <w:rsid w:val="000B2D23"/>
    <w:rsid w:val="000B314C"/>
    <w:rsid w:val="000B3320"/>
    <w:rsid w:val="000B3B54"/>
    <w:rsid w:val="000B6D4A"/>
    <w:rsid w:val="000B7F94"/>
    <w:rsid w:val="000C1828"/>
    <w:rsid w:val="000C7113"/>
    <w:rsid w:val="000D437A"/>
    <w:rsid w:val="000D4EBC"/>
    <w:rsid w:val="000D64E2"/>
    <w:rsid w:val="000E063D"/>
    <w:rsid w:val="000F11BD"/>
    <w:rsid w:val="000F500D"/>
    <w:rsid w:val="000F565B"/>
    <w:rsid w:val="000F5B82"/>
    <w:rsid w:val="000F75EF"/>
    <w:rsid w:val="00101436"/>
    <w:rsid w:val="00102478"/>
    <w:rsid w:val="00107248"/>
    <w:rsid w:val="00110969"/>
    <w:rsid w:val="00110CFA"/>
    <w:rsid w:val="00111EBD"/>
    <w:rsid w:val="001201D3"/>
    <w:rsid w:val="00120513"/>
    <w:rsid w:val="0012349D"/>
    <w:rsid w:val="0012572C"/>
    <w:rsid w:val="0013263E"/>
    <w:rsid w:val="00132B60"/>
    <w:rsid w:val="00133030"/>
    <w:rsid w:val="0013486B"/>
    <w:rsid w:val="00134F5B"/>
    <w:rsid w:val="00147739"/>
    <w:rsid w:val="00147E12"/>
    <w:rsid w:val="001535A2"/>
    <w:rsid w:val="00161C98"/>
    <w:rsid w:val="00163B9C"/>
    <w:rsid w:val="00163C5E"/>
    <w:rsid w:val="0016481F"/>
    <w:rsid w:val="0016507F"/>
    <w:rsid w:val="0016680D"/>
    <w:rsid w:val="00167DA4"/>
    <w:rsid w:val="00170F0D"/>
    <w:rsid w:val="00170F4C"/>
    <w:rsid w:val="001758DD"/>
    <w:rsid w:val="00177146"/>
    <w:rsid w:val="00183ED1"/>
    <w:rsid w:val="00185761"/>
    <w:rsid w:val="00185895"/>
    <w:rsid w:val="00185BB1"/>
    <w:rsid w:val="001866B1"/>
    <w:rsid w:val="00186C8A"/>
    <w:rsid w:val="00191230"/>
    <w:rsid w:val="001914B9"/>
    <w:rsid w:val="00193677"/>
    <w:rsid w:val="001963EB"/>
    <w:rsid w:val="00196EEE"/>
    <w:rsid w:val="001A216E"/>
    <w:rsid w:val="001A4F3B"/>
    <w:rsid w:val="001A67DB"/>
    <w:rsid w:val="001B03C1"/>
    <w:rsid w:val="001B0C1E"/>
    <w:rsid w:val="001B36DE"/>
    <w:rsid w:val="001B3F46"/>
    <w:rsid w:val="001B49DA"/>
    <w:rsid w:val="001B4D43"/>
    <w:rsid w:val="001B4F15"/>
    <w:rsid w:val="001B729A"/>
    <w:rsid w:val="001C06FB"/>
    <w:rsid w:val="001C103B"/>
    <w:rsid w:val="001C1732"/>
    <w:rsid w:val="001C3F79"/>
    <w:rsid w:val="001C54CE"/>
    <w:rsid w:val="001C678F"/>
    <w:rsid w:val="001D19D9"/>
    <w:rsid w:val="001D4B43"/>
    <w:rsid w:val="001E053E"/>
    <w:rsid w:val="001E1A14"/>
    <w:rsid w:val="001E427E"/>
    <w:rsid w:val="001E509C"/>
    <w:rsid w:val="001F0FA3"/>
    <w:rsid w:val="001F380D"/>
    <w:rsid w:val="001F5395"/>
    <w:rsid w:val="001F5450"/>
    <w:rsid w:val="001F7B5C"/>
    <w:rsid w:val="00212D1C"/>
    <w:rsid w:val="0021664C"/>
    <w:rsid w:val="00222D22"/>
    <w:rsid w:val="00227B20"/>
    <w:rsid w:val="0023013A"/>
    <w:rsid w:val="00230B7D"/>
    <w:rsid w:val="00231D99"/>
    <w:rsid w:val="00233318"/>
    <w:rsid w:val="00234DD8"/>
    <w:rsid w:val="002372E1"/>
    <w:rsid w:val="00237CCA"/>
    <w:rsid w:val="00241D47"/>
    <w:rsid w:val="002425CC"/>
    <w:rsid w:val="00244313"/>
    <w:rsid w:val="002471DF"/>
    <w:rsid w:val="00251198"/>
    <w:rsid w:val="00252790"/>
    <w:rsid w:val="002571A4"/>
    <w:rsid w:val="00260292"/>
    <w:rsid w:val="002621FB"/>
    <w:rsid w:val="00262EC0"/>
    <w:rsid w:val="00263EA8"/>
    <w:rsid w:val="00264C2F"/>
    <w:rsid w:val="002707BC"/>
    <w:rsid w:val="00270D5D"/>
    <w:rsid w:val="002710B5"/>
    <w:rsid w:val="00280C7A"/>
    <w:rsid w:val="00281A6B"/>
    <w:rsid w:val="00281C2E"/>
    <w:rsid w:val="00283C11"/>
    <w:rsid w:val="00283C70"/>
    <w:rsid w:val="00284F78"/>
    <w:rsid w:val="00286100"/>
    <w:rsid w:val="00286231"/>
    <w:rsid w:val="002903CF"/>
    <w:rsid w:val="00290A9B"/>
    <w:rsid w:val="00291914"/>
    <w:rsid w:val="002940FE"/>
    <w:rsid w:val="00294AD8"/>
    <w:rsid w:val="00297AF9"/>
    <w:rsid w:val="002A0C1D"/>
    <w:rsid w:val="002A1B5E"/>
    <w:rsid w:val="002B10BE"/>
    <w:rsid w:val="002B1353"/>
    <w:rsid w:val="002B2349"/>
    <w:rsid w:val="002B2A46"/>
    <w:rsid w:val="002B68F4"/>
    <w:rsid w:val="002C1442"/>
    <w:rsid w:val="002C2D51"/>
    <w:rsid w:val="002C3FE8"/>
    <w:rsid w:val="002C47D9"/>
    <w:rsid w:val="002D30ED"/>
    <w:rsid w:val="002D3418"/>
    <w:rsid w:val="002E058F"/>
    <w:rsid w:val="002E39BD"/>
    <w:rsid w:val="002E6FEC"/>
    <w:rsid w:val="002F0495"/>
    <w:rsid w:val="002F6526"/>
    <w:rsid w:val="002F753C"/>
    <w:rsid w:val="00302611"/>
    <w:rsid w:val="00307D0B"/>
    <w:rsid w:val="0031323B"/>
    <w:rsid w:val="00313BC9"/>
    <w:rsid w:val="00316F5D"/>
    <w:rsid w:val="00317ABB"/>
    <w:rsid w:val="003204EA"/>
    <w:rsid w:val="00324915"/>
    <w:rsid w:val="00324C5C"/>
    <w:rsid w:val="00332D98"/>
    <w:rsid w:val="003347B0"/>
    <w:rsid w:val="003370F8"/>
    <w:rsid w:val="00337A02"/>
    <w:rsid w:val="00337B21"/>
    <w:rsid w:val="00337FE1"/>
    <w:rsid w:val="00355B7C"/>
    <w:rsid w:val="0036475E"/>
    <w:rsid w:val="003657D6"/>
    <w:rsid w:val="00371588"/>
    <w:rsid w:val="00372091"/>
    <w:rsid w:val="003748AB"/>
    <w:rsid w:val="0037776F"/>
    <w:rsid w:val="003802BC"/>
    <w:rsid w:val="003805AB"/>
    <w:rsid w:val="00381217"/>
    <w:rsid w:val="00383E2C"/>
    <w:rsid w:val="0038406D"/>
    <w:rsid w:val="0038429E"/>
    <w:rsid w:val="003848CA"/>
    <w:rsid w:val="003859EB"/>
    <w:rsid w:val="0039489D"/>
    <w:rsid w:val="003A2F11"/>
    <w:rsid w:val="003A2FDD"/>
    <w:rsid w:val="003A3DDD"/>
    <w:rsid w:val="003A49FB"/>
    <w:rsid w:val="003A50FD"/>
    <w:rsid w:val="003B04B9"/>
    <w:rsid w:val="003B0A82"/>
    <w:rsid w:val="003B1E82"/>
    <w:rsid w:val="003B3586"/>
    <w:rsid w:val="003B616E"/>
    <w:rsid w:val="003C0103"/>
    <w:rsid w:val="003C1E3D"/>
    <w:rsid w:val="003C35B2"/>
    <w:rsid w:val="003C394D"/>
    <w:rsid w:val="003D01F6"/>
    <w:rsid w:val="003D2373"/>
    <w:rsid w:val="003D2F25"/>
    <w:rsid w:val="003D3ECF"/>
    <w:rsid w:val="003D6C8B"/>
    <w:rsid w:val="003D6DB2"/>
    <w:rsid w:val="003E0266"/>
    <w:rsid w:val="003E112E"/>
    <w:rsid w:val="003E4EB4"/>
    <w:rsid w:val="003E5AA6"/>
    <w:rsid w:val="003E615D"/>
    <w:rsid w:val="003F1AA5"/>
    <w:rsid w:val="003F20A2"/>
    <w:rsid w:val="003F29D2"/>
    <w:rsid w:val="003F44FD"/>
    <w:rsid w:val="003F60AD"/>
    <w:rsid w:val="003F67B6"/>
    <w:rsid w:val="004017D5"/>
    <w:rsid w:val="004021B9"/>
    <w:rsid w:val="00405454"/>
    <w:rsid w:val="004065F7"/>
    <w:rsid w:val="00406875"/>
    <w:rsid w:val="0040721F"/>
    <w:rsid w:val="00410D7B"/>
    <w:rsid w:val="00411CA9"/>
    <w:rsid w:val="0041482A"/>
    <w:rsid w:val="00415170"/>
    <w:rsid w:val="00417F60"/>
    <w:rsid w:val="00421540"/>
    <w:rsid w:val="00421776"/>
    <w:rsid w:val="004227B4"/>
    <w:rsid w:val="00424422"/>
    <w:rsid w:val="0042550B"/>
    <w:rsid w:val="00431829"/>
    <w:rsid w:val="00432102"/>
    <w:rsid w:val="00432C41"/>
    <w:rsid w:val="00434E76"/>
    <w:rsid w:val="00435760"/>
    <w:rsid w:val="004401DB"/>
    <w:rsid w:val="00440A44"/>
    <w:rsid w:val="0044280F"/>
    <w:rsid w:val="00442DF3"/>
    <w:rsid w:val="00443B83"/>
    <w:rsid w:val="00443CEF"/>
    <w:rsid w:val="00443E8B"/>
    <w:rsid w:val="00447FFB"/>
    <w:rsid w:val="004519BC"/>
    <w:rsid w:val="00452567"/>
    <w:rsid w:val="00452E1D"/>
    <w:rsid w:val="00454A86"/>
    <w:rsid w:val="00456B92"/>
    <w:rsid w:val="00457251"/>
    <w:rsid w:val="00457893"/>
    <w:rsid w:val="00460F2C"/>
    <w:rsid w:val="004615D6"/>
    <w:rsid w:val="00464625"/>
    <w:rsid w:val="0046705B"/>
    <w:rsid w:val="00467813"/>
    <w:rsid w:val="00473155"/>
    <w:rsid w:val="00474825"/>
    <w:rsid w:val="004760F2"/>
    <w:rsid w:val="00476BE9"/>
    <w:rsid w:val="00477000"/>
    <w:rsid w:val="00482746"/>
    <w:rsid w:val="00483078"/>
    <w:rsid w:val="0048344E"/>
    <w:rsid w:val="00483870"/>
    <w:rsid w:val="00483F00"/>
    <w:rsid w:val="00483FDD"/>
    <w:rsid w:val="00485BEE"/>
    <w:rsid w:val="00486CEF"/>
    <w:rsid w:val="00490D4A"/>
    <w:rsid w:val="004911C0"/>
    <w:rsid w:val="00494E04"/>
    <w:rsid w:val="00495ABE"/>
    <w:rsid w:val="004A1B71"/>
    <w:rsid w:val="004A3325"/>
    <w:rsid w:val="004A3BC3"/>
    <w:rsid w:val="004A3F4F"/>
    <w:rsid w:val="004A483E"/>
    <w:rsid w:val="004A601B"/>
    <w:rsid w:val="004A700F"/>
    <w:rsid w:val="004B044A"/>
    <w:rsid w:val="004B1F71"/>
    <w:rsid w:val="004B2A70"/>
    <w:rsid w:val="004B486A"/>
    <w:rsid w:val="004B4A96"/>
    <w:rsid w:val="004B6C00"/>
    <w:rsid w:val="004B7EB0"/>
    <w:rsid w:val="004C2F02"/>
    <w:rsid w:val="004C332C"/>
    <w:rsid w:val="004C4960"/>
    <w:rsid w:val="004C5878"/>
    <w:rsid w:val="004D1569"/>
    <w:rsid w:val="004D362F"/>
    <w:rsid w:val="004E0AEA"/>
    <w:rsid w:val="004E2E1C"/>
    <w:rsid w:val="004E4583"/>
    <w:rsid w:val="004E5E34"/>
    <w:rsid w:val="004E77CE"/>
    <w:rsid w:val="004F47FC"/>
    <w:rsid w:val="004F565F"/>
    <w:rsid w:val="004F65A9"/>
    <w:rsid w:val="004F6786"/>
    <w:rsid w:val="004F6A63"/>
    <w:rsid w:val="004F7EC5"/>
    <w:rsid w:val="004F7FBB"/>
    <w:rsid w:val="005023AC"/>
    <w:rsid w:val="005030C5"/>
    <w:rsid w:val="00503CDB"/>
    <w:rsid w:val="00504B4E"/>
    <w:rsid w:val="005075DD"/>
    <w:rsid w:val="005107C9"/>
    <w:rsid w:val="00510B47"/>
    <w:rsid w:val="005113F4"/>
    <w:rsid w:val="00511A74"/>
    <w:rsid w:val="00513BEE"/>
    <w:rsid w:val="0051670C"/>
    <w:rsid w:val="00523477"/>
    <w:rsid w:val="005250AD"/>
    <w:rsid w:val="0052606E"/>
    <w:rsid w:val="005265F3"/>
    <w:rsid w:val="00530C74"/>
    <w:rsid w:val="00535FBD"/>
    <w:rsid w:val="005370F8"/>
    <w:rsid w:val="0053729A"/>
    <w:rsid w:val="00540B85"/>
    <w:rsid w:val="00541C65"/>
    <w:rsid w:val="00541E90"/>
    <w:rsid w:val="00542631"/>
    <w:rsid w:val="005432DD"/>
    <w:rsid w:val="00545484"/>
    <w:rsid w:val="00546049"/>
    <w:rsid w:val="00547F1F"/>
    <w:rsid w:val="005527C2"/>
    <w:rsid w:val="00554811"/>
    <w:rsid w:val="00554FBA"/>
    <w:rsid w:val="00560B51"/>
    <w:rsid w:val="00562EF2"/>
    <w:rsid w:val="0057302D"/>
    <w:rsid w:val="00581232"/>
    <w:rsid w:val="00581364"/>
    <w:rsid w:val="00581E4E"/>
    <w:rsid w:val="00591880"/>
    <w:rsid w:val="00597AEB"/>
    <w:rsid w:val="005A0464"/>
    <w:rsid w:val="005A45C2"/>
    <w:rsid w:val="005A4608"/>
    <w:rsid w:val="005A55F0"/>
    <w:rsid w:val="005A5CE7"/>
    <w:rsid w:val="005A7A41"/>
    <w:rsid w:val="005B2325"/>
    <w:rsid w:val="005B5670"/>
    <w:rsid w:val="005B5C10"/>
    <w:rsid w:val="005C28F5"/>
    <w:rsid w:val="005D2173"/>
    <w:rsid w:val="005D2E6D"/>
    <w:rsid w:val="005D403F"/>
    <w:rsid w:val="005D56D1"/>
    <w:rsid w:val="005D5906"/>
    <w:rsid w:val="005E222B"/>
    <w:rsid w:val="005E344F"/>
    <w:rsid w:val="005E5404"/>
    <w:rsid w:val="005F07E7"/>
    <w:rsid w:val="005F0F25"/>
    <w:rsid w:val="005F27B2"/>
    <w:rsid w:val="005F3723"/>
    <w:rsid w:val="005F3F49"/>
    <w:rsid w:val="005F437F"/>
    <w:rsid w:val="005F4B79"/>
    <w:rsid w:val="00601285"/>
    <w:rsid w:val="00601D20"/>
    <w:rsid w:val="00602FC3"/>
    <w:rsid w:val="006037FB"/>
    <w:rsid w:val="00606571"/>
    <w:rsid w:val="00613483"/>
    <w:rsid w:val="00613D45"/>
    <w:rsid w:val="006147C9"/>
    <w:rsid w:val="006173FD"/>
    <w:rsid w:val="00617EB2"/>
    <w:rsid w:val="00620A19"/>
    <w:rsid w:val="0062597E"/>
    <w:rsid w:val="00625D42"/>
    <w:rsid w:val="00632495"/>
    <w:rsid w:val="0063295E"/>
    <w:rsid w:val="00632CC6"/>
    <w:rsid w:val="006404DA"/>
    <w:rsid w:val="00641E6D"/>
    <w:rsid w:val="006421BF"/>
    <w:rsid w:val="00644E11"/>
    <w:rsid w:val="00646261"/>
    <w:rsid w:val="006502F6"/>
    <w:rsid w:val="006630CC"/>
    <w:rsid w:val="00665642"/>
    <w:rsid w:val="006664DC"/>
    <w:rsid w:val="00666C2C"/>
    <w:rsid w:val="0066749A"/>
    <w:rsid w:val="006753E2"/>
    <w:rsid w:val="0067572E"/>
    <w:rsid w:val="00675FCC"/>
    <w:rsid w:val="00680931"/>
    <w:rsid w:val="00680FFE"/>
    <w:rsid w:val="0068147B"/>
    <w:rsid w:val="00682FD1"/>
    <w:rsid w:val="00684CBC"/>
    <w:rsid w:val="00684E76"/>
    <w:rsid w:val="00685222"/>
    <w:rsid w:val="006854E4"/>
    <w:rsid w:val="00690C70"/>
    <w:rsid w:val="006921B7"/>
    <w:rsid w:val="00693260"/>
    <w:rsid w:val="006941B0"/>
    <w:rsid w:val="00695E48"/>
    <w:rsid w:val="00697096"/>
    <w:rsid w:val="006A6289"/>
    <w:rsid w:val="006A7FBD"/>
    <w:rsid w:val="006B04E7"/>
    <w:rsid w:val="006B0A69"/>
    <w:rsid w:val="006B642F"/>
    <w:rsid w:val="006C196E"/>
    <w:rsid w:val="006C29E1"/>
    <w:rsid w:val="006C3195"/>
    <w:rsid w:val="006C703C"/>
    <w:rsid w:val="006D2B28"/>
    <w:rsid w:val="006D36ED"/>
    <w:rsid w:val="006D534A"/>
    <w:rsid w:val="006D564A"/>
    <w:rsid w:val="006D650F"/>
    <w:rsid w:val="006D7258"/>
    <w:rsid w:val="006E5508"/>
    <w:rsid w:val="006E5E9F"/>
    <w:rsid w:val="006F412B"/>
    <w:rsid w:val="006F5359"/>
    <w:rsid w:val="006F58D3"/>
    <w:rsid w:val="006F6D17"/>
    <w:rsid w:val="006F702B"/>
    <w:rsid w:val="006F7823"/>
    <w:rsid w:val="00700431"/>
    <w:rsid w:val="007030D1"/>
    <w:rsid w:val="00705631"/>
    <w:rsid w:val="00705DBC"/>
    <w:rsid w:val="00710C74"/>
    <w:rsid w:val="0071258B"/>
    <w:rsid w:val="00712958"/>
    <w:rsid w:val="00712A05"/>
    <w:rsid w:val="00714F34"/>
    <w:rsid w:val="00716D77"/>
    <w:rsid w:val="00720F1B"/>
    <w:rsid w:val="007210AF"/>
    <w:rsid w:val="00721F70"/>
    <w:rsid w:val="00725B37"/>
    <w:rsid w:val="0072704D"/>
    <w:rsid w:val="00732C71"/>
    <w:rsid w:val="0074161B"/>
    <w:rsid w:val="0074204F"/>
    <w:rsid w:val="0074211A"/>
    <w:rsid w:val="00744257"/>
    <w:rsid w:val="0074595F"/>
    <w:rsid w:val="00745E51"/>
    <w:rsid w:val="0074733F"/>
    <w:rsid w:val="00747D95"/>
    <w:rsid w:val="00750089"/>
    <w:rsid w:val="00754944"/>
    <w:rsid w:val="00760E6F"/>
    <w:rsid w:val="00761A24"/>
    <w:rsid w:val="007621AC"/>
    <w:rsid w:val="00763255"/>
    <w:rsid w:val="00763BC3"/>
    <w:rsid w:val="00765E0A"/>
    <w:rsid w:val="00770AD8"/>
    <w:rsid w:val="00771CB2"/>
    <w:rsid w:val="00775522"/>
    <w:rsid w:val="00775886"/>
    <w:rsid w:val="00776F75"/>
    <w:rsid w:val="00777983"/>
    <w:rsid w:val="00780A19"/>
    <w:rsid w:val="0078264A"/>
    <w:rsid w:val="00782A51"/>
    <w:rsid w:val="00782E04"/>
    <w:rsid w:val="00783E6E"/>
    <w:rsid w:val="00785B07"/>
    <w:rsid w:val="00791D75"/>
    <w:rsid w:val="007926A4"/>
    <w:rsid w:val="0079301E"/>
    <w:rsid w:val="00794030"/>
    <w:rsid w:val="007A38FD"/>
    <w:rsid w:val="007A434D"/>
    <w:rsid w:val="007A6A63"/>
    <w:rsid w:val="007A6AAA"/>
    <w:rsid w:val="007B0258"/>
    <w:rsid w:val="007B204E"/>
    <w:rsid w:val="007B28B3"/>
    <w:rsid w:val="007B3CA5"/>
    <w:rsid w:val="007B693D"/>
    <w:rsid w:val="007B756C"/>
    <w:rsid w:val="007B7F16"/>
    <w:rsid w:val="007C21B3"/>
    <w:rsid w:val="007C24D1"/>
    <w:rsid w:val="007C5CC1"/>
    <w:rsid w:val="007C711E"/>
    <w:rsid w:val="007D01EA"/>
    <w:rsid w:val="007D1A15"/>
    <w:rsid w:val="007D2A73"/>
    <w:rsid w:val="007D3819"/>
    <w:rsid w:val="007D5F5E"/>
    <w:rsid w:val="007E0061"/>
    <w:rsid w:val="007E28D4"/>
    <w:rsid w:val="007E3D6E"/>
    <w:rsid w:val="007E3FD3"/>
    <w:rsid w:val="007E4F65"/>
    <w:rsid w:val="007E52FD"/>
    <w:rsid w:val="007E6055"/>
    <w:rsid w:val="007E6A78"/>
    <w:rsid w:val="007E7A02"/>
    <w:rsid w:val="007F01CB"/>
    <w:rsid w:val="007F227C"/>
    <w:rsid w:val="007F26A7"/>
    <w:rsid w:val="007F39E0"/>
    <w:rsid w:val="007F44F9"/>
    <w:rsid w:val="007F4D58"/>
    <w:rsid w:val="007F5214"/>
    <w:rsid w:val="007F5790"/>
    <w:rsid w:val="0080163F"/>
    <w:rsid w:val="008016E6"/>
    <w:rsid w:val="00803BC8"/>
    <w:rsid w:val="00804B1D"/>
    <w:rsid w:val="0080747B"/>
    <w:rsid w:val="0080770A"/>
    <w:rsid w:val="008105AB"/>
    <w:rsid w:val="00811CF3"/>
    <w:rsid w:val="0081378A"/>
    <w:rsid w:val="00821EB5"/>
    <w:rsid w:val="008268A6"/>
    <w:rsid w:val="008275EF"/>
    <w:rsid w:val="008276EB"/>
    <w:rsid w:val="00831266"/>
    <w:rsid w:val="00840AC1"/>
    <w:rsid w:val="0084145B"/>
    <w:rsid w:val="008418F3"/>
    <w:rsid w:val="00842CBC"/>
    <w:rsid w:val="008457BE"/>
    <w:rsid w:val="00845C31"/>
    <w:rsid w:val="00846E46"/>
    <w:rsid w:val="00850727"/>
    <w:rsid w:val="008575D8"/>
    <w:rsid w:val="0085764F"/>
    <w:rsid w:val="00857BEB"/>
    <w:rsid w:val="00860937"/>
    <w:rsid w:val="008638F3"/>
    <w:rsid w:val="008655DA"/>
    <w:rsid w:val="00865CAC"/>
    <w:rsid w:val="00870B38"/>
    <w:rsid w:val="0087276F"/>
    <w:rsid w:val="00881F0A"/>
    <w:rsid w:val="008824BD"/>
    <w:rsid w:val="008841ED"/>
    <w:rsid w:val="008857B7"/>
    <w:rsid w:val="00886210"/>
    <w:rsid w:val="00887A13"/>
    <w:rsid w:val="00887CCD"/>
    <w:rsid w:val="00892943"/>
    <w:rsid w:val="00895682"/>
    <w:rsid w:val="008973CB"/>
    <w:rsid w:val="008A27DD"/>
    <w:rsid w:val="008A3BA3"/>
    <w:rsid w:val="008B1C21"/>
    <w:rsid w:val="008B1CF5"/>
    <w:rsid w:val="008B5D51"/>
    <w:rsid w:val="008C1A96"/>
    <w:rsid w:val="008C2198"/>
    <w:rsid w:val="008C2469"/>
    <w:rsid w:val="008C36CC"/>
    <w:rsid w:val="008C458C"/>
    <w:rsid w:val="008C4B72"/>
    <w:rsid w:val="008C7596"/>
    <w:rsid w:val="008D04D3"/>
    <w:rsid w:val="008D3595"/>
    <w:rsid w:val="008D410C"/>
    <w:rsid w:val="008D4230"/>
    <w:rsid w:val="008D74D3"/>
    <w:rsid w:val="008D7795"/>
    <w:rsid w:val="008E0F6F"/>
    <w:rsid w:val="008E4190"/>
    <w:rsid w:val="008E5699"/>
    <w:rsid w:val="008E660F"/>
    <w:rsid w:val="008E68CF"/>
    <w:rsid w:val="008E7AC5"/>
    <w:rsid w:val="008F2092"/>
    <w:rsid w:val="008F31C3"/>
    <w:rsid w:val="008F374B"/>
    <w:rsid w:val="008F545C"/>
    <w:rsid w:val="008F7246"/>
    <w:rsid w:val="008F7F3D"/>
    <w:rsid w:val="0090000D"/>
    <w:rsid w:val="00901F2D"/>
    <w:rsid w:val="00903F17"/>
    <w:rsid w:val="009042B3"/>
    <w:rsid w:val="009046FD"/>
    <w:rsid w:val="00907E9B"/>
    <w:rsid w:val="009110ED"/>
    <w:rsid w:val="00911FA2"/>
    <w:rsid w:val="0091303B"/>
    <w:rsid w:val="00914C61"/>
    <w:rsid w:val="00917181"/>
    <w:rsid w:val="00925DA5"/>
    <w:rsid w:val="00926D97"/>
    <w:rsid w:val="00927F9B"/>
    <w:rsid w:val="00930695"/>
    <w:rsid w:val="0093162D"/>
    <w:rsid w:val="00933332"/>
    <w:rsid w:val="009375E7"/>
    <w:rsid w:val="00940E87"/>
    <w:rsid w:val="009426A5"/>
    <w:rsid w:val="0094361F"/>
    <w:rsid w:val="00944152"/>
    <w:rsid w:val="009447C7"/>
    <w:rsid w:val="009466EF"/>
    <w:rsid w:val="009475FB"/>
    <w:rsid w:val="009510A7"/>
    <w:rsid w:val="00953EE5"/>
    <w:rsid w:val="0095422F"/>
    <w:rsid w:val="0095734B"/>
    <w:rsid w:val="00957391"/>
    <w:rsid w:val="00960BD3"/>
    <w:rsid w:val="00960FDF"/>
    <w:rsid w:val="009637BC"/>
    <w:rsid w:val="009678D7"/>
    <w:rsid w:val="009702A1"/>
    <w:rsid w:val="0097146C"/>
    <w:rsid w:val="00971B02"/>
    <w:rsid w:val="00971EAE"/>
    <w:rsid w:val="009724A9"/>
    <w:rsid w:val="00972D41"/>
    <w:rsid w:val="009735C7"/>
    <w:rsid w:val="00974FA1"/>
    <w:rsid w:val="00977DFB"/>
    <w:rsid w:val="0098513E"/>
    <w:rsid w:val="00985C29"/>
    <w:rsid w:val="009871B0"/>
    <w:rsid w:val="00995CD2"/>
    <w:rsid w:val="00995E91"/>
    <w:rsid w:val="00996179"/>
    <w:rsid w:val="009A0032"/>
    <w:rsid w:val="009B1EEA"/>
    <w:rsid w:val="009B36E2"/>
    <w:rsid w:val="009B7432"/>
    <w:rsid w:val="009C1960"/>
    <w:rsid w:val="009C318E"/>
    <w:rsid w:val="009C6D45"/>
    <w:rsid w:val="009C7974"/>
    <w:rsid w:val="009D1DF0"/>
    <w:rsid w:val="009D25BC"/>
    <w:rsid w:val="009D295E"/>
    <w:rsid w:val="009D56D7"/>
    <w:rsid w:val="009D6A37"/>
    <w:rsid w:val="009D6B36"/>
    <w:rsid w:val="009D7D8E"/>
    <w:rsid w:val="009E356F"/>
    <w:rsid w:val="009E765A"/>
    <w:rsid w:val="009F0A10"/>
    <w:rsid w:val="009F0B2A"/>
    <w:rsid w:val="009F7465"/>
    <w:rsid w:val="009F7A0C"/>
    <w:rsid w:val="009F7E9F"/>
    <w:rsid w:val="00A00C25"/>
    <w:rsid w:val="00A01451"/>
    <w:rsid w:val="00A10683"/>
    <w:rsid w:val="00A10E39"/>
    <w:rsid w:val="00A12079"/>
    <w:rsid w:val="00A14F52"/>
    <w:rsid w:val="00A21186"/>
    <w:rsid w:val="00A22044"/>
    <w:rsid w:val="00A227DF"/>
    <w:rsid w:val="00A23E0C"/>
    <w:rsid w:val="00A2552A"/>
    <w:rsid w:val="00A26C3C"/>
    <w:rsid w:val="00A31A6E"/>
    <w:rsid w:val="00A321C8"/>
    <w:rsid w:val="00A33FB6"/>
    <w:rsid w:val="00A34347"/>
    <w:rsid w:val="00A34C31"/>
    <w:rsid w:val="00A35DD1"/>
    <w:rsid w:val="00A3675A"/>
    <w:rsid w:val="00A36F3C"/>
    <w:rsid w:val="00A40EB3"/>
    <w:rsid w:val="00A4517D"/>
    <w:rsid w:val="00A550D9"/>
    <w:rsid w:val="00A6150F"/>
    <w:rsid w:val="00A61710"/>
    <w:rsid w:val="00A674CE"/>
    <w:rsid w:val="00A67E47"/>
    <w:rsid w:val="00A67E5B"/>
    <w:rsid w:val="00A721D1"/>
    <w:rsid w:val="00A76045"/>
    <w:rsid w:val="00A76D70"/>
    <w:rsid w:val="00A83249"/>
    <w:rsid w:val="00A86E54"/>
    <w:rsid w:val="00A95868"/>
    <w:rsid w:val="00AA30C8"/>
    <w:rsid w:val="00AA3C61"/>
    <w:rsid w:val="00AA6CE9"/>
    <w:rsid w:val="00AA7ED2"/>
    <w:rsid w:val="00AB1A5B"/>
    <w:rsid w:val="00AB1F69"/>
    <w:rsid w:val="00AB2D31"/>
    <w:rsid w:val="00AC1DC6"/>
    <w:rsid w:val="00AC3DD5"/>
    <w:rsid w:val="00AC47FA"/>
    <w:rsid w:val="00AC5873"/>
    <w:rsid w:val="00AC5909"/>
    <w:rsid w:val="00AC59EC"/>
    <w:rsid w:val="00AC603C"/>
    <w:rsid w:val="00AD080E"/>
    <w:rsid w:val="00AD1CFC"/>
    <w:rsid w:val="00AD3969"/>
    <w:rsid w:val="00AD4EC1"/>
    <w:rsid w:val="00AD5259"/>
    <w:rsid w:val="00AD5458"/>
    <w:rsid w:val="00AD784A"/>
    <w:rsid w:val="00AF35BD"/>
    <w:rsid w:val="00AF7C82"/>
    <w:rsid w:val="00AF7D61"/>
    <w:rsid w:val="00B02DB1"/>
    <w:rsid w:val="00B0578A"/>
    <w:rsid w:val="00B06EE6"/>
    <w:rsid w:val="00B10071"/>
    <w:rsid w:val="00B13F24"/>
    <w:rsid w:val="00B15143"/>
    <w:rsid w:val="00B15F5F"/>
    <w:rsid w:val="00B23A28"/>
    <w:rsid w:val="00B31214"/>
    <w:rsid w:val="00B324B0"/>
    <w:rsid w:val="00B32C74"/>
    <w:rsid w:val="00B351DC"/>
    <w:rsid w:val="00B36791"/>
    <w:rsid w:val="00B440BA"/>
    <w:rsid w:val="00B44F89"/>
    <w:rsid w:val="00B47224"/>
    <w:rsid w:val="00B47869"/>
    <w:rsid w:val="00B52DDD"/>
    <w:rsid w:val="00B52FAB"/>
    <w:rsid w:val="00B53840"/>
    <w:rsid w:val="00B55E1F"/>
    <w:rsid w:val="00B56D57"/>
    <w:rsid w:val="00B623BC"/>
    <w:rsid w:val="00B641E0"/>
    <w:rsid w:val="00B7329D"/>
    <w:rsid w:val="00B738BE"/>
    <w:rsid w:val="00B74466"/>
    <w:rsid w:val="00B77DA9"/>
    <w:rsid w:val="00B77FAB"/>
    <w:rsid w:val="00B8032B"/>
    <w:rsid w:val="00B841E5"/>
    <w:rsid w:val="00B86B8E"/>
    <w:rsid w:val="00B87422"/>
    <w:rsid w:val="00B90B64"/>
    <w:rsid w:val="00B93C0B"/>
    <w:rsid w:val="00B93C32"/>
    <w:rsid w:val="00BA0A6B"/>
    <w:rsid w:val="00BA14EB"/>
    <w:rsid w:val="00BA5B5C"/>
    <w:rsid w:val="00BA788D"/>
    <w:rsid w:val="00BB07A5"/>
    <w:rsid w:val="00BB23CC"/>
    <w:rsid w:val="00BB5CE6"/>
    <w:rsid w:val="00BC0E1F"/>
    <w:rsid w:val="00BC3BD1"/>
    <w:rsid w:val="00BC4967"/>
    <w:rsid w:val="00BD1D41"/>
    <w:rsid w:val="00BD29BC"/>
    <w:rsid w:val="00BD6289"/>
    <w:rsid w:val="00BE12EB"/>
    <w:rsid w:val="00BE26A8"/>
    <w:rsid w:val="00BE5546"/>
    <w:rsid w:val="00BE5FEC"/>
    <w:rsid w:val="00BE610F"/>
    <w:rsid w:val="00BF07EA"/>
    <w:rsid w:val="00BF1B43"/>
    <w:rsid w:val="00BF2137"/>
    <w:rsid w:val="00BF56C6"/>
    <w:rsid w:val="00BF6398"/>
    <w:rsid w:val="00BF7E77"/>
    <w:rsid w:val="00C0767E"/>
    <w:rsid w:val="00C07D5B"/>
    <w:rsid w:val="00C07F74"/>
    <w:rsid w:val="00C10334"/>
    <w:rsid w:val="00C11299"/>
    <w:rsid w:val="00C14D8C"/>
    <w:rsid w:val="00C16A76"/>
    <w:rsid w:val="00C16BDF"/>
    <w:rsid w:val="00C17ABB"/>
    <w:rsid w:val="00C20100"/>
    <w:rsid w:val="00C20BDC"/>
    <w:rsid w:val="00C222D8"/>
    <w:rsid w:val="00C2369B"/>
    <w:rsid w:val="00C24317"/>
    <w:rsid w:val="00C25ECC"/>
    <w:rsid w:val="00C263B2"/>
    <w:rsid w:val="00C27578"/>
    <w:rsid w:val="00C318A8"/>
    <w:rsid w:val="00C319A3"/>
    <w:rsid w:val="00C31C10"/>
    <w:rsid w:val="00C33699"/>
    <w:rsid w:val="00C35E9A"/>
    <w:rsid w:val="00C36355"/>
    <w:rsid w:val="00C3780B"/>
    <w:rsid w:val="00C405D9"/>
    <w:rsid w:val="00C41A24"/>
    <w:rsid w:val="00C47C78"/>
    <w:rsid w:val="00C50CA6"/>
    <w:rsid w:val="00C52DFA"/>
    <w:rsid w:val="00C549F2"/>
    <w:rsid w:val="00C567D8"/>
    <w:rsid w:val="00C60534"/>
    <w:rsid w:val="00C70060"/>
    <w:rsid w:val="00C73711"/>
    <w:rsid w:val="00C759D4"/>
    <w:rsid w:val="00C76020"/>
    <w:rsid w:val="00C80664"/>
    <w:rsid w:val="00C80A32"/>
    <w:rsid w:val="00C83C8A"/>
    <w:rsid w:val="00C85E6E"/>
    <w:rsid w:val="00C86642"/>
    <w:rsid w:val="00C907AE"/>
    <w:rsid w:val="00C93BFD"/>
    <w:rsid w:val="00C95002"/>
    <w:rsid w:val="00CA2450"/>
    <w:rsid w:val="00CA3294"/>
    <w:rsid w:val="00CA3D07"/>
    <w:rsid w:val="00CA57D8"/>
    <w:rsid w:val="00CA6F40"/>
    <w:rsid w:val="00CB016A"/>
    <w:rsid w:val="00CB61B3"/>
    <w:rsid w:val="00CC0286"/>
    <w:rsid w:val="00CC260B"/>
    <w:rsid w:val="00CC5295"/>
    <w:rsid w:val="00CC5969"/>
    <w:rsid w:val="00CC62C1"/>
    <w:rsid w:val="00CC7587"/>
    <w:rsid w:val="00CD3D34"/>
    <w:rsid w:val="00CD59D2"/>
    <w:rsid w:val="00CE0B71"/>
    <w:rsid w:val="00CE39EB"/>
    <w:rsid w:val="00CE3F17"/>
    <w:rsid w:val="00CE574F"/>
    <w:rsid w:val="00CE6807"/>
    <w:rsid w:val="00CF051F"/>
    <w:rsid w:val="00CF08F6"/>
    <w:rsid w:val="00CF228A"/>
    <w:rsid w:val="00CF29E2"/>
    <w:rsid w:val="00CF6F6A"/>
    <w:rsid w:val="00CF7598"/>
    <w:rsid w:val="00D045CA"/>
    <w:rsid w:val="00D11993"/>
    <w:rsid w:val="00D13C51"/>
    <w:rsid w:val="00D1510D"/>
    <w:rsid w:val="00D17B1F"/>
    <w:rsid w:val="00D2173B"/>
    <w:rsid w:val="00D2267D"/>
    <w:rsid w:val="00D2343C"/>
    <w:rsid w:val="00D23C92"/>
    <w:rsid w:val="00D244BD"/>
    <w:rsid w:val="00D2574D"/>
    <w:rsid w:val="00D2721C"/>
    <w:rsid w:val="00D27241"/>
    <w:rsid w:val="00D3259B"/>
    <w:rsid w:val="00D32769"/>
    <w:rsid w:val="00D35773"/>
    <w:rsid w:val="00D357D0"/>
    <w:rsid w:val="00D36992"/>
    <w:rsid w:val="00D40D7D"/>
    <w:rsid w:val="00D40FF7"/>
    <w:rsid w:val="00D56DC4"/>
    <w:rsid w:val="00D602ED"/>
    <w:rsid w:val="00D6413A"/>
    <w:rsid w:val="00D644D4"/>
    <w:rsid w:val="00D666CF"/>
    <w:rsid w:val="00D66F4C"/>
    <w:rsid w:val="00D672E9"/>
    <w:rsid w:val="00D70B41"/>
    <w:rsid w:val="00D7338F"/>
    <w:rsid w:val="00D746A9"/>
    <w:rsid w:val="00D748D7"/>
    <w:rsid w:val="00D7674A"/>
    <w:rsid w:val="00D8294B"/>
    <w:rsid w:val="00D836ED"/>
    <w:rsid w:val="00D84BD2"/>
    <w:rsid w:val="00D852C1"/>
    <w:rsid w:val="00D917AF"/>
    <w:rsid w:val="00D92F94"/>
    <w:rsid w:val="00D95160"/>
    <w:rsid w:val="00D95337"/>
    <w:rsid w:val="00D957E6"/>
    <w:rsid w:val="00D95CB0"/>
    <w:rsid w:val="00DA1201"/>
    <w:rsid w:val="00DA2FA4"/>
    <w:rsid w:val="00DA3496"/>
    <w:rsid w:val="00DA5A2A"/>
    <w:rsid w:val="00DA6FFD"/>
    <w:rsid w:val="00DB2B70"/>
    <w:rsid w:val="00DB7F86"/>
    <w:rsid w:val="00DC28A7"/>
    <w:rsid w:val="00DC516A"/>
    <w:rsid w:val="00DD4919"/>
    <w:rsid w:val="00DD6833"/>
    <w:rsid w:val="00DD7A3F"/>
    <w:rsid w:val="00DE2BE7"/>
    <w:rsid w:val="00DE2ECE"/>
    <w:rsid w:val="00DE44CF"/>
    <w:rsid w:val="00DF3A83"/>
    <w:rsid w:val="00DF3EEC"/>
    <w:rsid w:val="00DF528D"/>
    <w:rsid w:val="00DF59E7"/>
    <w:rsid w:val="00DF5CFC"/>
    <w:rsid w:val="00E00D4B"/>
    <w:rsid w:val="00E01F2D"/>
    <w:rsid w:val="00E042CA"/>
    <w:rsid w:val="00E057EF"/>
    <w:rsid w:val="00E064A2"/>
    <w:rsid w:val="00E06B4A"/>
    <w:rsid w:val="00E0715E"/>
    <w:rsid w:val="00E07872"/>
    <w:rsid w:val="00E13779"/>
    <w:rsid w:val="00E15A76"/>
    <w:rsid w:val="00E22206"/>
    <w:rsid w:val="00E23947"/>
    <w:rsid w:val="00E30093"/>
    <w:rsid w:val="00E326A9"/>
    <w:rsid w:val="00E360B5"/>
    <w:rsid w:val="00E45941"/>
    <w:rsid w:val="00E47736"/>
    <w:rsid w:val="00E51E46"/>
    <w:rsid w:val="00E51EB0"/>
    <w:rsid w:val="00E575FC"/>
    <w:rsid w:val="00E6297D"/>
    <w:rsid w:val="00E63407"/>
    <w:rsid w:val="00E63FE0"/>
    <w:rsid w:val="00E659E5"/>
    <w:rsid w:val="00E65AF3"/>
    <w:rsid w:val="00E66E47"/>
    <w:rsid w:val="00E75FD8"/>
    <w:rsid w:val="00E765F7"/>
    <w:rsid w:val="00E7682C"/>
    <w:rsid w:val="00E76C21"/>
    <w:rsid w:val="00E83435"/>
    <w:rsid w:val="00E90C3C"/>
    <w:rsid w:val="00E9372F"/>
    <w:rsid w:val="00E9389D"/>
    <w:rsid w:val="00E95585"/>
    <w:rsid w:val="00E95EAB"/>
    <w:rsid w:val="00E97484"/>
    <w:rsid w:val="00E97C36"/>
    <w:rsid w:val="00E97E10"/>
    <w:rsid w:val="00EA0FF1"/>
    <w:rsid w:val="00EA19C2"/>
    <w:rsid w:val="00EA1BB0"/>
    <w:rsid w:val="00EA35D7"/>
    <w:rsid w:val="00EA3FDF"/>
    <w:rsid w:val="00EA4852"/>
    <w:rsid w:val="00EA4FB1"/>
    <w:rsid w:val="00EA5070"/>
    <w:rsid w:val="00EA50D3"/>
    <w:rsid w:val="00EA5AA9"/>
    <w:rsid w:val="00EA5D07"/>
    <w:rsid w:val="00EA671E"/>
    <w:rsid w:val="00EB5DFF"/>
    <w:rsid w:val="00EC5EBD"/>
    <w:rsid w:val="00EC77AC"/>
    <w:rsid w:val="00EC7C96"/>
    <w:rsid w:val="00ED020A"/>
    <w:rsid w:val="00ED20D4"/>
    <w:rsid w:val="00ED6F60"/>
    <w:rsid w:val="00ED6F7D"/>
    <w:rsid w:val="00ED6FF0"/>
    <w:rsid w:val="00EE0A85"/>
    <w:rsid w:val="00EE57C5"/>
    <w:rsid w:val="00EE5A92"/>
    <w:rsid w:val="00EF0205"/>
    <w:rsid w:val="00EF0B8D"/>
    <w:rsid w:val="00EF21E1"/>
    <w:rsid w:val="00F00E1B"/>
    <w:rsid w:val="00F01697"/>
    <w:rsid w:val="00F03A4E"/>
    <w:rsid w:val="00F03E64"/>
    <w:rsid w:val="00F0543F"/>
    <w:rsid w:val="00F06F65"/>
    <w:rsid w:val="00F07B97"/>
    <w:rsid w:val="00F11293"/>
    <w:rsid w:val="00F1401E"/>
    <w:rsid w:val="00F14B1E"/>
    <w:rsid w:val="00F21F58"/>
    <w:rsid w:val="00F25974"/>
    <w:rsid w:val="00F25DE6"/>
    <w:rsid w:val="00F326FC"/>
    <w:rsid w:val="00F329C9"/>
    <w:rsid w:val="00F33C40"/>
    <w:rsid w:val="00F353E5"/>
    <w:rsid w:val="00F369D5"/>
    <w:rsid w:val="00F40BE3"/>
    <w:rsid w:val="00F42841"/>
    <w:rsid w:val="00F42B48"/>
    <w:rsid w:val="00F4587D"/>
    <w:rsid w:val="00F472DC"/>
    <w:rsid w:val="00F4749C"/>
    <w:rsid w:val="00F5086B"/>
    <w:rsid w:val="00F56B59"/>
    <w:rsid w:val="00F6740A"/>
    <w:rsid w:val="00F72633"/>
    <w:rsid w:val="00F7288D"/>
    <w:rsid w:val="00F75399"/>
    <w:rsid w:val="00F77C0F"/>
    <w:rsid w:val="00F8150C"/>
    <w:rsid w:val="00F81962"/>
    <w:rsid w:val="00F823E5"/>
    <w:rsid w:val="00F90089"/>
    <w:rsid w:val="00F90E24"/>
    <w:rsid w:val="00F95EE5"/>
    <w:rsid w:val="00FA01EA"/>
    <w:rsid w:val="00FA0E82"/>
    <w:rsid w:val="00FA1E64"/>
    <w:rsid w:val="00FA2A57"/>
    <w:rsid w:val="00FA3E05"/>
    <w:rsid w:val="00FB0795"/>
    <w:rsid w:val="00FB5C4F"/>
    <w:rsid w:val="00FC00C8"/>
    <w:rsid w:val="00FC0F37"/>
    <w:rsid w:val="00FC16C2"/>
    <w:rsid w:val="00FC23EC"/>
    <w:rsid w:val="00FC4191"/>
    <w:rsid w:val="00FC456A"/>
    <w:rsid w:val="00FC51C5"/>
    <w:rsid w:val="00FC767A"/>
    <w:rsid w:val="00FD1118"/>
    <w:rsid w:val="00FD50B6"/>
    <w:rsid w:val="00FE1CF6"/>
    <w:rsid w:val="00FE308A"/>
    <w:rsid w:val="00FE5A22"/>
    <w:rsid w:val="00FF2261"/>
    <w:rsid w:val="00FF461F"/>
    <w:rsid w:val="00FF4D28"/>
    <w:rsid w:val="00FF77B0"/>
    <w:rsid w:val="0416A489"/>
    <w:rsid w:val="05387960"/>
    <w:rsid w:val="0548CFD8"/>
    <w:rsid w:val="05A16167"/>
    <w:rsid w:val="061B5FD2"/>
    <w:rsid w:val="06D6291F"/>
    <w:rsid w:val="06F17AE0"/>
    <w:rsid w:val="089F9CC2"/>
    <w:rsid w:val="090A7B32"/>
    <w:rsid w:val="09D2C30B"/>
    <w:rsid w:val="0CA190CF"/>
    <w:rsid w:val="0CD2D55E"/>
    <w:rsid w:val="0FA9E043"/>
    <w:rsid w:val="103A8852"/>
    <w:rsid w:val="10BD2210"/>
    <w:rsid w:val="10F321ED"/>
    <w:rsid w:val="116D9D45"/>
    <w:rsid w:val="14903E0F"/>
    <w:rsid w:val="15EE4DD3"/>
    <w:rsid w:val="1979B5FA"/>
    <w:rsid w:val="1A32CE52"/>
    <w:rsid w:val="1B105E40"/>
    <w:rsid w:val="1D658DF3"/>
    <w:rsid w:val="1E5E96AE"/>
    <w:rsid w:val="23C17F04"/>
    <w:rsid w:val="27060062"/>
    <w:rsid w:val="2808D211"/>
    <w:rsid w:val="290B7B8C"/>
    <w:rsid w:val="29279B2A"/>
    <w:rsid w:val="29353D20"/>
    <w:rsid w:val="2F0AD6AF"/>
    <w:rsid w:val="2F401E08"/>
    <w:rsid w:val="2F70399F"/>
    <w:rsid w:val="2F7A6562"/>
    <w:rsid w:val="2FCB1082"/>
    <w:rsid w:val="3036AB36"/>
    <w:rsid w:val="313FBEB8"/>
    <w:rsid w:val="330206B7"/>
    <w:rsid w:val="342FB67D"/>
    <w:rsid w:val="34B999AD"/>
    <w:rsid w:val="355B4BE2"/>
    <w:rsid w:val="35D195CF"/>
    <w:rsid w:val="3B3E34CB"/>
    <w:rsid w:val="3C1063B5"/>
    <w:rsid w:val="3C3F802F"/>
    <w:rsid w:val="3CD77719"/>
    <w:rsid w:val="3DF30D8A"/>
    <w:rsid w:val="3E07F92F"/>
    <w:rsid w:val="3F092A0E"/>
    <w:rsid w:val="3FB6537B"/>
    <w:rsid w:val="3FCB7736"/>
    <w:rsid w:val="43AC5C39"/>
    <w:rsid w:val="4468FAB4"/>
    <w:rsid w:val="44BE7CD5"/>
    <w:rsid w:val="4797B2CC"/>
    <w:rsid w:val="485B2D4F"/>
    <w:rsid w:val="4A952C04"/>
    <w:rsid w:val="4AC2F70D"/>
    <w:rsid w:val="4AF01F7A"/>
    <w:rsid w:val="4B009103"/>
    <w:rsid w:val="4B080209"/>
    <w:rsid w:val="4C8AF3BC"/>
    <w:rsid w:val="4C94D980"/>
    <w:rsid w:val="4CF372A3"/>
    <w:rsid w:val="4CF69045"/>
    <w:rsid w:val="4D867BFC"/>
    <w:rsid w:val="4F6C08A9"/>
    <w:rsid w:val="50E398DA"/>
    <w:rsid w:val="511127C6"/>
    <w:rsid w:val="5186CCD8"/>
    <w:rsid w:val="518785F8"/>
    <w:rsid w:val="567FB964"/>
    <w:rsid w:val="5718B13F"/>
    <w:rsid w:val="57D76BD4"/>
    <w:rsid w:val="57FC3035"/>
    <w:rsid w:val="5803AE37"/>
    <w:rsid w:val="58613D0C"/>
    <w:rsid w:val="59D7A4DB"/>
    <w:rsid w:val="5A88E10E"/>
    <w:rsid w:val="5C27CE02"/>
    <w:rsid w:val="5CE4A387"/>
    <w:rsid w:val="5D44D37E"/>
    <w:rsid w:val="5D45BE5B"/>
    <w:rsid w:val="5F8425AC"/>
    <w:rsid w:val="5F8A3686"/>
    <w:rsid w:val="5FA462B6"/>
    <w:rsid w:val="5FB5D05E"/>
    <w:rsid w:val="60298D20"/>
    <w:rsid w:val="617A4138"/>
    <w:rsid w:val="62B44922"/>
    <w:rsid w:val="62EBCD29"/>
    <w:rsid w:val="633E095B"/>
    <w:rsid w:val="643E45E5"/>
    <w:rsid w:val="644C8B93"/>
    <w:rsid w:val="65362092"/>
    <w:rsid w:val="6962BB71"/>
    <w:rsid w:val="69FBF260"/>
    <w:rsid w:val="6A1E92E8"/>
    <w:rsid w:val="6B11CBB3"/>
    <w:rsid w:val="6CD405AD"/>
    <w:rsid w:val="6D51CF71"/>
    <w:rsid w:val="6D9642F8"/>
    <w:rsid w:val="6E756D7E"/>
    <w:rsid w:val="6E7EA82A"/>
    <w:rsid w:val="7049A5C2"/>
    <w:rsid w:val="708D18C7"/>
    <w:rsid w:val="72611577"/>
    <w:rsid w:val="72D5B469"/>
    <w:rsid w:val="747661BD"/>
    <w:rsid w:val="74DE8963"/>
    <w:rsid w:val="75F9D827"/>
    <w:rsid w:val="76A50AC1"/>
    <w:rsid w:val="78201EB7"/>
    <w:rsid w:val="79185911"/>
    <w:rsid w:val="7AB0A9F4"/>
    <w:rsid w:val="7D19DA40"/>
    <w:rsid w:val="7EE973AF"/>
    <w:rsid w:val="7F6BD060"/>
    <w:rsid w:val="7FAE8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F1A9"/>
  <w15:docId w15:val="{F104177B-E258-472C-8CCF-A7589066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paragraph" w:styleId="Heading3">
    <w:name w:val="heading 3"/>
    <w:basedOn w:val="Normal"/>
    <w:link w:val="Heading3Char"/>
    <w:uiPriority w:val="99"/>
    <w:unhideWhenUsed/>
    <w:qFormat/>
    <w:rsid w:val="00230B7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531F"/>
    <w:pPr>
      <w:tabs>
        <w:tab w:val="center" w:pos="4153"/>
        <w:tab w:val="right" w:pos="8306"/>
      </w:tabs>
    </w:pPr>
  </w:style>
  <w:style w:type="character" w:customStyle="1" w:styleId="HeaderChar">
    <w:name w:val="Header Char"/>
    <w:basedOn w:val="DefaultParagraphFont"/>
    <w:link w:val="Header"/>
    <w:uiPriority w:val="99"/>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uiPriority w:val="99"/>
    <w:rsid w:val="000A531F"/>
    <w:pPr>
      <w:tabs>
        <w:tab w:val="center" w:pos="4153"/>
        <w:tab w:val="right" w:pos="8306"/>
      </w:tabs>
    </w:pPr>
  </w:style>
  <w:style w:type="character" w:customStyle="1" w:styleId="FooterChar">
    <w:name w:val="Footer Char"/>
    <w:basedOn w:val="DefaultParagraphFont"/>
    <w:link w:val="Footer"/>
    <w:uiPriority w:val="99"/>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nhideWhenUsed/>
    <w:rsid w:val="005C28F5"/>
    <w:pPr>
      <w:widowControl w:val="0"/>
      <w:jc w:val="both"/>
    </w:pPr>
    <w:rPr>
      <w:rFonts w:eastAsia="Calibri"/>
      <w:sz w:val="20"/>
      <w:szCs w:val="20"/>
      <w:lang w:eastAsia="en-US"/>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rsid w:val="005C28F5"/>
    <w:rPr>
      <w:rFonts w:eastAsia="Calibri" w:cs="Times New Roman"/>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D957E6"/>
    <w:pPr>
      <w:spacing w:after="120"/>
    </w:pPr>
  </w:style>
  <w:style w:type="character" w:customStyle="1" w:styleId="BodyTextChar">
    <w:name w:val="Body Text Char"/>
    <w:basedOn w:val="DefaultParagraphFont"/>
    <w:link w:val="BodyText"/>
    <w:uiPriority w:val="99"/>
    <w:rsid w:val="00D957E6"/>
    <w:rPr>
      <w:rFonts w:eastAsia="Times New Roman" w:cs="Times New Roman"/>
      <w:sz w:val="24"/>
      <w:szCs w:val="24"/>
      <w:lang w:eastAsia="lv-LV"/>
    </w:rPr>
  </w:style>
  <w:style w:type="paragraph" w:styleId="NoSpacing">
    <w:name w:val="No Spacing"/>
    <w:link w:val="NoSpacingChar"/>
    <w:uiPriority w:val="1"/>
    <w:qFormat/>
    <w:rsid w:val="00C567D8"/>
    <w:pPr>
      <w:spacing w:after="0" w:line="240" w:lineRule="auto"/>
    </w:pPr>
    <w:rPr>
      <w:rFonts w:asciiTheme="minorHAnsi" w:hAnsiTheme="minorHAnsi"/>
      <w:sz w:val="22"/>
    </w:rPr>
  </w:style>
  <w:style w:type="character" w:styleId="Hyperlink">
    <w:name w:val="Hyperlink"/>
    <w:basedOn w:val="DefaultParagraphFont"/>
    <w:uiPriority w:val="99"/>
    <w:unhideWhenUsed/>
    <w:rsid w:val="00102478"/>
    <w:rPr>
      <w:color w:val="0000FF" w:themeColor="hyperlink"/>
      <w:u w:val="single"/>
    </w:rPr>
  </w:style>
  <w:style w:type="paragraph" w:styleId="CommentText">
    <w:name w:val="annotation text"/>
    <w:basedOn w:val="Normal"/>
    <w:link w:val="CommentTextChar"/>
    <w:uiPriority w:val="99"/>
    <w:unhideWhenUsed/>
    <w:rsid w:val="00227B20"/>
    <w:rPr>
      <w:sz w:val="20"/>
      <w:szCs w:val="20"/>
    </w:rPr>
  </w:style>
  <w:style w:type="character" w:customStyle="1" w:styleId="CommentTextChar">
    <w:name w:val="Comment Text Char"/>
    <w:basedOn w:val="DefaultParagraphFont"/>
    <w:link w:val="CommentText"/>
    <w:uiPriority w:val="99"/>
    <w:rsid w:val="00227B2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27B20"/>
    <w:rPr>
      <w:b/>
      <w:bCs/>
    </w:rPr>
  </w:style>
  <w:style w:type="character" w:customStyle="1" w:styleId="CommentSubjectChar">
    <w:name w:val="Comment Subject Char"/>
    <w:basedOn w:val="CommentTextChar"/>
    <w:link w:val="CommentSubject"/>
    <w:uiPriority w:val="99"/>
    <w:semiHidden/>
    <w:rsid w:val="00227B20"/>
    <w:rPr>
      <w:rFonts w:eastAsia="Times New Roman" w:cs="Times New Roman"/>
      <w:b/>
      <w:bCs/>
      <w:sz w:val="20"/>
      <w:szCs w:val="20"/>
      <w:lang w:eastAsia="lv-LV"/>
    </w:rPr>
  </w:style>
  <w:style w:type="paragraph" w:styleId="NormalWeb">
    <w:name w:val="Normal (Web)"/>
    <w:basedOn w:val="Normal"/>
    <w:uiPriority w:val="99"/>
    <w:rsid w:val="001B36DE"/>
    <w:pPr>
      <w:spacing w:before="75" w:after="75"/>
    </w:pPr>
  </w:style>
  <w:style w:type="character" w:styleId="Emphasis">
    <w:name w:val="Emphasis"/>
    <w:qFormat/>
    <w:rsid w:val="0016507F"/>
    <w:rPr>
      <w:i/>
      <w:iCs/>
    </w:rPr>
  </w:style>
  <w:style w:type="character" w:customStyle="1" w:styleId="Heading3Char">
    <w:name w:val="Heading 3 Char"/>
    <w:basedOn w:val="DefaultParagraphFont"/>
    <w:link w:val="Heading3"/>
    <w:uiPriority w:val="99"/>
    <w:rsid w:val="00230B7D"/>
    <w:rPr>
      <w:rFonts w:eastAsia="Times New Roman" w:cs="Times New Roman"/>
      <w:b/>
      <w:bCs/>
      <w:sz w:val="27"/>
      <w:szCs w:val="27"/>
      <w:lang w:eastAsia="lv-LV"/>
    </w:rPr>
  </w:style>
  <w:style w:type="paragraph" w:customStyle="1" w:styleId="naiskr">
    <w:name w:val="naiskr"/>
    <w:basedOn w:val="Normal"/>
    <w:rsid w:val="00B623BC"/>
    <w:pPr>
      <w:spacing w:before="75" w:after="75"/>
    </w:pPr>
  </w:style>
  <w:style w:type="paragraph" w:customStyle="1" w:styleId="naisc">
    <w:name w:val="naisc"/>
    <w:basedOn w:val="Normal"/>
    <w:rsid w:val="00B623BC"/>
    <w:pPr>
      <w:spacing w:before="75" w:after="75"/>
      <w:jc w:val="center"/>
    </w:pPr>
  </w:style>
  <w:style w:type="paragraph" w:customStyle="1" w:styleId="paragraph">
    <w:name w:val="paragraph"/>
    <w:basedOn w:val="Normal"/>
    <w:rsid w:val="007E7A02"/>
    <w:pPr>
      <w:spacing w:before="100" w:beforeAutospacing="1" w:after="100" w:afterAutospacing="1"/>
    </w:pPr>
  </w:style>
  <w:style w:type="character" w:customStyle="1" w:styleId="normaltextrun">
    <w:name w:val="normaltextrun"/>
    <w:basedOn w:val="DefaultParagraphFont"/>
    <w:rsid w:val="007E7A02"/>
  </w:style>
  <w:style w:type="character" w:customStyle="1" w:styleId="eop">
    <w:name w:val="eop"/>
    <w:basedOn w:val="DefaultParagraphFont"/>
    <w:rsid w:val="007E7A02"/>
  </w:style>
  <w:style w:type="character" w:customStyle="1" w:styleId="NoSpacingChar">
    <w:name w:val="No Spacing Char"/>
    <w:link w:val="NoSpacing"/>
    <w:uiPriority w:val="1"/>
    <w:rsid w:val="005E344F"/>
    <w:rPr>
      <w:rFonts w:asciiTheme="minorHAnsi" w:hAnsiTheme="minorHAnsi"/>
      <w:sz w:val="22"/>
    </w:rPr>
  </w:style>
  <w:style w:type="paragraph" w:customStyle="1" w:styleId="tv213">
    <w:name w:val="tv213"/>
    <w:basedOn w:val="Normal"/>
    <w:rsid w:val="00EA50D3"/>
    <w:pPr>
      <w:spacing w:before="100" w:beforeAutospacing="1" w:after="100" w:afterAutospacing="1"/>
    </w:pPr>
  </w:style>
  <w:style w:type="paragraph" w:styleId="BodyTextIndent2">
    <w:name w:val="Body Text Indent 2"/>
    <w:basedOn w:val="Normal"/>
    <w:link w:val="BodyTextIndent2Char"/>
    <w:rsid w:val="009C318E"/>
    <w:pPr>
      <w:spacing w:after="120" w:line="480" w:lineRule="auto"/>
      <w:ind w:left="283"/>
    </w:pPr>
    <w:rPr>
      <w:lang w:eastAsia="en-US"/>
    </w:rPr>
  </w:style>
  <w:style w:type="character" w:customStyle="1" w:styleId="BodyTextIndent2Char">
    <w:name w:val="Body Text Indent 2 Char"/>
    <w:basedOn w:val="DefaultParagraphFont"/>
    <w:link w:val="BodyTextIndent2"/>
    <w:rsid w:val="009C318E"/>
    <w:rPr>
      <w:rFonts w:eastAsia="Times New Roman" w:cs="Times New Roman"/>
      <w:sz w:val="24"/>
      <w:szCs w:val="24"/>
    </w:rPr>
  </w:style>
  <w:style w:type="paragraph" w:customStyle="1" w:styleId="CM1">
    <w:name w:val="CM1"/>
    <w:basedOn w:val="Normal"/>
    <w:next w:val="Normal"/>
    <w:uiPriority w:val="99"/>
    <w:rsid w:val="00E63407"/>
    <w:pPr>
      <w:autoSpaceDE w:val="0"/>
      <w:autoSpaceDN w:val="0"/>
      <w:adjustRightInd w:val="0"/>
    </w:pPr>
    <w:rPr>
      <w:rFonts w:eastAsiaTheme="minorHAnsi"/>
      <w:lang w:eastAsia="en-US"/>
    </w:rPr>
  </w:style>
  <w:style w:type="paragraph" w:customStyle="1" w:styleId="CM3">
    <w:name w:val="CM3"/>
    <w:basedOn w:val="Normal"/>
    <w:next w:val="Normal"/>
    <w:uiPriority w:val="99"/>
    <w:rsid w:val="00E63407"/>
    <w:pPr>
      <w:autoSpaceDE w:val="0"/>
      <w:autoSpaceDN w:val="0"/>
      <w:adjustRightInd w:val="0"/>
    </w:pPr>
    <w:rPr>
      <w:rFonts w:eastAsiaTheme="minorHAnsi"/>
      <w:lang w:eastAsia="en-US"/>
    </w:rPr>
  </w:style>
  <w:style w:type="paragraph" w:customStyle="1" w:styleId="CM4">
    <w:name w:val="CM4"/>
    <w:basedOn w:val="Normal"/>
    <w:next w:val="Normal"/>
    <w:uiPriority w:val="99"/>
    <w:rsid w:val="00E63407"/>
    <w:pPr>
      <w:autoSpaceDE w:val="0"/>
      <w:autoSpaceDN w:val="0"/>
      <w:adjustRightInd w:val="0"/>
    </w:pPr>
    <w:rPr>
      <w:rFonts w:eastAsiaTheme="minorHAnsi"/>
      <w:lang w:eastAsia="en-US"/>
    </w:rPr>
  </w:style>
  <w:style w:type="character" w:styleId="Strong">
    <w:name w:val="Strong"/>
    <w:basedOn w:val="DefaultParagraphFont"/>
    <w:uiPriority w:val="22"/>
    <w:qFormat/>
    <w:rsid w:val="00CC260B"/>
    <w:rPr>
      <w:b/>
      <w:bCs/>
    </w:rPr>
  </w:style>
  <w:style w:type="paragraph" w:styleId="Revision">
    <w:name w:val="Revision"/>
    <w:hidden/>
    <w:uiPriority w:val="99"/>
    <w:semiHidden/>
    <w:rsid w:val="003A50FD"/>
    <w:pPr>
      <w:spacing w:after="0" w:line="240" w:lineRule="auto"/>
    </w:pPr>
    <w:rPr>
      <w:rFonts w:eastAsia="Times New Roman" w:cs="Times New Roman"/>
      <w:sz w:val="24"/>
      <w:szCs w:val="24"/>
      <w:lang w:eastAsia="lv-LV"/>
    </w:rPr>
  </w:style>
  <w:style w:type="paragraph" w:customStyle="1" w:styleId="tv2132">
    <w:name w:val="tv2132"/>
    <w:basedOn w:val="Normal"/>
    <w:rsid w:val="0066749A"/>
    <w:pPr>
      <w:spacing w:line="360" w:lineRule="auto"/>
      <w:ind w:firstLine="300"/>
    </w:pPr>
    <w:rPr>
      <w:color w:val="414142"/>
      <w:sz w:val="20"/>
      <w:szCs w:val="20"/>
    </w:rPr>
  </w:style>
  <w:style w:type="paragraph" w:customStyle="1" w:styleId="xmsonormal">
    <w:name w:val="x_msonormal"/>
    <w:basedOn w:val="Normal"/>
    <w:rsid w:val="00695E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3754">
      <w:bodyDiv w:val="1"/>
      <w:marLeft w:val="0"/>
      <w:marRight w:val="0"/>
      <w:marTop w:val="0"/>
      <w:marBottom w:val="0"/>
      <w:divBdr>
        <w:top w:val="none" w:sz="0" w:space="0" w:color="auto"/>
        <w:left w:val="none" w:sz="0" w:space="0" w:color="auto"/>
        <w:bottom w:val="none" w:sz="0" w:space="0" w:color="auto"/>
        <w:right w:val="none" w:sz="0" w:space="0" w:color="auto"/>
      </w:divBdr>
    </w:div>
    <w:div w:id="84542866">
      <w:bodyDiv w:val="1"/>
      <w:marLeft w:val="0"/>
      <w:marRight w:val="0"/>
      <w:marTop w:val="0"/>
      <w:marBottom w:val="0"/>
      <w:divBdr>
        <w:top w:val="none" w:sz="0" w:space="0" w:color="auto"/>
        <w:left w:val="none" w:sz="0" w:space="0" w:color="auto"/>
        <w:bottom w:val="none" w:sz="0" w:space="0" w:color="auto"/>
        <w:right w:val="none" w:sz="0" w:space="0" w:color="auto"/>
      </w:divBdr>
    </w:div>
    <w:div w:id="93550959">
      <w:bodyDiv w:val="1"/>
      <w:marLeft w:val="0"/>
      <w:marRight w:val="0"/>
      <w:marTop w:val="0"/>
      <w:marBottom w:val="0"/>
      <w:divBdr>
        <w:top w:val="none" w:sz="0" w:space="0" w:color="auto"/>
        <w:left w:val="none" w:sz="0" w:space="0" w:color="auto"/>
        <w:bottom w:val="none" w:sz="0" w:space="0" w:color="auto"/>
        <w:right w:val="none" w:sz="0" w:space="0" w:color="auto"/>
      </w:divBdr>
    </w:div>
    <w:div w:id="120002774">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446386621">
      <w:bodyDiv w:val="1"/>
      <w:marLeft w:val="0"/>
      <w:marRight w:val="0"/>
      <w:marTop w:val="0"/>
      <w:marBottom w:val="0"/>
      <w:divBdr>
        <w:top w:val="none" w:sz="0" w:space="0" w:color="auto"/>
        <w:left w:val="none" w:sz="0" w:space="0" w:color="auto"/>
        <w:bottom w:val="none" w:sz="0" w:space="0" w:color="auto"/>
        <w:right w:val="none" w:sz="0" w:space="0" w:color="auto"/>
      </w:divBdr>
    </w:div>
    <w:div w:id="607586510">
      <w:bodyDiv w:val="1"/>
      <w:marLeft w:val="0"/>
      <w:marRight w:val="0"/>
      <w:marTop w:val="0"/>
      <w:marBottom w:val="0"/>
      <w:divBdr>
        <w:top w:val="none" w:sz="0" w:space="0" w:color="auto"/>
        <w:left w:val="none" w:sz="0" w:space="0" w:color="auto"/>
        <w:bottom w:val="none" w:sz="0" w:space="0" w:color="auto"/>
        <w:right w:val="none" w:sz="0" w:space="0" w:color="auto"/>
      </w:divBdr>
    </w:div>
    <w:div w:id="632906384">
      <w:bodyDiv w:val="1"/>
      <w:marLeft w:val="0"/>
      <w:marRight w:val="0"/>
      <w:marTop w:val="0"/>
      <w:marBottom w:val="0"/>
      <w:divBdr>
        <w:top w:val="none" w:sz="0" w:space="0" w:color="auto"/>
        <w:left w:val="none" w:sz="0" w:space="0" w:color="auto"/>
        <w:bottom w:val="none" w:sz="0" w:space="0" w:color="auto"/>
        <w:right w:val="none" w:sz="0" w:space="0" w:color="auto"/>
      </w:divBdr>
    </w:div>
    <w:div w:id="710346344">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262639257">
      <w:bodyDiv w:val="1"/>
      <w:marLeft w:val="0"/>
      <w:marRight w:val="0"/>
      <w:marTop w:val="0"/>
      <w:marBottom w:val="0"/>
      <w:divBdr>
        <w:top w:val="none" w:sz="0" w:space="0" w:color="auto"/>
        <w:left w:val="none" w:sz="0" w:space="0" w:color="auto"/>
        <w:bottom w:val="none" w:sz="0" w:space="0" w:color="auto"/>
        <w:right w:val="none" w:sz="0" w:space="0" w:color="auto"/>
      </w:divBdr>
    </w:div>
    <w:div w:id="1315331953">
      <w:bodyDiv w:val="1"/>
      <w:marLeft w:val="0"/>
      <w:marRight w:val="0"/>
      <w:marTop w:val="0"/>
      <w:marBottom w:val="0"/>
      <w:divBdr>
        <w:top w:val="none" w:sz="0" w:space="0" w:color="auto"/>
        <w:left w:val="none" w:sz="0" w:space="0" w:color="auto"/>
        <w:bottom w:val="none" w:sz="0" w:space="0" w:color="auto"/>
        <w:right w:val="none" w:sz="0" w:space="0" w:color="auto"/>
      </w:divBdr>
      <w:divsChild>
        <w:div w:id="22554982">
          <w:marLeft w:val="0"/>
          <w:marRight w:val="0"/>
          <w:marTop w:val="0"/>
          <w:marBottom w:val="0"/>
          <w:divBdr>
            <w:top w:val="none" w:sz="0" w:space="0" w:color="auto"/>
            <w:left w:val="none" w:sz="0" w:space="0" w:color="auto"/>
            <w:bottom w:val="none" w:sz="0" w:space="0" w:color="auto"/>
            <w:right w:val="none" w:sz="0" w:space="0" w:color="auto"/>
          </w:divBdr>
        </w:div>
        <w:div w:id="1000157037">
          <w:marLeft w:val="0"/>
          <w:marRight w:val="0"/>
          <w:marTop w:val="0"/>
          <w:marBottom w:val="0"/>
          <w:divBdr>
            <w:top w:val="none" w:sz="0" w:space="0" w:color="auto"/>
            <w:left w:val="none" w:sz="0" w:space="0" w:color="auto"/>
            <w:bottom w:val="none" w:sz="0" w:space="0" w:color="auto"/>
            <w:right w:val="none" w:sz="0" w:space="0" w:color="auto"/>
          </w:divBdr>
        </w:div>
      </w:divsChild>
    </w:div>
    <w:div w:id="1317416259">
      <w:bodyDiv w:val="1"/>
      <w:marLeft w:val="0"/>
      <w:marRight w:val="0"/>
      <w:marTop w:val="0"/>
      <w:marBottom w:val="0"/>
      <w:divBdr>
        <w:top w:val="none" w:sz="0" w:space="0" w:color="auto"/>
        <w:left w:val="none" w:sz="0" w:space="0" w:color="auto"/>
        <w:bottom w:val="none" w:sz="0" w:space="0" w:color="auto"/>
        <w:right w:val="none" w:sz="0" w:space="0" w:color="auto"/>
      </w:divBdr>
    </w:div>
    <w:div w:id="1501507989">
      <w:bodyDiv w:val="1"/>
      <w:marLeft w:val="0"/>
      <w:marRight w:val="0"/>
      <w:marTop w:val="0"/>
      <w:marBottom w:val="0"/>
      <w:divBdr>
        <w:top w:val="none" w:sz="0" w:space="0" w:color="auto"/>
        <w:left w:val="none" w:sz="0" w:space="0" w:color="auto"/>
        <w:bottom w:val="none" w:sz="0" w:space="0" w:color="auto"/>
        <w:right w:val="none" w:sz="0" w:space="0" w:color="auto"/>
      </w:divBdr>
      <w:divsChild>
        <w:div w:id="1035959234">
          <w:marLeft w:val="0"/>
          <w:marRight w:val="0"/>
          <w:marTop w:val="480"/>
          <w:marBottom w:val="240"/>
          <w:divBdr>
            <w:top w:val="none" w:sz="0" w:space="0" w:color="auto"/>
            <w:left w:val="none" w:sz="0" w:space="0" w:color="auto"/>
            <w:bottom w:val="none" w:sz="0" w:space="0" w:color="auto"/>
            <w:right w:val="none" w:sz="0" w:space="0" w:color="auto"/>
          </w:divBdr>
        </w:div>
        <w:div w:id="1700885798">
          <w:marLeft w:val="0"/>
          <w:marRight w:val="0"/>
          <w:marTop w:val="0"/>
          <w:marBottom w:val="567"/>
          <w:divBdr>
            <w:top w:val="none" w:sz="0" w:space="0" w:color="auto"/>
            <w:left w:val="none" w:sz="0" w:space="0" w:color="auto"/>
            <w:bottom w:val="none" w:sz="0" w:space="0" w:color="auto"/>
            <w:right w:val="none" w:sz="0" w:space="0" w:color="auto"/>
          </w:divBdr>
        </w:div>
        <w:div w:id="2098012435">
          <w:marLeft w:val="0"/>
          <w:marRight w:val="0"/>
          <w:marTop w:val="0"/>
          <w:marBottom w:val="567"/>
          <w:divBdr>
            <w:top w:val="none" w:sz="0" w:space="0" w:color="auto"/>
            <w:left w:val="none" w:sz="0" w:space="0" w:color="auto"/>
            <w:bottom w:val="none" w:sz="0" w:space="0" w:color="auto"/>
            <w:right w:val="none" w:sz="0" w:space="0" w:color="auto"/>
          </w:divBdr>
        </w:div>
      </w:divsChild>
    </w:div>
    <w:div w:id="1536694458">
      <w:bodyDiv w:val="1"/>
      <w:marLeft w:val="0"/>
      <w:marRight w:val="0"/>
      <w:marTop w:val="0"/>
      <w:marBottom w:val="0"/>
      <w:divBdr>
        <w:top w:val="none" w:sz="0" w:space="0" w:color="auto"/>
        <w:left w:val="none" w:sz="0" w:space="0" w:color="auto"/>
        <w:bottom w:val="none" w:sz="0" w:space="0" w:color="auto"/>
        <w:right w:val="none" w:sz="0" w:space="0" w:color="auto"/>
      </w:divBdr>
    </w:div>
    <w:div w:id="1612929767">
      <w:bodyDiv w:val="1"/>
      <w:marLeft w:val="0"/>
      <w:marRight w:val="0"/>
      <w:marTop w:val="0"/>
      <w:marBottom w:val="0"/>
      <w:divBdr>
        <w:top w:val="none" w:sz="0" w:space="0" w:color="auto"/>
        <w:left w:val="none" w:sz="0" w:space="0" w:color="auto"/>
        <w:bottom w:val="none" w:sz="0" w:space="0" w:color="auto"/>
        <w:right w:val="none" w:sz="0" w:space="0" w:color="auto"/>
      </w:divBdr>
    </w:div>
    <w:div w:id="1635451793">
      <w:bodyDiv w:val="1"/>
      <w:marLeft w:val="0"/>
      <w:marRight w:val="0"/>
      <w:marTop w:val="0"/>
      <w:marBottom w:val="0"/>
      <w:divBdr>
        <w:top w:val="none" w:sz="0" w:space="0" w:color="auto"/>
        <w:left w:val="none" w:sz="0" w:space="0" w:color="auto"/>
        <w:bottom w:val="none" w:sz="0" w:space="0" w:color="auto"/>
        <w:right w:val="none" w:sz="0" w:space="0" w:color="auto"/>
      </w:divBdr>
    </w:div>
    <w:div w:id="1796678379">
      <w:bodyDiv w:val="1"/>
      <w:marLeft w:val="0"/>
      <w:marRight w:val="0"/>
      <w:marTop w:val="0"/>
      <w:marBottom w:val="0"/>
      <w:divBdr>
        <w:top w:val="none" w:sz="0" w:space="0" w:color="auto"/>
        <w:left w:val="none" w:sz="0" w:space="0" w:color="auto"/>
        <w:bottom w:val="none" w:sz="0" w:space="0" w:color="auto"/>
        <w:right w:val="none" w:sz="0" w:space="0" w:color="auto"/>
      </w:divBdr>
    </w:div>
    <w:div w:id="1844515463">
      <w:bodyDiv w:val="1"/>
      <w:marLeft w:val="0"/>
      <w:marRight w:val="0"/>
      <w:marTop w:val="0"/>
      <w:marBottom w:val="0"/>
      <w:divBdr>
        <w:top w:val="none" w:sz="0" w:space="0" w:color="auto"/>
        <w:left w:val="none" w:sz="0" w:space="0" w:color="auto"/>
        <w:bottom w:val="none" w:sz="0" w:space="0" w:color="auto"/>
        <w:right w:val="none" w:sz="0" w:space="0" w:color="auto"/>
      </w:divBdr>
    </w:div>
    <w:div w:id="1912501109">
      <w:bodyDiv w:val="1"/>
      <w:marLeft w:val="0"/>
      <w:marRight w:val="0"/>
      <w:marTop w:val="0"/>
      <w:marBottom w:val="0"/>
      <w:divBdr>
        <w:top w:val="none" w:sz="0" w:space="0" w:color="auto"/>
        <w:left w:val="none" w:sz="0" w:space="0" w:color="auto"/>
        <w:bottom w:val="none" w:sz="0" w:space="0" w:color="auto"/>
        <w:right w:val="none" w:sz="0" w:space="0" w:color="auto"/>
      </w:divBdr>
    </w:div>
    <w:div w:id="2063088910">
      <w:bodyDiv w:val="1"/>
      <w:marLeft w:val="0"/>
      <w:marRight w:val="0"/>
      <w:marTop w:val="0"/>
      <w:marBottom w:val="0"/>
      <w:divBdr>
        <w:top w:val="none" w:sz="0" w:space="0" w:color="auto"/>
        <w:left w:val="none" w:sz="0" w:space="0" w:color="auto"/>
        <w:bottom w:val="none" w:sz="0" w:space="0" w:color="auto"/>
        <w:right w:val="none" w:sz="0" w:space="0" w:color="auto"/>
      </w:divBdr>
    </w:div>
    <w:div w:id="21303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4221-740E-4C90-B120-FE182A57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9968</Words>
  <Characters>5683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Likumprojekts "Grozījumi Ķīmisko vielu likumā"</vt:lpstr>
    </vt:vector>
  </TitlesOfParts>
  <Company>VARAM</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 marta noteikumos Nr. 131 “Rūpniecisko avāriju riska novērtēšanas kārtība un riska samazināšanas pasākumi”</dc:title>
  <dc:subject>Izziņa</dc:subject>
  <dc:creator>Kristīne Kazerovska</dc:creator>
  <cp:keywords/>
  <dc:description/>
  <cp:lastModifiedBy>Madara Gaile</cp:lastModifiedBy>
  <cp:revision>6</cp:revision>
  <cp:lastPrinted>2020-01-22T09:40:00Z</cp:lastPrinted>
  <dcterms:created xsi:type="dcterms:W3CDTF">2021-03-01T07:09:00Z</dcterms:created>
  <dcterms:modified xsi:type="dcterms:W3CDTF">2021-03-04T06:44:00Z</dcterms:modified>
  <cp:category>Vides politika</cp:category>
</cp:coreProperties>
</file>