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1"/>
    <w:bookmarkStart w:id="1" w:name="OLE_LINK2"/>
    <w:p w14:paraId="727A91DF" w14:textId="02297980" w:rsidR="00894C55" w:rsidRPr="005879DF" w:rsidRDefault="00BD78CA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E67D61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Ministru kabineta n</w:t>
          </w:r>
          <w:r w:rsidR="005879DF" w:rsidRPr="005879DF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oteikumu </w:t>
          </w:r>
          <w:bookmarkStart w:id="2" w:name="OLE_LINK3"/>
          <w:bookmarkStart w:id="3" w:name="OLE_LINK4"/>
          <w:r w:rsidR="005879DF" w:rsidRPr="005879DF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"</w:t>
          </w:r>
          <w:r w:rsidR="00BC7A7B" w:rsidRPr="00B76DF2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Grozījumi Ministru kabineta </w:t>
          </w:r>
          <w:r w:rsidR="00BC7A7B" w:rsidRPr="00586EAC">
            <w:rPr>
              <w:rFonts w:ascii="Times New Roman" w:eastAsia="Calibri" w:hAnsi="Times New Roman" w:cs="Times New Roman"/>
              <w:b/>
              <w:sz w:val="28"/>
              <w:szCs w:val="28"/>
            </w:rPr>
            <w:t>20</w:t>
          </w:r>
          <w:r w:rsidR="00BC7A7B">
            <w:rPr>
              <w:rFonts w:ascii="Times New Roman" w:eastAsia="Calibri" w:hAnsi="Times New Roman" w:cs="Times New Roman"/>
              <w:b/>
              <w:sz w:val="28"/>
              <w:szCs w:val="28"/>
            </w:rPr>
            <w:t>09</w:t>
          </w:r>
          <w:r w:rsidR="00BC7A7B" w:rsidRPr="00586EAC">
            <w:rPr>
              <w:rFonts w:ascii="Times New Roman" w:eastAsia="Calibri" w:hAnsi="Times New Roman" w:cs="Times New Roman"/>
              <w:b/>
              <w:sz w:val="28"/>
              <w:szCs w:val="28"/>
            </w:rPr>
            <w:t>.</w:t>
          </w:r>
          <w:r w:rsidR="00BC7A7B">
            <w:rPr>
              <w:rFonts w:ascii="Times New Roman" w:eastAsia="Calibri" w:hAnsi="Times New Roman" w:cs="Times New Roman"/>
              <w:b/>
              <w:sz w:val="28"/>
              <w:szCs w:val="28"/>
            </w:rPr>
            <w:t> </w:t>
          </w:r>
          <w:r w:rsidR="00BC7A7B" w:rsidRPr="00586EAC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gada </w:t>
          </w:r>
          <w:r w:rsidR="00BC7A7B">
            <w:rPr>
              <w:rFonts w:ascii="Times New Roman" w:eastAsia="Calibri" w:hAnsi="Times New Roman" w:cs="Times New Roman"/>
              <w:b/>
              <w:sz w:val="28"/>
              <w:szCs w:val="28"/>
            </w:rPr>
            <w:t>3</w:t>
          </w:r>
          <w:r w:rsidR="00BC7A7B" w:rsidRPr="00586EAC">
            <w:rPr>
              <w:rFonts w:ascii="Times New Roman" w:eastAsia="Calibri" w:hAnsi="Times New Roman" w:cs="Times New Roman"/>
              <w:b/>
              <w:sz w:val="28"/>
              <w:szCs w:val="28"/>
            </w:rPr>
            <w:t>.</w:t>
          </w:r>
          <w:r w:rsidR="00BC7A7B">
            <w:rPr>
              <w:rFonts w:ascii="Times New Roman" w:eastAsia="Calibri" w:hAnsi="Times New Roman" w:cs="Times New Roman"/>
              <w:b/>
              <w:sz w:val="28"/>
              <w:szCs w:val="28"/>
            </w:rPr>
            <w:t> novembra noteikumos </w:t>
          </w:r>
          <w:r w:rsidR="00BC7A7B" w:rsidRPr="00B76DF2">
            <w:rPr>
              <w:rFonts w:ascii="Times New Roman" w:eastAsia="Calibri" w:hAnsi="Times New Roman" w:cs="Times New Roman"/>
              <w:b/>
              <w:sz w:val="28"/>
              <w:szCs w:val="28"/>
            </w:rPr>
            <w:t>Nr. </w:t>
          </w:r>
          <w:r w:rsidR="00BC7A7B">
            <w:rPr>
              <w:rFonts w:ascii="Times New Roman" w:eastAsia="Calibri" w:hAnsi="Times New Roman" w:cs="Times New Roman"/>
              <w:b/>
              <w:sz w:val="28"/>
              <w:szCs w:val="28"/>
            </w:rPr>
            <w:t>1290 </w:t>
          </w:r>
          <w:r w:rsidR="00BC7A7B" w:rsidRPr="00B76DF2">
            <w:rPr>
              <w:rFonts w:ascii="Times New Roman" w:eastAsia="Calibri" w:hAnsi="Times New Roman" w:cs="Times New Roman"/>
              <w:b/>
              <w:sz w:val="28"/>
              <w:szCs w:val="28"/>
            </w:rPr>
            <w:t>"</w:t>
          </w:r>
          <w:r w:rsidR="00BC7A7B" w:rsidRPr="00586EAC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Noteikumi par </w:t>
          </w:r>
          <w:r w:rsidR="00BC7A7B">
            <w:rPr>
              <w:rFonts w:ascii="Times New Roman" w:eastAsia="Calibri" w:hAnsi="Times New Roman" w:cs="Times New Roman"/>
              <w:b/>
              <w:sz w:val="28"/>
              <w:szCs w:val="28"/>
            </w:rPr>
            <w:t>gaisa kvalitāti”</w:t>
          </w:r>
          <w:r w:rsidR="005879DF" w:rsidRPr="005879DF">
            <w:rPr>
              <w:rFonts w:ascii="Times New Roman" w:eastAsia="Calibri" w:hAnsi="Times New Roman" w:cs="Times New Roman"/>
              <w:b/>
              <w:sz w:val="28"/>
              <w:szCs w:val="28"/>
            </w:rPr>
            <w:t>”</w:t>
          </w:r>
        </w:sdtContent>
      </w:sdt>
      <w:bookmarkEnd w:id="2"/>
      <w:bookmarkEnd w:id="3"/>
      <w:r w:rsidR="00894C55" w:rsidRPr="005879D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projekta</w:t>
      </w:r>
      <w:r w:rsidR="00E67D6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894C55" w:rsidRPr="005879D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bookmarkEnd w:id="0"/>
    <w:bookmarkEnd w:id="1"/>
    <w:p w14:paraId="633AFB97" w14:textId="77777777" w:rsidR="00E5323B" w:rsidRPr="005879DF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5879DF" w14:paraId="771508B1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B921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5879DF" w14:paraId="0B47A4FB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B691B" w14:textId="77777777" w:rsidR="00E5323B" w:rsidRPr="005879DF" w:rsidRDefault="00E5323B" w:rsidP="005879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C25EC" w14:textId="77777777" w:rsidR="0046409C" w:rsidRPr="005879DF" w:rsidRDefault="008B4111" w:rsidP="009632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5690E748" w14:textId="77777777" w:rsidR="00E61044" w:rsidRPr="005879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79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5879DF" w14:paraId="412054B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948B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B42C92" w:rsidRPr="005879DF" w14:paraId="2565F228" w14:textId="77777777" w:rsidTr="00B42C9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FB200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6D96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4E730" w14:textId="6160F4C5" w:rsidR="00B42C92" w:rsidRPr="00BD444A" w:rsidRDefault="00E67D61" w:rsidP="00E67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noteikumu </w:t>
            </w:r>
            <w:r w:rsidRPr="00A52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"Grozījumi Ministru kabineta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52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2009. gada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52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 novembra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52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noteikumos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52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 1290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52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"Noteikumi par gaisa kvalitāti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””</w:t>
            </w:r>
            <w:r w:rsidRPr="00BD4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</w:t>
            </w:r>
            <w:r w:rsidR="00B42C92" w:rsidRPr="00BD4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B42C92" w:rsidRPr="00BD4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izstrādāts, lai precīzi pārņemtu </w:t>
            </w:r>
            <w:r w:rsidR="00BD444A" w:rsidRPr="00BD444A">
              <w:rPr>
                <w:rFonts w:ascii="Times New Roman" w:hAnsi="Times New Roman" w:cs="Times New Roman"/>
                <w:sz w:val="24"/>
                <w:szCs w:val="24"/>
              </w:rPr>
              <w:t xml:space="preserve">Eiropas Parlamenta un </w:t>
            </w:r>
            <w:r w:rsidR="00BD444A" w:rsidRPr="00BD444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Padomes 2008. gada 21. maija </w:t>
            </w:r>
            <w:r w:rsidR="008E49A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8E49A7" w:rsidRPr="00BD444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irektīva</w:t>
            </w:r>
            <w:r w:rsidR="008E49A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="008E49A7" w:rsidRPr="00BD444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D444A" w:rsidRPr="00BD444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2008/50/EK par gaisa kvalitāti un tīrāku gaisu Eiropai (turpmāk – Direktīva 2008/50/EK)</w:t>
            </w:r>
            <w:r w:rsidR="00BD444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prasības</w:t>
            </w:r>
            <w:r w:rsidR="00BD444A" w:rsidRPr="00BD4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B42C92" w:rsidRPr="005879DF" w14:paraId="65DD3E91" w14:textId="77777777" w:rsidTr="00B42C9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7BA94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D95A2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247D5" w14:textId="77777777" w:rsidR="0096329C" w:rsidRPr="00755F8C" w:rsidRDefault="008E49A7" w:rsidP="003D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 gada</w:t>
            </w:r>
            <w:r w:rsidR="0096329C" w:rsidRPr="00755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D01A9" w:rsidRPr="00755F8C">
              <w:rPr>
                <w:rFonts w:ascii="Times New Roman" w:hAnsi="Times New Roman" w:cs="Times New Roman"/>
                <w:sz w:val="24"/>
                <w:szCs w:val="24"/>
              </w:rPr>
              <w:t>14. maijā Latvija saņēma Eiropas Komisijas formālo paziņojumu pārkāpuma procedūras lietā Nr. 2020/2</w:t>
            </w:r>
            <w:r w:rsidR="002D01A9" w:rsidRPr="00755F8C"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  <w:r w:rsidR="002D01A9" w:rsidRPr="00755F8C">
              <w:rPr>
                <w:rFonts w:ascii="Times New Roman" w:hAnsi="Times New Roman" w:cs="Times New Roman"/>
                <w:sz w:val="24"/>
                <w:szCs w:val="24"/>
              </w:rPr>
              <w:t xml:space="preserve">, kurā norādīts, ka Latvijas Republika nav pareizi pārņēmusi </w:t>
            </w:r>
            <w:r w:rsidR="00755F8C" w:rsidRPr="00755F8C">
              <w:rPr>
                <w:rFonts w:ascii="Times New Roman" w:hAnsi="Times New Roman" w:cs="Times New Roman"/>
                <w:sz w:val="24"/>
                <w:szCs w:val="24"/>
              </w:rPr>
              <w:t xml:space="preserve">šādas </w:t>
            </w:r>
            <w:r w:rsidR="00755F8C" w:rsidRPr="00755F8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Direktīva 2008/50/EK</w:t>
            </w:r>
            <w:r w:rsidR="00755F8C" w:rsidRPr="0075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1A9" w:rsidRPr="00755F8C">
              <w:rPr>
                <w:rFonts w:ascii="Times New Roman" w:hAnsi="Times New Roman" w:cs="Times New Roman"/>
                <w:sz w:val="24"/>
                <w:szCs w:val="24"/>
              </w:rPr>
              <w:t>prasības</w:t>
            </w:r>
            <w:r w:rsidR="00755F8C" w:rsidRPr="00755F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01A9" w:rsidRPr="0075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7AAA5E" w14:textId="77777777" w:rsidR="009764A8" w:rsidRPr="00755F8C" w:rsidRDefault="009764A8" w:rsidP="003D7537">
            <w:pPr>
              <w:spacing w:after="0" w:line="240" w:lineRule="auto"/>
              <w:jc w:val="both"/>
              <w:outlineLvl w:val="3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5F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5F8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7. panta 3. punkta “a” apakšpunktā noteiktās prasības par paraugu ņemšanas vietām un nosacījumiem, kas jāievēro, ja plānots samazināt paraugu ņemšanas vietu skaitu;</w:t>
            </w:r>
          </w:p>
          <w:p w14:paraId="3AE6B8E2" w14:textId="77777777" w:rsidR="009764A8" w:rsidRPr="009764A8" w:rsidRDefault="009764A8" w:rsidP="003D7537">
            <w:pPr>
              <w:spacing w:after="0" w:line="240" w:lineRule="auto"/>
              <w:jc w:val="both"/>
              <w:outlineLvl w:val="3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5F8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- 15. panta 4. punkta prasības par to, ka daļiņu PM</w:t>
            </w:r>
            <w:r w:rsidRPr="00755F8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2,5</w:t>
            </w:r>
            <w:r w:rsidRPr="00755F8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paraugu ņemšanas vietu izvietojumam un skaitam pienācīgi </w:t>
            </w:r>
            <w:proofErr w:type="spellStart"/>
            <w:r w:rsidRPr="00755F8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jāaspoguļo</w:t>
            </w:r>
            <w:proofErr w:type="spellEnd"/>
            <w:r w:rsidRPr="00755F8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daļiņu vispārējo</w:t>
            </w:r>
            <w:r w:rsidRPr="009764A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iedarbību uz iedzīvotājiem;</w:t>
            </w:r>
          </w:p>
          <w:p w14:paraId="404F7CAF" w14:textId="77777777" w:rsidR="009764A8" w:rsidRPr="009764A8" w:rsidRDefault="009764A8" w:rsidP="003D7537">
            <w:pPr>
              <w:spacing w:after="0" w:line="240" w:lineRule="auto"/>
              <w:jc w:val="both"/>
              <w:outlineLvl w:val="3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4A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- 25. panta 5. punktu, kas attiecas uz sadarbības nodrošināšanu ar </w:t>
            </w:r>
            <w:proofErr w:type="spellStart"/>
            <w:r w:rsidRPr="009764A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trešām</w:t>
            </w:r>
            <w:proofErr w:type="spellEnd"/>
            <w:r w:rsidRPr="009764A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valstīm un Eiropas Savienības kandidātvalstīm;</w:t>
            </w:r>
          </w:p>
          <w:p w14:paraId="446F2376" w14:textId="77777777" w:rsidR="009764A8" w:rsidRPr="009764A8" w:rsidRDefault="009764A8" w:rsidP="003D7537">
            <w:pPr>
              <w:spacing w:after="0" w:line="240" w:lineRule="auto"/>
              <w:jc w:val="both"/>
              <w:outlineLvl w:val="3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4A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- 26. panta 1. punktu par pienācīgu un savlaicīgu sabiedrības informēšanu</w:t>
            </w:r>
            <w:r w:rsidR="003D753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attiecībā uz pašvaldību izstrādātajiem gaisa kvalitātes plāniem</w:t>
            </w:r>
            <w:r w:rsidRPr="009764A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76B03031" w14:textId="77777777" w:rsidR="009764A8" w:rsidRDefault="009764A8" w:rsidP="003D7537">
            <w:pPr>
              <w:spacing w:after="0" w:line="240" w:lineRule="auto"/>
              <w:jc w:val="both"/>
              <w:outlineLvl w:val="3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4A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- X pielikuma B un C iedaļu par ozona prekursoru mērījumiem.</w:t>
            </w:r>
          </w:p>
          <w:p w14:paraId="6035CF32" w14:textId="77777777" w:rsidR="003D7537" w:rsidRPr="009764A8" w:rsidRDefault="003D7537" w:rsidP="003D753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A93B3" w14:textId="5F9B24AC" w:rsidR="0096329C" w:rsidRPr="009764A8" w:rsidRDefault="008E49A7" w:rsidP="00B42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2020. gada </w:t>
            </w:r>
            <w:r w:rsidR="009764A8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9764A8">
              <w:rPr>
                <w:rFonts w:ascii="Times New Roman" w:hAnsi="Times New Roman"/>
                <w:sz w:val="24"/>
                <w:szCs w:val="24"/>
              </w:rPr>
              <w:t xml:space="preserve">augustā Ministru kabinets apstiprināja </w:t>
            </w:r>
            <w:r w:rsidR="009764A8" w:rsidRPr="009764A8">
              <w:rPr>
                <w:rFonts w:ascii="Times New Roman" w:hAnsi="Times New Roman"/>
                <w:sz w:val="24"/>
                <w:szCs w:val="24"/>
              </w:rPr>
              <w:t>Latvijas Republikas nostājas projekt</w:t>
            </w:r>
            <w:r w:rsidR="009764A8">
              <w:rPr>
                <w:rFonts w:ascii="Times New Roman" w:hAnsi="Times New Roman"/>
                <w:sz w:val="24"/>
                <w:szCs w:val="24"/>
              </w:rPr>
              <w:t>u</w:t>
            </w:r>
            <w:r w:rsidR="009764A8" w:rsidRPr="009764A8">
              <w:rPr>
                <w:rFonts w:ascii="Times New Roman" w:hAnsi="Times New Roman"/>
                <w:sz w:val="24"/>
                <w:szCs w:val="24"/>
              </w:rPr>
              <w:t xml:space="preserve"> par Eiropas Komisijas formālo paziņojumu pārkāpuma procedūras lietā Nr.</w:t>
            </w:r>
            <w:r w:rsidR="00E67D61">
              <w:rPr>
                <w:rFonts w:ascii="Times New Roman" w:hAnsi="Times New Roman"/>
                <w:sz w:val="24"/>
                <w:szCs w:val="24"/>
              </w:rPr>
              <w:t> </w:t>
            </w:r>
            <w:r w:rsidR="009764A8" w:rsidRPr="009764A8">
              <w:rPr>
                <w:rFonts w:ascii="Times New Roman" w:hAnsi="Times New Roman"/>
                <w:sz w:val="24"/>
                <w:szCs w:val="24"/>
              </w:rPr>
              <w:t xml:space="preserve">2020/2208, kurā Vides aizsardzības un reģionālās attīstības ministrijai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(turpmāk – VARAM) </w:t>
            </w:r>
            <w:r w:rsidR="009764A8" w:rsidRPr="009764A8">
              <w:rPr>
                <w:rFonts w:ascii="Times New Roman" w:hAnsi="Times New Roman"/>
                <w:sz w:val="24"/>
                <w:szCs w:val="24"/>
              </w:rPr>
              <w:t xml:space="preserve">tika uzdots </w:t>
            </w:r>
            <w:r w:rsidR="009764A8" w:rsidRPr="009764A8">
              <w:rPr>
                <w:rFonts w:ascii="Times New Roman" w:eastAsia="Times New Roman" w:hAnsi="Times New Roman"/>
                <w:sz w:val="24"/>
                <w:szCs w:val="24"/>
              </w:rPr>
              <w:t>līdz 2021.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764A8" w:rsidRPr="009764A8">
              <w:rPr>
                <w:rFonts w:ascii="Times New Roman" w:eastAsia="Times New Roman" w:hAnsi="Times New Roman"/>
                <w:sz w:val="24"/>
                <w:szCs w:val="24"/>
              </w:rPr>
              <w:t>gada 23.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764A8" w:rsidRPr="009764A8">
              <w:rPr>
                <w:rFonts w:ascii="Times New Roman" w:eastAsia="Times New Roman" w:hAnsi="Times New Roman"/>
                <w:sz w:val="24"/>
                <w:szCs w:val="24"/>
              </w:rPr>
              <w:t>martam iesniegt izskatīšanai Ministru kabinetā noteikumu projektu "Grozījumi Ministru kabineta 2009.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764A8" w:rsidRPr="009764A8">
              <w:rPr>
                <w:rFonts w:ascii="Times New Roman" w:eastAsia="Times New Roman" w:hAnsi="Times New Roman"/>
                <w:sz w:val="24"/>
                <w:szCs w:val="24"/>
              </w:rPr>
              <w:t>gada 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novembra noteikumos Nr. </w:t>
            </w:r>
            <w:r w:rsidR="009764A8" w:rsidRPr="009764A8">
              <w:rPr>
                <w:rFonts w:ascii="Times New Roman" w:eastAsia="Times New Roman" w:hAnsi="Times New Roman"/>
                <w:sz w:val="24"/>
                <w:szCs w:val="24"/>
              </w:rPr>
              <w:t>1290 "Noteikumi par gaisa kvalitāti"".</w:t>
            </w:r>
          </w:p>
          <w:p w14:paraId="4B3268FA" w14:textId="21465B8E" w:rsidR="009764A8" w:rsidRPr="00BD444A" w:rsidRDefault="009764A8" w:rsidP="00976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Vienlaikus </w:t>
            </w:r>
            <w:r w:rsidR="00CA1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</w:t>
            </w:r>
            <w:r w:rsidRPr="00976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CA1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gada</w:t>
            </w:r>
            <w:r w:rsidRPr="00976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23.</w:t>
            </w:r>
            <w:r w:rsidR="008E4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976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jūnijā ministrija saņēma papildus vēstuli no </w:t>
            </w:r>
            <w:r w:rsidRPr="00BD44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Komisijas, kurā tikai izteiktas bažas par šādu </w:t>
            </w:r>
            <w:r w:rsidR="00BD444A" w:rsidRPr="00BD444A">
              <w:rPr>
                <w:rFonts w:ascii="Times New Roman" w:hAnsi="Times New Roman" w:cs="Times New Roman"/>
                <w:sz w:val="24"/>
                <w:szCs w:val="24"/>
              </w:rPr>
              <w:t>Komisijas 2015. gada 28.</w:t>
            </w:r>
            <w:r w:rsidR="00CA1A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444A" w:rsidRPr="00BD444A">
              <w:rPr>
                <w:rFonts w:ascii="Times New Roman" w:hAnsi="Times New Roman" w:cs="Times New Roman"/>
                <w:sz w:val="24"/>
                <w:szCs w:val="24"/>
              </w:rPr>
              <w:t>augusta direktīva</w:t>
            </w:r>
            <w:r w:rsidR="00CA1A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444A" w:rsidRPr="00BD444A">
              <w:rPr>
                <w:rFonts w:ascii="Times New Roman" w:hAnsi="Times New Roman" w:cs="Times New Roman"/>
                <w:sz w:val="24"/>
                <w:szCs w:val="24"/>
              </w:rPr>
              <w:t xml:space="preserve"> (ES) 2015/1480, ar kuru groza dažus pielikumus Eiropas Parlamenta un Padomes Direktīvās 2004/107/EK un 2008/50/EK, ar ko paredz noteikumus attiecībā uz standartmetodēm, datu validēšanu un paraugu ņemšanas vietu izvietojumu gaisa kvalitātes novērtēšanai (turpmāk – Direktīva (ES) 2015/1480) </w:t>
            </w:r>
            <w:r w:rsidRPr="00BD444A">
              <w:rPr>
                <w:rFonts w:ascii="Times New Roman" w:hAnsi="Times New Roman" w:cs="Times New Roman"/>
                <w:sz w:val="24"/>
                <w:szCs w:val="24"/>
              </w:rPr>
              <w:t>normu pārņemšanu un īstenošanu:</w:t>
            </w:r>
          </w:p>
          <w:p w14:paraId="67F21223" w14:textId="76DC9DC3" w:rsidR="00860D17" w:rsidRPr="008C1876" w:rsidRDefault="008C1876" w:rsidP="008C187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4A8" w:rsidRPr="00976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49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64A8" w:rsidRPr="009764A8">
              <w:rPr>
                <w:rFonts w:ascii="Times New Roman" w:hAnsi="Times New Roman" w:cs="Times New Roman"/>
                <w:sz w:val="24"/>
                <w:szCs w:val="24"/>
              </w:rPr>
              <w:t xml:space="preserve">pants, kas </w:t>
            </w:r>
            <w:r w:rsidR="008E49A7">
              <w:rPr>
                <w:rFonts w:ascii="Times New Roman" w:hAnsi="Times New Roman" w:cs="Times New Roman"/>
                <w:sz w:val="24"/>
                <w:szCs w:val="24"/>
              </w:rPr>
              <w:t>noteic</w:t>
            </w:r>
            <w:r w:rsidR="00755F8C"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 w:rsidR="00A52C05" w:rsidRPr="00BD444A">
              <w:rPr>
                <w:rFonts w:ascii="Times New Roman" w:hAnsi="Times New Roman" w:cs="Times New Roman"/>
                <w:sz w:val="24"/>
                <w:szCs w:val="24"/>
              </w:rPr>
              <w:t>Direktīv</w:t>
            </w:r>
            <w:r w:rsidR="00A52C05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A52C05" w:rsidRPr="00BD444A">
              <w:rPr>
                <w:rFonts w:ascii="Times New Roman" w:hAnsi="Times New Roman" w:cs="Times New Roman"/>
                <w:sz w:val="24"/>
                <w:szCs w:val="24"/>
              </w:rPr>
              <w:t xml:space="preserve"> (ES) 2015/1480</w:t>
            </w:r>
            <w:r w:rsidR="00A5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F8C">
              <w:rPr>
                <w:rFonts w:ascii="Times New Roman" w:hAnsi="Times New Roman" w:cs="Times New Roman"/>
                <w:sz w:val="24"/>
                <w:szCs w:val="24"/>
              </w:rPr>
              <w:t>noteiktās prasī</w:t>
            </w:r>
            <w:r w:rsidR="009764A8" w:rsidRPr="009764A8">
              <w:rPr>
                <w:rFonts w:ascii="Times New Roman" w:hAnsi="Times New Roman" w:cs="Times New Roman"/>
                <w:sz w:val="24"/>
                <w:szCs w:val="24"/>
              </w:rPr>
              <w:t xml:space="preserve">bas jāīsteno līdz </w:t>
            </w:r>
            <w:r w:rsidR="00AF03BC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 w:rsidR="008E49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03BC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8E49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03BC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</w:rPr>
              <w:t>embrim.</w:t>
            </w:r>
            <w:r w:rsidR="005C0F67" w:rsidRPr="005C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5C0F67" w:rsidRPr="005C0F67">
              <w:rPr>
                <w:rFonts w:ascii="Times New Roman" w:hAnsi="Times New Roman" w:cs="Times New Roman"/>
                <w:sz w:val="24"/>
                <w:szCs w:val="24"/>
              </w:rPr>
              <w:t>ēkā esošo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A7" w:rsidRPr="009764A8">
              <w:rPr>
                <w:rFonts w:ascii="Times New Roman" w:eastAsia="Times New Roman" w:hAnsi="Times New Roman"/>
                <w:sz w:val="24"/>
                <w:szCs w:val="24"/>
              </w:rPr>
              <w:t>Ministru kabineta 2009.</w:t>
            </w:r>
            <w:r w:rsidR="008E49A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8E49A7" w:rsidRPr="009764A8">
              <w:rPr>
                <w:rFonts w:ascii="Times New Roman" w:eastAsia="Times New Roman" w:hAnsi="Times New Roman"/>
                <w:sz w:val="24"/>
                <w:szCs w:val="24"/>
              </w:rPr>
              <w:t>gada 3.</w:t>
            </w:r>
            <w:r w:rsidR="008E49A7">
              <w:rPr>
                <w:rFonts w:ascii="Times New Roman" w:eastAsia="Times New Roman" w:hAnsi="Times New Roman"/>
                <w:sz w:val="24"/>
                <w:szCs w:val="24"/>
              </w:rPr>
              <w:t> novembra noteikumu Nr. </w:t>
            </w:r>
            <w:r w:rsidR="008E49A7" w:rsidRPr="009764A8">
              <w:rPr>
                <w:rFonts w:ascii="Times New Roman" w:eastAsia="Times New Roman" w:hAnsi="Times New Roman"/>
                <w:sz w:val="24"/>
                <w:szCs w:val="24"/>
              </w:rPr>
              <w:t>1290 "</w:t>
            </w:r>
            <w:r w:rsidR="008E49A7">
              <w:rPr>
                <w:rFonts w:ascii="Times New Roman" w:eastAsia="Times New Roman" w:hAnsi="Times New Roman"/>
                <w:sz w:val="24"/>
                <w:szCs w:val="24"/>
              </w:rPr>
              <w:t>Noteikumi par gaisa kvalitāti"</w:t>
            </w:r>
            <w:r w:rsidR="008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</w:rPr>
              <w:t>, 8.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</w:rPr>
              <w:t xml:space="preserve"> un 14.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E49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="009764A8" w:rsidRPr="005C0F67">
              <w:rPr>
                <w:rFonts w:ascii="Times New Roman" w:hAnsi="Times New Roman" w:cs="Times New Roman"/>
                <w:sz w:val="24"/>
                <w:szCs w:val="24"/>
              </w:rPr>
              <w:t>punktā noteikti citi īstenošanas termiņi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jo </w:t>
            </w:r>
            <w:r w:rsidRPr="00354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sarunas par nepieciešamo finansējumu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noteikto prasību īstenošanai ievilkās un</w:t>
            </w:r>
            <w:r w:rsidRPr="00354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nebija iespējams noteikt, ka minētās prasības būtu jāievieš jau 2016.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54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gada beigās, kā to paredzēja Direktīva</w:t>
            </w:r>
            <w:r w:rsidR="00CA1A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354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D44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(ES) </w:t>
            </w:r>
            <w:r w:rsidRPr="00354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2015/1480</w:t>
            </w:r>
            <w:r w:rsidR="004A2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 pants</w:t>
            </w:r>
            <w:r w:rsidRPr="00354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Sarežģītā budžeta plānošanas procesa dēļ</w:t>
            </w:r>
            <w:r w:rsidRPr="00354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finansējumu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minētajā </w:t>
            </w:r>
            <w:r w:rsidRPr="00354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direktīvā noteikto prasību īstenošanai bija iespējams saņemt tikai 2018.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54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gadā</w:t>
            </w:r>
            <w:r w:rsidR="00755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tādēļ spēkā esošajos noteikumos noteikti citi direktīvas prasību īstenošanas termiņi</w:t>
            </w:r>
            <w:r w:rsidR="00860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CAEC851" w14:textId="2CBF60D0" w:rsidR="005C0F67" w:rsidRPr="005C0F67" w:rsidRDefault="005C0F67" w:rsidP="005C0F67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- </w:t>
            </w:r>
            <w:r>
              <w:rPr>
                <w:sz w:val="23"/>
                <w:szCs w:val="23"/>
              </w:rPr>
              <w:t xml:space="preserve">ar Direktīvu </w:t>
            </w:r>
            <w:r w:rsidR="006D48A8">
              <w:rPr>
                <w:sz w:val="23"/>
                <w:szCs w:val="23"/>
              </w:rPr>
              <w:t xml:space="preserve">(ES) </w:t>
            </w:r>
            <w:r>
              <w:rPr>
                <w:sz w:val="23"/>
                <w:szCs w:val="23"/>
              </w:rPr>
              <w:t xml:space="preserve">2015/1480 grozītās </w:t>
            </w:r>
            <w:r w:rsidR="004A2A00" w:rsidRPr="00A52C05">
              <w:rPr>
                <w:sz w:val="23"/>
                <w:szCs w:val="23"/>
              </w:rPr>
              <w:t>Direktīva</w:t>
            </w:r>
            <w:r w:rsidR="00EC44E8" w:rsidRPr="00A52C05">
              <w:rPr>
                <w:sz w:val="23"/>
                <w:szCs w:val="23"/>
              </w:rPr>
              <w:t>s</w:t>
            </w:r>
            <w:r w:rsidR="004A2A00" w:rsidRPr="00A52C05">
              <w:rPr>
                <w:sz w:val="23"/>
                <w:szCs w:val="23"/>
              </w:rPr>
              <w:t xml:space="preserve"> 2008/50/EK</w:t>
            </w:r>
            <w:r>
              <w:rPr>
                <w:sz w:val="23"/>
                <w:szCs w:val="23"/>
              </w:rPr>
              <w:t xml:space="preserve"> III pielikuma C iedaļ</w:t>
            </w:r>
            <w:r w:rsidR="003D7537">
              <w:rPr>
                <w:sz w:val="23"/>
                <w:szCs w:val="23"/>
              </w:rPr>
              <w:t>a.</w:t>
            </w:r>
            <w:r>
              <w:rPr>
                <w:sz w:val="23"/>
                <w:szCs w:val="23"/>
              </w:rPr>
              <w:t xml:space="preserve"> Saskaņā ar </w:t>
            </w:r>
            <w:r w:rsidR="00402C8C" w:rsidRPr="009764A8">
              <w:rPr>
                <w:rFonts w:eastAsia="Times New Roman"/>
              </w:rPr>
              <w:t>Ministru kabineta 2009.</w:t>
            </w:r>
            <w:r w:rsidR="00402C8C">
              <w:rPr>
                <w:rFonts w:eastAsia="Times New Roman"/>
              </w:rPr>
              <w:t> </w:t>
            </w:r>
            <w:r w:rsidR="00402C8C" w:rsidRPr="009764A8">
              <w:rPr>
                <w:rFonts w:eastAsia="Times New Roman"/>
              </w:rPr>
              <w:t>gada 3.</w:t>
            </w:r>
            <w:r w:rsidR="00402C8C">
              <w:rPr>
                <w:rFonts w:eastAsia="Times New Roman"/>
              </w:rPr>
              <w:t> novembra noteikumu Nr. </w:t>
            </w:r>
            <w:r w:rsidR="00402C8C" w:rsidRPr="009764A8">
              <w:rPr>
                <w:rFonts w:eastAsia="Times New Roman"/>
              </w:rPr>
              <w:t>1290 "Noteikumi par gaisa kvalitāti"</w:t>
            </w:r>
            <w:r w:rsidR="00402C8C">
              <w:rPr>
                <w:rFonts w:eastAsia="Times New Roman"/>
              </w:rPr>
              <w:t xml:space="preserve"> </w:t>
            </w:r>
            <w:r w:rsidR="00402C8C">
              <w:rPr>
                <w:sz w:val="23"/>
                <w:szCs w:val="23"/>
              </w:rPr>
              <w:t>11. pielikuma 3.2. apakš</w:t>
            </w:r>
            <w:r>
              <w:rPr>
                <w:sz w:val="23"/>
                <w:szCs w:val="23"/>
              </w:rPr>
              <w:t xml:space="preserve">punktā paredzētajiem valsts pasākumiem dokumentēšana ir vajadzīga tikai situācijā, kur paraugu ņemšanas ierīce ir novietota augstāk par </w:t>
            </w:r>
            <w:r w:rsidR="00402C8C">
              <w:rPr>
                <w:sz w:val="23"/>
                <w:szCs w:val="23"/>
              </w:rPr>
              <w:t>četriem</w:t>
            </w:r>
            <w:r>
              <w:rPr>
                <w:sz w:val="23"/>
                <w:szCs w:val="23"/>
              </w:rPr>
              <w:t xml:space="preserve"> metriem virs zemes. Tas ir šaurāk par kritērijiem, kas norādīti ar Direktīvu </w:t>
            </w:r>
            <w:r w:rsidR="00BD444A">
              <w:rPr>
                <w:sz w:val="23"/>
                <w:szCs w:val="23"/>
              </w:rPr>
              <w:t xml:space="preserve">(ES) </w:t>
            </w:r>
            <w:r>
              <w:rPr>
                <w:sz w:val="23"/>
                <w:szCs w:val="23"/>
              </w:rPr>
              <w:t xml:space="preserve">2015/1480 grozītās </w:t>
            </w:r>
            <w:r w:rsidR="004A2A00" w:rsidRPr="00BD444A">
              <w:rPr>
                <w:rStyle w:val="Strong"/>
                <w:b w:val="0"/>
              </w:rPr>
              <w:t>Direktīva 2008/50/EK</w:t>
            </w:r>
            <w:r w:rsidR="004A2A0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III pielikuma C iedaļā. </w:t>
            </w:r>
          </w:p>
          <w:p w14:paraId="079B9BAD" w14:textId="7C8D0571" w:rsidR="00661C23" w:rsidRDefault="00661C23" w:rsidP="00976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77D43" w14:textId="5180CE78" w:rsidR="003D7537" w:rsidRPr="0096329C" w:rsidRDefault="00755F8C" w:rsidP="0040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projekts paredz precī</w:t>
            </w:r>
            <w:r w:rsidR="003D753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>āk pārņemt</w:t>
            </w:r>
            <w:r w:rsidR="003D7537">
              <w:rPr>
                <w:rFonts w:ascii="Times New Roman" w:hAnsi="Times New Roman" w:cs="Times New Roman"/>
                <w:sz w:val="24"/>
                <w:szCs w:val="24"/>
              </w:rPr>
              <w:t xml:space="preserve"> iepriekš </w:t>
            </w:r>
            <w:r w:rsidR="0009354F">
              <w:rPr>
                <w:rFonts w:ascii="Times New Roman" w:hAnsi="Times New Roman" w:cs="Times New Roman"/>
                <w:sz w:val="24"/>
                <w:szCs w:val="24"/>
              </w:rPr>
              <w:t xml:space="preserve">minēto 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 xml:space="preserve">direktīvu </w:t>
            </w:r>
            <w:r w:rsidR="00860D17">
              <w:rPr>
                <w:rFonts w:ascii="Times New Roman" w:hAnsi="Times New Roman" w:cs="Times New Roman"/>
                <w:sz w:val="24"/>
                <w:szCs w:val="24"/>
              </w:rPr>
              <w:t xml:space="preserve">normas un novērst Eiropas Komisijas formālajā paziņojumā un </w:t>
            </w:r>
            <w:r w:rsidR="00402C8C">
              <w:rPr>
                <w:rFonts w:ascii="Times New Roman" w:hAnsi="Times New Roman" w:cs="Times New Roman"/>
                <w:sz w:val="24"/>
                <w:szCs w:val="24"/>
              </w:rPr>
              <w:t>2020. gada 23. </w:t>
            </w:r>
            <w:r w:rsidR="00860D17">
              <w:rPr>
                <w:rFonts w:ascii="Times New Roman" w:hAnsi="Times New Roman" w:cs="Times New Roman"/>
                <w:sz w:val="24"/>
                <w:szCs w:val="24"/>
              </w:rPr>
              <w:t>jūnija vēstulē norādītos pār</w:t>
            </w:r>
            <w:r w:rsidR="0009354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60D17">
              <w:rPr>
                <w:rFonts w:ascii="Times New Roman" w:hAnsi="Times New Roman" w:cs="Times New Roman"/>
                <w:sz w:val="24"/>
                <w:szCs w:val="24"/>
              </w:rPr>
              <w:t>āpumus</w:t>
            </w:r>
            <w:r w:rsidR="00661C23">
              <w:rPr>
                <w:rFonts w:ascii="Times New Roman" w:hAnsi="Times New Roman" w:cs="Times New Roman"/>
                <w:sz w:val="24"/>
                <w:szCs w:val="24"/>
              </w:rPr>
              <w:t>, lai izvairītos no jaunas pārkāpuma procedūras ierosināšanas par direktīvas prasību neprecīzu pārņemšanu</w:t>
            </w:r>
            <w:r w:rsidR="00860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C92" w:rsidRPr="005879DF" w14:paraId="544F860A" w14:textId="77777777" w:rsidTr="00B42C9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62899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07350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4961B" w14:textId="77777777" w:rsidR="00B42C92" w:rsidRPr="0096329C" w:rsidRDefault="008E49A7" w:rsidP="00DA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</w:t>
            </w:r>
            <w:r w:rsidR="009632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42C92" w:rsidRPr="009632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="009632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sabiedrība ar ierobežotu atbildību “Latvijas </w:t>
            </w:r>
            <w:r w:rsidR="00DA42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Vides</w:t>
            </w:r>
            <w:r w:rsidR="009632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ģeoloģijas un meteor</w:t>
            </w:r>
            <w:r w:rsidR="000935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="009632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loģijas centrs”</w:t>
            </w:r>
            <w:r w:rsidR="00A24A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LVĢMC)</w:t>
            </w:r>
            <w:r w:rsidR="00B42C92" w:rsidRPr="009632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B42C92" w:rsidRPr="005879DF" w14:paraId="26F73A13" w14:textId="77777777" w:rsidTr="00B42C9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60DC5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AF3C3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67EB2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57BA259" w14:textId="77777777" w:rsidR="00E5323B" w:rsidRPr="005879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79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5879DF" w14:paraId="3BC4705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1A0F" w14:textId="77777777" w:rsidR="00655F2C" w:rsidRPr="005879DF" w:rsidRDefault="00E5323B" w:rsidP="00A5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42C92" w:rsidRPr="005879DF" w14:paraId="2BE8CF25" w14:textId="77777777" w:rsidTr="00B42C9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5961C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CA357" w14:textId="77777777" w:rsidR="00B42C92" w:rsidRPr="005879DF" w:rsidRDefault="00B42C92" w:rsidP="00B42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2FB20" w14:textId="77777777" w:rsidR="00B42C92" w:rsidRPr="00027E78" w:rsidRDefault="00B42C92" w:rsidP="00B42C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2C05">
              <w:rPr>
                <w:rFonts w:ascii="Times New Roman" w:hAnsi="Times New Roman"/>
                <w:sz w:val="24"/>
                <w:szCs w:val="24"/>
              </w:rPr>
              <w:t>LVĢMC, kas veic mērījumus, pašvaldības un sabiedrība.</w:t>
            </w:r>
          </w:p>
        </w:tc>
      </w:tr>
      <w:tr w:rsidR="00E5323B" w:rsidRPr="005879DF" w14:paraId="4A0DAED4" w14:textId="77777777" w:rsidTr="00B42C9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F9416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0DB11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11B87" w14:textId="77777777" w:rsidR="003D7537" w:rsidRDefault="003D7537" w:rsidP="006871A3">
            <w:pPr>
              <w:pStyle w:val="tv213"/>
              <w:spacing w:before="0" w:beforeAutospacing="0" w:after="0" w:afterAutospacing="0"/>
              <w:jc w:val="both"/>
            </w:pPr>
            <w:r>
              <w:rPr>
                <w:iCs/>
              </w:rPr>
              <w:t>Noteikumu projekts nerada ietekmi</w:t>
            </w:r>
            <w:r w:rsidRPr="005879DF">
              <w:rPr>
                <w:iCs/>
              </w:rPr>
              <w:t xml:space="preserve"> uz tautsaimniecību un administratīvo slogu</w:t>
            </w:r>
            <w:r>
              <w:rPr>
                <w:iCs/>
              </w:rPr>
              <w:t>.</w:t>
            </w:r>
          </w:p>
          <w:p w14:paraId="42A9E9BA" w14:textId="77777777" w:rsidR="006871A3" w:rsidRPr="00620D2A" w:rsidRDefault="006871A3" w:rsidP="006871A3">
            <w:pPr>
              <w:pStyle w:val="tv213"/>
              <w:spacing w:before="0" w:beforeAutospacing="0" w:after="0" w:afterAutospacing="0"/>
              <w:jc w:val="both"/>
            </w:pPr>
            <w:r w:rsidRPr="00620D2A">
              <w:t xml:space="preserve">Noteikumu projekta prasības </w:t>
            </w:r>
            <w:r w:rsidR="00620D2A" w:rsidRPr="00620D2A">
              <w:t>neskar</w:t>
            </w:r>
            <w:r w:rsidRPr="00620D2A">
              <w:t xml:space="preserve"> </w:t>
            </w:r>
            <w:r w:rsidR="00620D2A" w:rsidRPr="00620D2A">
              <w:rPr>
                <w:shd w:val="clear" w:color="auto" w:fill="FFFFFF"/>
              </w:rPr>
              <w:t> Nacionālā attīstības plāna rādītājus, </w:t>
            </w:r>
            <w:r w:rsidRPr="00620D2A">
              <w:t>konkurenci</w:t>
            </w:r>
            <w:r w:rsidR="00620D2A" w:rsidRPr="00620D2A">
              <w:t xml:space="preserve"> un nevalstiskās organizācijas.</w:t>
            </w:r>
          </w:p>
          <w:p w14:paraId="0B785CB1" w14:textId="77777777" w:rsidR="006871A3" w:rsidRPr="00620D2A" w:rsidRDefault="006871A3" w:rsidP="006871A3">
            <w:pPr>
              <w:pStyle w:val="tv213"/>
              <w:spacing w:before="0" w:beforeAutospacing="0" w:after="0" w:afterAutospacing="0"/>
              <w:jc w:val="both"/>
            </w:pPr>
            <w:r w:rsidRPr="00620D2A">
              <w:t xml:space="preserve">Noteikumu projekta ietekme uz vidi </w:t>
            </w:r>
            <w:r w:rsidR="00B13BB7" w:rsidRPr="00620D2A">
              <w:t xml:space="preserve">un cilvēku veselību </w:t>
            </w:r>
            <w:r w:rsidRPr="00620D2A">
              <w:t>ir vērtējama pozitīvi.</w:t>
            </w:r>
          </w:p>
          <w:p w14:paraId="238896CB" w14:textId="77777777" w:rsidR="006871A3" w:rsidRPr="005879DF" w:rsidRDefault="006871A3" w:rsidP="00B13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0D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grupām un institūcijām projekta tiesiskais regulējums nemaina tiesības un pienākumus, kā arī veicamās darbības.</w:t>
            </w:r>
          </w:p>
        </w:tc>
      </w:tr>
      <w:tr w:rsidR="00E5323B" w:rsidRPr="005879DF" w14:paraId="40F94CF2" w14:textId="77777777" w:rsidTr="00B42C9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8E6FE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247EF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E755D" w14:textId="77777777" w:rsidR="00E5323B" w:rsidRPr="005879DF" w:rsidRDefault="006871A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5323B" w:rsidRPr="005879DF" w14:paraId="6A5AAFC2" w14:textId="77777777" w:rsidTr="00B42C9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9C9CA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F171D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66703" w14:textId="77777777" w:rsidR="00E5323B" w:rsidRPr="005879DF" w:rsidRDefault="006871A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5323B" w:rsidRPr="005879DF" w14:paraId="66A986C8" w14:textId="77777777" w:rsidTr="00B42C9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5A53B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096A9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09D26" w14:textId="77777777" w:rsidR="00E5323B" w:rsidRPr="005879DF" w:rsidRDefault="006871A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0A4878B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79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22615" w:rsidRPr="005879DF" w14:paraId="31771550" w14:textId="77777777" w:rsidTr="00BE1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08DA8" w14:textId="77777777" w:rsidR="00022615" w:rsidRPr="005879DF" w:rsidRDefault="00022615" w:rsidP="000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D2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022615" w:rsidRPr="005879DF" w14:paraId="0CC36412" w14:textId="77777777" w:rsidTr="00BE1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96924" w14:textId="77777777" w:rsidR="00022615" w:rsidRPr="005879DF" w:rsidRDefault="00022615" w:rsidP="00B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C75E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EE2BFC9" w14:textId="77777777" w:rsidR="00022615" w:rsidRPr="005879DF" w:rsidRDefault="00022615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5879DF" w14:paraId="2157679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4532B" w14:textId="77777777" w:rsidR="00655F2C" w:rsidRPr="005879DF" w:rsidRDefault="00E5323B" w:rsidP="00E9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B42C92" w:rsidRPr="005879DF" w14:paraId="51268F6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E1D4B" w14:textId="77777777" w:rsidR="00B42C92" w:rsidRPr="005879DF" w:rsidRDefault="00B42C92" w:rsidP="00E9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C75E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F573A81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79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Style w:val="TableGrid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6"/>
        <w:gridCol w:w="3220"/>
        <w:gridCol w:w="5349"/>
      </w:tblGrid>
      <w:tr w:rsidR="002F4FF5" w:rsidRPr="006F2273" w14:paraId="33A7AED0" w14:textId="77777777" w:rsidTr="00865EB0">
        <w:trPr>
          <w:trHeight w:val="350"/>
          <w:tblCellSpacing w:w="20" w:type="dxa"/>
        </w:trPr>
        <w:tc>
          <w:tcPr>
            <w:tcW w:w="4957" w:type="pct"/>
            <w:gridSpan w:val="3"/>
          </w:tcPr>
          <w:p w14:paraId="606C3E87" w14:textId="77777777" w:rsidR="002F4FF5" w:rsidRPr="006F2273" w:rsidRDefault="002F4FF5" w:rsidP="00865E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F2273">
              <w:rPr>
                <w:b/>
                <w:sz w:val="24"/>
                <w:szCs w:val="24"/>
              </w:rPr>
              <w:t>V. Tiesību akta projekta atbilstība Latvijas Republikas starptautiskajām saistībām</w:t>
            </w:r>
          </w:p>
        </w:tc>
      </w:tr>
      <w:tr w:rsidR="002F4FF5" w:rsidRPr="006F2273" w14:paraId="2721D56C" w14:textId="77777777" w:rsidTr="00865EB0">
        <w:trPr>
          <w:tblCellSpacing w:w="20" w:type="dxa"/>
        </w:trPr>
        <w:tc>
          <w:tcPr>
            <w:tcW w:w="227" w:type="pct"/>
          </w:tcPr>
          <w:p w14:paraId="42EA3F5F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1.</w:t>
            </w:r>
          </w:p>
        </w:tc>
        <w:tc>
          <w:tcPr>
            <w:tcW w:w="1778" w:type="pct"/>
          </w:tcPr>
          <w:p w14:paraId="2F8E093D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Saistības pret Eiropas Savienību</w:t>
            </w:r>
          </w:p>
        </w:tc>
        <w:tc>
          <w:tcPr>
            <w:tcW w:w="2910" w:type="pct"/>
          </w:tcPr>
          <w:p w14:paraId="770527F2" w14:textId="77777777" w:rsidR="002F4FF5" w:rsidRPr="002F4FF5" w:rsidRDefault="002F4FF5" w:rsidP="00865EB0">
            <w:pPr>
              <w:jc w:val="both"/>
              <w:rPr>
                <w:sz w:val="24"/>
                <w:szCs w:val="24"/>
              </w:rPr>
            </w:pPr>
            <w:r w:rsidRPr="002F4FF5">
              <w:rPr>
                <w:sz w:val="24"/>
                <w:szCs w:val="24"/>
              </w:rPr>
              <w:t>1. </w:t>
            </w:r>
            <w:r>
              <w:rPr>
                <w:rStyle w:val="Strong"/>
                <w:b w:val="0"/>
                <w:sz w:val="24"/>
                <w:szCs w:val="24"/>
              </w:rPr>
              <w:t>Direktīva 2008/50/EK</w:t>
            </w:r>
            <w:r w:rsidRPr="002F4FF5">
              <w:rPr>
                <w:rStyle w:val="Strong"/>
                <w:b w:val="0"/>
                <w:sz w:val="24"/>
                <w:szCs w:val="24"/>
              </w:rPr>
              <w:t>;</w:t>
            </w:r>
          </w:p>
          <w:p w14:paraId="1BDA775C" w14:textId="77777777" w:rsidR="002F4FF5" w:rsidRPr="002F4FF5" w:rsidRDefault="002F4FF5" w:rsidP="00BD444A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2F4FF5">
              <w:rPr>
                <w:b w:val="0"/>
              </w:rPr>
              <w:t>2. </w:t>
            </w:r>
            <w:r>
              <w:rPr>
                <w:b w:val="0"/>
              </w:rPr>
              <w:t>Direktīva (ES) 2015/1480</w:t>
            </w:r>
            <w:r w:rsidRPr="002F4FF5">
              <w:rPr>
                <w:b w:val="0"/>
              </w:rPr>
              <w:t>.</w:t>
            </w:r>
          </w:p>
        </w:tc>
      </w:tr>
      <w:tr w:rsidR="002F4FF5" w:rsidRPr="006F2273" w14:paraId="572472DB" w14:textId="77777777" w:rsidTr="00865EB0">
        <w:trPr>
          <w:tblCellSpacing w:w="20" w:type="dxa"/>
        </w:trPr>
        <w:tc>
          <w:tcPr>
            <w:tcW w:w="227" w:type="pct"/>
          </w:tcPr>
          <w:p w14:paraId="58055145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2.</w:t>
            </w:r>
          </w:p>
        </w:tc>
        <w:tc>
          <w:tcPr>
            <w:tcW w:w="1778" w:type="pct"/>
          </w:tcPr>
          <w:p w14:paraId="5F0BB761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Citas starptautiskās saistības</w:t>
            </w:r>
          </w:p>
        </w:tc>
        <w:tc>
          <w:tcPr>
            <w:tcW w:w="2910" w:type="pct"/>
          </w:tcPr>
          <w:p w14:paraId="5F86F2FB" w14:textId="77777777" w:rsidR="002F4FF5" w:rsidRPr="006F2273" w:rsidRDefault="002F4FF5" w:rsidP="0086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Nav.</w:t>
            </w:r>
          </w:p>
        </w:tc>
      </w:tr>
      <w:tr w:rsidR="002F4FF5" w:rsidRPr="006F2273" w14:paraId="4559286B" w14:textId="77777777" w:rsidTr="00865EB0">
        <w:trPr>
          <w:tblCellSpacing w:w="20" w:type="dxa"/>
        </w:trPr>
        <w:tc>
          <w:tcPr>
            <w:tcW w:w="227" w:type="pct"/>
          </w:tcPr>
          <w:p w14:paraId="2C571613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3.</w:t>
            </w:r>
          </w:p>
        </w:tc>
        <w:tc>
          <w:tcPr>
            <w:tcW w:w="1778" w:type="pct"/>
          </w:tcPr>
          <w:p w14:paraId="23F69A91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Cita informācija</w:t>
            </w:r>
          </w:p>
        </w:tc>
        <w:tc>
          <w:tcPr>
            <w:tcW w:w="2910" w:type="pct"/>
          </w:tcPr>
          <w:p w14:paraId="469460FA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Nav.</w:t>
            </w:r>
          </w:p>
        </w:tc>
      </w:tr>
    </w:tbl>
    <w:p w14:paraId="0870634C" w14:textId="77777777" w:rsidR="002F4FF5" w:rsidRPr="006F2273" w:rsidRDefault="002F4FF5" w:rsidP="002F4FF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F227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  </w:t>
      </w:r>
    </w:p>
    <w:tbl>
      <w:tblPr>
        <w:tblStyle w:val="TableGrid"/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982"/>
        <w:gridCol w:w="1873"/>
        <w:gridCol w:w="2571"/>
      </w:tblGrid>
      <w:tr w:rsidR="002F4FF5" w:rsidRPr="006F2273" w14:paraId="7B6FC098" w14:textId="77777777" w:rsidTr="00865EB0">
        <w:trPr>
          <w:tblCellSpacing w:w="20" w:type="dxa"/>
          <w:jc w:val="center"/>
        </w:trPr>
        <w:tc>
          <w:tcPr>
            <w:tcW w:w="4956" w:type="pct"/>
            <w:gridSpan w:val="4"/>
          </w:tcPr>
          <w:p w14:paraId="5A9E0697" w14:textId="77777777" w:rsidR="002F4FF5" w:rsidRPr="006F2273" w:rsidRDefault="002F4FF5" w:rsidP="00865EB0">
            <w:pPr>
              <w:jc w:val="center"/>
              <w:rPr>
                <w:sz w:val="24"/>
                <w:szCs w:val="24"/>
              </w:rPr>
            </w:pPr>
            <w:r w:rsidRPr="006F2273">
              <w:rPr>
                <w:b/>
                <w:sz w:val="24"/>
                <w:szCs w:val="24"/>
              </w:rPr>
              <w:t>1. tabula</w:t>
            </w:r>
            <w:r w:rsidRPr="006F2273">
              <w:rPr>
                <w:b/>
                <w:sz w:val="24"/>
                <w:szCs w:val="24"/>
              </w:rPr>
              <w:br/>
              <w:t xml:space="preserve"> Tiesību akta projekta atbilstība ES tiesību aktiem</w:t>
            </w:r>
          </w:p>
        </w:tc>
      </w:tr>
      <w:tr w:rsidR="002F4FF5" w:rsidRPr="006F2273" w14:paraId="3953893A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093C7D16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4056" w:type="pct"/>
            <w:gridSpan w:val="3"/>
          </w:tcPr>
          <w:p w14:paraId="70975DD3" w14:textId="77777777" w:rsidR="002F4FF5" w:rsidRPr="002F4FF5" w:rsidRDefault="002F4FF5" w:rsidP="00865EB0">
            <w:pPr>
              <w:jc w:val="both"/>
              <w:rPr>
                <w:sz w:val="24"/>
                <w:szCs w:val="24"/>
              </w:rPr>
            </w:pPr>
            <w:r w:rsidRPr="002F4FF5">
              <w:rPr>
                <w:sz w:val="24"/>
                <w:szCs w:val="24"/>
              </w:rPr>
              <w:t>1. </w:t>
            </w:r>
            <w:r w:rsidRPr="002F4FF5">
              <w:rPr>
                <w:rStyle w:val="Strong"/>
                <w:b w:val="0"/>
                <w:sz w:val="24"/>
                <w:szCs w:val="24"/>
              </w:rPr>
              <w:t>Direktīva 2008/50/EK;</w:t>
            </w:r>
          </w:p>
          <w:p w14:paraId="79F767A0" w14:textId="77777777" w:rsidR="002F4FF5" w:rsidRPr="002F4FF5" w:rsidRDefault="002F4FF5" w:rsidP="00865EB0">
            <w:pPr>
              <w:jc w:val="both"/>
              <w:rPr>
                <w:sz w:val="24"/>
                <w:szCs w:val="24"/>
              </w:rPr>
            </w:pPr>
            <w:r w:rsidRPr="002F4FF5">
              <w:rPr>
                <w:sz w:val="24"/>
                <w:szCs w:val="24"/>
              </w:rPr>
              <w:t>2. Direktīva (ES) 2015/1480.</w:t>
            </w:r>
          </w:p>
          <w:p w14:paraId="234F6E9F" w14:textId="77777777" w:rsidR="002F4FF5" w:rsidRPr="00682B8E" w:rsidRDefault="002F4FF5" w:rsidP="00865EB0">
            <w:pPr>
              <w:pStyle w:val="Title"/>
              <w:jc w:val="both"/>
            </w:pPr>
          </w:p>
        </w:tc>
      </w:tr>
      <w:tr w:rsidR="00444A8F" w:rsidRPr="006F2273" w14:paraId="1BFF8383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54C44A24" w14:textId="77777777" w:rsidR="002F4FF5" w:rsidRPr="006F2273" w:rsidRDefault="002F4FF5" w:rsidP="00865E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A</w:t>
            </w:r>
          </w:p>
        </w:tc>
        <w:tc>
          <w:tcPr>
            <w:tcW w:w="1646" w:type="pct"/>
          </w:tcPr>
          <w:p w14:paraId="095D1947" w14:textId="77777777" w:rsidR="002F4FF5" w:rsidRPr="006F2273" w:rsidRDefault="002F4FF5" w:rsidP="00865E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B</w:t>
            </w:r>
          </w:p>
        </w:tc>
        <w:tc>
          <w:tcPr>
            <w:tcW w:w="1026" w:type="pct"/>
          </w:tcPr>
          <w:p w14:paraId="539F763C" w14:textId="77777777" w:rsidR="002F4FF5" w:rsidRPr="006F2273" w:rsidRDefault="002F4FF5" w:rsidP="00865E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C</w:t>
            </w:r>
          </w:p>
        </w:tc>
        <w:tc>
          <w:tcPr>
            <w:tcW w:w="1340" w:type="pct"/>
          </w:tcPr>
          <w:p w14:paraId="2787B38A" w14:textId="77777777" w:rsidR="002F4FF5" w:rsidRPr="006F2273" w:rsidRDefault="002F4FF5" w:rsidP="00865E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D</w:t>
            </w:r>
          </w:p>
        </w:tc>
      </w:tr>
      <w:tr w:rsidR="00444A8F" w:rsidRPr="006F2273" w14:paraId="78E0C784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3464EBEB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 xml:space="preserve">Attiecīgā ES tiesību akta panta numurs </w:t>
            </w:r>
          </w:p>
        </w:tc>
        <w:tc>
          <w:tcPr>
            <w:tcW w:w="1646" w:type="pct"/>
          </w:tcPr>
          <w:p w14:paraId="1EBB5A1C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 xml:space="preserve">Projekta vienība, kas pārņem vai ievieš katru šīs tabulas A ailē minēto ES tiesību akta vienību, vai </w:t>
            </w:r>
            <w:r w:rsidRPr="006F2273">
              <w:rPr>
                <w:sz w:val="24"/>
                <w:szCs w:val="24"/>
              </w:rPr>
              <w:lastRenderedPageBreak/>
              <w:t>tiesību akts, kur attiecīgā ES tiesību akta vienība pārņemta vai ieviesta</w:t>
            </w:r>
          </w:p>
        </w:tc>
        <w:tc>
          <w:tcPr>
            <w:tcW w:w="1026" w:type="pct"/>
          </w:tcPr>
          <w:p w14:paraId="147C9F71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lastRenderedPageBreak/>
              <w:t xml:space="preserve">Informācija par to, vai šīs tabulas A ailē minētās </w:t>
            </w:r>
            <w:r w:rsidRPr="006F2273">
              <w:rPr>
                <w:sz w:val="24"/>
                <w:szCs w:val="24"/>
              </w:rPr>
              <w:lastRenderedPageBreak/>
              <w:t>ES tiesību akta vienības tiek pārņemtas vai ieviestas pilnībā vai daļēji.</w:t>
            </w:r>
          </w:p>
          <w:p w14:paraId="0BFD7F88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171230D7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1340" w:type="pct"/>
          </w:tcPr>
          <w:p w14:paraId="2FE876EE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lastRenderedPageBreak/>
              <w:t xml:space="preserve">Informācija par to, vai šīs tabulas B ailē minētās projekta vienības paredz </w:t>
            </w:r>
            <w:r w:rsidRPr="006F2273">
              <w:rPr>
                <w:sz w:val="24"/>
                <w:szCs w:val="24"/>
              </w:rPr>
              <w:lastRenderedPageBreak/>
              <w:t>stingrākas prasības nekā šīs tabulas A ailē minētās ES tiesību akta vienības.</w:t>
            </w:r>
          </w:p>
          <w:p w14:paraId="0427659A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Ja projekts satur stingrākas prasības nekā attiecīgais ES tiesību akts, norāda pamatojumu un samērīgumu.</w:t>
            </w:r>
          </w:p>
          <w:p w14:paraId="76716FF3" w14:textId="77777777" w:rsidR="002F4FF5" w:rsidRPr="006F2273" w:rsidRDefault="002F4FF5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 noteikšanas, nekā paredzēts attiecīgajos Eiropas Savienības tiesību aktos.</w:t>
            </w:r>
          </w:p>
        </w:tc>
      </w:tr>
      <w:tr w:rsidR="002F4FF5" w:rsidRPr="006F2273" w14:paraId="28D06EBF" w14:textId="77777777" w:rsidTr="00865EB0">
        <w:trPr>
          <w:tblCellSpacing w:w="20" w:type="dxa"/>
          <w:jc w:val="center"/>
        </w:trPr>
        <w:tc>
          <w:tcPr>
            <w:tcW w:w="4956" w:type="pct"/>
            <w:gridSpan w:val="4"/>
          </w:tcPr>
          <w:p w14:paraId="62531819" w14:textId="77777777" w:rsidR="002F4FF5" w:rsidRPr="006F2273" w:rsidRDefault="002F4FF5" w:rsidP="006D48A8">
            <w:pPr>
              <w:spacing w:before="120" w:after="120"/>
              <w:rPr>
                <w:b/>
                <w:sz w:val="24"/>
                <w:szCs w:val="24"/>
              </w:rPr>
            </w:pPr>
            <w:r w:rsidRPr="006F2273">
              <w:rPr>
                <w:b/>
                <w:sz w:val="24"/>
                <w:szCs w:val="24"/>
              </w:rPr>
              <w:lastRenderedPageBreak/>
              <w:t xml:space="preserve">Direktīva </w:t>
            </w:r>
            <w:r w:rsidR="006D48A8">
              <w:rPr>
                <w:b/>
                <w:sz w:val="24"/>
                <w:szCs w:val="24"/>
              </w:rPr>
              <w:t>2008/50/EK</w:t>
            </w:r>
            <w:r w:rsidRPr="006F227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44A8F" w:rsidRPr="006F2273" w14:paraId="1D083441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5F354BEF" w14:textId="77777777" w:rsidR="002F4FF5" w:rsidRPr="006D48A8" w:rsidRDefault="006D48A8" w:rsidP="00402C8C">
            <w:pPr>
              <w:spacing w:before="120" w:after="120"/>
              <w:rPr>
                <w:sz w:val="24"/>
                <w:szCs w:val="24"/>
              </w:rPr>
            </w:pPr>
            <w:r w:rsidRPr="006D48A8">
              <w:rPr>
                <w:rStyle w:val="Strong"/>
                <w:b w:val="0"/>
                <w:sz w:val="24"/>
                <w:szCs w:val="24"/>
              </w:rPr>
              <w:t>7. panta 3. punkt</w:t>
            </w:r>
            <w:r w:rsidR="00402C8C">
              <w:rPr>
                <w:rStyle w:val="Strong"/>
                <w:b w:val="0"/>
                <w:sz w:val="24"/>
                <w:szCs w:val="24"/>
              </w:rPr>
              <w:t>a a) un b) apakšpunkts</w:t>
            </w:r>
          </w:p>
        </w:tc>
        <w:tc>
          <w:tcPr>
            <w:tcW w:w="1646" w:type="pct"/>
          </w:tcPr>
          <w:p w14:paraId="1AAEF2A8" w14:textId="28D7EDB1" w:rsidR="002F4FF5" w:rsidRPr="006D48A8" w:rsidRDefault="00DD4B64" w:rsidP="00DD4B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projekta 5. </w:t>
            </w:r>
            <w:r w:rsidR="008A06DB">
              <w:rPr>
                <w:sz w:val="24"/>
                <w:szCs w:val="24"/>
              </w:rPr>
              <w:t>un 6. </w:t>
            </w:r>
            <w:r>
              <w:rPr>
                <w:sz w:val="24"/>
                <w:szCs w:val="24"/>
              </w:rPr>
              <w:t>punkts</w:t>
            </w:r>
          </w:p>
        </w:tc>
        <w:tc>
          <w:tcPr>
            <w:tcW w:w="1026" w:type="pct"/>
          </w:tcPr>
          <w:p w14:paraId="449FE0E9" w14:textId="77777777" w:rsidR="002F4FF5" w:rsidRPr="006F2273" w:rsidRDefault="00183F12" w:rsidP="00865E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Pārņemts pilnībā</w:t>
            </w:r>
          </w:p>
        </w:tc>
        <w:tc>
          <w:tcPr>
            <w:tcW w:w="1340" w:type="pct"/>
          </w:tcPr>
          <w:p w14:paraId="4484283B" w14:textId="77777777" w:rsidR="002F4FF5" w:rsidRPr="006F2273" w:rsidRDefault="006D48A8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Neparedz stingrākas prasības.</w:t>
            </w:r>
          </w:p>
        </w:tc>
      </w:tr>
      <w:tr w:rsidR="00183F12" w:rsidRPr="006F2273" w14:paraId="08DBC007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5EC96CC4" w14:textId="77777777" w:rsidR="00183F12" w:rsidRPr="006D48A8" w:rsidRDefault="00183F12" w:rsidP="00183F12">
            <w:pPr>
              <w:spacing w:before="120" w:after="120"/>
              <w:rPr>
                <w:sz w:val="24"/>
                <w:szCs w:val="24"/>
              </w:rPr>
            </w:pPr>
            <w:r w:rsidRPr="006D48A8">
              <w:rPr>
                <w:rStyle w:val="Strong"/>
                <w:b w:val="0"/>
                <w:sz w:val="24"/>
                <w:szCs w:val="24"/>
              </w:rPr>
              <w:t>15. panta 4. punkts</w:t>
            </w:r>
          </w:p>
        </w:tc>
        <w:tc>
          <w:tcPr>
            <w:tcW w:w="1646" w:type="pct"/>
          </w:tcPr>
          <w:p w14:paraId="705E7C28" w14:textId="77777777" w:rsidR="00183F12" w:rsidRPr="006D48A8" w:rsidRDefault="00183F12" w:rsidP="00183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projekta 3. punkts</w:t>
            </w:r>
          </w:p>
        </w:tc>
        <w:tc>
          <w:tcPr>
            <w:tcW w:w="1026" w:type="pct"/>
          </w:tcPr>
          <w:p w14:paraId="73CE0C61" w14:textId="77777777" w:rsidR="00183F12" w:rsidRPr="006F2273" w:rsidRDefault="00183F12" w:rsidP="00183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Pārņemts pilnībā</w:t>
            </w:r>
          </w:p>
        </w:tc>
        <w:tc>
          <w:tcPr>
            <w:tcW w:w="1340" w:type="pct"/>
          </w:tcPr>
          <w:p w14:paraId="42BDDD33" w14:textId="77777777" w:rsidR="00183F12" w:rsidRDefault="00183F12" w:rsidP="00183F12">
            <w:r w:rsidRPr="00AC50BE">
              <w:rPr>
                <w:sz w:val="24"/>
                <w:szCs w:val="24"/>
              </w:rPr>
              <w:t>Neparedz stingrākas prasības.</w:t>
            </w:r>
          </w:p>
        </w:tc>
      </w:tr>
      <w:tr w:rsidR="00183F12" w:rsidRPr="006F2273" w14:paraId="0E415C17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71627F7E" w14:textId="77777777" w:rsidR="00183F12" w:rsidRPr="006D48A8" w:rsidRDefault="00183F12" w:rsidP="00183F12">
            <w:pPr>
              <w:spacing w:before="120" w:after="120"/>
              <w:rPr>
                <w:sz w:val="24"/>
                <w:szCs w:val="24"/>
              </w:rPr>
            </w:pPr>
            <w:r w:rsidRPr="006D48A8">
              <w:rPr>
                <w:rStyle w:val="Strong"/>
                <w:b w:val="0"/>
                <w:sz w:val="24"/>
                <w:szCs w:val="24"/>
              </w:rPr>
              <w:t>25. panta 5. punkts</w:t>
            </w:r>
          </w:p>
        </w:tc>
        <w:tc>
          <w:tcPr>
            <w:tcW w:w="1646" w:type="pct"/>
          </w:tcPr>
          <w:p w14:paraId="6AC1F264" w14:textId="3078A94D" w:rsidR="00183F12" w:rsidRPr="006D48A8" w:rsidRDefault="00183F12" w:rsidP="008A06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projekta </w:t>
            </w:r>
            <w:r w:rsidR="008A06D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 punkts</w:t>
            </w:r>
          </w:p>
        </w:tc>
        <w:tc>
          <w:tcPr>
            <w:tcW w:w="1026" w:type="pct"/>
          </w:tcPr>
          <w:p w14:paraId="2D7CDCA4" w14:textId="77777777" w:rsidR="00183F12" w:rsidRPr="006F2273" w:rsidRDefault="00183F12" w:rsidP="00183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Pārņemts pilnībā</w:t>
            </w:r>
          </w:p>
        </w:tc>
        <w:tc>
          <w:tcPr>
            <w:tcW w:w="1340" w:type="pct"/>
          </w:tcPr>
          <w:p w14:paraId="2A295227" w14:textId="77777777" w:rsidR="00183F12" w:rsidRDefault="00183F12" w:rsidP="00183F12">
            <w:r w:rsidRPr="00AC50BE">
              <w:rPr>
                <w:sz w:val="24"/>
                <w:szCs w:val="24"/>
              </w:rPr>
              <w:t>Neparedz stingrākas prasības.</w:t>
            </w:r>
          </w:p>
        </w:tc>
      </w:tr>
      <w:tr w:rsidR="00183F12" w:rsidRPr="006F2273" w14:paraId="66872E79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7C76A17D" w14:textId="77777777" w:rsidR="00183F12" w:rsidRPr="006D48A8" w:rsidRDefault="00183F12" w:rsidP="00402C8C">
            <w:pPr>
              <w:spacing w:before="120" w:after="120"/>
              <w:rPr>
                <w:sz w:val="24"/>
                <w:szCs w:val="24"/>
              </w:rPr>
            </w:pPr>
            <w:r w:rsidRPr="006D48A8">
              <w:rPr>
                <w:rStyle w:val="Strong"/>
                <w:b w:val="0"/>
                <w:sz w:val="24"/>
                <w:szCs w:val="24"/>
              </w:rPr>
              <w:t>26. panta 1. punkt</w:t>
            </w:r>
            <w:r w:rsidR="00402C8C">
              <w:rPr>
                <w:rStyle w:val="Strong"/>
                <w:b w:val="0"/>
                <w:sz w:val="24"/>
                <w:szCs w:val="24"/>
              </w:rPr>
              <w:t>a pirmais teikums.</w:t>
            </w:r>
          </w:p>
        </w:tc>
        <w:tc>
          <w:tcPr>
            <w:tcW w:w="1646" w:type="pct"/>
          </w:tcPr>
          <w:p w14:paraId="6E1E2F05" w14:textId="2003BC60" w:rsidR="00183F12" w:rsidRPr="006D48A8" w:rsidRDefault="00183F12" w:rsidP="008A06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projekta </w:t>
            </w:r>
            <w:r w:rsidR="008A06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 punkts</w:t>
            </w:r>
          </w:p>
        </w:tc>
        <w:tc>
          <w:tcPr>
            <w:tcW w:w="1026" w:type="pct"/>
          </w:tcPr>
          <w:p w14:paraId="16FEC157" w14:textId="77777777" w:rsidR="00183F12" w:rsidRPr="006F2273" w:rsidRDefault="00183F12" w:rsidP="00183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Pārņemts pilnībā</w:t>
            </w:r>
          </w:p>
        </w:tc>
        <w:tc>
          <w:tcPr>
            <w:tcW w:w="1340" w:type="pct"/>
          </w:tcPr>
          <w:p w14:paraId="464BD716" w14:textId="77777777" w:rsidR="00183F12" w:rsidRDefault="00183F12" w:rsidP="00183F12">
            <w:r w:rsidRPr="00AC50BE">
              <w:rPr>
                <w:sz w:val="24"/>
                <w:szCs w:val="24"/>
              </w:rPr>
              <w:t>Neparedz stingrākas prasības.</w:t>
            </w:r>
          </w:p>
        </w:tc>
      </w:tr>
      <w:tr w:rsidR="00183F12" w:rsidRPr="006F2273" w14:paraId="78175E1D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6B0EBCBC" w14:textId="77777777" w:rsidR="00183F12" w:rsidRPr="006D48A8" w:rsidRDefault="00183F12" w:rsidP="00FD5F4C">
            <w:pPr>
              <w:spacing w:before="120" w:after="120"/>
              <w:rPr>
                <w:rStyle w:val="Strong"/>
                <w:b w:val="0"/>
                <w:sz w:val="24"/>
                <w:szCs w:val="24"/>
              </w:rPr>
            </w:pPr>
            <w:r w:rsidRPr="006D48A8">
              <w:rPr>
                <w:rStyle w:val="Strong"/>
                <w:b w:val="0"/>
                <w:sz w:val="24"/>
                <w:szCs w:val="24"/>
              </w:rPr>
              <w:t xml:space="preserve">X pielikuma B </w:t>
            </w:r>
            <w:r w:rsidR="00FD5F4C">
              <w:rPr>
                <w:rStyle w:val="Strong"/>
                <w:b w:val="0"/>
                <w:sz w:val="24"/>
                <w:szCs w:val="24"/>
              </w:rPr>
              <w:t>iedaļas pirmais teikums</w:t>
            </w:r>
          </w:p>
        </w:tc>
        <w:tc>
          <w:tcPr>
            <w:tcW w:w="1646" w:type="pct"/>
          </w:tcPr>
          <w:p w14:paraId="2F6B5DE7" w14:textId="4A5E7AB4" w:rsidR="00183F12" w:rsidRPr="006D48A8" w:rsidRDefault="00183F12" w:rsidP="008A06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projekta </w:t>
            </w:r>
            <w:r w:rsidR="008A06D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 punkts</w:t>
            </w:r>
          </w:p>
        </w:tc>
        <w:tc>
          <w:tcPr>
            <w:tcW w:w="1026" w:type="pct"/>
          </w:tcPr>
          <w:p w14:paraId="44FE2615" w14:textId="77777777" w:rsidR="00183F12" w:rsidRPr="006F2273" w:rsidRDefault="00183F12" w:rsidP="00183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Pārņemts pilnībā</w:t>
            </w:r>
          </w:p>
        </w:tc>
        <w:tc>
          <w:tcPr>
            <w:tcW w:w="1340" w:type="pct"/>
          </w:tcPr>
          <w:p w14:paraId="6507D230" w14:textId="77777777" w:rsidR="00183F12" w:rsidRDefault="00183F12" w:rsidP="00183F12">
            <w:r w:rsidRPr="00AC50BE">
              <w:rPr>
                <w:sz w:val="24"/>
                <w:szCs w:val="24"/>
              </w:rPr>
              <w:t>Neparedz stingrākas prasības.</w:t>
            </w:r>
          </w:p>
        </w:tc>
      </w:tr>
      <w:tr w:rsidR="00FD5F4C" w:rsidRPr="006F2273" w14:paraId="09FAE2B3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33828735" w14:textId="77777777" w:rsidR="00FD5F4C" w:rsidRPr="006D48A8" w:rsidRDefault="00FD5F4C" w:rsidP="00FD5F4C">
            <w:pPr>
              <w:spacing w:before="120" w:after="120"/>
              <w:rPr>
                <w:rStyle w:val="Strong"/>
                <w:b w:val="0"/>
                <w:sz w:val="24"/>
                <w:szCs w:val="24"/>
              </w:rPr>
            </w:pPr>
            <w:r w:rsidRPr="006D48A8">
              <w:rPr>
                <w:rStyle w:val="Strong"/>
                <w:b w:val="0"/>
                <w:sz w:val="24"/>
                <w:szCs w:val="24"/>
              </w:rPr>
              <w:t xml:space="preserve">X pielikuma </w:t>
            </w:r>
            <w:r>
              <w:rPr>
                <w:rStyle w:val="Strong"/>
                <w:b w:val="0"/>
                <w:sz w:val="24"/>
                <w:szCs w:val="24"/>
              </w:rPr>
              <w:t>C</w:t>
            </w:r>
            <w:r w:rsidRPr="006D48A8">
              <w:rPr>
                <w:rStyle w:val="Strong"/>
                <w:b w:val="0"/>
                <w:sz w:val="24"/>
                <w:szCs w:val="24"/>
              </w:rPr>
              <w:t xml:space="preserve"> </w:t>
            </w:r>
            <w:r>
              <w:rPr>
                <w:rStyle w:val="Strong"/>
                <w:b w:val="0"/>
                <w:sz w:val="24"/>
                <w:szCs w:val="24"/>
              </w:rPr>
              <w:t>iedaļa</w:t>
            </w:r>
          </w:p>
        </w:tc>
        <w:tc>
          <w:tcPr>
            <w:tcW w:w="1646" w:type="pct"/>
          </w:tcPr>
          <w:p w14:paraId="3189BBB8" w14:textId="25961E57" w:rsidR="00FD5F4C" w:rsidRDefault="00FD5F4C" w:rsidP="008A06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projekta </w:t>
            </w:r>
            <w:r w:rsidR="008A06D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 punkts</w:t>
            </w:r>
          </w:p>
        </w:tc>
        <w:tc>
          <w:tcPr>
            <w:tcW w:w="1026" w:type="pct"/>
          </w:tcPr>
          <w:p w14:paraId="0BF355EB" w14:textId="77777777" w:rsidR="00FD5F4C" w:rsidRPr="006F2273" w:rsidRDefault="00FD5F4C" w:rsidP="00FD5F4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Pārņemts pilnībā</w:t>
            </w:r>
          </w:p>
        </w:tc>
        <w:tc>
          <w:tcPr>
            <w:tcW w:w="1340" w:type="pct"/>
          </w:tcPr>
          <w:p w14:paraId="1133C435" w14:textId="77777777" w:rsidR="00FD5F4C" w:rsidRDefault="00FD5F4C" w:rsidP="00FD5F4C">
            <w:r w:rsidRPr="00AC50BE">
              <w:rPr>
                <w:sz w:val="24"/>
                <w:szCs w:val="24"/>
              </w:rPr>
              <w:t>Neparedz stingrākas prasības.</w:t>
            </w:r>
          </w:p>
        </w:tc>
      </w:tr>
      <w:tr w:rsidR="006D48A8" w:rsidRPr="006F2273" w14:paraId="02E4CA29" w14:textId="77777777" w:rsidTr="006D48A8">
        <w:trPr>
          <w:tblCellSpacing w:w="20" w:type="dxa"/>
          <w:jc w:val="center"/>
        </w:trPr>
        <w:tc>
          <w:tcPr>
            <w:tcW w:w="4956" w:type="pct"/>
            <w:gridSpan w:val="4"/>
          </w:tcPr>
          <w:p w14:paraId="78D79E67" w14:textId="77777777" w:rsidR="006D48A8" w:rsidRPr="006D48A8" w:rsidRDefault="006D48A8" w:rsidP="006D48A8">
            <w:pPr>
              <w:spacing w:before="120" w:after="120"/>
              <w:rPr>
                <w:b/>
                <w:sz w:val="24"/>
                <w:szCs w:val="24"/>
              </w:rPr>
            </w:pPr>
            <w:r w:rsidRPr="006D48A8">
              <w:rPr>
                <w:b/>
                <w:sz w:val="24"/>
                <w:szCs w:val="24"/>
              </w:rPr>
              <w:lastRenderedPageBreak/>
              <w:t>Direktīva (ES) 2015/1480</w:t>
            </w:r>
          </w:p>
        </w:tc>
      </w:tr>
      <w:tr w:rsidR="006D48A8" w:rsidRPr="006F2273" w14:paraId="2FBD2BB1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1E2C3A5F" w14:textId="77777777" w:rsidR="006D48A8" w:rsidRPr="009764A8" w:rsidRDefault="00DD4B64" w:rsidP="00865EB0">
            <w:pPr>
              <w:spacing w:before="120" w:after="120"/>
              <w:rPr>
                <w:rStyle w:val="Strong"/>
                <w:b w:val="0"/>
                <w:sz w:val="24"/>
                <w:szCs w:val="24"/>
              </w:rPr>
            </w:pPr>
            <w:r w:rsidRPr="001F64BD">
              <w:rPr>
                <w:color w:val="000000" w:themeColor="text1"/>
                <w:sz w:val="24"/>
                <w:szCs w:val="24"/>
              </w:rPr>
              <w:t>Direktīv</w:t>
            </w:r>
            <w:r>
              <w:rPr>
                <w:color w:val="000000" w:themeColor="text1"/>
                <w:sz w:val="24"/>
                <w:szCs w:val="24"/>
              </w:rPr>
              <w:t>as</w:t>
            </w:r>
            <w:r w:rsidRPr="001F64BD">
              <w:rPr>
                <w:color w:val="000000" w:themeColor="text1"/>
                <w:sz w:val="24"/>
                <w:szCs w:val="24"/>
              </w:rPr>
              <w:t xml:space="preserve"> 2015/1480</w:t>
            </w:r>
            <w:r>
              <w:rPr>
                <w:color w:val="000000" w:themeColor="text1"/>
                <w:sz w:val="24"/>
                <w:szCs w:val="24"/>
              </w:rPr>
              <w:t xml:space="preserve"> 4.panta 1.punkts</w:t>
            </w:r>
            <w:r w:rsidR="005B4740">
              <w:rPr>
                <w:color w:val="000000" w:themeColor="text1"/>
                <w:sz w:val="24"/>
                <w:szCs w:val="24"/>
              </w:rPr>
              <w:t xml:space="preserve"> (kontekstā ar Direktīvas II pielikuma 1) punktu, kas groza Direktīvas 2008/50/EK I pielikuma C iedaļas 1.punkta ii) un v) apakšpunktu, kā arī Direktīvas II pielikuma 2) punkta b) apakšpunktu, kas groza Direktīvas 2008/50/EK III pielikuma D iedaļu).</w:t>
            </w:r>
          </w:p>
        </w:tc>
        <w:tc>
          <w:tcPr>
            <w:tcW w:w="1646" w:type="pct"/>
          </w:tcPr>
          <w:p w14:paraId="21C82030" w14:textId="0B16A602" w:rsidR="006D48A8" w:rsidRPr="00DD4B64" w:rsidRDefault="00DD4B64" w:rsidP="008A06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projekta 1., 2</w:t>
            </w:r>
            <w:r w:rsidR="00FB060B">
              <w:rPr>
                <w:sz w:val="24"/>
                <w:szCs w:val="24"/>
              </w:rPr>
              <w:t xml:space="preserve">.,  </w:t>
            </w:r>
            <w:r>
              <w:rPr>
                <w:sz w:val="24"/>
                <w:szCs w:val="24"/>
              </w:rPr>
              <w:t>4. </w:t>
            </w:r>
            <w:r w:rsidR="00FB060B">
              <w:rPr>
                <w:sz w:val="24"/>
                <w:szCs w:val="24"/>
              </w:rPr>
              <w:t xml:space="preserve">un </w:t>
            </w:r>
            <w:r w:rsidR="008A06DB">
              <w:rPr>
                <w:sz w:val="24"/>
                <w:szCs w:val="24"/>
              </w:rPr>
              <w:t>9</w:t>
            </w:r>
            <w:r w:rsidR="00FB060B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punkts.</w:t>
            </w:r>
          </w:p>
        </w:tc>
        <w:tc>
          <w:tcPr>
            <w:tcW w:w="1026" w:type="pct"/>
          </w:tcPr>
          <w:p w14:paraId="15879B78" w14:textId="77777777" w:rsidR="006D48A8" w:rsidRPr="006F2273" w:rsidRDefault="00183F12" w:rsidP="00865E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Pārņemts pilnībā</w:t>
            </w:r>
          </w:p>
        </w:tc>
        <w:tc>
          <w:tcPr>
            <w:tcW w:w="1340" w:type="pct"/>
          </w:tcPr>
          <w:p w14:paraId="0E640FC2" w14:textId="77777777" w:rsidR="006D48A8" w:rsidRPr="006F2273" w:rsidRDefault="00183F12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Neparedz stingrākas prasības.</w:t>
            </w:r>
          </w:p>
        </w:tc>
      </w:tr>
      <w:tr w:rsidR="00444A8F" w:rsidRPr="006F2273" w14:paraId="20809C75" w14:textId="77777777" w:rsidTr="00FD5F4C">
        <w:trPr>
          <w:tblCellSpacing w:w="20" w:type="dxa"/>
          <w:jc w:val="center"/>
        </w:trPr>
        <w:tc>
          <w:tcPr>
            <w:tcW w:w="878" w:type="pct"/>
          </w:tcPr>
          <w:p w14:paraId="0741F135" w14:textId="77777777" w:rsidR="002F4FF5" w:rsidRPr="006F2273" w:rsidRDefault="004577F6" w:rsidP="00D13E18">
            <w:pPr>
              <w:spacing w:before="120" w:after="120"/>
              <w:rPr>
                <w:sz w:val="24"/>
                <w:szCs w:val="24"/>
              </w:rPr>
            </w:pPr>
            <w:r w:rsidRPr="001F64BD">
              <w:rPr>
                <w:color w:val="000000" w:themeColor="text1"/>
                <w:sz w:val="24"/>
                <w:szCs w:val="24"/>
              </w:rPr>
              <w:t>Direktīv</w:t>
            </w:r>
            <w:r>
              <w:rPr>
                <w:color w:val="000000" w:themeColor="text1"/>
                <w:sz w:val="24"/>
                <w:szCs w:val="24"/>
              </w:rPr>
              <w:t>as</w:t>
            </w:r>
            <w:r w:rsidRPr="001F64BD">
              <w:rPr>
                <w:color w:val="000000" w:themeColor="text1"/>
                <w:sz w:val="24"/>
                <w:szCs w:val="24"/>
              </w:rPr>
              <w:t xml:space="preserve"> 2015/1480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13E18">
              <w:rPr>
                <w:color w:val="000000" w:themeColor="text1"/>
                <w:sz w:val="24"/>
                <w:szCs w:val="24"/>
              </w:rPr>
              <w:t xml:space="preserve">II pielikuma 2) punkta a) apakšpunkta i) apakšpunkts, ar kuru groza Direktīvas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13E18">
              <w:rPr>
                <w:color w:val="000000" w:themeColor="text1"/>
                <w:sz w:val="24"/>
                <w:szCs w:val="24"/>
              </w:rPr>
              <w:t>2008/50/EK III pielikuma C iedaļas pirmās daļas otro ievilkumu.</w:t>
            </w:r>
          </w:p>
        </w:tc>
        <w:tc>
          <w:tcPr>
            <w:tcW w:w="1646" w:type="pct"/>
          </w:tcPr>
          <w:p w14:paraId="07CF31CF" w14:textId="7EEB4941" w:rsidR="002F4FF5" w:rsidRPr="006F2273" w:rsidRDefault="00D13E18" w:rsidP="008A06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projekta </w:t>
            </w:r>
            <w:r w:rsidR="008A06D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 punkts</w:t>
            </w:r>
          </w:p>
        </w:tc>
        <w:tc>
          <w:tcPr>
            <w:tcW w:w="1026" w:type="pct"/>
          </w:tcPr>
          <w:p w14:paraId="32B6847A" w14:textId="77777777" w:rsidR="002F4FF5" w:rsidRPr="006F2273" w:rsidRDefault="00183F12" w:rsidP="00865E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Pārņemts pilnībā</w:t>
            </w:r>
          </w:p>
        </w:tc>
        <w:tc>
          <w:tcPr>
            <w:tcW w:w="1340" w:type="pct"/>
          </w:tcPr>
          <w:p w14:paraId="1F051197" w14:textId="77777777" w:rsidR="002F4FF5" w:rsidRPr="006F2273" w:rsidRDefault="00183F12" w:rsidP="00865EB0">
            <w:pPr>
              <w:rPr>
                <w:sz w:val="24"/>
                <w:szCs w:val="24"/>
              </w:rPr>
            </w:pPr>
            <w:r w:rsidRPr="006F2273">
              <w:rPr>
                <w:sz w:val="24"/>
                <w:szCs w:val="24"/>
              </w:rPr>
              <w:t>Neparedz stingrākas prasības.</w:t>
            </w:r>
          </w:p>
        </w:tc>
      </w:tr>
    </w:tbl>
    <w:p w14:paraId="00FEFCBD" w14:textId="77777777" w:rsidR="002F4FF5" w:rsidRDefault="002F4FF5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51329608" w14:textId="77777777" w:rsidR="00E5323B" w:rsidRPr="005879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79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5879DF" w14:paraId="09D7AF2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293AA" w14:textId="77777777" w:rsidR="00655F2C" w:rsidRPr="005879DF" w:rsidRDefault="00E5323B" w:rsidP="00E9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71A23" w:rsidRPr="005879DF" w14:paraId="77067D26" w14:textId="77777777" w:rsidTr="00771A2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6850B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ABABC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A7992" w14:textId="77777777" w:rsidR="00771A23" w:rsidRPr="00412811" w:rsidRDefault="00771A23" w:rsidP="00BE114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1">
              <w:rPr>
                <w:rFonts w:ascii="Times New Roman" w:hAnsi="Times New Roman"/>
                <w:sz w:val="24"/>
                <w:szCs w:val="24"/>
              </w:rPr>
              <w:t>Sas</w:t>
            </w:r>
            <w:r>
              <w:rPr>
                <w:rFonts w:ascii="Times New Roman" w:hAnsi="Times New Roman"/>
                <w:sz w:val="24"/>
                <w:szCs w:val="24"/>
              </w:rPr>
              <w:t>kaņā ar Ministru kabineta 2009. gada 25. augusta noteikumu Nr. </w:t>
            </w:r>
            <w:r w:rsidRPr="00412811">
              <w:rPr>
                <w:rFonts w:ascii="Times New Roman" w:hAnsi="Times New Roman"/>
                <w:sz w:val="24"/>
                <w:szCs w:val="24"/>
              </w:rPr>
              <w:t>970 “Sabiedrības līdzdalības kārtība attīs</w:t>
            </w:r>
            <w:r>
              <w:rPr>
                <w:rFonts w:ascii="Times New Roman" w:hAnsi="Times New Roman"/>
                <w:sz w:val="24"/>
                <w:szCs w:val="24"/>
              </w:rPr>
              <w:t>tības plānošanas procesā” 7.4.</w:t>
            </w:r>
            <w:r w:rsidRPr="00733FC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12811">
              <w:rPr>
                <w:rFonts w:ascii="Times New Roman" w:hAnsi="Times New Roman"/>
                <w:sz w:val="24"/>
                <w:szCs w:val="24"/>
              </w:rPr>
              <w:t>apakšpunktu sabiedrības pārstāvji ir aicināti līdzdarboties, rakstiski sniedzot viedokli par noteikumu projektu tā izstrādes stadijā.</w:t>
            </w:r>
          </w:p>
        </w:tc>
      </w:tr>
      <w:tr w:rsidR="00771A23" w:rsidRPr="005879DF" w14:paraId="691A4978" w14:textId="77777777" w:rsidTr="00771A2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C13F7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6B9A1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C3998" w14:textId="02C8B9EC" w:rsidR="00771A23" w:rsidRPr="00412811" w:rsidRDefault="00771A23" w:rsidP="00F37C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249">
              <w:rPr>
                <w:rFonts w:ascii="Times New Roman" w:hAnsi="Times New Roman"/>
                <w:sz w:val="24"/>
                <w:szCs w:val="24"/>
              </w:rPr>
              <w:t>Noteikumu projekts un tā sākotnējās ietekmes novērtē</w:t>
            </w:r>
            <w:r w:rsidRPr="00FA32E9">
              <w:rPr>
                <w:rFonts w:ascii="Times New Roman" w:hAnsi="Times New Roman" w:cs="Times New Roman"/>
                <w:sz w:val="24"/>
                <w:szCs w:val="24"/>
              </w:rPr>
              <w:t xml:space="preserve">juma ziņojums (anotācija) 2020. gada </w:t>
            </w:r>
            <w:r w:rsidR="00F37CEB">
              <w:rPr>
                <w:rFonts w:ascii="Times New Roman" w:hAnsi="Times New Roman" w:cs="Times New Roman"/>
                <w:sz w:val="24"/>
                <w:szCs w:val="24"/>
              </w:rPr>
              <w:t>14. septembrī</w:t>
            </w:r>
            <w:r w:rsidR="00FB06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65A8">
              <w:rPr>
                <w:rFonts w:ascii="Times New Roman" w:hAnsi="Times New Roman" w:cs="Times New Roman"/>
                <w:sz w:val="24"/>
                <w:szCs w:val="24"/>
              </w:rPr>
              <w:t xml:space="preserve">ievietots </w:t>
            </w:r>
            <w:r w:rsidRPr="00FA32E9">
              <w:rPr>
                <w:rFonts w:ascii="Times New Roman" w:hAnsi="Times New Roman" w:cs="Times New Roman"/>
                <w:sz w:val="24"/>
                <w:szCs w:val="24"/>
              </w:rPr>
              <w:t xml:space="preserve">VARAM tīmekļvietnē </w:t>
            </w:r>
            <w:hyperlink r:id="rId7" w:history="1">
              <w:r w:rsidRPr="00FA32E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www.varam.gov.lv</w:t>
              </w:r>
            </w:hyperlink>
            <w:r w:rsidR="00FA32E9" w:rsidRPr="00FA32E9">
              <w:rPr>
                <w:rFonts w:ascii="Times New Roman" w:hAnsi="Times New Roman" w:cs="Times New Roman"/>
                <w:sz w:val="24"/>
                <w:szCs w:val="24"/>
              </w:rPr>
              <w:t xml:space="preserve"> sadaļā “</w:t>
            </w:r>
            <w:r w:rsidR="00D7331C">
              <w:rPr>
                <w:rFonts w:ascii="Times New Roman" w:hAnsi="Times New Roman" w:cs="Times New Roman"/>
                <w:sz w:val="24"/>
                <w:szCs w:val="24"/>
              </w:rPr>
              <w:t>Normatīvo aktu projekti</w:t>
            </w:r>
            <w:r w:rsidR="00FA32E9" w:rsidRPr="00FA32E9">
              <w:rPr>
                <w:rFonts w:ascii="Times New Roman" w:hAnsi="Times New Roman" w:cs="Times New Roman"/>
                <w:sz w:val="24"/>
                <w:szCs w:val="24"/>
              </w:rPr>
              <w:t xml:space="preserve">” un 2020. gada </w:t>
            </w:r>
            <w:r w:rsidR="00F37CEB">
              <w:rPr>
                <w:rFonts w:ascii="Times New Roman" w:hAnsi="Times New Roman" w:cs="Times New Roman"/>
                <w:sz w:val="24"/>
                <w:szCs w:val="24"/>
              </w:rPr>
              <w:t xml:space="preserve">15. septembrī </w:t>
            </w:r>
            <w:r w:rsidR="00FA32E9" w:rsidRPr="00FA32E9">
              <w:rPr>
                <w:rFonts w:ascii="Times New Roman" w:hAnsi="Times New Roman" w:cs="Times New Roman"/>
                <w:sz w:val="24"/>
                <w:szCs w:val="24"/>
              </w:rPr>
              <w:t>Valsts kancelejas tīmekļvietn</w:t>
            </w:r>
            <w:r w:rsidR="00D1198F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FA32E9" w:rsidRPr="00FA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A32E9" w:rsidRPr="00D630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www.mk.gov.lv</w:t>
              </w:r>
            </w:hyperlink>
            <w:r w:rsidR="00FA32E9" w:rsidRPr="00D630E1">
              <w:rPr>
                <w:rFonts w:ascii="Times New Roman" w:hAnsi="Times New Roman"/>
                <w:sz w:val="24"/>
                <w:szCs w:val="24"/>
              </w:rPr>
              <w:t xml:space="preserve"> ar aicinājumu sabiedrības pārstāvjiem līdzdarboties </w:t>
            </w:r>
            <w:r w:rsidR="00FA32E9">
              <w:rPr>
                <w:rFonts w:ascii="Times New Roman" w:hAnsi="Times New Roman"/>
                <w:sz w:val="24"/>
                <w:szCs w:val="24"/>
              </w:rPr>
              <w:t>n</w:t>
            </w:r>
            <w:r w:rsidR="00FA32E9" w:rsidRPr="00D630E1">
              <w:rPr>
                <w:rFonts w:ascii="Times New Roman" w:hAnsi="Times New Roman"/>
                <w:sz w:val="24"/>
                <w:szCs w:val="24"/>
              </w:rPr>
              <w:t xml:space="preserve">oteikumu projekta izstrādē, līdz 2020. gada </w:t>
            </w:r>
            <w:r w:rsidR="00F37CEB">
              <w:rPr>
                <w:rFonts w:ascii="Times New Roman" w:hAnsi="Times New Roman"/>
                <w:sz w:val="24"/>
                <w:szCs w:val="24"/>
              </w:rPr>
              <w:t xml:space="preserve">25. septembrim </w:t>
            </w:r>
            <w:r w:rsidR="00FA32E9" w:rsidRPr="00D630E1">
              <w:rPr>
                <w:rFonts w:ascii="Times New Roman" w:hAnsi="Times New Roman"/>
                <w:sz w:val="24"/>
                <w:szCs w:val="24"/>
              </w:rPr>
              <w:t xml:space="preserve">rakstiski sniedzot viedokli par </w:t>
            </w:r>
            <w:r w:rsidR="00FA32E9">
              <w:rPr>
                <w:rFonts w:ascii="Times New Roman" w:hAnsi="Times New Roman"/>
                <w:sz w:val="24"/>
                <w:szCs w:val="24"/>
              </w:rPr>
              <w:t>n</w:t>
            </w:r>
            <w:r w:rsidR="00FA32E9" w:rsidRPr="00D630E1">
              <w:rPr>
                <w:rFonts w:ascii="Times New Roman" w:hAnsi="Times New Roman"/>
                <w:sz w:val="24"/>
                <w:szCs w:val="24"/>
              </w:rPr>
              <w:t>oteikumu projektu</w:t>
            </w:r>
            <w:r w:rsidR="00FA32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1A23" w:rsidRPr="005879DF" w14:paraId="5F4743F3" w14:textId="77777777" w:rsidTr="00771A2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164D9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6B404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4FFD3" w14:textId="77777777" w:rsidR="00771A23" w:rsidRPr="00412811" w:rsidRDefault="00771A23" w:rsidP="00BE114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0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Sabiedrības līdzdalības rezultātā nav saņemti iebildumi un priekšlikumi.</w:t>
            </w:r>
          </w:p>
        </w:tc>
      </w:tr>
      <w:tr w:rsidR="00771A23" w:rsidRPr="005879DF" w14:paraId="02C40E08" w14:textId="77777777" w:rsidTr="00771A2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6BCAF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165A2" w14:textId="77777777" w:rsidR="00771A23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4CC72" w14:textId="77777777" w:rsidR="00771A23" w:rsidRPr="00412811" w:rsidRDefault="00771A23" w:rsidP="00BE114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365AE980" w14:textId="77777777" w:rsidR="00E5323B" w:rsidRPr="005879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879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5879DF" w14:paraId="5966EA6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ADDD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5879DF" w14:paraId="69246D2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A3EB6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4C427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5E58F" w14:textId="77777777" w:rsidR="00E5323B" w:rsidRPr="005879DF" w:rsidRDefault="00771A2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LVĢMC</w:t>
            </w:r>
            <w:r w:rsidR="00A24A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VARAM</w:t>
            </w:r>
            <w:r w:rsidR="00782A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pašvaldības, kurām jāpublisko </w:t>
            </w:r>
            <w:proofErr w:type="spellStart"/>
            <w:r w:rsidR="00782A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izsrādātie</w:t>
            </w:r>
            <w:proofErr w:type="spellEnd"/>
            <w:r w:rsidR="00782A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gaisa kvalitātes plāni</w:t>
            </w:r>
            <w:r w:rsidR="005C0B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5879DF" w14:paraId="0E91CB6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D231A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8686D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AD81D" w14:textId="77777777" w:rsidR="00E5323B" w:rsidRPr="005879DF" w:rsidRDefault="00A24A10" w:rsidP="0077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5323B" w:rsidRPr="005879DF" w14:paraId="07E008C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59D85" w14:textId="77777777" w:rsidR="00655F2C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89C08" w14:textId="77777777" w:rsidR="00E5323B" w:rsidRPr="005879D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7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6B8E6" w14:textId="77777777" w:rsidR="00E5323B" w:rsidRPr="005879DF" w:rsidRDefault="00771A23" w:rsidP="00771A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38BE719F" w14:textId="77777777" w:rsidR="00771A23" w:rsidRPr="00581919" w:rsidRDefault="00771A2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D19AFBC" w14:textId="77777777" w:rsidR="00771A23" w:rsidRPr="00581919" w:rsidRDefault="00771A2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919">
        <w:rPr>
          <w:rFonts w:ascii="Times New Roman" w:hAnsi="Times New Roman" w:cs="Times New Roman"/>
          <w:sz w:val="24"/>
          <w:szCs w:val="24"/>
        </w:rPr>
        <w:t xml:space="preserve">Vides aizsardzības un reģionālās attīstības </w:t>
      </w:r>
    </w:p>
    <w:p w14:paraId="5D77AA5E" w14:textId="676585B7" w:rsidR="00894C55" w:rsidRPr="009C3949" w:rsidRDefault="00894C55" w:rsidP="009C3949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919">
        <w:rPr>
          <w:rFonts w:ascii="Times New Roman" w:hAnsi="Times New Roman" w:cs="Times New Roman"/>
          <w:sz w:val="24"/>
          <w:szCs w:val="24"/>
        </w:rPr>
        <w:t>ministrs</w:t>
      </w:r>
      <w:r w:rsidR="004C6965">
        <w:rPr>
          <w:rFonts w:ascii="Times New Roman" w:hAnsi="Times New Roman" w:cs="Times New Roman"/>
          <w:sz w:val="24"/>
          <w:szCs w:val="24"/>
        </w:rPr>
        <w:t xml:space="preserve"> </w:t>
      </w:r>
      <w:r w:rsidR="004C6965">
        <w:rPr>
          <w:rFonts w:ascii="Times New Roman" w:hAnsi="Times New Roman" w:cs="Times New Roman"/>
          <w:sz w:val="24"/>
          <w:szCs w:val="24"/>
        </w:rPr>
        <w:tab/>
      </w:r>
      <w:r w:rsidR="004C6965">
        <w:rPr>
          <w:rFonts w:ascii="Times New Roman" w:hAnsi="Times New Roman" w:cs="Times New Roman"/>
          <w:sz w:val="24"/>
          <w:szCs w:val="24"/>
        </w:rPr>
        <w:tab/>
      </w:r>
      <w:r w:rsidR="004C6965">
        <w:rPr>
          <w:rFonts w:ascii="Times New Roman" w:hAnsi="Times New Roman" w:cs="Times New Roman"/>
          <w:sz w:val="24"/>
          <w:szCs w:val="24"/>
        </w:rPr>
        <w:tab/>
        <w:t>A. T. Plešs</w:t>
      </w:r>
    </w:p>
    <w:p w14:paraId="52CFC7B7" w14:textId="77777777" w:rsidR="00894C55" w:rsidRPr="005879DF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82DA315" w14:textId="77777777" w:rsidR="00894C55" w:rsidRPr="0058191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59D609CF" w14:textId="77777777" w:rsidR="00894C55" w:rsidRPr="00581919" w:rsidRDefault="00771A2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919">
        <w:rPr>
          <w:rFonts w:ascii="Times New Roman" w:hAnsi="Times New Roman" w:cs="Times New Roman"/>
          <w:sz w:val="20"/>
          <w:szCs w:val="20"/>
        </w:rPr>
        <w:t>Maslova</w:t>
      </w:r>
      <w:r w:rsidR="005C28FE">
        <w:rPr>
          <w:rFonts w:ascii="Times New Roman" w:hAnsi="Times New Roman" w:cs="Times New Roman"/>
          <w:sz w:val="20"/>
          <w:szCs w:val="20"/>
        </w:rPr>
        <w:t xml:space="preserve"> 670</w:t>
      </w:r>
      <w:r w:rsidR="00D133F8" w:rsidRPr="00581919">
        <w:rPr>
          <w:rFonts w:ascii="Times New Roman" w:hAnsi="Times New Roman" w:cs="Times New Roman"/>
          <w:sz w:val="20"/>
          <w:szCs w:val="20"/>
        </w:rPr>
        <w:t>2</w:t>
      </w:r>
      <w:r w:rsidRPr="00581919">
        <w:rPr>
          <w:rFonts w:ascii="Times New Roman" w:hAnsi="Times New Roman" w:cs="Times New Roman"/>
          <w:sz w:val="20"/>
          <w:szCs w:val="20"/>
        </w:rPr>
        <w:t>6586</w:t>
      </w:r>
    </w:p>
    <w:p w14:paraId="03433859" w14:textId="77777777" w:rsidR="00894C55" w:rsidRPr="00581919" w:rsidRDefault="00771A2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919">
        <w:rPr>
          <w:rFonts w:ascii="Times New Roman" w:hAnsi="Times New Roman" w:cs="Times New Roman"/>
          <w:sz w:val="20"/>
          <w:szCs w:val="20"/>
        </w:rPr>
        <w:t>lana.maslova</w:t>
      </w:r>
      <w:r w:rsidR="00894C55" w:rsidRPr="00581919">
        <w:rPr>
          <w:rFonts w:ascii="Times New Roman" w:hAnsi="Times New Roman" w:cs="Times New Roman"/>
          <w:sz w:val="20"/>
          <w:szCs w:val="20"/>
        </w:rPr>
        <w:t>@</w:t>
      </w:r>
      <w:r w:rsidRPr="00581919">
        <w:rPr>
          <w:rFonts w:ascii="Times New Roman" w:hAnsi="Times New Roman" w:cs="Times New Roman"/>
          <w:sz w:val="20"/>
          <w:szCs w:val="20"/>
        </w:rPr>
        <w:t>varam</w:t>
      </w:r>
      <w:r w:rsidR="00894C55" w:rsidRPr="00581919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581919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CCF9E" w14:textId="77777777" w:rsidR="00BD78CA" w:rsidRDefault="00BD78CA" w:rsidP="00894C55">
      <w:pPr>
        <w:spacing w:after="0" w:line="240" w:lineRule="auto"/>
      </w:pPr>
      <w:r>
        <w:separator/>
      </w:r>
    </w:p>
  </w:endnote>
  <w:endnote w:type="continuationSeparator" w:id="0">
    <w:p w14:paraId="7C104775" w14:textId="77777777" w:rsidR="00BD78CA" w:rsidRDefault="00BD78C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7D0B" w14:textId="7781468E" w:rsidR="004D49F9" w:rsidRPr="00866E33" w:rsidRDefault="00866E33" w:rsidP="00866E3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</w:t>
    </w:r>
    <w:r w:rsidR="0001364D">
      <w:rPr>
        <w:rFonts w:ascii="Times New Roman" w:hAnsi="Times New Roman" w:cs="Times New Roman"/>
        <w:sz w:val="20"/>
        <w:szCs w:val="20"/>
      </w:rPr>
      <w:t>0103</w:t>
    </w:r>
    <w:r w:rsidR="00A92B64">
      <w:rPr>
        <w:rFonts w:ascii="Times New Roman" w:hAnsi="Times New Roman" w:cs="Times New Roman"/>
        <w:sz w:val="20"/>
        <w:szCs w:val="20"/>
      </w:rPr>
      <w:t>21</w:t>
    </w:r>
    <w:r>
      <w:rPr>
        <w:rFonts w:ascii="Times New Roman" w:hAnsi="Times New Roman" w:cs="Times New Roman"/>
        <w:sz w:val="20"/>
        <w:szCs w:val="20"/>
      </w:rPr>
      <w:t>_gaisakv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43AEF" w14:textId="370BA9F4" w:rsidR="004D49F9" w:rsidRPr="00771A23" w:rsidRDefault="00A629F7" w:rsidP="00771A2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</w:t>
    </w:r>
    <w:r w:rsidR="00771A23">
      <w:rPr>
        <w:rFonts w:ascii="Times New Roman" w:hAnsi="Times New Roman" w:cs="Times New Roman"/>
        <w:sz w:val="20"/>
        <w:szCs w:val="20"/>
      </w:rPr>
      <w:t>anot_</w:t>
    </w:r>
    <w:r w:rsidR="0001364D">
      <w:rPr>
        <w:rFonts w:ascii="Times New Roman" w:hAnsi="Times New Roman" w:cs="Times New Roman"/>
        <w:sz w:val="20"/>
        <w:szCs w:val="20"/>
      </w:rPr>
      <w:t>0103</w:t>
    </w:r>
    <w:r w:rsidR="00A92B64">
      <w:rPr>
        <w:rFonts w:ascii="Times New Roman" w:hAnsi="Times New Roman" w:cs="Times New Roman"/>
        <w:sz w:val="20"/>
        <w:szCs w:val="20"/>
      </w:rPr>
      <w:t>21</w:t>
    </w:r>
    <w:r w:rsidR="00866E33">
      <w:rPr>
        <w:rFonts w:ascii="Times New Roman" w:hAnsi="Times New Roman" w:cs="Times New Roman"/>
        <w:sz w:val="20"/>
        <w:szCs w:val="20"/>
      </w:rPr>
      <w:t>_gaisakv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08ACC" w14:textId="77777777" w:rsidR="00BD78CA" w:rsidRDefault="00BD78CA" w:rsidP="00894C55">
      <w:pPr>
        <w:spacing w:after="0" w:line="240" w:lineRule="auto"/>
      </w:pPr>
      <w:r>
        <w:separator/>
      </w:r>
    </w:p>
  </w:footnote>
  <w:footnote w:type="continuationSeparator" w:id="0">
    <w:p w14:paraId="5DAD7B28" w14:textId="77777777" w:rsidR="00BD78CA" w:rsidRDefault="00BD78C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83D7F7D" w14:textId="2BD95C42" w:rsidR="004D49F9" w:rsidRPr="00C25B49" w:rsidRDefault="00BE4BDC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4D49F9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647B8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4348"/>
    <w:multiLevelType w:val="hybridMultilevel"/>
    <w:tmpl w:val="8AC40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D39F1"/>
    <w:multiLevelType w:val="hybridMultilevel"/>
    <w:tmpl w:val="5B94BC20"/>
    <w:lvl w:ilvl="0" w:tplc="E30CD4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1364D"/>
    <w:rsid w:val="00022615"/>
    <w:rsid w:val="000611D3"/>
    <w:rsid w:val="00062C70"/>
    <w:rsid w:val="00075D7E"/>
    <w:rsid w:val="0009354F"/>
    <w:rsid w:val="00093F3C"/>
    <w:rsid w:val="000A4E8A"/>
    <w:rsid w:val="000B21E1"/>
    <w:rsid w:val="000C34B6"/>
    <w:rsid w:val="000E2C04"/>
    <w:rsid w:val="000F733E"/>
    <w:rsid w:val="00104CCE"/>
    <w:rsid w:val="00134657"/>
    <w:rsid w:val="00155493"/>
    <w:rsid w:val="00177169"/>
    <w:rsid w:val="00183F12"/>
    <w:rsid w:val="001C6332"/>
    <w:rsid w:val="001D39AA"/>
    <w:rsid w:val="002043D3"/>
    <w:rsid w:val="002147B9"/>
    <w:rsid w:val="00222EB2"/>
    <w:rsid w:val="00243426"/>
    <w:rsid w:val="00250220"/>
    <w:rsid w:val="002771BF"/>
    <w:rsid w:val="002D01A9"/>
    <w:rsid w:val="002E1C05"/>
    <w:rsid w:val="002E380F"/>
    <w:rsid w:val="002F4FF5"/>
    <w:rsid w:val="00307740"/>
    <w:rsid w:val="003371E2"/>
    <w:rsid w:val="003647B8"/>
    <w:rsid w:val="003665A8"/>
    <w:rsid w:val="003861F2"/>
    <w:rsid w:val="003B0BF9"/>
    <w:rsid w:val="003B1E95"/>
    <w:rsid w:val="003D7537"/>
    <w:rsid w:val="003E0791"/>
    <w:rsid w:val="003F28AC"/>
    <w:rsid w:val="003F2C6D"/>
    <w:rsid w:val="00402C8C"/>
    <w:rsid w:val="004309BC"/>
    <w:rsid w:val="00431989"/>
    <w:rsid w:val="00444A8F"/>
    <w:rsid w:val="004454FE"/>
    <w:rsid w:val="00447A87"/>
    <w:rsid w:val="00456E40"/>
    <w:rsid w:val="004577F6"/>
    <w:rsid w:val="0046409C"/>
    <w:rsid w:val="00471F27"/>
    <w:rsid w:val="00495B4F"/>
    <w:rsid w:val="004A2A00"/>
    <w:rsid w:val="004A3AE7"/>
    <w:rsid w:val="004C1011"/>
    <w:rsid w:val="004C614F"/>
    <w:rsid w:val="004C6965"/>
    <w:rsid w:val="004D49F9"/>
    <w:rsid w:val="004E0857"/>
    <w:rsid w:val="0050178F"/>
    <w:rsid w:val="00523E0D"/>
    <w:rsid w:val="00542007"/>
    <w:rsid w:val="00543486"/>
    <w:rsid w:val="005449DA"/>
    <w:rsid w:val="00581919"/>
    <w:rsid w:val="005879DF"/>
    <w:rsid w:val="005A504B"/>
    <w:rsid w:val="005A5887"/>
    <w:rsid w:val="005B0197"/>
    <w:rsid w:val="005B4740"/>
    <w:rsid w:val="005C09E2"/>
    <w:rsid w:val="005C0BAE"/>
    <w:rsid w:val="005C0F67"/>
    <w:rsid w:val="005C1308"/>
    <w:rsid w:val="005C28FE"/>
    <w:rsid w:val="005D1295"/>
    <w:rsid w:val="005F6845"/>
    <w:rsid w:val="00620D2A"/>
    <w:rsid w:val="00655F2C"/>
    <w:rsid w:val="00661C23"/>
    <w:rsid w:val="006825F2"/>
    <w:rsid w:val="006871A3"/>
    <w:rsid w:val="006902B0"/>
    <w:rsid w:val="00693BAF"/>
    <w:rsid w:val="006D48A8"/>
    <w:rsid w:val="006E1081"/>
    <w:rsid w:val="006F3D44"/>
    <w:rsid w:val="007022D7"/>
    <w:rsid w:val="00712D53"/>
    <w:rsid w:val="00720585"/>
    <w:rsid w:val="00721378"/>
    <w:rsid w:val="00726019"/>
    <w:rsid w:val="00726BEC"/>
    <w:rsid w:val="00755F8C"/>
    <w:rsid w:val="00771A23"/>
    <w:rsid w:val="00773AF6"/>
    <w:rsid w:val="00782A0A"/>
    <w:rsid w:val="00795F71"/>
    <w:rsid w:val="007D43C3"/>
    <w:rsid w:val="007E5F7A"/>
    <w:rsid w:val="007E73AB"/>
    <w:rsid w:val="00816C11"/>
    <w:rsid w:val="00817EAE"/>
    <w:rsid w:val="00827C4E"/>
    <w:rsid w:val="00860D17"/>
    <w:rsid w:val="00866783"/>
    <w:rsid w:val="008667CC"/>
    <w:rsid w:val="00866E33"/>
    <w:rsid w:val="0088113C"/>
    <w:rsid w:val="00894C55"/>
    <w:rsid w:val="008A06DB"/>
    <w:rsid w:val="008A0C91"/>
    <w:rsid w:val="008B4111"/>
    <w:rsid w:val="008C1876"/>
    <w:rsid w:val="008E49A7"/>
    <w:rsid w:val="008E6E80"/>
    <w:rsid w:val="00901408"/>
    <w:rsid w:val="009104BF"/>
    <w:rsid w:val="009340E4"/>
    <w:rsid w:val="0094110C"/>
    <w:rsid w:val="009625A9"/>
    <w:rsid w:val="0096329C"/>
    <w:rsid w:val="009764A8"/>
    <w:rsid w:val="00981836"/>
    <w:rsid w:val="009822B1"/>
    <w:rsid w:val="009A2654"/>
    <w:rsid w:val="009A6A4F"/>
    <w:rsid w:val="009C3949"/>
    <w:rsid w:val="009C6B07"/>
    <w:rsid w:val="00A07EA1"/>
    <w:rsid w:val="00A10FC3"/>
    <w:rsid w:val="00A24090"/>
    <w:rsid w:val="00A24A10"/>
    <w:rsid w:val="00A52C05"/>
    <w:rsid w:val="00A6073E"/>
    <w:rsid w:val="00A629F7"/>
    <w:rsid w:val="00A6618F"/>
    <w:rsid w:val="00A76930"/>
    <w:rsid w:val="00A918B6"/>
    <w:rsid w:val="00A92B64"/>
    <w:rsid w:val="00AE5048"/>
    <w:rsid w:val="00AE5567"/>
    <w:rsid w:val="00AE6874"/>
    <w:rsid w:val="00AF03BC"/>
    <w:rsid w:val="00AF1239"/>
    <w:rsid w:val="00AF12EF"/>
    <w:rsid w:val="00B13BB7"/>
    <w:rsid w:val="00B16480"/>
    <w:rsid w:val="00B2165C"/>
    <w:rsid w:val="00B368ED"/>
    <w:rsid w:val="00B42C92"/>
    <w:rsid w:val="00B525BA"/>
    <w:rsid w:val="00B702AB"/>
    <w:rsid w:val="00B8680A"/>
    <w:rsid w:val="00BA20AA"/>
    <w:rsid w:val="00BB7383"/>
    <w:rsid w:val="00BC2286"/>
    <w:rsid w:val="00BC2459"/>
    <w:rsid w:val="00BC7A7B"/>
    <w:rsid w:val="00BD4425"/>
    <w:rsid w:val="00BD444A"/>
    <w:rsid w:val="00BD78CA"/>
    <w:rsid w:val="00BE4BDC"/>
    <w:rsid w:val="00BE6F81"/>
    <w:rsid w:val="00C01125"/>
    <w:rsid w:val="00C25B49"/>
    <w:rsid w:val="00C267B2"/>
    <w:rsid w:val="00C73DD3"/>
    <w:rsid w:val="00C80E77"/>
    <w:rsid w:val="00CA1AB3"/>
    <w:rsid w:val="00CA4B81"/>
    <w:rsid w:val="00CA556C"/>
    <w:rsid w:val="00CB3261"/>
    <w:rsid w:val="00CC0D2D"/>
    <w:rsid w:val="00CE5657"/>
    <w:rsid w:val="00D1198F"/>
    <w:rsid w:val="00D133F8"/>
    <w:rsid w:val="00D13E18"/>
    <w:rsid w:val="00D14A3E"/>
    <w:rsid w:val="00D20129"/>
    <w:rsid w:val="00D353B1"/>
    <w:rsid w:val="00D40305"/>
    <w:rsid w:val="00D7331C"/>
    <w:rsid w:val="00D8150F"/>
    <w:rsid w:val="00D94EC4"/>
    <w:rsid w:val="00DA42D0"/>
    <w:rsid w:val="00DD19AA"/>
    <w:rsid w:val="00DD4B64"/>
    <w:rsid w:val="00E24654"/>
    <w:rsid w:val="00E3716B"/>
    <w:rsid w:val="00E46B84"/>
    <w:rsid w:val="00E52BE9"/>
    <w:rsid w:val="00E5323B"/>
    <w:rsid w:val="00E55B54"/>
    <w:rsid w:val="00E61044"/>
    <w:rsid w:val="00E67D61"/>
    <w:rsid w:val="00E8749E"/>
    <w:rsid w:val="00E90C01"/>
    <w:rsid w:val="00E92136"/>
    <w:rsid w:val="00EA486E"/>
    <w:rsid w:val="00EC44E8"/>
    <w:rsid w:val="00EE39E6"/>
    <w:rsid w:val="00EE4AD8"/>
    <w:rsid w:val="00EE5B05"/>
    <w:rsid w:val="00F132BF"/>
    <w:rsid w:val="00F21948"/>
    <w:rsid w:val="00F27B98"/>
    <w:rsid w:val="00F37CEB"/>
    <w:rsid w:val="00F37D5A"/>
    <w:rsid w:val="00F55D09"/>
    <w:rsid w:val="00F57B0C"/>
    <w:rsid w:val="00F66DA0"/>
    <w:rsid w:val="00F704B0"/>
    <w:rsid w:val="00F844E7"/>
    <w:rsid w:val="00FA32E9"/>
    <w:rsid w:val="00FB060B"/>
    <w:rsid w:val="00FD5F4C"/>
    <w:rsid w:val="00FF5376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14E6D"/>
  <w15:docId w15:val="{F847F8D5-2F68-4D42-86A3-CE9CBAC5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68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2F4F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rsid w:val="002F4FF5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F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F4FF5"/>
    <w:rPr>
      <w:b/>
    </w:rPr>
  </w:style>
  <w:style w:type="paragraph" w:styleId="ListParagraph">
    <w:name w:val="List Paragraph"/>
    <w:basedOn w:val="Normal"/>
    <w:uiPriority w:val="34"/>
    <w:qFormat/>
    <w:rsid w:val="009764A8"/>
    <w:pPr>
      <w:ind w:left="720"/>
      <w:contextualSpacing/>
    </w:pPr>
  </w:style>
  <w:style w:type="paragraph" w:customStyle="1" w:styleId="Default">
    <w:name w:val="Default"/>
    <w:rsid w:val="00976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6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8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gov.l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46B27"/>
    <w:rsid w:val="00050549"/>
    <w:rsid w:val="00057C8B"/>
    <w:rsid w:val="00084514"/>
    <w:rsid w:val="00153A71"/>
    <w:rsid w:val="001771A4"/>
    <w:rsid w:val="00194253"/>
    <w:rsid w:val="00204F2C"/>
    <w:rsid w:val="00344186"/>
    <w:rsid w:val="00400A01"/>
    <w:rsid w:val="00472F39"/>
    <w:rsid w:val="00505A06"/>
    <w:rsid w:val="00523A63"/>
    <w:rsid w:val="00597774"/>
    <w:rsid w:val="00631457"/>
    <w:rsid w:val="006A2489"/>
    <w:rsid w:val="006D1F12"/>
    <w:rsid w:val="0079518D"/>
    <w:rsid w:val="00887C1F"/>
    <w:rsid w:val="008B623B"/>
    <w:rsid w:val="008D39C9"/>
    <w:rsid w:val="0090404F"/>
    <w:rsid w:val="00915F20"/>
    <w:rsid w:val="009262B5"/>
    <w:rsid w:val="009B53B4"/>
    <w:rsid w:val="009C1B4C"/>
    <w:rsid w:val="00A426CF"/>
    <w:rsid w:val="00A77D41"/>
    <w:rsid w:val="00AC1B85"/>
    <w:rsid w:val="00AD4A2F"/>
    <w:rsid w:val="00B3264B"/>
    <w:rsid w:val="00B3767C"/>
    <w:rsid w:val="00B5181E"/>
    <w:rsid w:val="00BE69E2"/>
    <w:rsid w:val="00C00671"/>
    <w:rsid w:val="00C071EC"/>
    <w:rsid w:val="00C417FF"/>
    <w:rsid w:val="00D0230A"/>
    <w:rsid w:val="00DD3A3E"/>
    <w:rsid w:val="00E43779"/>
    <w:rsid w:val="00E80659"/>
    <w:rsid w:val="00E83D61"/>
    <w:rsid w:val="00ED0325"/>
    <w:rsid w:val="00EF45E6"/>
    <w:rsid w:val="00F72077"/>
    <w:rsid w:val="00F801CF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7FF"/>
    <w:rPr>
      <w:color w:val="808080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6391</Words>
  <Characters>3644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3. novembra noteikumos Nr. 1290 "Noteikumi par gaisa kvalitāti”</vt:lpstr>
    </vt:vector>
  </TitlesOfParts>
  <Company>Iestādes nosaukums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3. novembra noteikumos Nr. 1290 "Noteikumi par gaisa kvalitāti”</dc:title>
  <dc:subject>Anotācija</dc:subject>
  <dc:creator>Lana Maslova</dc:creator>
  <dc:description>67026586, lana.maslova@varam.gov.lv</dc:description>
  <cp:lastModifiedBy>Lana Maslova</cp:lastModifiedBy>
  <cp:revision>5</cp:revision>
  <dcterms:created xsi:type="dcterms:W3CDTF">2021-03-01T08:12:00Z</dcterms:created>
  <dcterms:modified xsi:type="dcterms:W3CDTF">2021-03-02T11:47:00Z</dcterms:modified>
</cp:coreProperties>
</file>