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801A1" w14:textId="3960AC90" w:rsidR="000D186F" w:rsidRDefault="000D186F" w:rsidP="000D186F">
      <w:pPr>
        <w:jc w:val="center"/>
        <w:rPr>
          <w:b/>
          <w:bCs/>
        </w:rPr>
      </w:pPr>
      <w:r w:rsidRPr="00860BD5">
        <w:rPr>
          <w:b/>
          <w:bCs/>
        </w:rPr>
        <w:t xml:space="preserve">Ministru kabineta rīkojuma projekta </w:t>
      </w:r>
      <w:r w:rsidR="00427FC9">
        <w:rPr>
          <w:b/>
          <w:bCs/>
        </w:rPr>
        <w:t>“</w:t>
      </w:r>
      <w:r w:rsidRPr="00860BD5">
        <w:rPr>
          <w:b/>
          <w:bCs/>
        </w:rPr>
        <w:t>Grozījumi Ministru kabineta 2017.gada 23.augusta rīkojumā Nr.</w:t>
      </w:r>
      <w:r w:rsidRPr="40AF04F7">
        <w:rPr>
          <w:b/>
          <w:bCs/>
        </w:rPr>
        <w:t>4</w:t>
      </w:r>
      <w:r w:rsidR="0674B4AC" w:rsidRPr="40AF04F7">
        <w:rPr>
          <w:b/>
          <w:bCs/>
        </w:rPr>
        <w:t>4</w:t>
      </w:r>
      <w:r w:rsidRPr="40AF04F7">
        <w:rPr>
          <w:b/>
          <w:bCs/>
        </w:rPr>
        <w:t>8</w:t>
      </w:r>
      <w:r w:rsidRPr="00860BD5">
        <w:rPr>
          <w:b/>
          <w:bCs/>
        </w:rPr>
        <w:t xml:space="preserve"> “Par informācijas sabiedrības attīstības pamatnostādņu ieviešanu publiskās pārvaldes informācijas sistēmu jomā (</w:t>
      </w:r>
      <w:proofErr w:type="spellStart"/>
      <w:r w:rsidRPr="00860BD5">
        <w:rPr>
          <w:b/>
          <w:bCs/>
        </w:rPr>
        <w:t>mērķarhitektūras</w:t>
      </w:r>
      <w:proofErr w:type="spellEnd"/>
      <w:r w:rsidRPr="00860BD5">
        <w:rPr>
          <w:b/>
          <w:bCs/>
        </w:rPr>
        <w:t xml:space="preserve"> 34.0 versija)”</w:t>
      </w:r>
      <w:r w:rsidR="008A47BF">
        <w:rPr>
          <w:b/>
          <w:bCs/>
        </w:rPr>
        <w:t>”</w:t>
      </w:r>
      <w:r w:rsidRPr="00860BD5">
        <w:rPr>
          <w:b/>
          <w:bCs/>
        </w:rPr>
        <w:t xml:space="preserve"> sākotnējās ietekmes novērtējuma ziņojums (anotācija)</w:t>
      </w:r>
    </w:p>
    <w:p w14:paraId="27241070" w14:textId="77777777" w:rsidR="00C86F1A" w:rsidRPr="00860BD5" w:rsidRDefault="00C86F1A" w:rsidP="000D186F">
      <w:pPr>
        <w:jc w:val="center"/>
        <w:rPr>
          <w:b/>
          <w:bCs/>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72"/>
        <w:gridCol w:w="5718"/>
      </w:tblGrid>
      <w:tr w:rsidR="000D186F" w:rsidRPr="00860BD5" w14:paraId="486AB761" w14:textId="77777777" w:rsidTr="004D0BF7">
        <w:trPr>
          <w:cantSplit/>
          <w:tblCellSpacing w:w="20" w:type="dxa"/>
        </w:trPr>
        <w:tc>
          <w:tcPr>
            <w:tcW w:w="8296" w:type="dxa"/>
            <w:gridSpan w:val="2"/>
            <w:shd w:val="clear" w:color="auto" w:fill="FFFFFF" w:themeFill="background1"/>
            <w:vAlign w:val="center"/>
            <w:hideMark/>
          </w:tcPr>
          <w:p w14:paraId="3E83268D" w14:textId="157AC426" w:rsidR="00EF403D" w:rsidRPr="00EF403D" w:rsidRDefault="000D186F" w:rsidP="00EF403D">
            <w:pPr>
              <w:jc w:val="center"/>
              <w:rPr>
                <w:iCs/>
                <w:lang w:eastAsia="en-US"/>
              </w:rPr>
            </w:pPr>
            <w:r w:rsidRPr="00860BD5">
              <w:rPr>
                <w:b/>
                <w:iCs/>
                <w:lang w:eastAsia="en-US"/>
              </w:rPr>
              <w:t>Tiesību akta projekta anotācijas kopsavilkums</w:t>
            </w:r>
          </w:p>
        </w:tc>
      </w:tr>
      <w:tr w:rsidR="000D186F" w:rsidRPr="00860BD5" w14:paraId="4828DB87" w14:textId="77777777" w:rsidTr="004D0BF7">
        <w:trPr>
          <w:cantSplit/>
          <w:tblCellSpacing w:w="20" w:type="dxa"/>
        </w:trPr>
        <w:tc>
          <w:tcPr>
            <w:tcW w:w="2547" w:type="dxa"/>
            <w:shd w:val="clear" w:color="auto" w:fill="FFFFFF" w:themeFill="background1"/>
            <w:hideMark/>
          </w:tcPr>
          <w:p w14:paraId="0EFCF294" w14:textId="77777777" w:rsidR="000D186F" w:rsidRDefault="000D186F" w:rsidP="007C2FD2">
            <w:pPr>
              <w:rPr>
                <w:iCs/>
                <w:lang w:eastAsia="en-US"/>
              </w:rPr>
            </w:pPr>
            <w:r w:rsidRPr="00860BD5">
              <w:rPr>
                <w:iCs/>
                <w:lang w:eastAsia="en-US"/>
              </w:rPr>
              <w:t>Mērķis, risinājums un projekta spēkā stāšanās laiks (500 zīmes bez atstarpēm)</w:t>
            </w:r>
          </w:p>
          <w:p w14:paraId="3806BD31" w14:textId="77777777" w:rsidR="00EF403D" w:rsidRPr="00EF403D" w:rsidRDefault="00EF403D" w:rsidP="00EF403D">
            <w:pPr>
              <w:rPr>
                <w:lang w:eastAsia="en-US"/>
              </w:rPr>
            </w:pPr>
          </w:p>
          <w:p w14:paraId="6AF652DA" w14:textId="77777777" w:rsidR="00EF403D" w:rsidRPr="00EF403D" w:rsidRDefault="00EF403D" w:rsidP="00EF403D">
            <w:pPr>
              <w:rPr>
                <w:lang w:eastAsia="en-US"/>
              </w:rPr>
            </w:pPr>
          </w:p>
          <w:p w14:paraId="423447C6" w14:textId="77777777" w:rsidR="00EF403D" w:rsidRPr="00EF403D" w:rsidRDefault="00EF403D" w:rsidP="00EF403D">
            <w:pPr>
              <w:rPr>
                <w:lang w:eastAsia="en-US"/>
              </w:rPr>
            </w:pPr>
          </w:p>
          <w:p w14:paraId="0354879E" w14:textId="77777777" w:rsidR="00EF403D" w:rsidRPr="00EF403D" w:rsidRDefault="00EF403D" w:rsidP="00EF403D">
            <w:pPr>
              <w:rPr>
                <w:lang w:eastAsia="en-US"/>
              </w:rPr>
            </w:pPr>
          </w:p>
          <w:p w14:paraId="1BF05F14" w14:textId="77777777" w:rsidR="00EF403D" w:rsidRPr="00EF403D" w:rsidRDefault="00EF403D" w:rsidP="00EF403D">
            <w:pPr>
              <w:rPr>
                <w:lang w:eastAsia="en-US"/>
              </w:rPr>
            </w:pPr>
          </w:p>
          <w:p w14:paraId="75394361" w14:textId="77777777" w:rsidR="00EF403D" w:rsidRPr="00EF403D" w:rsidRDefault="00EF403D" w:rsidP="00EF403D">
            <w:pPr>
              <w:rPr>
                <w:lang w:eastAsia="en-US"/>
              </w:rPr>
            </w:pPr>
          </w:p>
          <w:p w14:paraId="4109DB01" w14:textId="0E4B2E3B" w:rsidR="00EF403D" w:rsidRPr="00EF403D" w:rsidRDefault="00EF403D" w:rsidP="00EF403D">
            <w:pPr>
              <w:rPr>
                <w:lang w:eastAsia="en-US"/>
              </w:rPr>
            </w:pPr>
          </w:p>
        </w:tc>
        <w:tc>
          <w:tcPr>
            <w:tcW w:w="5749" w:type="dxa"/>
            <w:shd w:val="clear" w:color="auto" w:fill="FFFFFF" w:themeFill="background1"/>
            <w:hideMark/>
          </w:tcPr>
          <w:p w14:paraId="7A25442F" w14:textId="3F64E531" w:rsidR="00C72ED3" w:rsidRDefault="00C72ED3" w:rsidP="00C72ED3">
            <w:pPr>
              <w:ind w:right="44"/>
              <w:jc w:val="both"/>
              <w:rPr>
                <w:bCs/>
              </w:rPr>
            </w:pPr>
            <w:r>
              <w:t>Ar R</w:t>
            </w:r>
            <w:r w:rsidRPr="00860BD5">
              <w:t>īkojum</w:t>
            </w:r>
            <w:r w:rsidR="00C12B28">
              <w:t>a</w:t>
            </w:r>
            <w:r w:rsidRPr="00860BD5">
              <w:t xml:space="preserve"> projekt</w:t>
            </w:r>
            <w:r>
              <w:t xml:space="preserve">u tiek mainīts </w:t>
            </w:r>
            <w:r w:rsidRPr="00860BD5">
              <w:t xml:space="preserve">Veselības ministrijas (turpmāk - VM) </w:t>
            </w:r>
            <w:r w:rsidRPr="001463FB">
              <w:rPr>
                <w:iCs/>
              </w:rPr>
              <w:t xml:space="preserve">īstenotā Eiropas Reģionālās attīstības fonda (turpmāk </w:t>
            </w:r>
            <w:r w:rsidRPr="00860BD5">
              <w:rPr>
                <w:iCs/>
              </w:rPr>
              <w:t>– ERAF) līdzfinansētā projekta</w:t>
            </w:r>
            <w:r w:rsidRPr="00860BD5">
              <w:rPr>
                <w:bCs/>
              </w:rPr>
              <w:t xml:space="preserve"> Nr.2.2.1.1/17/I/028 “Veselības ministrijas un padotības iestāžu IKT centralizācijas atbalsts” (turpmāk </w:t>
            </w:r>
            <w:r>
              <w:rPr>
                <w:bCs/>
              </w:rPr>
              <w:t>–</w:t>
            </w:r>
            <w:r w:rsidRPr="00860BD5">
              <w:rPr>
                <w:bCs/>
              </w:rPr>
              <w:t xml:space="preserve"> Projekts) </w:t>
            </w:r>
            <w:r w:rsidR="00E52844">
              <w:rPr>
                <w:bCs/>
              </w:rPr>
              <w:t>apraksts</w:t>
            </w:r>
            <w:r w:rsidR="00CB4DDD">
              <w:rPr>
                <w:bCs/>
              </w:rPr>
              <w:t xml:space="preserve"> un tvērums</w:t>
            </w:r>
            <w:r w:rsidR="00AC1997">
              <w:rPr>
                <w:bCs/>
              </w:rPr>
              <w:t xml:space="preserve">, izslēdzot </w:t>
            </w:r>
            <w:r w:rsidR="00E33C7D">
              <w:rPr>
                <w:bCs/>
              </w:rPr>
              <w:t xml:space="preserve">atsevišķas </w:t>
            </w:r>
            <w:r w:rsidR="00031A49">
              <w:rPr>
                <w:bCs/>
              </w:rPr>
              <w:t xml:space="preserve">paredzētās </w:t>
            </w:r>
            <w:r w:rsidR="00AC1997">
              <w:rPr>
                <w:bCs/>
              </w:rPr>
              <w:t>darbības</w:t>
            </w:r>
            <w:r w:rsidR="00031A49">
              <w:rPr>
                <w:bCs/>
              </w:rPr>
              <w:t>,</w:t>
            </w:r>
            <w:r>
              <w:rPr>
                <w:bCs/>
              </w:rPr>
              <w:t xml:space="preserve"> un </w:t>
            </w:r>
            <w:r w:rsidR="00CB4DDD">
              <w:rPr>
                <w:bCs/>
              </w:rPr>
              <w:t xml:space="preserve">tiek samazināts </w:t>
            </w:r>
            <w:r>
              <w:rPr>
                <w:bCs/>
              </w:rPr>
              <w:t>tam piešķirtā finansējuma apjom</w:t>
            </w:r>
            <w:r w:rsidR="00E33C7D">
              <w:rPr>
                <w:bCs/>
              </w:rPr>
              <w:t>s</w:t>
            </w:r>
            <w:r>
              <w:rPr>
                <w:bCs/>
              </w:rPr>
              <w:t>.</w:t>
            </w:r>
          </w:p>
          <w:p w14:paraId="62B3814A" w14:textId="12977A03" w:rsidR="000D186F" w:rsidRDefault="000D186F" w:rsidP="007C2FD2">
            <w:pPr>
              <w:ind w:right="44"/>
              <w:jc w:val="both"/>
              <w:rPr>
                <w:iCs/>
              </w:rPr>
            </w:pPr>
            <w:r w:rsidRPr="00860BD5">
              <w:rPr>
                <w:iCs/>
              </w:rPr>
              <w:t xml:space="preserve">Rīkojuma projekts stāsies spēkā pēc tā pieņemšanas </w:t>
            </w:r>
            <w:r w:rsidR="00C72ED3" w:rsidRPr="00860BD5">
              <w:t xml:space="preserve">Ministru kabineta (turpmāk – MK) </w:t>
            </w:r>
            <w:r w:rsidRPr="00860BD5">
              <w:rPr>
                <w:iCs/>
              </w:rPr>
              <w:t>sēdē.</w:t>
            </w:r>
          </w:p>
          <w:p w14:paraId="1B73E51A" w14:textId="77777777" w:rsidR="000D186F" w:rsidRPr="00860BD5" w:rsidRDefault="000D186F" w:rsidP="007C2FD2">
            <w:pPr>
              <w:ind w:left="360"/>
              <w:jc w:val="both"/>
              <w:rPr>
                <w:lang w:eastAsia="en-US"/>
              </w:rPr>
            </w:pPr>
          </w:p>
        </w:tc>
      </w:tr>
    </w:tbl>
    <w:p w14:paraId="627AB603" w14:textId="77777777" w:rsidR="000D186F" w:rsidRPr="00860BD5" w:rsidRDefault="000D186F" w:rsidP="000D186F">
      <w:pPr>
        <w:pStyle w:val="Title"/>
        <w:spacing w:before="130" w:line="260" w:lineRule="exact"/>
        <w:ind w:firstLine="539"/>
        <w:jc w:val="both"/>
        <w:rPr>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1863"/>
        <w:gridCol w:w="5895"/>
      </w:tblGrid>
      <w:tr w:rsidR="000D186F" w:rsidRPr="00860BD5" w14:paraId="5C04D015" w14:textId="77777777" w:rsidTr="00163A48">
        <w:trPr>
          <w:trHeight w:val="457"/>
          <w:tblCellSpacing w:w="20" w:type="dxa"/>
        </w:trPr>
        <w:tc>
          <w:tcPr>
            <w:tcW w:w="5000" w:type="pct"/>
            <w:gridSpan w:val="3"/>
            <w:vAlign w:val="center"/>
            <w:hideMark/>
          </w:tcPr>
          <w:p w14:paraId="2B5B1E82" w14:textId="77777777" w:rsidR="00EF403D" w:rsidRDefault="000D186F" w:rsidP="00EF403D">
            <w:pPr>
              <w:jc w:val="center"/>
            </w:pPr>
            <w:r w:rsidRPr="00860BD5">
              <w:br w:type="page"/>
            </w:r>
            <w:r w:rsidRPr="00860BD5">
              <w:rPr>
                <w:b/>
                <w:bCs/>
              </w:rPr>
              <w:t>I. Tiesību akta projekta izstrādes nepieciešamība</w:t>
            </w:r>
          </w:p>
          <w:p w14:paraId="214B2CDD" w14:textId="25D376CD" w:rsidR="00C57AD3" w:rsidRPr="00C57AD3" w:rsidRDefault="00C57AD3" w:rsidP="00E33321"/>
        </w:tc>
      </w:tr>
      <w:tr w:rsidR="000D186F" w:rsidRPr="00860BD5" w14:paraId="73B787CA" w14:textId="77777777" w:rsidTr="00163A48">
        <w:trPr>
          <w:tblCellSpacing w:w="20" w:type="dxa"/>
        </w:trPr>
        <w:tc>
          <w:tcPr>
            <w:tcW w:w="311" w:type="pct"/>
            <w:hideMark/>
          </w:tcPr>
          <w:p w14:paraId="3FAF9F81" w14:textId="77777777" w:rsidR="000D186F" w:rsidRPr="00860BD5" w:rsidRDefault="000D186F" w:rsidP="007C2FD2">
            <w:pPr>
              <w:jc w:val="center"/>
            </w:pPr>
            <w:r w:rsidRPr="00860BD5">
              <w:t>1.</w:t>
            </w:r>
          </w:p>
        </w:tc>
        <w:tc>
          <w:tcPr>
            <w:tcW w:w="1080" w:type="pct"/>
            <w:hideMark/>
          </w:tcPr>
          <w:p w14:paraId="4F33CD3F" w14:textId="77777777" w:rsidR="000D186F" w:rsidRDefault="000D186F" w:rsidP="007C2FD2">
            <w:r w:rsidRPr="00860BD5">
              <w:t>Pamatojums</w:t>
            </w:r>
          </w:p>
          <w:p w14:paraId="206B1D74" w14:textId="77777777" w:rsidR="00EF403D" w:rsidRPr="00EF403D" w:rsidRDefault="00EF403D" w:rsidP="00EF403D"/>
          <w:p w14:paraId="1B2DFCFB" w14:textId="77777777" w:rsidR="00EF403D" w:rsidRPr="00EF403D" w:rsidRDefault="00EF403D" w:rsidP="00EF403D"/>
          <w:p w14:paraId="4667E38B" w14:textId="77777777" w:rsidR="00EF403D" w:rsidRPr="00EF403D" w:rsidRDefault="00EF403D" w:rsidP="00EF403D"/>
          <w:p w14:paraId="4E54DA46" w14:textId="77777777" w:rsidR="00EF403D" w:rsidRPr="00EF403D" w:rsidRDefault="00EF403D" w:rsidP="00EF403D"/>
          <w:p w14:paraId="36E45888" w14:textId="77777777" w:rsidR="00EF403D" w:rsidRPr="00EF403D" w:rsidRDefault="00EF403D" w:rsidP="00EF403D"/>
          <w:p w14:paraId="23F805DF" w14:textId="77777777" w:rsidR="00EF403D" w:rsidRPr="00EF403D" w:rsidRDefault="00EF403D" w:rsidP="00EF403D"/>
          <w:p w14:paraId="697EEC09" w14:textId="77777777" w:rsidR="00EF403D" w:rsidRPr="00EF403D" w:rsidRDefault="00EF403D" w:rsidP="00EF403D"/>
          <w:p w14:paraId="29A30058" w14:textId="77777777" w:rsidR="00EF403D" w:rsidRPr="00EF403D" w:rsidRDefault="00EF403D" w:rsidP="00EF403D"/>
          <w:p w14:paraId="54E74A6D" w14:textId="77777777" w:rsidR="00EF403D" w:rsidRPr="00EF403D" w:rsidRDefault="00EF403D" w:rsidP="00EF403D"/>
          <w:p w14:paraId="6EBE1B63" w14:textId="77777777" w:rsidR="00EF403D" w:rsidRPr="00EF403D" w:rsidRDefault="00EF403D" w:rsidP="00EF403D"/>
          <w:p w14:paraId="051297CF" w14:textId="77777777" w:rsidR="00EF403D" w:rsidRPr="00EF403D" w:rsidRDefault="00EF403D" w:rsidP="00EF403D"/>
          <w:p w14:paraId="64A79ABD" w14:textId="77777777" w:rsidR="00EF403D" w:rsidRDefault="00EF403D" w:rsidP="00EF403D"/>
          <w:p w14:paraId="4F86E497" w14:textId="47A10FEB" w:rsidR="00C57AD3" w:rsidRPr="00C57AD3" w:rsidRDefault="00C57AD3" w:rsidP="00C57AD3"/>
        </w:tc>
        <w:tc>
          <w:tcPr>
            <w:tcW w:w="3609" w:type="pct"/>
            <w:hideMark/>
          </w:tcPr>
          <w:p w14:paraId="5E6EF36E" w14:textId="1A73DEA2" w:rsidR="00A10943" w:rsidRDefault="002D523E" w:rsidP="003E5B27">
            <w:pPr>
              <w:pStyle w:val="ListParagraph"/>
              <w:numPr>
                <w:ilvl w:val="0"/>
                <w:numId w:val="2"/>
              </w:numPr>
              <w:ind w:left="496" w:right="46" w:hanging="283"/>
              <w:jc w:val="both"/>
            </w:pPr>
            <w:r w:rsidRPr="00860BD5">
              <w:t xml:space="preserve">MK 2015.gada 17.novembra </w:t>
            </w:r>
            <w:r>
              <w:t>noteikumi Nr.</w:t>
            </w:r>
            <w:r w:rsidRPr="00860BD5">
              <w:t xml:space="preserve"> 653 “Darbības programmas “Izaugsme un nodarbinātība” 2.2.1.specifiskā atbalsta mērķa “Nodrošināt publisko datu </w:t>
            </w:r>
            <w:proofErr w:type="spellStart"/>
            <w:r w:rsidRPr="00860BD5">
              <w:t>atkalizmantošanas</w:t>
            </w:r>
            <w:proofErr w:type="spellEnd"/>
            <w:r w:rsidRPr="00860BD5">
              <w:t xml:space="preserve"> pieaugumu un efektīvu publiskās pārvaldes un privātā sektora mijiedarbību” 2.2.1.1.pasākuma “Centralizētu publiskās pārvaldes IKT platformu izveide, publiskās pārvaldes procesu optimizēšana un attīstība” īstenošanas noteikumi”</w:t>
            </w:r>
            <w:r w:rsidR="4C39AA40">
              <w:t xml:space="preserve"> 4. punkts.</w:t>
            </w:r>
          </w:p>
          <w:p w14:paraId="153A2C05" w14:textId="2B377DAC" w:rsidR="000D186F" w:rsidRPr="00860BD5" w:rsidRDefault="000D186F" w:rsidP="00A3428E">
            <w:pPr>
              <w:pStyle w:val="ListParagraph"/>
              <w:numPr>
                <w:ilvl w:val="0"/>
                <w:numId w:val="2"/>
              </w:numPr>
              <w:ind w:left="496" w:right="46" w:hanging="283"/>
              <w:jc w:val="both"/>
            </w:pPr>
            <w:r>
              <w:t>MK 2016.gada 10. februāra rīkojuma Nr.136 “Par informācijas sabiedrības attīstības pamatnostādņu ieviešanu publiskās pārvaldes informācijas sistēmu jomā”  4.</w:t>
            </w:r>
            <w:r>
              <w:rPr>
                <w:vertAlign w:val="superscript"/>
              </w:rPr>
              <w:t xml:space="preserve">1 </w:t>
            </w:r>
            <w:r>
              <w:t>punkt</w:t>
            </w:r>
            <w:r w:rsidR="023EC535">
              <w:t>s</w:t>
            </w:r>
            <w:r w:rsidR="00AD4322">
              <w:t>.</w:t>
            </w:r>
            <w:r>
              <w:t xml:space="preserve"> </w:t>
            </w:r>
          </w:p>
        </w:tc>
      </w:tr>
      <w:tr w:rsidR="000D186F" w:rsidRPr="00860BD5" w14:paraId="08FA566C" w14:textId="77777777" w:rsidTr="00163A48">
        <w:trPr>
          <w:tblCellSpacing w:w="20" w:type="dxa"/>
        </w:trPr>
        <w:tc>
          <w:tcPr>
            <w:tcW w:w="311" w:type="pct"/>
            <w:hideMark/>
          </w:tcPr>
          <w:p w14:paraId="62E157A0" w14:textId="77777777" w:rsidR="000D186F" w:rsidRPr="00860BD5" w:rsidRDefault="000D186F" w:rsidP="007C2FD2">
            <w:pPr>
              <w:jc w:val="center"/>
            </w:pPr>
            <w:r w:rsidRPr="00860BD5">
              <w:t>2.</w:t>
            </w:r>
          </w:p>
        </w:tc>
        <w:tc>
          <w:tcPr>
            <w:tcW w:w="1080" w:type="pct"/>
            <w:hideMark/>
          </w:tcPr>
          <w:p w14:paraId="79EB9014" w14:textId="77777777" w:rsidR="000D186F" w:rsidRPr="00860BD5" w:rsidRDefault="000D186F" w:rsidP="007C2FD2">
            <w:r w:rsidRPr="00860BD5">
              <w:t>Pašreizējā situācija un problēmas, kuru risināšanai tiesību akta projekts izstrādāts, tiesiskā regulējuma mērķis un būtība</w:t>
            </w:r>
          </w:p>
        </w:tc>
        <w:tc>
          <w:tcPr>
            <w:tcW w:w="3609" w:type="pct"/>
            <w:hideMark/>
          </w:tcPr>
          <w:p w14:paraId="5D03523D" w14:textId="395A22DD" w:rsidR="000D186F" w:rsidRPr="00B06D1C" w:rsidRDefault="000D186F" w:rsidP="00B3615B">
            <w:pPr>
              <w:ind w:right="46"/>
              <w:jc w:val="both"/>
              <w:rPr>
                <w:bCs/>
              </w:rPr>
            </w:pPr>
            <w:r w:rsidRPr="00B06D1C">
              <w:rPr>
                <w:rStyle w:val="normaltextrun"/>
              </w:rPr>
              <w:t xml:space="preserve">Projekta </w:t>
            </w:r>
            <w:r w:rsidRPr="00B06D1C">
              <w:rPr>
                <w:bCs/>
              </w:rPr>
              <w:t>“Veselības ministrijas</w:t>
            </w:r>
            <w:r w:rsidR="009B7B3A">
              <w:rPr>
                <w:bCs/>
              </w:rPr>
              <w:t xml:space="preserve"> </w:t>
            </w:r>
            <w:r w:rsidRPr="00B06D1C">
              <w:rPr>
                <w:bCs/>
              </w:rPr>
              <w:t xml:space="preserve">un padotības iestāžu IKT centralizācijas atbalsts” apraksts (kopsavilkums) </w:t>
            </w:r>
            <w:r w:rsidRPr="00B06D1C">
              <w:rPr>
                <w:rStyle w:val="normaltextrun"/>
              </w:rPr>
              <w:t>apstiprināts a</w:t>
            </w:r>
            <w:r w:rsidRPr="00B06D1C">
              <w:t>r MK 2017.gada 23.augusta rīkojumu Nr.4</w:t>
            </w:r>
            <w:r w:rsidR="003C344E">
              <w:t>4</w:t>
            </w:r>
            <w:r w:rsidRPr="00B06D1C">
              <w:t>8 “</w:t>
            </w:r>
            <w:r w:rsidRPr="00B06D1C">
              <w:rPr>
                <w:rStyle w:val="normaltextrun"/>
              </w:rPr>
              <w:t>Par informācijas sabiedrības attīstības pamatnostādņu</w:t>
            </w:r>
            <w:r w:rsidRPr="00B06D1C">
              <w:rPr>
                <w:rStyle w:val="eop"/>
              </w:rPr>
              <w:t> </w:t>
            </w:r>
            <w:r w:rsidRPr="00B06D1C">
              <w:rPr>
                <w:rStyle w:val="normaltextrun"/>
              </w:rPr>
              <w:t>ieviešanu publiskās pārvaldes informācijas sistēmu jomā</w:t>
            </w:r>
            <w:r w:rsidR="009B7B3A">
              <w:rPr>
                <w:rStyle w:val="normaltextrun"/>
              </w:rPr>
              <w:t xml:space="preserve"> </w:t>
            </w:r>
            <w:r w:rsidRPr="00B06D1C">
              <w:rPr>
                <w:rStyle w:val="normaltextrun"/>
              </w:rPr>
              <w:t>(</w:t>
            </w:r>
            <w:proofErr w:type="spellStart"/>
            <w:r w:rsidRPr="00B06D1C">
              <w:rPr>
                <w:rStyle w:val="normaltextrun"/>
              </w:rPr>
              <w:t>mērķarhitektūras</w:t>
            </w:r>
            <w:proofErr w:type="spellEnd"/>
            <w:r w:rsidR="009B7B3A">
              <w:rPr>
                <w:rStyle w:val="normaltextrun"/>
              </w:rPr>
              <w:t xml:space="preserve"> </w:t>
            </w:r>
            <w:r w:rsidRPr="00B06D1C">
              <w:rPr>
                <w:rStyle w:val="normaltextrun"/>
              </w:rPr>
              <w:t>34.0</w:t>
            </w:r>
            <w:r w:rsidR="009B7B3A">
              <w:rPr>
                <w:rStyle w:val="normaltextrun"/>
              </w:rPr>
              <w:t xml:space="preserve"> </w:t>
            </w:r>
            <w:r w:rsidRPr="00B06D1C">
              <w:rPr>
                <w:rStyle w:val="normaltextrun"/>
              </w:rPr>
              <w:t>versija)” (turpmāk – MK rīkojums Nr. 4</w:t>
            </w:r>
            <w:r w:rsidR="003C344E">
              <w:rPr>
                <w:rStyle w:val="normaltextrun"/>
              </w:rPr>
              <w:t>4</w:t>
            </w:r>
            <w:r w:rsidRPr="00B06D1C">
              <w:rPr>
                <w:rStyle w:val="normaltextrun"/>
              </w:rPr>
              <w:t xml:space="preserve">8), nosakot minētā </w:t>
            </w:r>
            <w:r w:rsidR="00AC5037">
              <w:rPr>
                <w:iCs/>
              </w:rPr>
              <w:t>P</w:t>
            </w:r>
            <w:r w:rsidRPr="00B06D1C">
              <w:rPr>
                <w:iCs/>
              </w:rPr>
              <w:t>rojekta darbības, īstenošanas laiku un finansējuma kopējo apjomu.</w:t>
            </w:r>
          </w:p>
          <w:p w14:paraId="6376DB7B" w14:textId="3DC9A8CE" w:rsidR="000D186F" w:rsidRDefault="000D186F" w:rsidP="00B3615B">
            <w:pPr>
              <w:pStyle w:val="Default"/>
              <w:jc w:val="both"/>
            </w:pPr>
            <w:r w:rsidRPr="00B06D1C">
              <w:t xml:space="preserve">Vienošanās </w:t>
            </w:r>
            <w:r w:rsidRPr="00B06D1C">
              <w:rPr>
                <w:bCs/>
              </w:rPr>
              <w:t xml:space="preserve">Nr.2.2.1.1/17/I/028 starp VM un </w:t>
            </w:r>
            <w:r w:rsidRPr="00B06D1C">
              <w:rPr>
                <w:iCs/>
              </w:rPr>
              <w:t>Centrālo finanšu un līgumu aģentūru</w:t>
            </w:r>
            <w:r w:rsidRPr="00B06D1C">
              <w:rPr>
                <w:b/>
                <w:bCs/>
                <w:iCs/>
              </w:rPr>
              <w:t xml:space="preserve"> </w:t>
            </w:r>
            <w:r w:rsidRPr="00B06D1C">
              <w:rPr>
                <w:bCs/>
              </w:rPr>
              <w:t xml:space="preserve">(turpmāk - </w:t>
            </w:r>
            <w:r w:rsidR="00F07B85">
              <w:t xml:space="preserve">CFLA) </w:t>
            </w:r>
            <w:r w:rsidRPr="00F07B85">
              <w:t>par</w:t>
            </w:r>
            <w:r>
              <w:t xml:space="preserve"> </w:t>
            </w:r>
            <w:r w:rsidR="003E5B27">
              <w:t>P</w:t>
            </w:r>
            <w:r>
              <w:t>rojekta</w:t>
            </w:r>
            <w:r w:rsidRPr="00B06D1C">
              <w:rPr>
                <w:bCs/>
              </w:rPr>
              <w:t xml:space="preserve"> īstenošanu </w:t>
            </w:r>
            <w:r w:rsidR="00725C65">
              <w:t xml:space="preserve">tika </w:t>
            </w:r>
            <w:r w:rsidRPr="00B06D1C">
              <w:rPr>
                <w:bCs/>
              </w:rPr>
              <w:t xml:space="preserve">noslēgta </w:t>
            </w:r>
            <w:r w:rsidRPr="00B06D1C">
              <w:t xml:space="preserve">2018.gada 16.martā, nosakot sākotnējo </w:t>
            </w:r>
            <w:r w:rsidR="0078494E">
              <w:t>P</w:t>
            </w:r>
            <w:r w:rsidRPr="00B06D1C">
              <w:t xml:space="preserve">rojekta darbību īstenošanas laiku – </w:t>
            </w:r>
            <w:r w:rsidR="00875BB9">
              <w:t>2</w:t>
            </w:r>
            <w:r>
              <w:t>6</w:t>
            </w:r>
            <w:r w:rsidRPr="00B06D1C">
              <w:t xml:space="preserve"> mēneši, t.i. līdz 2020.gada 15.maijam, </w:t>
            </w:r>
            <w:r w:rsidR="0078494E">
              <w:t>P</w:t>
            </w:r>
            <w:r w:rsidRPr="00B06D1C">
              <w:t xml:space="preserve">rojekta finansējuma </w:t>
            </w:r>
            <w:r>
              <w:t>kopēj</w:t>
            </w:r>
            <w:r w:rsidR="0042210D">
              <w:t>o</w:t>
            </w:r>
            <w:r>
              <w:t xml:space="preserve"> apjom</w:t>
            </w:r>
            <w:r w:rsidR="00891CE4">
              <w:t>u</w:t>
            </w:r>
            <w:r w:rsidR="00722E85">
              <w:t xml:space="preserve"> </w:t>
            </w:r>
            <w:r w:rsidR="00722E85" w:rsidRPr="00B06D1C">
              <w:rPr>
                <w:rStyle w:val="normaltextrun"/>
              </w:rPr>
              <w:t>–</w:t>
            </w:r>
            <w:r w:rsidRPr="00B06D1C">
              <w:t xml:space="preserve"> 3 500 000,00 </w:t>
            </w:r>
            <w:proofErr w:type="spellStart"/>
            <w:r w:rsidRPr="00B06D1C">
              <w:rPr>
                <w:i/>
                <w:iCs/>
              </w:rPr>
              <w:t>euro</w:t>
            </w:r>
            <w:proofErr w:type="spellEnd"/>
            <w:r w:rsidR="00B3615B">
              <w:t>.</w:t>
            </w:r>
            <w:r w:rsidR="004C28A6">
              <w:t xml:space="preserve"> </w:t>
            </w:r>
            <w:r w:rsidR="00F07B85">
              <w:t xml:space="preserve">Vienošanās ar </w:t>
            </w:r>
            <w:r w:rsidR="003B0857">
              <w:t xml:space="preserve">CFLA </w:t>
            </w:r>
            <w:r w:rsidR="003B0857">
              <w:lastRenderedPageBreak/>
              <w:t>grozījumu rezultātā</w:t>
            </w:r>
            <w:r w:rsidR="008E0424">
              <w:t xml:space="preserve"> </w:t>
            </w:r>
            <w:r w:rsidR="00536339">
              <w:t>Projekta īstenošanas termiņš tika pagarināts</w:t>
            </w:r>
            <w:r w:rsidR="00B97F04">
              <w:t xml:space="preserve">, nosakot </w:t>
            </w:r>
            <w:r w:rsidR="0078494E">
              <w:t>P</w:t>
            </w:r>
            <w:r w:rsidR="00B97F04">
              <w:t>rojekta darbību īstenošanas laiku – 36</w:t>
            </w:r>
            <w:r w:rsidR="00B72A2F" w:rsidRPr="00860BD5">
              <w:t> </w:t>
            </w:r>
            <w:r w:rsidR="00B97F04">
              <w:t xml:space="preserve"> mēneši, t.i. līdz 202</w:t>
            </w:r>
            <w:r w:rsidR="001330D4">
              <w:t>1</w:t>
            </w:r>
            <w:r w:rsidR="00B97F04">
              <w:t>.gada 15.ma</w:t>
            </w:r>
            <w:r w:rsidR="001330D4">
              <w:t>rtam</w:t>
            </w:r>
            <w:r w:rsidR="00B97F04">
              <w:t xml:space="preserve">, </w:t>
            </w:r>
            <w:r w:rsidR="00E31799">
              <w:rPr>
                <w:lang w:eastAsia="zh-CN"/>
              </w:rPr>
              <w:t>ņemot vērā uz Projektu attiecināmās neatbilstoši veiktās izmaksas</w:t>
            </w:r>
            <w:r w:rsidR="00DD4F87">
              <w:rPr>
                <w:lang w:eastAsia="zh-CN"/>
              </w:rPr>
              <w:t xml:space="preserve"> </w:t>
            </w:r>
            <w:r w:rsidR="00BC0802" w:rsidRPr="00B06D1C">
              <w:rPr>
                <w:rStyle w:val="normaltextrun"/>
              </w:rPr>
              <w:t>–</w:t>
            </w:r>
            <w:r w:rsidR="00E31799">
              <w:t xml:space="preserve"> </w:t>
            </w:r>
            <w:r w:rsidR="00BC0802">
              <w:t xml:space="preserve"> </w:t>
            </w:r>
            <w:r w:rsidR="0078494E">
              <w:t>P</w:t>
            </w:r>
            <w:r w:rsidR="00B97F04">
              <w:t xml:space="preserve">rojekta finansējuma </w:t>
            </w:r>
            <w:r w:rsidR="00BC0802">
              <w:t xml:space="preserve"> </w:t>
            </w:r>
            <w:r w:rsidR="00B97F04">
              <w:t>kopēj</w:t>
            </w:r>
            <w:r w:rsidR="00BC0802">
              <w:t>o</w:t>
            </w:r>
            <w:r w:rsidR="00B97F04">
              <w:t xml:space="preserve"> apjom</w:t>
            </w:r>
            <w:r w:rsidR="00BC0802">
              <w:t xml:space="preserve">u </w:t>
            </w:r>
            <w:r w:rsidR="00196079" w:rsidRPr="00B06D1C">
              <w:rPr>
                <w:rStyle w:val="normaltextrun"/>
              </w:rPr>
              <w:t>–</w:t>
            </w:r>
            <w:r w:rsidR="00BC0802">
              <w:rPr>
                <w:rStyle w:val="normaltextrun"/>
              </w:rPr>
              <w:t xml:space="preserve"> </w:t>
            </w:r>
            <w:r w:rsidR="001330D4" w:rsidRPr="006D1511">
              <w:t>3</w:t>
            </w:r>
            <w:r w:rsidR="00B72A2F">
              <w:t> </w:t>
            </w:r>
            <w:r w:rsidR="001330D4" w:rsidRPr="006D1511">
              <w:t>498</w:t>
            </w:r>
            <w:r w:rsidR="00B72A2F" w:rsidRPr="00860BD5">
              <w:t> </w:t>
            </w:r>
            <w:r w:rsidR="001330D4" w:rsidRPr="006D1511">
              <w:t xml:space="preserve">211,36 </w:t>
            </w:r>
            <w:proofErr w:type="spellStart"/>
            <w:r w:rsidR="001330D4" w:rsidRPr="006D1511">
              <w:rPr>
                <w:i/>
                <w:iCs/>
              </w:rPr>
              <w:t>euro</w:t>
            </w:r>
            <w:proofErr w:type="spellEnd"/>
            <w:r w:rsidR="00B97F04">
              <w:t>.</w:t>
            </w:r>
          </w:p>
          <w:p w14:paraId="13B1FD32" w14:textId="2E4B16F8" w:rsidR="002959A6" w:rsidRDefault="002959A6" w:rsidP="00B3615B">
            <w:pPr>
              <w:pStyle w:val="Default"/>
              <w:jc w:val="both"/>
            </w:pPr>
          </w:p>
          <w:p w14:paraId="57432072" w14:textId="60D93F41" w:rsidR="000D186F" w:rsidRPr="00B06D1C" w:rsidRDefault="000D186F" w:rsidP="007C2FD2">
            <w:pPr>
              <w:ind w:right="46"/>
              <w:jc w:val="both"/>
              <w:rPr>
                <w:bCs/>
              </w:rPr>
            </w:pPr>
            <w:r w:rsidRPr="00B06D1C">
              <w:rPr>
                <w:bCs/>
              </w:rPr>
              <w:t xml:space="preserve">Atbilstoši Vienošanās Nr.2.2.1.1/17/I/028 aktuālajai redakcijai Projektā </w:t>
            </w:r>
            <w:r w:rsidR="009B7C1C">
              <w:rPr>
                <w:bCs/>
              </w:rPr>
              <w:t>bija</w:t>
            </w:r>
            <w:r w:rsidRPr="00B06D1C">
              <w:rPr>
                <w:bCs/>
              </w:rPr>
              <w:t xml:space="preserve"> paredzētas tādas darbības kā:</w:t>
            </w:r>
          </w:p>
          <w:p w14:paraId="45409852" w14:textId="5BF948D2" w:rsidR="000D186F" w:rsidRPr="00B06D1C" w:rsidRDefault="000D186F" w:rsidP="002529D3">
            <w:pPr>
              <w:pStyle w:val="Default"/>
              <w:numPr>
                <w:ilvl w:val="0"/>
                <w:numId w:val="12"/>
              </w:numPr>
              <w:ind w:left="723" w:right="46"/>
              <w:jc w:val="both"/>
            </w:pPr>
            <w:r w:rsidRPr="00B06D1C">
              <w:t>VM un padotības iestāžu IKT infrastruktūras arhitektūras pielāgošana centralizēto IT sistēmu ieviešanai un migrācijas nodrošināšana;</w:t>
            </w:r>
          </w:p>
          <w:p w14:paraId="5A2052A3" w14:textId="4A444087" w:rsidR="000D186F" w:rsidRPr="00B06D1C" w:rsidRDefault="000D186F" w:rsidP="002529D3">
            <w:pPr>
              <w:pStyle w:val="Default"/>
              <w:numPr>
                <w:ilvl w:val="0"/>
                <w:numId w:val="12"/>
              </w:numPr>
              <w:ind w:left="723" w:right="46"/>
              <w:jc w:val="both"/>
            </w:pPr>
            <w:r w:rsidRPr="00B06D1C">
              <w:t>Centralizētas VM un padotības iestāžu drošības komponentes ieviešana;</w:t>
            </w:r>
          </w:p>
          <w:p w14:paraId="250F10AE" w14:textId="7EC14333" w:rsidR="000D186F" w:rsidRPr="00B06D1C" w:rsidRDefault="000D186F" w:rsidP="002529D3">
            <w:pPr>
              <w:pStyle w:val="Default"/>
              <w:numPr>
                <w:ilvl w:val="0"/>
                <w:numId w:val="12"/>
              </w:numPr>
              <w:ind w:left="723" w:right="46"/>
              <w:jc w:val="both"/>
            </w:pPr>
            <w:r w:rsidRPr="00B06D1C">
              <w:t>Centralizētas resora dokumentu vadības sistēmas ieviešana;</w:t>
            </w:r>
          </w:p>
          <w:p w14:paraId="4DFFB867" w14:textId="3F296694" w:rsidR="000D186F" w:rsidRPr="00B06D1C" w:rsidRDefault="000D186F" w:rsidP="002529D3">
            <w:pPr>
              <w:pStyle w:val="Default"/>
              <w:numPr>
                <w:ilvl w:val="0"/>
                <w:numId w:val="11"/>
              </w:numPr>
              <w:ind w:left="723" w:right="46"/>
              <w:jc w:val="both"/>
            </w:pPr>
            <w:r w:rsidRPr="00B06D1C">
              <w:t>Centralizētas resora finanšu resursu un saimniecisko resursu vadības sistēmas ieviešana;</w:t>
            </w:r>
          </w:p>
          <w:p w14:paraId="66523569" w14:textId="29B4D292" w:rsidR="000D186F" w:rsidRPr="00B06D1C" w:rsidRDefault="000D186F" w:rsidP="002529D3">
            <w:pPr>
              <w:pStyle w:val="Default"/>
              <w:numPr>
                <w:ilvl w:val="0"/>
                <w:numId w:val="11"/>
              </w:numPr>
              <w:ind w:left="723" w:right="46"/>
              <w:jc w:val="both"/>
            </w:pPr>
            <w:r w:rsidRPr="00B06D1C">
              <w:t>Centralizētas resora datu uzkrāšanas, analīzes un publicēšanas sistēmas ieviešana;</w:t>
            </w:r>
          </w:p>
          <w:p w14:paraId="7AD7EFDB" w14:textId="214414E9" w:rsidR="000D186F" w:rsidRPr="00B06D1C" w:rsidRDefault="000D186F" w:rsidP="002529D3">
            <w:pPr>
              <w:pStyle w:val="Default"/>
              <w:numPr>
                <w:ilvl w:val="0"/>
                <w:numId w:val="11"/>
              </w:numPr>
              <w:ind w:left="723" w:right="46"/>
              <w:jc w:val="both"/>
            </w:pPr>
            <w:r w:rsidRPr="00B06D1C">
              <w:t>Centralizētas resora klientu atbalsta informācijas sistēmas ieviešana;</w:t>
            </w:r>
          </w:p>
          <w:p w14:paraId="4919A848" w14:textId="4A9D06A2" w:rsidR="000D186F" w:rsidRPr="00B36098" w:rsidRDefault="000D186F" w:rsidP="002529D3">
            <w:pPr>
              <w:pStyle w:val="Default"/>
              <w:numPr>
                <w:ilvl w:val="0"/>
                <w:numId w:val="11"/>
              </w:numPr>
              <w:ind w:left="723" w:right="46"/>
              <w:jc w:val="both"/>
            </w:pPr>
            <w:r w:rsidRPr="00B06D1C">
              <w:t xml:space="preserve">Centralizētas </w:t>
            </w:r>
            <w:r w:rsidRPr="00B36098">
              <w:t>projektu vadības sistēmas ieviešana</w:t>
            </w:r>
            <w:r w:rsidR="00B06D1C" w:rsidRPr="00B36098">
              <w:t>.</w:t>
            </w:r>
          </w:p>
          <w:p w14:paraId="31129D31" w14:textId="21D8F498" w:rsidR="00B06D1C" w:rsidRPr="00B36098" w:rsidRDefault="00B06D1C" w:rsidP="00B06D1C">
            <w:pPr>
              <w:pStyle w:val="paragraph"/>
              <w:spacing w:before="0" w:beforeAutospacing="0" w:after="0" w:afterAutospacing="0"/>
              <w:jc w:val="both"/>
              <w:textAlignment w:val="baseline"/>
            </w:pPr>
            <w:r w:rsidRPr="00B36098">
              <w:rPr>
                <w:rStyle w:val="eop"/>
              </w:rPr>
              <w:t> </w:t>
            </w:r>
          </w:p>
          <w:p w14:paraId="32253D43" w14:textId="0B22DECA" w:rsidR="00B06D1C" w:rsidRPr="00B36098" w:rsidRDefault="00B06D1C" w:rsidP="00B06D1C">
            <w:pPr>
              <w:pStyle w:val="paragraph"/>
              <w:spacing w:before="0" w:beforeAutospacing="0" w:after="0" w:afterAutospacing="0"/>
              <w:jc w:val="both"/>
              <w:textAlignment w:val="baseline"/>
            </w:pPr>
            <w:r w:rsidRPr="00B36098">
              <w:rPr>
                <w:rStyle w:val="normaltextrun"/>
              </w:rPr>
              <w:t>Projekta norisi būtiski ietekmēja vairāki faktori, kā rezultātā Projektā iestājās risks tā</w:t>
            </w:r>
            <w:r w:rsidR="00B97642">
              <w:rPr>
                <w:rStyle w:val="normaltextrun"/>
              </w:rPr>
              <w:t xml:space="preserve"> </w:t>
            </w:r>
            <w:r w:rsidRPr="00B36098">
              <w:rPr>
                <w:rStyle w:val="normaltextrun"/>
              </w:rPr>
              <w:t>ietvaros</w:t>
            </w:r>
            <w:r w:rsidR="00B97642">
              <w:rPr>
                <w:rStyle w:val="normaltextrun"/>
              </w:rPr>
              <w:t xml:space="preserve"> </w:t>
            </w:r>
            <w:r w:rsidRPr="00B36098">
              <w:rPr>
                <w:rStyle w:val="normaltextrun"/>
              </w:rPr>
              <w:t>plānoto</w:t>
            </w:r>
            <w:r w:rsidR="00B97642">
              <w:rPr>
                <w:rStyle w:val="normaltextrun"/>
              </w:rPr>
              <w:t xml:space="preserve"> </w:t>
            </w:r>
            <w:r w:rsidRPr="00B36098">
              <w:rPr>
                <w:rStyle w:val="normaltextrun"/>
              </w:rPr>
              <w:t>darbību</w:t>
            </w:r>
            <w:r w:rsidR="00B97642">
              <w:rPr>
                <w:rStyle w:val="normaltextrun"/>
              </w:rPr>
              <w:t xml:space="preserve"> </w:t>
            </w:r>
            <w:r w:rsidRPr="00B36098">
              <w:rPr>
                <w:rStyle w:val="normaltextrun"/>
              </w:rPr>
              <w:t>realizēšanu nepagūt īstenot Projektā</w:t>
            </w:r>
            <w:r w:rsidR="009B7B3A">
              <w:rPr>
                <w:rStyle w:val="normaltextrun"/>
              </w:rPr>
              <w:t xml:space="preserve"> </w:t>
            </w:r>
            <w:r w:rsidRPr="00B36098">
              <w:rPr>
                <w:rStyle w:val="normaltextrun"/>
              </w:rPr>
              <w:t>paredzētajā laikā un/vai apjomā:</w:t>
            </w:r>
          </w:p>
          <w:p w14:paraId="59AC12B9" w14:textId="24D004A8" w:rsidR="00B06D1C" w:rsidRPr="00B36098" w:rsidRDefault="00B06D1C" w:rsidP="00B06D1C">
            <w:pPr>
              <w:pStyle w:val="paragraph"/>
              <w:spacing w:before="0" w:beforeAutospacing="0" w:after="0" w:afterAutospacing="0"/>
              <w:jc w:val="both"/>
              <w:textAlignment w:val="baseline"/>
            </w:pPr>
            <w:r w:rsidRPr="6A5AB472">
              <w:rPr>
                <w:rStyle w:val="normaltextrun"/>
              </w:rPr>
              <w:t>1)</w:t>
            </w:r>
            <w:r w:rsidRPr="00B36098">
              <w:rPr>
                <w:rStyle w:val="normaltextrun"/>
              </w:rPr>
              <w:t xml:space="preserve"> riski, kas saistīti ar veiktajiem iepirkumiem elektronisko iepirkumu sistēmā (turpmāk – EIS), kā rezultātā tika</w:t>
            </w:r>
            <w:r w:rsidR="00ED5637">
              <w:rPr>
                <w:rStyle w:val="normaltextrun"/>
              </w:rPr>
              <w:t xml:space="preserve"> </w:t>
            </w:r>
            <w:r w:rsidRPr="00B36098">
              <w:rPr>
                <w:rStyle w:val="normaltextrun"/>
              </w:rPr>
              <w:t>anulēti VM veiktie darījumi (VM/2018/75 un VM/2018/105), kā arī izbeigti VM veiktie darījumi (VM/2018/73 un VM/2018/106), panākot  izlīgumu par naudas atmaksu.</w:t>
            </w:r>
          </w:p>
          <w:p w14:paraId="395725D0" w14:textId="7C5DC82A" w:rsidR="00B06D1C" w:rsidRPr="00B36098" w:rsidRDefault="00B06D1C" w:rsidP="00B06D1C">
            <w:pPr>
              <w:pStyle w:val="paragraph"/>
              <w:spacing w:before="0" w:beforeAutospacing="0" w:after="0" w:afterAutospacing="0"/>
              <w:jc w:val="both"/>
              <w:textAlignment w:val="baseline"/>
            </w:pPr>
            <w:r w:rsidRPr="00B36098">
              <w:rPr>
                <w:rStyle w:val="normaltextrun"/>
              </w:rPr>
              <w:t xml:space="preserve">Saistībā ar </w:t>
            </w:r>
            <w:r w:rsidR="00183983">
              <w:rPr>
                <w:rStyle w:val="normaltextrun"/>
              </w:rPr>
              <w:t>P</w:t>
            </w:r>
            <w:r w:rsidRPr="00B36098">
              <w:rPr>
                <w:rStyle w:val="normaltextrun"/>
              </w:rPr>
              <w:t xml:space="preserve">rojektā veiktajām darbībām un veiktajiem iepirkumiem EIS 2019.gadā maijā tika konstatēts, ka EIS pieejamo produktu un pakalpojumu izplatīšanā ir saskatāmas negodīgas konkurences vai aizliegtas vienošanās pazīmes pakalpojumu sniedzēju starpā. Un, balstoties uz piesaistīto ekspertu sniegto atzinumu, VM vērsās Valsts policijā (2019.gada 29.maija vēstule Nr.01-18.2/2273) ar lūgumu izvērtēt ekspertu sniegto informāciju un savas kompetences ietvaros lemt par nepieciešamo turpmāko rīcību. Valsts policija 2019.gada 30.septembrī uzsāka kriminālprocesu Nr.11514003619 pēc piederības pie noziedzīga nodarījuma grupas objekta saskaņā ar Krimināllikuma XVIII nodaļu, par iespējamām pretlikumīgām darbībām Projektā, </w:t>
            </w:r>
            <w:r w:rsidR="0035609C">
              <w:rPr>
                <w:rStyle w:val="normaltextrun"/>
              </w:rPr>
              <w:t xml:space="preserve">EIS </w:t>
            </w:r>
            <w:r w:rsidRPr="00B36098">
              <w:rPr>
                <w:rStyle w:val="normaltextrun"/>
              </w:rPr>
              <w:t xml:space="preserve">iegādājoties  </w:t>
            </w:r>
            <w:proofErr w:type="spellStart"/>
            <w:r w:rsidRPr="00B36098">
              <w:rPr>
                <w:rStyle w:val="normaltextrun"/>
              </w:rPr>
              <w:t>Owitech</w:t>
            </w:r>
            <w:proofErr w:type="spellEnd"/>
            <w:r w:rsidR="008D058E">
              <w:rPr>
                <w:rStyle w:val="normaltextrun"/>
              </w:rPr>
              <w:t xml:space="preserve"> </w:t>
            </w:r>
            <w:r w:rsidRPr="00B36098">
              <w:rPr>
                <w:rStyle w:val="normaltextrun"/>
              </w:rPr>
              <w:t>licences un pakalpojumus.</w:t>
            </w:r>
            <w:r w:rsidRPr="00B36098">
              <w:rPr>
                <w:rStyle w:val="eop"/>
              </w:rPr>
              <w:t> </w:t>
            </w:r>
          </w:p>
          <w:p w14:paraId="5F5277E6" w14:textId="41B8FC66" w:rsidR="00B06D1C" w:rsidRPr="00B36098" w:rsidRDefault="00B06D1C" w:rsidP="00B06D1C">
            <w:pPr>
              <w:pStyle w:val="paragraph"/>
              <w:spacing w:before="0" w:beforeAutospacing="0" w:after="0" w:afterAutospacing="0"/>
              <w:jc w:val="both"/>
              <w:textAlignment w:val="baseline"/>
            </w:pPr>
            <w:r w:rsidRPr="00B36098">
              <w:rPr>
                <w:rStyle w:val="normaltextrun"/>
              </w:rPr>
              <w:t>Tā rezultātā tika apturēta uzsākto darbību īstenošana, noslēgto līgumu izpilde, kā arī, lai mazinātu ERAF finansējumam neatbilstošu izdevumu riskus, VM veica</w:t>
            </w:r>
            <w:r w:rsidR="00B97642">
              <w:rPr>
                <w:rStyle w:val="normaltextrun"/>
              </w:rPr>
              <w:t xml:space="preserve"> </w:t>
            </w:r>
            <w:proofErr w:type="spellStart"/>
            <w:r w:rsidRPr="00B36098">
              <w:rPr>
                <w:rStyle w:val="normaltextrun"/>
              </w:rPr>
              <w:lastRenderedPageBreak/>
              <w:t>izvērtējumu</w:t>
            </w:r>
            <w:proofErr w:type="spellEnd"/>
            <w:r w:rsidR="00B97642">
              <w:rPr>
                <w:rStyle w:val="normaltextrun"/>
              </w:rPr>
              <w:t xml:space="preserve"> </w:t>
            </w:r>
            <w:r w:rsidRPr="00B36098">
              <w:rPr>
                <w:rStyle w:val="normaltextrun"/>
              </w:rPr>
              <w:t>par ierosināto kriminālprocesu un iespējamo pārkāpumu</w:t>
            </w:r>
            <w:r w:rsidR="008D058E">
              <w:rPr>
                <w:rStyle w:val="normaltextrun"/>
              </w:rPr>
              <w:t xml:space="preserve"> </w:t>
            </w:r>
            <w:r w:rsidRPr="00B36098">
              <w:rPr>
                <w:rStyle w:val="normaltextrun"/>
              </w:rPr>
              <w:t>ietekmi, izvērtēja citus iepirkumus</w:t>
            </w:r>
            <w:r w:rsidR="008D058E">
              <w:rPr>
                <w:rStyle w:val="normaltextrun"/>
              </w:rPr>
              <w:t xml:space="preserve"> </w:t>
            </w:r>
            <w:r w:rsidRPr="00B36098">
              <w:rPr>
                <w:rStyle w:val="normaltextrun"/>
              </w:rPr>
              <w:t xml:space="preserve"> un īstenotās darbības, uz laiku liedzot iespēju rīkot turpmākos iepirkumus.</w:t>
            </w:r>
          </w:p>
          <w:p w14:paraId="0656D490" w14:textId="14C52754" w:rsidR="00B06D1C" w:rsidRPr="00B36098" w:rsidRDefault="00B06D1C" w:rsidP="00B06D1C">
            <w:pPr>
              <w:pStyle w:val="paragraph"/>
              <w:spacing w:before="0" w:beforeAutospacing="0" w:after="0" w:afterAutospacing="0"/>
              <w:jc w:val="both"/>
              <w:textAlignment w:val="baseline"/>
            </w:pPr>
            <w:r w:rsidRPr="00B36098">
              <w:rPr>
                <w:rStyle w:val="normaltextrun"/>
              </w:rPr>
              <w:t>2) V</w:t>
            </w:r>
            <w:r w:rsidRPr="00B36098">
              <w:rPr>
                <w:rStyle w:val="normaltextrun"/>
                <w:color w:val="000000"/>
                <w:shd w:val="clear" w:color="auto" w:fill="FFFFFF"/>
              </w:rPr>
              <w:t>alstī izsludinātā ar Covid-19 izplatību saistītā ārkārtējā situācija</w:t>
            </w:r>
            <w:r w:rsidR="00D84201">
              <w:rPr>
                <w:rStyle w:val="normaltextrun"/>
                <w:color w:val="000000"/>
                <w:shd w:val="clear" w:color="auto" w:fill="FFFFFF"/>
              </w:rPr>
              <w:t xml:space="preserve"> (MK </w:t>
            </w:r>
            <w:r w:rsidR="00D84201" w:rsidRPr="00EA01DF">
              <w:rPr>
                <w:color w:val="000000"/>
              </w:rPr>
              <w:t>rīkojums Nr. 103 “Par ārkārtējās situācijas izsludināšanu”</w:t>
            </w:r>
            <w:r w:rsidR="00D84201">
              <w:rPr>
                <w:color w:val="000000"/>
              </w:rPr>
              <w:t xml:space="preserve"> (12.03.</w:t>
            </w:r>
            <w:r w:rsidR="00D84201" w:rsidRPr="00EA01DF">
              <w:rPr>
                <w:color w:val="000000"/>
              </w:rPr>
              <w:t>2020.</w:t>
            </w:r>
            <w:r w:rsidR="00D84201">
              <w:rPr>
                <w:color w:val="000000"/>
              </w:rPr>
              <w:t>)</w:t>
            </w:r>
            <w:r w:rsidR="00D84201">
              <w:rPr>
                <w:rStyle w:val="normaltextrun"/>
                <w:color w:val="000000"/>
                <w:shd w:val="clear" w:color="auto" w:fill="FFFFFF"/>
              </w:rPr>
              <w:t>)</w:t>
            </w:r>
            <w:r w:rsidR="0059286E">
              <w:rPr>
                <w:rStyle w:val="normaltextrun"/>
                <w:color w:val="000000"/>
                <w:shd w:val="clear" w:color="auto" w:fill="FFFFFF"/>
              </w:rPr>
              <w:t>,</w:t>
            </w:r>
            <w:r w:rsidRPr="00B36098">
              <w:rPr>
                <w:rStyle w:val="normaltextrun"/>
                <w:color w:val="000000"/>
                <w:shd w:val="clear" w:color="auto" w:fill="FFFFFF"/>
              </w:rPr>
              <w:t xml:space="preserve"> kas būtiski ietekmēja </w:t>
            </w:r>
            <w:r w:rsidR="00183983">
              <w:rPr>
                <w:rStyle w:val="normaltextrun"/>
                <w:color w:val="000000"/>
                <w:shd w:val="clear" w:color="auto" w:fill="FFFFFF"/>
              </w:rPr>
              <w:t>P</w:t>
            </w:r>
            <w:r w:rsidRPr="00B36098">
              <w:rPr>
                <w:rStyle w:val="normaltextrun"/>
                <w:color w:val="000000"/>
                <w:shd w:val="clear" w:color="auto" w:fill="FFFFFF"/>
              </w:rPr>
              <w:t xml:space="preserve">rojekta vadības komandas, kā arī pārējā </w:t>
            </w:r>
            <w:r w:rsidR="00A637EE">
              <w:rPr>
                <w:rStyle w:val="normaltextrun"/>
                <w:color w:val="000000"/>
                <w:shd w:val="clear" w:color="auto" w:fill="FFFFFF"/>
              </w:rPr>
              <w:t>P</w:t>
            </w:r>
            <w:r w:rsidRPr="00B36098">
              <w:rPr>
                <w:rStyle w:val="normaltextrun"/>
                <w:color w:val="000000"/>
                <w:shd w:val="clear" w:color="auto" w:fill="FFFFFF"/>
              </w:rPr>
              <w:t xml:space="preserve">rojekta realizācijā iesaistītā personāla darbu. Lai operatīvi risinātu ar Covid-19 izplatību saistītos jautājumus, būtiski mainījās </w:t>
            </w:r>
            <w:r w:rsidR="00664AC6">
              <w:rPr>
                <w:rStyle w:val="normaltextrun"/>
                <w:color w:val="000000"/>
                <w:shd w:val="clear" w:color="auto" w:fill="FFFFFF"/>
              </w:rPr>
              <w:t>P</w:t>
            </w:r>
            <w:r w:rsidRPr="00B36098">
              <w:rPr>
                <w:rStyle w:val="normaltextrun"/>
                <w:color w:val="000000"/>
                <w:shd w:val="clear" w:color="auto" w:fill="FFFFFF"/>
              </w:rPr>
              <w:t xml:space="preserve">rojektā iesaistīto darbinieku darba noslodze un prioritātes. Tika atceltas </w:t>
            </w:r>
            <w:r w:rsidR="00664AC6">
              <w:rPr>
                <w:rStyle w:val="normaltextrun"/>
                <w:color w:val="000000"/>
                <w:shd w:val="clear" w:color="auto" w:fill="FFFFFF"/>
              </w:rPr>
              <w:t>P</w:t>
            </w:r>
            <w:r w:rsidRPr="00B36098">
              <w:rPr>
                <w:rStyle w:val="normaltextrun"/>
                <w:color w:val="000000"/>
                <w:shd w:val="clear" w:color="auto" w:fill="FFFFFF"/>
              </w:rPr>
              <w:t>rojekta sanāksmes, darba grupas un citas aktivitātes, gan VM, gan resora iestādēs saistībā ar darba organizācijas un prioritāšu izmaiņām ievērojami pieauga informācijas un komunikācijas tehnoloģiju</w:t>
            </w:r>
            <w:r w:rsidR="00E77BA0" w:rsidRPr="00B36098">
              <w:rPr>
                <w:rStyle w:val="normaltextrun"/>
                <w:color w:val="000000"/>
                <w:shd w:val="clear" w:color="auto" w:fill="FFFFFF"/>
              </w:rPr>
              <w:t xml:space="preserve"> (turpmāk – IKT)</w:t>
            </w:r>
            <w:r w:rsidRPr="00B36098">
              <w:rPr>
                <w:rStyle w:val="normaltextrun"/>
                <w:color w:val="000000"/>
                <w:shd w:val="clear" w:color="auto" w:fill="FFFFFF"/>
              </w:rPr>
              <w:t xml:space="preserve"> speciālistu noslodze, ievērojami ierobežojot viņu spēju paralēli</w:t>
            </w:r>
            <w:r w:rsidR="007E3F10">
              <w:rPr>
                <w:rStyle w:val="normaltextrun"/>
                <w:color w:val="000000"/>
                <w:shd w:val="clear" w:color="auto" w:fill="FFFFFF"/>
              </w:rPr>
              <w:t xml:space="preserve"> </w:t>
            </w:r>
            <w:r w:rsidRPr="00B36098">
              <w:rPr>
                <w:rStyle w:val="normaltextrun"/>
                <w:color w:val="000000"/>
                <w:shd w:val="clear" w:color="auto" w:fill="FFFFFF"/>
              </w:rPr>
              <w:t xml:space="preserve">iesaistīties </w:t>
            </w:r>
            <w:r w:rsidR="00664AC6">
              <w:rPr>
                <w:rStyle w:val="normaltextrun"/>
                <w:color w:val="000000"/>
                <w:shd w:val="clear" w:color="auto" w:fill="FFFFFF"/>
              </w:rPr>
              <w:t>P</w:t>
            </w:r>
            <w:r w:rsidRPr="00B36098">
              <w:rPr>
                <w:rStyle w:val="normaltextrun"/>
                <w:color w:val="000000"/>
                <w:shd w:val="clear" w:color="auto" w:fill="FFFFFF"/>
              </w:rPr>
              <w:t>rojekta aktivitāšu realizācijā.</w:t>
            </w:r>
            <w:r w:rsidR="00F34DAB">
              <w:rPr>
                <w:rStyle w:val="eop"/>
                <w:color w:val="000000"/>
              </w:rPr>
              <w:t xml:space="preserve"> </w:t>
            </w:r>
            <w:r w:rsidRPr="00B36098">
              <w:rPr>
                <w:rStyle w:val="normaltextrun"/>
                <w:color w:val="000000"/>
                <w:shd w:val="clear" w:color="auto" w:fill="FFFFFF"/>
              </w:rPr>
              <w:t xml:space="preserve">Līdzīgā saspringtā situācijā ilgstoši darbojās arī pārējie </w:t>
            </w:r>
            <w:r w:rsidR="00664AC6">
              <w:rPr>
                <w:rStyle w:val="normaltextrun"/>
                <w:color w:val="000000"/>
                <w:shd w:val="clear" w:color="auto" w:fill="FFFFFF"/>
              </w:rPr>
              <w:t>P</w:t>
            </w:r>
            <w:r w:rsidRPr="00B36098">
              <w:rPr>
                <w:rStyle w:val="normaltextrun"/>
                <w:color w:val="000000"/>
                <w:shd w:val="clear" w:color="auto" w:fill="FFFFFF"/>
              </w:rPr>
              <w:t>rojekta aktivitātēs iesaistītie darbinieki. Ņemot vērā, ka līdz ar Covid-19 pandēmiju visā veselības aprūpē mainījās gan pakalpojumu organizācijas, gan sniegšanas principi, radās ne mazums jaunu izaicinājumu</w:t>
            </w:r>
            <w:r w:rsidR="00115312">
              <w:rPr>
                <w:rStyle w:val="normaltextrun"/>
                <w:color w:val="000000"/>
                <w:shd w:val="clear" w:color="auto" w:fill="FFFFFF"/>
              </w:rPr>
              <w:t>, kas speciālistiem bija jārisina ope</w:t>
            </w:r>
            <w:r w:rsidR="00493F80">
              <w:rPr>
                <w:rStyle w:val="normaltextrun"/>
                <w:color w:val="000000"/>
                <w:shd w:val="clear" w:color="auto" w:fill="FFFFFF"/>
              </w:rPr>
              <w:t>ratīvi.</w:t>
            </w:r>
            <w:r w:rsidRPr="00B36098">
              <w:rPr>
                <w:rStyle w:val="normaltextrun"/>
                <w:color w:val="000000"/>
                <w:shd w:val="clear" w:color="auto" w:fill="FFFFFF"/>
              </w:rPr>
              <w:t xml:space="preserve"> </w:t>
            </w:r>
          </w:p>
          <w:p w14:paraId="4C2547BE" w14:textId="6A8270B8" w:rsidR="00B06D1C" w:rsidRPr="00B36098" w:rsidRDefault="00B06D1C" w:rsidP="00B06D1C">
            <w:pPr>
              <w:pStyle w:val="paragraph"/>
              <w:shd w:val="clear" w:color="auto" w:fill="FFFFFF"/>
              <w:spacing w:before="0" w:beforeAutospacing="0" w:after="0" w:afterAutospacing="0"/>
              <w:jc w:val="both"/>
              <w:textAlignment w:val="baseline"/>
            </w:pPr>
            <w:r w:rsidRPr="00B36098">
              <w:rPr>
                <w:rStyle w:val="normaltextrun"/>
              </w:rPr>
              <w:t>Šīs situācijas rezultātā</w:t>
            </w:r>
            <w:r w:rsidR="00A708BC">
              <w:rPr>
                <w:rStyle w:val="normaltextrun"/>
              </w:rPr>
              <w:t xml:space="preserve"> </w:t>
            </w:r>
            <w:r w:rsidRPr="00B36098">
              <w:rPr>
                <w:rStyle w:val="normaltextrun"/>
                <w:color w:val="000000"/>
                <w:shd w:val="clear" w:color="auto" w:fill="FFFFFF"/>
              </w:rPr>
              <w:t xml:space="preserve">pilnvērtīgi iesaistīties atsevišķu </w:t>
            </w:r>
            <w:r w:rsidR="00664AC6">
              <w:rPr>
                <w:rStyle w:val="normaltextrun"/>
                <w:color w:val="000000"/>
                <w:shd w:val="clear" w:color="auto" w:fill="FFFFFF"/>
              </w:rPr>
              <w:t>P</w:t>
            </w:r>
            <w:r w:rsidRPr="00B36098">
              <w:rPr>
                <w:rStyle w:val="normaltextrun"/>
                <w:color w:val="000000"/>
                <w:shd w:val="clear" w:color="auto" w:fill="FFFFFF"/>
              </w:rPr>
              <w:t>rojekta darbību īstenošanā nebija iespējams, plānotās aktivitātes, t.sk. iepirkumu dokumentācijas izstrāde un jaunu iepirkumu veikšana, tika aizkavētas.</w:t>
            </w:r>
          </w:p>
          <w:p w14:paraId="4D3E1D0A" w14:textId="1388BFEB" w:rsidR="00B06D1C" w:rsidRPr="00B36098" w:rsidRDefault="00B06D1C" w:rsidP="00B06D1C">
            <w:pPr>
              <w:pStyle w:val="paragraph"/>
              <w:shd w:val="clear" w:color="auto" w:fill="FFFFFF"/>
              <w:spacing w:before="0" w:beforeAutospacing="0" w:after="0" w:afterAutospacing="0"/>
              <w:jc w:val="both"/>
              <w:textAlignment w:val="baseline"/>
            </w:pPr>
            <w:r w:rsidRPr="00B36098">
              <w:rPr>
                <w:rStyle w:val="normaltextrun"/>
                <w:color w:val="000000"/>
                <w:shd w:val="clear" w:color="auto" w:fill="FFFFFF"/>
              </w:rPr>
              <w:t>3) </w:t>
            </w:r>
            <w:r w:rsidRPr="00B36098">
              <w:rPr>
                <w:rStyle w:val="normaltextrun"/>
                <w:shd w:val="clear" w:color="auto" w:fill="FFFFFF"/>
              </w:rPr>
              <w:t>Tāpat, ņemot vērā, ka ārkārtas situācija valstī ir pasludināta atkārtoti, pieaugošā saslimstība </w:t>
            </w:r>
            <w:r w:rsidRPr="00B36098">
              <w:rPr>
                <w:rStyle w:val="normaltextrun"/>
              </w:rPr>
              <w:t>ar </w:t>
            </w:r>
            <w:r w:rsidRPr="00B36098">
              <w:rPr>
                <w:rStyle w:val="normaltextrun"/>
                <w:shd w:val="clear" w:color="auto" w:fill="FFFFFF"/>
              </w:rPr>
              <w:t>COVID-19 joprojām ietekmē resora</w:t>
            </w:r>
            <w:r w:rsidRPr="00B36098">
              <w:rPr>
                <w:rStyle w:val="normaltextrun"/>
              </w:rPr>
              <w:t xml:space="preserve">, it īpaši </w:t>
            </w:r>
            <w:r w:rsidR="00B36098">
              <w:rPr>
                <w:rStyle w:val="normaltextrun"/>
              </w:rPr>
              <w:t>VM</w:t>
            </w:r>
            <w:r w:rsidRPr="00B36098">
              <w:rPr>
                <w:rStyle w:val="normaltextrun"/>
                <w:shd w:val="clear" w:color="auto" w:fill="FFFFFF"/>
              </w:rPr>
              <w:t> personāla noslodzi operatīvo jautājumu risināšanā</w:t>
            </w:r>
            <w:r w:rsidRPr="005B6EA0">
              <w:rPr>
                <w:rStyle w:val="normaltextrun"/>
                <w:color w:val="000000"/>
                <w:shd w:val="clear" w:color="auto" w:fill="FFFFFF"/>
              </w:rPr>
              <w:t>.</w:t>
            </w:r>
          </w:p>
          <w:p w14:paraId="62ECDA61" w14:textId="7AF9E6A9" w:rsidR="00B06D1C" w:rsidRPr="00B36098" w:rsidRDefault="00B06D1C" w:rsidP="00B06D1C">
            <w:pPr>
              <w:pStyle w:val="paragraph"/>
              <w:spacing w:before="0" w:beforeAutospacing="0" w:after="0" w:afterAutospacing="0"/>
              <w:jc w:val="both"/>
              <w:textAlignment w:val="baseline"/>
              <w:rPr>
                <w:rStyle w:val="eop"/>
              </w:rPr>
            </w:pPr>
            <w:r w:rsidRPr="00B36098">
              <w:rPr>
                <w:rStyle w:val="normaltextrun"/>
              </w:rPr>
              <w:t xml:space="preserve">4) </w:t>
            </w:r>
            <w:r w:rsidR="00B36098" w:rsidRPr="00B36098">
              <w:rPr>
                <w:rStyle w:val="normaltextrun"/>
              </w:rPr>
              <w:t>VM</w:t>
            </w:r>
            <w:r w:rsidRPr="00B36098">
              <w:rPr>
                <w:rStyle w:val="normaltextrun"/>
              </w:rPr>
              <w:t xml:space="preserve"> sagatavotie precizējumi detalizētajā Projekta aprakstā, t.sk. sniedzot priekšlikumu Projekta pagarinājumam līdz 76 mēnešiem, kas tika iesniegti Vides aizsardzības un reģionālās attīstības ministrijai (turpmāk – VARAM) 2020. gada 30.septembrī (vēstule Nr. 01-43.1/4911),</w:t>
            </w:r>
            <w:r w:rsidR="008D058E">
              <w:rPr>
                <w:rStyle w:val="normaltextrun"/>
              </w:rPr>
              <w:t xml:space="preserve"> </w:t>
            </w:r>
            <w:r w:rsidRPr="00B36098">
              <w:rPr>
                <w:rStyle w:val="normaltextrun"/>
              </w:rPr>
              <w:t xml:space="preserve"> netika saskaņot</w:t>
            </w:r>
            <w:r w:rsidR="00B36098" w:rsidRPr="00B36098">
              <w:rPr>
                <w:rStyle w:val="normaltextrun"/>
              </w:rPr>
              <w:t>i</w:t>
            </w:r>
            <w:r w:rsidRPr="00B36098">
              <w:rPr>
                <w:rStyle w:val="normaltextrun"/>
              </w:rPr>
              <w:t>.</w:t>
            </w:r>
          </w:p>
          <w:p w14:paraId="7F93DA12" w14:textId="77777777" w:rsidR="00B36098" w:rsidRPr="00B06D1C" w:rsidRDefault="00B36098" w:rsidP="00B06D1C">
            <w:pPr>
              <w:pStyle w:val="paragraph"/>
              <w:spacing w:before="0" w:beforeAutospacing="0" w:after="0" w:afterAutospacing="0"/>
              <w:jc w:val="both"/>
              <w:textAlignment w:val="baseline"/>
              <w:rPr>
                <w:highlight w:val="yellow"/>
              </w:rPr>
            </w:pPr>
          </w:p>
          <w:p w14:paraId="104894C4" w14:textId="20773F9D" w:rsidR="00411F9F" w:rsidRPr="00B06D1C" w:rsidRDefault="00B36098" w:rsidP="007C2FD2">
            <w:pPr>
              <w:autoSpaceDE w:val="0"/>
              <w:autoSpaceDN w:val="0"/>
              <w:adjustRightInd w:val="0"/>
              <w:ind w:right="46"/>
              <w:jc w:val="both"/>
              <w:rPr>
                <w:rStyle w:val="normaltextrun"/>
                <w:shd w:val="clear" w:color="auto" w:fill="FFFFFF"/>
              </w:rPr>
            </w:pPr>
            <w:r>
              <w:rPr>
                <w:rStyle w:val="normaltextrun"/>
                <w:color w:val="000000"/>
                <w:shd w:val="clear" w:color="auto" w:fill="FFFFFF"/>
              </w:rPr>
              <w:t>Rezultātā tika i</w:t>
            </w:r>
            <w:r w:rsidR="002529D3" w:rsidRPr="00B06D1C">
              <w:rPr>
                <w:rStyle w:val="normaltextrun"/>
                <w:color w:val="000000"/>
                <w:shd w:val="clear" w:color="auto" w:fill="FFFFFF"/>
              </w:rPr>
              <w:t>zvērtē</w:t>
            </w:r>
            <w:r w:rsidR="00B06D1C" w:rsidRPr="00B06D1C">
              <w:rPr>
                <w:rStyle w:val="normaltextrun"/>
                <w:color w:val="000000"/>
                <w:shd w:val="clear" w:color="auto" w:fill="FFFFFF"/>
              </w:rPr>
              <w:t>tas</w:t>
            </w:r>
            <w:r w:rsidR="002529D3" w:rsidRPr="00B06D1C">
              <w:rPr>
                <w:rStyle w:val="normaltextrun"/>
                <w:color w:val="000000"/>
                <w:shd w:val="clear" w:color="auto" w:fill="FFFFFF"/>
              </w:rPr>
              <w:t xml:space="preserve"> iespējas Projekta ietvaros  plānotās darbības realizēt Projektā</w:t>
            </w:r>
            <w:r w:rsidR="007E3F10">
              <w:rPr>
                <w:rStyle w:val="normaltextrun"/>
                <w:color w:val="000000"/>
                <w:shd w:val="clear" w:color="auto" w:fill="FFFFFF"/>
              </w:rPr>
              <w:t xml:space="preserve"> </w:t>
            </w:r>
            <w:r w:rsidR="002529D3" w:rsidRPr="00B06D1C">
              <w:rPr>
                <w:rStyle w:val="normaltextrun"/>
                <w:color w:val="000000"/>
                <w:shd w:val="clear" w:color="auto" w:fill="FFFFFF"/>
              </w:rPr>
              <w:t>paredzētajā laikā</w:t>
            </w:r>
            <w:r>
              <w:rPr>
                <w:rStyle w:val="normaltextrun"/>
                <w:color w:val="000000"/>
                <w:shd w:val="clear" w:color="auto" w:fill="FFFFFF"/>
              </w:rPr>
              <w:t xml:space="preserve"> un apjomā,</w:t>
            </w:r>
            <w:r w:rsidR="002529D3" w:rsidRPr="00B06D1C">
              <w:rPr>
                <w:rStyle w:val="normaltextrun"/>
                <w:color w:val="000000"/>
                <w:shd w:val="clear" w:color="auto" w:fill="FFFFFF"/>
              </w:rPr>
              <w:t xml:space="preserve"> kā arī</w:t>
            </w:r>
            <w:r w:rsidR="008D058E">
              <w:rPr>
                <w:rStyle w:val="normaltextrun"/>
                <w:color w:val="000000"/>
                <w:shd w:val="clear" w:color="auto" w:fill="FFFFFF"/>
              </w:rPr>
              <w:t xml:space="preserve"> </w:t>
            </w:r>
            <w:r w:rsidR="002529D3" w:rsidRPr="00B06D1C">
              <w:rPr>
                <w:rStyle w:val="normaltextrun"/>
                <w:color w:val="000000"/>
                <w:shd w:val="clear" w:color="auto" w:fill="FFFFFF"/>
              </w:rPr>
              <w:t>tika</w:t>
            </w:r>
            <w:r w:rsidR="008D058E">
              <w:rPr>
                <w:rStyle w:val="normaltextrun"/>
                <w:color w:val="000000"/>
                <w:shd w:val="clear" w:color="auto" w:fill="FFFFFF"/>
              </w:rPr>
              <w:t xml:space="preserve"> </w:t>
            </w:r>
            <w:r w:rsidR="002529D3" w:rsidRPr="00B06D1C">
              <w:rPr>
                <w:rStyle w:val="normaltextrun"/>
                <w:color w:val="000000"/>
                <w:shd w:val="clear" w:color="auto" w:fill="FFFFFF"/>
              </w:rPr>
              <w:t>izvērtēta</w:t>
            </w:r>
            <w:r w:rsidR="008D058E">
              <w:rPr>
                <w:rStyle w:val="normaltextrun"/>
                <w:color w:val="000000"/>
                <w:shd w:val="clear" w:color="auto" w:fill="FFFFFF"/>
              </w:rPr>
              <w:t xml:space="preserve"> </w:t>
            </w:r>
            <w:r w:rsidR="002529D3" w:rsidRPr="00B06D1C">
              <w:rPr>
                <w:rStyle w:val="normaltextrun"/>
                <w:color w:val="000000"/>
                <w:shd w:val="clear" w:color="auto" w:fill="FFFFFF"/>
              </w:rPr>
              <w:t>Pro</w:t>
            </w:r>
            <w:r w:rsidR="007E3F10">
              <w:rPr>
                <w:rStyle w:val="normaltextrun"/>
                <w:color w:val="000000"/>
                <w:shd w:val="clear" w:color="auto" w:fill="FFFFFF"/>
              </w:rPr>
              <w:t>j</w:t>
            </w:r>
            <w:r w:rsidR="002529D3" w:rsidRPr="00B06D1C">
              <w:rPr>
                <w:rStyle w:val="normaltextrun"/>
                <w:color w:val="000000"/>
                <w:shd w:val="clear" w:color="auto" w:fill="FFFFFF"/>
              </w:rPr>
              <w:t>ektā plānoto darbību</w:t>
            </w:r>
            <w:r w:rsidR="007E3F10">
              <w:rPr>
                <w:rStyle w:val="normaltextrun"/>
                <w:color w:val="000000"/>
                <w:shd w:val="clear" w:color="auto" w:fill="FFFFFF"/>
              </w:rPr>
              <w:t xml:space="preserve"> </w:t>
            </w:r>
            <w:r w:rsidR="002529D3" w:rsidRPr="00B06D1C">
              <w:rPr>
                <w:rStyle w:val="normaltextrun"/>
                <w:color w:val="000000"/>
                <w:shd w:val="clear" w:color="auto" w:fill="FFFFFF"/>
              </w:rPr>
              <w:t xml:space="preserve">īstenošanas lietderība atbilstoši aktuālajai situācijai kopējā </w:t>
            </w:r>
            <w:r w:rsidR="00E77BA0">
              <w:rPr>
                <w:rStyle w:val="normaltextrun"/>
                <w:color w:val="000000"/>
                <w:shd w:val="clear" w:color="auto" w:fill="FFFFFF"/>
              </w:rPr>
              <w:t>IKT</w:t>
            </w:r>
            <w:r w:rsidR="002529D3" w:rsidRPr="00B06D1C">
              <w:rPr>
                <w:rStyle w:val="normaltextrun"/>
                <w:color w:val="000000"/>
                <w:shd w:val="clear" w:color="auto" w:fill="FFFFFF"/>
              </w:rPr>
              <w:t> </w:t>
            </w:r>
            <w:r w:rsidR="00AE7A60">
              <w:rPr>
                <w:rStyle w:val="normaltextrun"/>
                <w:color w:val="000000"/>
                <w:shd w:val="clear" w:color="auto" w:fill="FFFFFF"/>
              </w:rPr>
              <w:t>a</w:t>
            </w:r>
            <w:r w:rsidR="002529D3" w:rsidRPr="00B06D1C">
              <w:rPr>
                <w:rStyle w:val="normaltextrun"/>
                <w:color w:val="000000"/>
                <w:shd w:val="clear" w:color="auto" w:fill="FFFFFF"/>
              </w:rPr>
              <w:t>rhitektūrā, ņemot vērā VARAM iecerētos valsts koplietošanas IKT infrastruktūras pakalpojumus un norādījumus</w:t>
            </w:r>
            <w:r w:rsidR="002529D3" w:rsidRPr="00B06D1C">
              <w:rPr>
                <w:rStyle w:val="normaltextrun"/>
                <w:shd w:val="clear" w:color="auto" w:fill="FFFFFF"/>
              </w:rPr>
              <w:t>.</w:t>
            </w:r>
          </w:p>
          <w:p w14:paraId="250B1195" w14:textId="78765A88" w:rsidR="000D186F" w:rsidRPr="00B06D1C" w:rsidRDefault="00B36098" w:rsidP="007C2FD2">
            <w:pPr>
              <w:autoSpaceDE w:val="0"/>
              <w:autoSpaceDN w:val="0"/>
              <w:adjustRightInd w:val="0"/>
              <w:ind w:right="46"/>
              <w:jc w:val="both"/>
              <w:rPr>
                <w:iCs/>
              </w:rPr>
            </w:pPr>
            <w:r>
              <w:rPr>
                <w:iCs/>
              </w:rPr>
              <w:t>Secināts, ka ņ</w:t>
            </w:r>
            <w:r w:rsidR="00411F9F" w:rsidRPr="00B06D1C">
              <w:rPr>
                <w:iCs/>
              </w:rPr>
              <w:t>emot vērā, ka līdz</w:t>
            </w:r>
            <w:r w:rsidR="000D186F" w:rsidRPr="00B06D1C">
              <w:rPr>
                <w:iCs/>
              </w:rPr>
              <w:t xml:space="preserve"> </w:t>
            </w:r>
            <w:r w:rsidR="0053092B">
              <w:rPr>
                <w:iCs/>
              </w:rPr>
              <w:t>P</w:t>
            </w:r>
            <w:r w:rsidR="000D186F" w:rsidRPr="00B06D1C">
              <w:rPr>
                <w:iCs/>
              </w:rPr>
              <w:t>rojekta īstenošanas termiņ</w:t>
            </w:r>
            <w:r w:rsidR="00411F9F" w:rsidRPr="00B06D1C">
              <w:rPr>
                <w:iCs/>
              </w:rPr>
              <w:t>a beigām (</w:t>
            </w:r>
            <w:r w:rsidR="000D186F" w:rsidRPr="00B06D1C">
              <w:rPr>
                <w:iCs/>
              </w:rPr>
              <w:t>2021. gada 15.mart</w:t>
            </w:r>
            <w:r w:rsidR="00411F9F" w:rsidRPr="00B06D1C">
              <w:rPr>
                <w:iCs/>
              </w:rPr>
              <w:t>s)</w:t>
            </w:r>
            <w:r w:rsidR="000D186F" w:rsidRPr="00B06D1C">
              <w:rPr>
                <w:iCs/>
              </w:rPr>
              <w:t xml:space="preserve"> uzskaitīto darbību ieviešanu</w:t>
            </w:r>
            <w:r w:rsidR="002529D3" w:rsidRPr="00B06D1C">
              <w:rPr>
                <w:iCs/>
              </w:rPr>
              <w:t xml:space="preserve"> pilnā apmērā</w:t>
            </w:r>
            <w:r w:rsidR="000D186F" w:rsidRPr="00B06D1C">
              <w:rPr>
                <w:iCs/>
              </w:rPr>
              <w:t xml:space="preserve"> nav iespējams paveikt, </w:t>
            </w:r>
            <w:r>
              <w:rPr>
                <w:iCs/>
              </w:rPr>
              <w:t>un</w:t>
            </w:r>
            <w:r w:rsidR="006C56B9">
              <w:rPr>
                <w:iCs/>
              </w:rPr>
              <w:t>,</w:t>
            </w:r>
            <w:r>
              <w:rPr>
                <w:iCs/>
              </w:rPr>
              <w:t xml:space="preserve"> </w:t>
            </w:r>
            <w:r w:rsidR="000D186F" w:rsidRPr="00B06D1C">
              <w:rPr>
                <w:iCs/>
              </w:rPr>
              <w:t xml:space="preserve">lai izvairītos no prasībām neatbilstoša pakalpojama izstrādes </w:t>
            </w:r>
            <w:r w:rsidR="000D186F" w:rsidRPr="00B06D1C">
              <w:rPr>
                <w:iCs/>
              </w:rPr>
              <w:lastRenderedPageBreak/>
              <w:t>un ar to saistītajiem riskiem,</w:t>
            </w:r>
            <w:r w:rsidR="00411F9F" w:rsidRPr="00B06D1C">
              <w:rPr>
                <w:iCs/>
              </w:rPr>
              <w:t xml:space="preserve"> ir lietderīgi šobrīd </w:t>
            </w:r>
            <w:r w:rsidR="00411F9F" w:rsidRPr="00B06D1C">
              <w:rPr>
                <w:rStyle w:val="normaltextrun"/>
                <w:color w:val="000000"/>
                <w:bdr w:val="none" w:sz="0" w:space="0" w:color="auto" w:frame="1"/>
              </w:rPr>
              <w:t xml:space="preserve">mainīt </w:t>
            </w:r>
            <w:r w:rsidR="00AF7C26">
              <w:rPr>
                <w:rStyle w:val="normaltextrun"/>
                <w:color w:val="000000"/>
                <w:bdr w:val="none" w:sz="0" w:space="0" w:color="auto" w:frame="1"/>
              </w:rPr>
              <w:t>P</w:t>
            </w:r>
            <w:r w:rsidR="00411F9F" w:rsidRPr="00B06D1C">
              <w:rPr>
                <w:rStyle w:val="normaltextrun"/>
                <w:color w:val="000000"/>
                <w:bdr w:val="none" w:sz="0" w:space="0" w:color="auto" w:frame="1"/>
              </w:rPr>
              <w:t>rojekta tvērumu, no P</w:t>
            </w:r>
            <w:r w:rsidR="000D186F" w:rsidRPr="00B06D1C">
              <w:rPr>
                <w:iCs/>
              </w:rPr>
              <w:t>rojekt</w:t>
            </w:r>
            <w:r w:rsidR="00411F9F" w:rsidRPr="00B06D1C">
              <w:rPr>
                <w:iCs/>
              </w:rPr>
              <w:t>a izslēdzot t</w:t>
            </w:r>
            <w:r w:rsidR="002529D3" w:rsidRPr="00B06D1C">
              <w:rPr>
                <w:iCs/>
              </w:rPr>
              <w:t>ādu darbību īstenošanu</w:t>
            </w:r>
            <w:r w:rsidR="00411F9F" w:rsidRPr="00B06D1C">
              <w:rPr>
                <w:iCs/>
              </w:rPr>
              <w:t xml:space="preserve"> kā</w:t>
            </w:r>
            <w:r w:rsidR="002529D3" w:rsidRPr="00B06D1C">
              <w:rPr>
                <w:iCs/>
              </w:rPr>
              <w:t>:</w:t>
            </w:r>
          </w:p>
          <w:p w14:paraId="16CDBD8F" w14:textId="77777777" w:rsidR="002529D3" w:rsidRPr="00B06D1C" w:rsidRDefault="002529D3" w:rsidP="002529D3">
            <w:pPr>
              <w:pStyle w:val="ListParagraph"/>
              <w:numPr>
                <w:ilvl w:val="0"/>
                <w:numId w:val="10"/>
              </w:numPr>
              <w:ind w:left="723" w:right="44"/>
              <w:jc w:val="both"/>
              <w:rPr>
                <w:lang w:eastAsia="en-US"/>
              </w:rPr>
            </w:pPr>
            <w:r w:rsidRPr="00B06D1C">
              <w:rPr>
                <w:color w:val="000000" w:themeColor="text1"/>
                <w:shd w:val="clear" w:color="auto" w:fill="FFFFFF"/>
              </w:rPr>
              <w:t>Centralizētas VM un padotības iestāžu drošības komponentes ieviešana;</w:t>
            </w:r>
          </w:p>
          <w:p w14:paraId="02863E2A" w14:textId="77777777" w:rsidR="002529D3" w:rsidRPr="00B06D1C" w:rsidRDefault="002529D3" w:rsidP="002529D3">
            <w:pPr>
              <w:pStyle w:val="ListParagraph"/>
              <w:numPr>
                <w:ilvl w:val="0"/>
                <w:numId w:val="10"/>
              </w:numPr>
              <w:ind w:left="723" w:right="44"/>
              <w:jc w:val="both"/>
              <w:rPr>
                <w:lang w:eastAsia="en-US"/>
              </w:rPr>
            </w:pPr>
            <w:r w:rsidRPr="00B06D1C">
              <w:t>Centralizētas resora datu uzkrāšanas, analīzes un publicēšanas sistēmas ieviešana;</w:t>
            </w:r>
          </w:p>
          <w:p w14:paraId="6C34EAD3" w14:textId="77777777" w:rsidR="002529D3" w:rsidRPr="00B06D1C" w:rsidRDefault="002529D3" w:rsidP="002529D3">
            <w:pPr>
              <w:pStyle w:val="ListParagraph"/>
              <w:numPr>
                <w:ilvl w:val="0"/>
                <w:numId w:val="10"/>
              </w:numPr>
              <w:ind w:left="723" w:right="44"/>
              <w:jc w:val="both"/>
              <w:rPr>
                <w:lang w:eastAsia="en-US"/>
              </w:rPr>
            </w:pPr>
            <w:r w:rsidRPr="00B06D1C">
              <w:t>Centralizētas resora klientu atbalsta informācijas sistēmas ieviešana;</w:t>
            </w:r>
          </w:p>
          <w:p w14:paraId="642F671E" w14:textId="08FA3232" w:rsidR="002529D3" w:rsidRPr="00B06D1C" w:rsidRDefault="002529D3" w:rsidP="002529D3">
            <w:pPr>
              <w:pStyle w:val="ListParagraph"/>
              <w:numPr>
                <w:ilvl w:val="0"/>
                <w:numId w:val="10"/>
              </w:numPr>
              <w:ind w:left="723" w:right="44"/>
              <w:jc w:val="both"/>
              <w:rPr>
                <w:lang w:eastAsia="en-US"/>
              </w:rPr>
            </w:pPr>
            <w:r w:rsidRPr="00B06D1C">
              <w:t>Centralizētas projektu vadības sistēmas ieviešana</w:t>
            </w:r>
            <w:r w:rsidR="00411F9F" w:rsidRPr="00B06D1C">
              <w:t>.</w:t>
            </w:r>
          </w:p>
          <w:p w14:paraId="34AE58DF" w14:textId="77777777" w:rsidR="000D186F" w:rsidRPr="00B06D1C" w:rsidRDefault="000D186F" w:rsidP="007C2FD2">
            <w:pPr>
              <w:autoSpaceDE w:val="0"/>
              <w:autoSpaceDN w:val="0"/>
              <w:adjustRightInd w:val="0"/>
              <w:ind w:right="46"/>
              <w:jc w:val="both"/>
              <w:rPr>
                <w:rFonts w:eastAsiaTheme="minorHAnsi"/>
                <w:color w:val="C00000"/>
                <w:lang w:eastAsia="en-US"/>
              </w:rPr>
            </w:pPr>
          </w:p>
          <w:p w14:paraId="0EF4FB39" w14:textId="633D527E" w:rsidR="000D186F" w:rsidRPr="00B06D1C" w:rsidRDefault="000D186F" w:rsidP="00393E85">
            <w:pPr>
              <w:ind w:right="45"/>
              <w:jc w:val="both"/>
              <w:rPr>
                <w:iCs/>
              </w:rPr>
            </w:pPr>
            <w:r w:rsidRPr="00B06D1C">
              <w:rPr>
                <w:iCs/>
              </w:rPr>
              <w:t>Rīkojuma projekts paredz MK rīkojumā Nr. </w:t>
            </w:r>
            <w:r>
              <w:t>4</w:t>
            </w:r>
            <w:r w:rsidR="0798EE6B">
              <w:t>4</w:t>
            </w:r>
            <w:r>
              <w:t>8</w:t>
            </w:r>
            <w:r w:rsidRPr="00B06D1C">
              <w:rPr>
                <w:iCs/>
              </w:rPr>
              <w:t xml:space="preserve"> šādu grozījumu:</w:t>
            </w:r>
          </w:p>
          <w:p w14:paraId="67566623" w14:textId="504EBDF1" w:rsidR="000D186F" w:rsidRPr="00B06D1C" w:rsidRDefault="000D186F" w:rsidP="000D186F">
            <w:pPr>
              <w:pStyle w:val="ListParagraph"/>
              <w:numPr>
                <w:ilvl w:val="0"/>
                <w:numId w:val="4"/>
              </w:numPr>
              <w:autoSpaceDE w:val="0"/>
              <w:autoSpaceDN w:val="0"/>
              <w:adjustRightInd w:val="0"/>
              <w:ind w:right="46"/>
              <w:jc w:val="both"/>
              <w:rPr>
                <w:rFonts w:eastAsiaTheme="minorHAnsi"/>
                <w:lang w:eastAsia="en-US"/>
              </w:rPr>
            </w:pPr>
            <w:r w:rsidRPr="00B06D1C">
              <w:rPr>
                <w:lang w:eastAsia="en-US"/>
              </w:rPr>
              <w:t>samazin</w:t>
            </w:r>
            <w:r w:rsidR="000F30E4">
              <w:rPr>
                <w:lang w:eastAsia="en-US"/>
              </w:rPr>
              <w:t>ā</w:t>
            </w:r>
            <w:r w:rsidRPr="00B06D1C">
              <w:rPr>
                <w:lang w:eastAsia="en-US"/>
              </w:rPr>
              <w:t xml:space="preserve">t </w:t>
            </w:r>
            <w:r w:rsidR="0053092B">
              <w:rPr>
                <w:lang w:eastAsia="en-US"/>
              </w:rPr>
              <w:t>P</w:t>
            </w:r>
            <w:r w:rsidRPr="00B06D1C">
              <w:rPr>
                <w:lang w:eastAsia="en-US"/>
              </w:rPr>
              <w:t xml:space="preserve">rojekta izmaksas no 3 500 000 </w:t>
            </w:r>
            <w:proofErr w:type="spellStart"/>
            <w:r w:rsidR="00EA0B0C" w:rsidRPr="00D86BF7">
              <w:rPr>
                <w:rStyle w:val="normaltextrun"/>
                <w:i/>
                <w:iCs/>
                <w:color w:val="000000"/>
                <w:shd w:val="clear" w:color="auto" w:fill="FFFFFF"/>
              </w:rPr>
              <w:t>euro</w:t>
            </w:r>
            <w:proofErr w:type="spellEnd"/>
            <w:r w:rsidRPr="00B06D1C">
              <w:rPr>
                <w:lang w:eastAsia="en-US"/>
              </w:rPr>
              <w:t xml:space="preserve"> uz </w:t>
            </w:r>
            <w:r w:rsidR="00871D91" w:rsidRPr="00860BD5">
              <w:rPr>
                <w:lang w:eastAsia="en-US"/>
              </w:rPr>
              <w:t>1 54</w:t>
            </w:r>
            <w:r w:rsidR="00871D91">
              <w:rPr>
                <w:lang w:eastAsia="en-US"/>
              </w:rPr>
              <w:t>4 76</w:t>
            </w:r>
            <w:r w:rsidR="009C361B">
              <w:rPr>
                <w:lang w:eastAsia="en-US"/>
              </w:rPr>
              <w:t>5</w:t>
            </w:r>
            <w:r w:rsidR="00871D91" w:rsidRPr="00860BD5">
              <w:rPr>
                <w:lang w:eastAsia="en-US"/>
              </w:rPr>
              <w:t> </w:t>
            </w:r>
            <w:proofErr w:type="spellStart"/>
            <w:r w:rsidR="00EA0B0C" w:rsidRPr="00D86BF7">
              <w:rPr>
                <w:rStyle w:val="normaltextrun"/>
                <w:i/>
                <w:iCs/>
                <w:color w:val="000000"/>
                <w:shd w:val="clear" w:color="auto" w:fill="FFFFFF"/>
              </w:rPr>
              <w:t>euro</w:t>
            </w:r>
            <w:proofErr w:type="spellEnd"/>
            <w:r w:rsidRPr="00B06D1C">
              <w:rPr>
                <w:lang w:eastAsia="en-US"/>
              </w:rPr>
              <w:t xml:space="preserve"> un </w:t>
            </w:r>
            <w:r w:rsidR="009E1576">
              <w:rPr>
                <w:lang w:eastAsia="en-US"/>
              </w:rPr>
              <w:t>P</w:t>
            </w:r>
            <w:r w:rsidRPr="00B06D1C">
              <w:rPr>
                <w:lang w:eastAsia="en-US"/>
              </w:rPr>
              <w:t>rojektā</w:t>
            </w:r>
            <w:r w:rsidRPr="00B06D1C">
              <w:t xml:space="preserve"> izveidoto informācijas sistēmu un infrastruktūras </w:t>
            </w:r>
            <w:r w:rsidRPr="00B06D1C">
              <w:rPr>
                <w:lang w:eastAsia="en-US"/>
              </w:rPr>
              <w:t xml:space="preserve">uzturēšanas izmaksas no 350 000 </w:t>
            </w:r>
            <w:proofErr w:type="spellStart"/>
            <w:r w:rsidR="00EA0B0C" w:rsidRPr="00D86BF7">
              <w:rPr>
                <w:rStyle w:val="normaltextrun"/>
                <w:i/>
                <w:iCs/>
                <w:color w:val="000000"/>
                <w:shd w:val="clear" w:color="auto" w:fill="FFFFFF"/>
              </w:rPr>
              <w:t>euro</w:t>
            </w:r>
            <w:proofErr w:type="spellEnd"/>
            <w:r w:rsidRPr="00B06D1C">
              <w:rPr>
                <w:lang w:eastAsia="en-US"/>
              </w:rPr>
              <w:t xml:space="preserve"> uz </w:t>
            </w:r>
            <w:r w:rsidR="0025261D">
              <w:rPr>
                <w:lang w:eastAsia="en-US"/>
              </w:rPr>
              <w:t>143 696</w:t>
            </w:r>
            <w:r w:rsidRPr="00B06D1C">
              <w:rPr>
                <w:lang w:eastAsia="en-US"/>
              </w:rPr>
              <w:t xml:space="preserve"> </w:t>
            </w:r>
            <w:proofErr w:type="spellStart"/>
            <w:r w:rsidR="00EA0B0C" w:rsidRPr="00D86BF7">
              <w:rPr>
                <w:rStyle w:val="normaltextrun"/>
                <w:i/>
                <w:iCs/>
                <w:color w:val="000000"/>
                <w:shd w:val="clear" w:color="auto" w:fill="FFFFFF"/>
              </w:rPr>
              <w:t>euro</w:t>
            </w:r>
            <w:proofErr w:type="spellEnd"/>
            <w:r w:rsidRPr="00B06D1C">
              <w:rPr>
                <w:lang w:eastAsia="en-US"/>
              </w:rPr>
              <w:t xml:space="preserve"> gadā.</w:t>
            </w:r>
          </w:p>
          <w:p w14:paraId="789941E6" w14:textId="77777777" w:rsidR="000D186F" w:rsidRPr="00B06D1C" w:rsidRDefault="000D186F" w:rsidP="007C2FD2">
            <w:pPr>
              <w:pStyle w:val="ListParagraph"/>
              <w:autoSpaceDE w:val="0"/>
              <w:autoSpaceDN w:val="0"/>
              <w:adjustRightInd w:val="0"/>
              <w:ind w:right="46"/>
              <w:jc w:val="both"/>
              <w:rPr>
                <w:rFonts w:eastAsiaTheme="minorHAnsi"/>
                <w:lang w:eastAsia="en-US"/>
              </w:rPr>
            </w:pPr>
          </w:p>
          <w:p w14:paraId="2A82180E" w14:textId="663D68E1" w:rsidR="000D186F" w:rsidRPr="00B06D1C" w:rsidRDefault="000D186F" w:rsidP="007C2FD2">
            <w:pPr>
              <w:pStyle w:val="ListParagraph"/>
              <w:spacing w:after="120" w:line="256" w:lineRule="auto"/>
              <w:ind w:left="0" w:right="46"/>
              <w:jc w:val="both"/>
              <w:rPr>
                <w:bCs/>
              </w:rPr>
            </w:pPr>
            <w:r w:rsidRPr="00B06D1C">
              <w:rPr>
                <w:iCs/>
              </w:rPr>
              <w:t>Rīkojuma projekts paredz MK rīkojumā Nr. </w:t>
            </w:r>
            <w:r>
              <w:t>4</w:t>
            </w:r>
            <w:r w:rsidR="791B8B75">
              <w:t>4</w:t>
            </w:r>
            <w:r>
              <w:t>8</w:t>
            </w:r>
            <w:r w:rsidRPr="00B06D1C">
              <w:rPr>
                <w:iCs/>
              </w:rPr>
              <w:t xml:space="preserve"> izteiktajā Projekta aprakstā šādus </w:t>
            </w:r>
            <w:r w:rsidR="00802139">
              <w:t>būtisk</w:t>
            </w:r>
            <w:r w:rsidR="00FA71B6">
              <w:t>ākos</w:t>
            </w:r>
            <w:r>
              <w:t xml:space="preserve"> </w:t>
            </w:r>
            <w:r w:rsidRPr="00B06D1C">
              <w:rPr>
                <w:iCs/>
              </w:rPr>
              <w:t>grozījumus:</w:t>
            </w:r>
            <w:r w:rsidRPr="00B06D1C">
              <w:rPr>
                <w:bCs/>
              </w:rPr>
              <w:t xml:space="preserve"> </w:t>
            </w:r>
          </w:p>
          <w:p w14:paraId="5BE1A288" w14:textId="77777777" w:rsidR="000D186F" w:rsidRPr="00B06D1C" w:rsidRDefault="000D186F" w:rsidP="000D186F">
            <w:pPr>
              <w:pStyle w:val="ListParagraph"/>
              <w:numPr>
                <w:ilvl w:val="0"/>
                <w:numId w:val="6"/>
              </w:numPr>
              <w:spacing w:after="120" w:line="256" w:lineRule="auto"/>
              <w:ind w:right="46"/>
              <w:jc w:val="both"/>
            </w:pPr>
            <w:r w:rsidRPr="00B06D1C">
              <w:rPr>
                <w:bCs/>
              </w:rPr>
              <w:t>izteikt jaunā redakcijā:</w:t>
            </w:r>
            <w:r w:rsidRPr="00B06D1C">
              <w:rPr>
                <w:b/>
              </w:rPr>
              <w:t xml:space="preserve"> </w:t>
            </w:r>
          </w:p>
          <w:p w14:paraId="7A252640" w14:textId="77777777" w:rsidR="000D186F" w:rsidRPr="00B06D1C" w:rsidRDefault="000D186F" w:rsidP="000D186F">
            <w:pPr>
              <w:pStyle w:val="ListParagraph"/>
              <w:numPr>
                <w:ilvl w:val="1"/>
                <w:numId w:val="6"/>
              </w:numPr>
              <w:spacing w:after="120" w:line="256" w:lineRule="auto"/>
              <w:ind w:right="46"/>
              <w:jc w:val="both"/>
            </w:pPr>
            <w:r w:rsidRPr="00B06D1C">
              <w:rPr>
                <w:bCs/>
              </w:rPr>
              <w:t xml:space="preserve">Projekta </w:t>
            </w:r>
            <w:proofErr w:type="spellStart"/>
            <w:r w:rsidRPr="00B06D1C">
              <w:rPr>
                <w:bCs/>
              </w:rPr>
              <w:t>virsmērķi</w:t>
            </w:r>
            <w:proofErr w:type="spellEnd"/>
            <w:r w:rsidRPr="00B06D1C">
              <w:rPr>
                <w:bCs/>
              </w:rPr>
              <w:t xml:space="preserve"> - </w:t>
            </w:r>
            <w:r w:rsidRPr="00B06D1C">
              <w:t>uzlabot Veselības ministrijas un Veselības ministrijas padotībā esošo iestāžu darbību, nodrošinot lietotājiem draudzīgākus iekšējos elektronizētos pakalpojumus, uzlabojot resora darbības efektivitāti un radot priekšnosacījumus publiskās pārvaldes rīcībā esošās informācijas plašākai izmantošanai;</w:t>
            </w:r>
          </w:p>
          <w:p w14:paraId="7E396633" w14:textId="77777777" w:rsidR="000D186F" w:rsidRPr="00B06D1C" w:rsidRDefault="000D186F" w:rsidP="000D186F">
            <w:pPr>
              <w:pStyle w:val="ListParagraph"/>
              <w:numPr>
                <w:ilvl w:val="1"/>
                <w:numId w:val="6"/>
              </w:numPr>
              <w:ind w:right="46"/>
              <w:jc w:val="both"/>
            </w:pPr>
            <w:r w:rsidRPr="00B06D1C">
              <w:rPr>
                <w:bCs/>
              </w:rPr>
              <w:t>Projekta mērķus:</w:t>
            </w:r>
          </w:p>
          <w:p w14:paraId="7B12A397" w14:textId="77777777" w:rsidR="000D186F" w:rsidRPr="00B06D1C" w:rsidRDefault="000D186F" w:rsidP="000D186F">
            <w:pPr>
              <w:pStyle w:val="VPTitle"/>
              <w:numPr>
                <w:ilvl w:val="0"/>
                <w:numId w:val="4"/>
              </w:numPr>
              <w:spacing w:before="0" w:line="240" w:lineRule="auto"/>
              <w:ind w:right="46"/>
              <w:jc w:val="both"/>
              <w:rPr>
                <w:rFonts w:cs="Times New Roman"/>
                <w:b w:val="0"/>
                <w:spacing w:val="0"/>
                <w:sz w:val="24"/>
                <w:szCs w:val="24"/>
              </w:rPr>
            </w:pPr>
            <w:r w:rsidRPr="00B06D1C">
              <w:rPr>
                <w:rFonts w:cs="Times New Roman"/>
                <w:b w:val="0"/>
                <w:spacing w:val="0"/>
                <w:sz w:val="24"/>
                <w:szCs w:val="24"/>
              </w:rPr>
              <w:t>M1: Resora informācijas aprites un lēmumu pieņemšanas procesu pilnveidošana, izveidojot vienotu dokumentu vadības sistēmu un kopdarbības un informācijas apmaiņas vidi.</w:t>
            </w:r>
          </w:p>
          <w:p w14:paraId="151ADBCF" w14:textId="77777777" w:rsidR="000D186F" w:rsidRPr="00B06D1C" w:rsidRDefault="000D186F" w:rsidP="000D186F">
            <w:pPr>
              <w:pStyle w:val="VPTitle"/>
              <w:numPr>
                <w:ilvl w:val="0"/>
                <w:numId w:val="4"/>
              </w:numPr>
              <w:spacing w:before="0" w:line="240" w:lineRule="auto"/>
              <w:ind w:right="46"/>
              <w:jc w:val="both"/>
              <w:rPr>
                <w:rFonts w:cs="Times New Roman"/>
                <w:b w:val="0"/>
                <w:spacing w:val="0"/>
                <w:sz w:val="24"/>
                <w:szCs w:val="24"/>
              </w:rPr>
            </w:pPr>
            <w:r w:rsidRPr="00B06D1C">
              <w:rPr>
                <w:rFonts w:cs="Times New Roman"/>
                <w:b w:val="0"/>
                <w:spacing w:val="0"/>
                <w:sz w:val="24"/>
                <w:szCs w:val="24"/>
              </w:rPr>
              <w:t>M2: Nozares informācijas pieejamības un izmantošanas uzlabošana, izveidojot resorā vienotu resursu vadības sistēmu t.sk. budžeta vadības risinājumu.</w:t>
            </w:r>
          </w:p>
          <w:p w14:paraId="426F42BB" w14:textId="77777777" w:rsidR="000D186F" w:rsidRPr="00B06D1C" w:rsidRDefault="000D186F" w:rsidP="000D186F">
            <w:pPr>
              <w:pStyle w:val="VPTitle"/>
              <w:numPr>
                <w:ilvl w:val="0"/>
                <w:numId w:val="4"/>
              </w:numPr>
              <w:spacing w:before="0" w:line="240" w:lineRule="auto"/>
              <w:ind w:right="46"/>
              <w:jc w:val="both"/>
              <w:rPr>
                <w:rFonts w:cs="Times New Roman"/>
                <w:b w:val="0"/>
                <w:spacing w:val="0"/>
                <w:sz w:val="24"/>
                <w:szCs w:val="24"/>
              </w:rPr>
            </w:pPr>
            <w:r w:rsidRPr="00B06D1C">
              <w:rPr>
                <w:rFonts w:cs="Times New Roman"/>
                <w:b w:val="0"/>
                <w:spacing w:val="0"/>
                <w:sz w:val="24"/>
                <w:szCs w:val="24"/>
              </w:rPr>
              <w:t>M3: Resora iestāžu IS darbināšanai un attīstībai nepieciešamās IKT infrastruktūras nodrošināšana efektīvā, valsts un resora IKT politikām atbilstošā veidā.</w:t>
            </w:r>
          </w:p>
          <w:p w14:paraId="140A3FED" w14:textId="06D8101C" w:rsidR="000D186F" w:rsidRPr="00B06D1C" w:rsidRDefault="000D186F" w:rsidP="000D186F">
            <w:pPr>
              <w:pStyle w:val="ListParagraph"/>
              <w:numPr>
                <w:ilvl w:val="0"/>
                <w:numId w:val="6"/>
              </w:numPr>
              <w:spacing w:after="120" w:line="256" w:lineRule="auto"/>
              <w:ind w:right="46"/>
              <w:jc w:val="both"/>
            </w:pPr>
            <w:r w:rsidRPr="00B06D1C">
              <w:t xml:space="preserve">No </w:t>
            </w:r>
            <w:r w:rsidR="0053092B">
              <w:t>P</w:t>
            </w:r>
            <w:r w:rsidRPr="00B06D1C">
              <w:t>rojekta izslēgt:</w:t>
            </w:r>
          </w:p>
          <w:p w14:paraId="68431C98" w14:textId="77777777" w:rsidR="000D186F" w:rsidRPr="00B06D1C" w:rsidRDefault="000D186F" w:rsidP="000D186F">
            <w:pPr>
              <w:pStyle w:val="ListParagraph"/>
              <w:numPr>
                <w:ilvl w:val="1"/>
                <w:numId w:val="6"/>
              </w:numPr>
              <w:spacing w:after="120" w:line="256" w:lineRule="auto"/>
              <w:ind w:right="46"/>
              <w:jc w:val="both"/>
            </w:pPr>
            <w:r w:rsidRPr="00B06D1C">
              <w:t>mērķi “Resora IKT pārvaldības uzlabošana, tādējādi palielinot IKT atbalsta efektivitāti un kvalitāti, izveidojot atvērtu iekšējo lietotāju atbalsta platformu, ieviešot ar to saistītos procesus un procedūras”;</w:t>
            </w:r>
          </w:p>
          <w:p w14:paraId="113D1C58" w14:textId="4F5F3BDF" w:rsidR="000D186F" w:rsidRPr="00B06D1C" w:rsidRDefault="000D186F" w:rsidP="000D186F">
            <w:pPr>
              <w:pStyle w:val="ListParagraph"/>
              <w:numPr>
                <w:ilvl w:val="1"/>
                <w:numId w:val="6"/>
              </w:numPr>
              <w:spacing w:after="120" w:line="256" w:lineRule="auto"/>
              <w:ind w:right="46"/>
              <w:jc w:val="both"/>
            </w:pPr>
            <w:r w:rsidRPr="00B06D1C">
              <w:lastRenderedPageBreak/>
              <w:t>svītrot P</w:t>
            </w:r>
            <w:r w:rsidRPr="00B06D1C">
              <w:rPr>
                <w:rFonts w:eastAsia="MS Mincho"/>
              </w:rPr>
              <w:t>rojekta rezultāta rādītājus “</w:t>
            </w:r>
            <w:r w:rsidRPr="00B06D1C">
              <w:t>Resora IKT cilvēkresursu optimizācijas apmērs attiecībā pret 2016.gada rādītājiem</w:t>
            </w:r>
            <w:r w:rsidRPr="00B06D1C">
              <w:rPr>
                <w:rFonts w:eastAsia="MS Mincho"/>
              </w:rPr>
              <w:t>” un “</w:t>
            </w:r>
            <w:r w:rsidRPr="00B06D1C">
              <w:t>Resora izmaksu samazinājums IKT infrastruktūras un informācijas sistēmu uzturēšanai attiecībā pret 2016.gada rādītājiem</w:t>
            </w:r>
            <w:r w:rsidRPr="00B06D1C">
              <w:rPr>
                <w:rFonts w:eastAsia="MS Mincho"/>
              </w:rPr>
              <w:t>”;</w:t>
            </w:r>
          </w:p>
          <w:p w14:paraId="70750DF1" w14:textId="77777777" w:rsidR="000D186F" w:rsidRPr="00B06D1C" w:rsidRDefault="000D186F" w:rsidP="000D186F">
            <w:pPr>
              <w:pStyle w:val="ListParagraph"/>
              <w:numPr>
                <w:ilvl w:val="1"/>
                <w:numId w:val="6"/>
              </w:numPr>
              <w:spacing w:after="120" w:line="256" w:lineRule="auto"/>
              <w:ind w:right="46"/>
              <w:jc w:val="both"/>
            </w:pPr>
            <w:r w:rsidRPr="00B06D1C">
              <w:t>Projekta darbības:</w:t>
            </w:r>
          </w:p>
          <w:p w14:paraId="55A4DCAC" w14:textId="77777777" w:rsidR="000D186F" w:rsidRPr="00B06D1C" w:rsidRDefault="000D186F" w:rsidP="000D186F">
            <w:pPr>
              <w:pStyle w:val="ListParagraph"/>
              <w:numPr>
                <w:ilvl w:val="0"/>
                <w:numId w:val="4"/>
              </w:numPr>
              <w:ind w:right="46"/>
              <w:jc w:val="both"/>
              <w:rPr>
                <w:lang w:eastAsia="en-US"/>
              </w:rPr>
            </w:pPr>
            <w:r w:rsidRPr="00B06D1C">
              <w:rPr>
                <w:color w:val="000000" w:themeColor="text1"/>
                <w:shd w:val="clear" w:color="auto" w:fill="FFFFFF"/>
              </w:rPr>
              <w:t>Centralizētas VM un padotības iestāžu drošības komponentes ieviešana;</w:t>
            </w:r>
          </w:p>
          <w:p w14:paraId="30B291B8" w14:textId="77777777" w:rsidR="000D186F" w:rsidRPr="00B06D1C" w:rsidRDefault="000D186F" w:rsidP="000D186F">
            <w:pPr>
              <w:pStyle w:val="ListParagraph"/>
              <w:numPr>
                <w:ilvl w:val="0"/>
                <w:numId w:val="4"/>
              </w:numPr>
              <w:ind w:right="46"/>
              <w:jc w:val="both"/>
              <w:rPr>
                <w:lang w:eastAsia="en-US"/>
              </w:rPr>
            </w:pPr>
            <w:r w:rsidRPr="00B06D1C">
              <w:t>Centralizētas resora datu uzkrāšanas, analīzes un publicēšanas sistēmas ieviešana;</w:t>
            </w:r>
          </w:p>
          <w:p w14:paraId="4D8D1483" w14:textId="77777777" w:rsidR="000D186F" w:rsidRPr="00B06D1C" w:rsidRDefault="000D186F" w:rsidP="000D186F">
            <w:pPr>
              <w:pStyle w:val="ListParagraph"/>
              <w:numPr>
                <w:ilvl w:val="0"/>
                <w:numId w:val="4"/>
              </w:numPr>
              <w:ind w:right="46"/>
              <w:jc w:val="both"/>
              <w:rPr>
                <w:lang w:eastAsia="en-US"/>
              </w:rPr>
            </w:pPr>
            <w:r w:rsidRPr="00B06D1C">
              <w:t>Centralizētas resora klientu atbalsta informācijas sistēmas ieviešana;</w:t>
            </w:r>
          </w:p>
          <w:p w14:paraId="3858C92C" w14:textId="341910A0" w:rsidR="000D186F" w:rsidRPr="00B06D1C" w:rsidRDefault="000D186F" w:rsidP="000D186F">
            <w:pPr>
              <w:pStyle w:val="ListParagraph"/>
              <w:numPr>
                <w:ilvl w:val="0"/>
                <w:numId w:val="4"/>
              </w:numPr>
              <w:ind w:right="46"/>
              <w:jc w:val="both"/>
              <w:rPr>
                <w:lang w:eastAsia="en-US"/>
              </w:rPr>
            </w:pPr>
            <w:r w:rsidRPr="00B06D1C">
              <w:t>Centralizētas projektu vadības sistēmas ieviešana</w:t>
            </w:r>
            <w:r w:rsidR="001B0BDC">
              <w:t>.</w:t>
            </w:r>
          </w:p>
          <w:p w14:paraId="412A5FD2" w14:textId="5AB8CB39" w:rsidR="000D186F" w:rsidRPr="00B06D1C" w:rsidRDefault="000D186F" w:rsidP="00F26F87">
            <w:pPr>
              <w:ind w:right="46"/>
              <w:jc w:val="both"/>
              <w:rPr>
                <w:lang w:eastAsia="en-US"/>
              </w:rPr>
            </w:pPr>
          </w:p>
          <w:p w14:paraId="68F549C8" w14:textId="31BA2511" w:rsidR="000D186F" w:rsidRPr="00B06D1C" w:rsidRDefault="009E5305" w:rsidP="007C2FD2">
            <w:pPr>
              <w:pStyle w:val="VPBody"/>
              <w:keepNext/>
              <w:spacing w:after="0"/>
              <w:ind w:right="46"/>
              <w:jc w:val="both"/>
              <w:rPr>
                <w:szCs w:val="24"/>
              </w:rPr>
            </w:pPr>
            <w:r>
              <w:rPr>
                <w:szCs w:val="24"/>
              </w:rPr>
              <w:t>Atbilstoši jaunajam Projekta tvērumam Projekta</w:t>
            </w:r>
            <w:r w:rsidR="000D186F" w:rsidRPr="00B06D1C">
              <w:rPr>
                <w:szCs w:val="24"/>
              </w:rPr>
              <w:t xml:space="preserve"> mērķu sasniegšanai plānota</w:t>
            </w:r>
            <w:r>
              <w:rPr>
                <w:szCs w:val="24"/>
              </w:rPr>
              <w:t xml:space="preserve">s </w:t>
            </w:r>
            <w:r w:rsidR="000D186F" w:rsidRPr="00B06D1C">
              <w:rPr>
                <w:szCs w:val="24"/>
              </w:rPr>
              <w:t>šād</w:t>
            </w:r>
            <w:r>
              <w:rPr>
                <w:szCs w:val="24"/>
              </w:rPr>
              <w:t>as</w:t>
            </w:r>
            <w:r w:rsidR="000D186F" w:rsidRPr="00B06D1C">
              <w:rPr>
                <w:szCs w:val="24"/>
              </w:rPr>
              <w:t xml:space="preserve"> darbīb</w:t>
            </w:r>
            <w:r>
              <w:rPr>
                <w:szCs w:val="24"/>
              </w:rPr>
              <w:t>as</w:t>
            </w:r>
            <w:r w:rsidR="000D186F" w:rsidRPr="00B06D1C">
              <w:rPr>
                <w:szCs w:val="24"/>
              </w:rPr>
              <w:t>:</w:t>
            </w:r>
          </w:p>
          <w:p w14:paraId="7AF4EAEA" w14:textId="77777777" w:rsidR="00430152" w:rsidRPr="00E2039B" w:rsidRDefault="00430152" w:rsidP="00430152">
            <w:pPr>
              <w:pStyle w:val="ListParagraph"/>
              <w:numPr>
                <w:ilvl w:val="0"/>
                <w:numId w:val="5"/>
              </w:numPr>
              <w:rPr>
                <w:color w:val="000000" w:themeColor="text1"/>
                <w:shd w:val="clear" w:color="auto" w:fill="FFFFFF"/>
              </w:rPr>
            </w:pPr>
            <w:r w:rsidRPr="00E2039B">
              <w:rPr>
                <w:color w:val="000000" w:themeColor="text1"/>
                <w:shd w:val="clear" w:color="auto" w:fill="FFFFFF"/>
              </w:rPr>
              <w:t>Resora informācijas aprites un lēmumu pieņemšanas procesu pilnveidošana, izveidojot vienotu dokumentu vadības sistēmu un kopdarbības un informācijas apmaiņas vidi.</w:t>
            </w:r>
          </w:p>
          <w:p w14:paraId="6507E4FB" w14:textId="77777777" w:rsidR="00EA29D8" w:rsidRPr="006E434B" w:rsidRDefault="00E2039B" w:rsidP="000D186F">
            <w:pPr>
              <w:pStyle w:val="ListParagraph"/>
              <w:numPr>
                <w:ilvl w:val="0"/>
                <w:numId w:val="5"/>
              </w:numPr>
              <w:spacing w:after="120"/>
              <w:ind w:right="46"/>
              <w:jc w:val="both"/>
              <w:rPr>
                <w:iCs/>
              </w:rPr>
            </w:pPr>
            <w:r w:rsidRPr="00F26F87">
              <w:t>Nozares informācijas pieejamības un izmantošanas uzlabošana, izveidojot resorā vienotu resursu vadības sistēmu</w:t>
            </w:r>
            <w:r w:rsidR="00725457">
              <w:t xml:space="preserve">, kā arī </w:t>
            </w:r>
            <w:r w:rsidRPr="00F26F87">
              <w:t>budžeta vadības risinājumu.</w:t>
            </w:r>
          </w:p>
          <w:p w14:paraId="1132DD24" w14:textId="19DC3867" w:rsidR="008834C0" w:rsidRPr="00842483" w:rsidRDefault="00EA29D8" w:rsidP="000D186F">
            <w:pPr>
              <w:pStyle w:val="ListParagraph"/>
              <w:numPr>
                <w:ilvl w:val="0"/>
                <w:numId w:val="5"/>
              </w:numPr>
              <w:spacing w:after="120"/>
              <w:ind w:right="46"/>
              <w:jc w:val="both"/>
              <w:rPr>
                <w:iCs/>
              </w:rPr>
            </w:pPr>
            <w:r w:rsidRPr="007260DD">
              <w:rPr>
                <w:color w:val="000000" w:themeColor="text1"/>
                <w:shd w:val="clear" w:color="auto" w:fill="FFFFFF"/>
              </w:rPr>
              <w:t>Resora iestāžu informācijas</w:t>
            </w:r>
            <w:r w:rsidR="00FA23E3" w:rsidRPr="007260DD">
              <w:rPr>
                <w:color w:val="000000" w:themeColor="text1"/>
                <w:shd w:val="clear" w:color="auto" w:fill="FFFFFF"/>
              </w:rPr>
              <w:t xml:space="preserve"> sistēmu darbinā</w:t>
            </w:r>
            <w:r w:rsidR="008834C0" w:rsidRPr="007260DD">
              <w:rPr>
                <w:color w:val="000000" w:themeColor="text1"/>
                <w:shd w:val="clear" w:color="auto" w:fill="FFFFFF"/>
              </w:rPr>
              <w:t>šanai un</w:t>
            </w:r>
            <w:r w:rsidR="007260DD" w:rsidRPr="007260DD">
              <w:rPr>
                <w:color w:val="000000" w:themeColor="text1"/>
                <w:shd w:val="clear" w:color="auto" w:fill="FFFFFF"/>
              </w:rPr>
              <w:t xml:space="preserve"> </w:t>
            </w:r>
            <w:r w:rsidR="007260DD" w:rsidRPr="00F26F87">
              <w:rPr>
                <w:bCs/>
              </w:rPr>
              <w:t xml:space="preserve"> attīstībai</w:t>
            </w:r>
            <w:r w:rsidR="001143BE">
              <w:rPr>
                <w:bCs/>
              </w:rPr>
              <w:t xml:space="preserve"> </w:t>
            </w:r>
            <w:r w:rsidR="007260DD" w:rsidRPr="00F26F87">
              <w:rPr>
                <w:bCs/>
              </w:rPr>
              <w:t>nepieciešamās informācijas un komunikācijas tehnoloģiju (turpmāk – IKT) infrastruktūras nodrošināšana efektīvā, valsts un resora IKT politikām atbilstošā veidā</w:t>
            </w:r>
            <w:r w:rsidR="007260DD" w:rsidRPr="00EC4F95">
              <w:rPr>
                <w:bCs/>
                <w:sz w:val="28"/>
                <w:szCs w:val="28"/>
              </w:rPr>
              <w:t>.</w:t>
            </w:r>
            <w:r w:rsidR="008834C0">
              <w:rPr>
                <w:color w:val="000000" w:themeColor="text1"/>
                <w:shd w:val="clear" w:color="auto" w:fill="FFFFFF"/>
              </w:rPr>
              <w:t xml:space="preserve"> </w:t>
            </w:r>
          </w:p>
          <w:p w14:paraId="2C8CE1B2" w14:textId="29EEC66F" w:rsidR="00B653D8" w:rsidRPr="00434D26" w:rsidRDefault="00B93617" w:rsidP="000B6679">
            <w:pPr>
              <w:pStyle w:val="VPBody"/>
              <w:spacing w:after="0" w:line="240" w:lineRule="auto"/>
              <w:jc w:val="both"/>
            </w:pPr>
            <w:r w:rsidRPr="00B93617">
              <w:t xml:space="preserve">Jaunajā Projekta tvēruma darbības (kopumā) nodrošina līdz šim </w:t>
            </w:r>
            <w:r w:rsidR="00AB7272">
              <w:t>P</w:t>
            </w:r>
            <w:r w:rsidRPr="00B93617">
              <w:t>rojektā realizēto līdzvērtīgo darbību  plānoto mērķu (rezultātu, iznākumu) sasniegšanu  un neparedz ieviesto risinājumu nomaiņu</w:t>
            </w:r>
            <w:r w:rsidR="00544EE5">
              <w:t xml:space="preserve">. </w:t>
            </w:r>
            <w:r w:rsidR="00842483">
              <w:t>Projekta ietvaros paredzēta atsevišķu nozares datu kopu apkopošana un pārveidošana, nodrošinot iespēju analizēt šos datus ar atbilstošiem analīzes (</w:t>
            </w:r>
            <w:proofErr w:type="spellStart"/>
            <w:r w:rsidR="00842483">
              <w:t>Business</w:t>
            </w:r>
            <w:proofErr w:type="spellEnd"/>
            <w:r w:rsidR="00842483">
              <w:t xml:space="preserve"> </w:t>
            </w:r>
            <w:proofErr w:type="spellStart"/>
            <w:r w:rsidR="00842483">
              <w:t>Intelligence</w:t>
            </w:r>
            <w:proofErr w:type="spellEnd"/>
            <w:r w:rsidR="00842483">
              <w:t xml:space="preserve">) rīkiem, tādejādi padarot šīs datu kopas pieejamas </w:t>
            </w:r>
            <w:proofErr w:type="spellStart"/>
            <w:r w:rsidR="00842483">
              <w:t>atkalizmantošanai</w:t>
            </w:r>
            <w:proofErr w:type="spellEnd"/>
            <w:r w:rsidR="00842483">
              <w:t xml:space="preserve"> un koplietošanai resora ietvaros. </w:t>
            </w:r>
            <w:r w:rsidR="00B653D8">
              <w:t xml:space="preserve">Projekta ietvaros nav paredzēta tieša datu integrāciju izveide </w:t>
            </w:r>
            <w:r w:rsidR="00B653D8" w:rsidRPr="00E512BD">
              <w:t>ārpus nozares informācijas sistēmām</w:t>
            </w:r>
            <w:r w:rsidR="00B653D8">
              <w:t>. Projekta ietvaros nav paredzēta datu publiskošana, izmantojot atvērto datu portālu.</w:t>
            </w:r>
          </w:p>
          <w:p w14:paraId="2253CF40" w14:textId="3B08F145" w:rsidR="000D186F" w:rsidRDefault="002E1E98" w:rsidP="00C335BC">
            <w:pPr>
              <w:spacing w:after="120"/>
              <w:ind w:right="46"/>
              <w:jc w:val="both"/>
              <w:rPr>
                <w:rFonts w:eastAsia="MS Mincho"/>
              </w:rPr>
            </w:pPr>
            <w:r>
              <w:rPr>
                <w:iCs/>
              </w:rPr>
              <w:t>D</w:t>
            </w:r>
            <w:r w:rsidR="000D186F" w:rsidRPr="00C7462C">
              <w:rPr>
                <w:iCs/>
              </w:rPr>
              <w:t>etalizētā Projekta apraksta grozījum</w:t>
            </w:r>
            <w:r w:rsidR="00907E02">
              <w:rPr>
                <w:iCs/>
              </w:rPr>
              <w:t>i ir saskaņoti ar VARAM</w:t>
            </w:r>
            <w:r w:rsidR="00C7462C">
              <w:rPr>
                <w:iCs/>
              </w:rPr>
              <w:t>.</w:t>
            </w:r>
          </w:p>
          <w:p w14:paraId="056C217E" w14:textId="73294EF9" w:rsidR="004E6D1E" w:rsidRDefault="004E6D1E" w:rsidP="004E6D1E">
            <w:pPr>
              <w:pStyle w:val="xxmsonormal"/>
              <w:jc w:val="both"/>
            </w:pPr>
            <w:r>
              <w:t xml:space="preserve">Projekta tvērums, t.sk finanšu līdzekļi, ir samazināti, atbilstoši precizējot </w:t>
            </w:r>
            <w:proofErr w:type="spellStart"/>
            <w:r>
              <w:t>virsmērķi</w:t>
            </w:r>
            <w:proofErr w:type="spellEnd"/>
            <w:r>
              <w:t xml:space="preserve"> un mērķus, un visas jaunā tvēruma darbības tiks īstenotas, kā arī ieviestos risinājumus tiek plānots izmantot vismaz </w:t>
            </w:r>
            <w:r w:rsidR="00D96798">
              <w:t>piecus</w:t>
            </w:r>
            <w:r>
              <w:t xml:space="preserve"> gadus no </w:t>
            </w:r>
            <w:r>
              <w:rPr>
                <w:szCs w:val="26"/>
              </w:rPr>
              <w:t xml:space="preserve">Projekta noslēguma maksājuma apstiprināšanas Centrālajā finanšu </w:t>
            </w:r>
            <w:r>
              <w:rPr>
                <w:szCs w:val="26"/>
              </w:rPr>
              <w:lastRenderedPageBreak/>
              <w:t xml:space="preserve">un līgumu aģentūrā, </w:t>
            </w:r>
            <w:r>
              <w:t>neradot riskus a</w:t>
            </w:r>
            <w:r w:rsidRPr="00EF2418">
              <w:t>tmaksā</w:t>
            </w:r>
            <w:r>
              <w:t>t</w:t>
            </w:r>
            <w:r w:rsidRPr="00EF2418">
              <w:t xml:space="preserve"> no </w:t>
            </w:r>
            <w:r w:rsidRPr="005E29A2">
              <w:t>Eiropas Reģionālās attīstības fonda</w:t>
            </w:r>
            <w:r w:rsidRPr="00EF2418">
              <w:t xml:space="preserve"> saņemto</w:t>
            </w:r>
            <w:r>
              <w:t>s</w:t>
            </w:r>
            <w:r w:rsidRPr="00EF2418">
              <w:t xml:space="preserve"> </w:t>
            </w:r>
            <w:r>
              <w:t>līdzekļus.</w:t>
            </w:r>
            <w:r w:rsidR="005371AA">
              <w:t xml:space="preserve"> </w:t>
            </w:r>
            <w:r w:rsidR="005371AA">
              <w:t xml:space="preserve">Tādejādi   grozījumi nav uzskatāmi par būtiskiem attiecībā uz </w:t>
            </w:r>
            <w:r w:rsidR="005371AA" w:rsidRPr="00D55A85">
              <w:t>atbilstību Eiropas Parlamenta un Padomes Regulas (ES) Nr.1303/2013</w:t>
            </w:r>
            <w:r w:rsidR="005371AA">
              <w:rPr>
                <w:rStyle w:val="FootnoteReference"/>
              </w:rPr>
              <w:footnoteReference w:id="2"/>
            </w:r>
            <w:r w:rsidR="005371AA" w:rsidRPr="00D55A85">
              <w:t xml:space="preserve"> 71.panta</w:t>
            </w:r>
            <w:r w:rsidR="005371AA">
              <w:t xml:space="preserve"> regulējumam.</w:t>
            </w:r>
          </w:p>
          <w:p w14:paraId="50ABE4EF" w14:textId="611CB776" w:rsidR="00566C9F" w:rsidRDefault="00566C9F" w:rsidP="00566C9F">
            <w:pPr>
              <w:jc w:val="both"/>
              <w:rPr>
                <w:szCs w:val="26"/>
              </w:rPr>
            </w:pPr>
            <w:r w:rsidRPr="00DA0E54">
              <w:t>Mainot Projekta tvērumu</w:t>
            </w:r>
            <w:r w:rsidR="00AB7272" w:rsidRPr="00DA0E54">
              <w:t>,</w:t>
            </w:r>
            <w:r w:rsidRPr="00DA0E54">
              <w:t xml:space="preserve"> </w:t>
            </w:r>
            <w:r w:rsidRPr="00DA0E54">
              <w:rPr>
                <w:szCs w:val="26"/>
              </w:rPr>
              <w:t xml:space="preserve">īstenotais </w:t>
            </w:r>
            <w:r w:rsidR="00AB7272" w:rsidRPr="00DA0E54">
              <w:rPr>
                <w:szCs w:val="26"/>
              </w:rPr>
              <w:t>P</w:t>
            </w:r>
            <w:r w:rsidRPr="00DA0E54">
              <w:rPr>
                <w:szCs w:val="26"/>
              </w:rPr>
              <w:t>rojekts atbils</w:t>
            </w:r>
            <w:r w:rsidR="004E7007" w:rsidRPr="00DA0E54">
              <w:rPr>
                <w:szCs w:val="26"/>
              </w:rPr>
              <w:t xml:space="preserve">t </w:t>
            </w:r>
            <w:r w:rsidR="000C1858" w:rsidRPr="00DA0E54">
              <w:rPr>
                <w:szCs w:val="26"/>
              </w:rPr>
              <w:t>Pro</w:t>
            </w:r>
            <w:r w:rsidR="00AB7272" w:rsidRPr="00DA0E54">
              <w:rPr>
                <w:szCs w:val="26"/>
              </w:rPr>
              <w:t xml:space="preserve">jekta </w:t>
            </w:r>
            <w:r w:rsidR="00CA1EEF" w:rsidRPr="00DA0E54">
              <w:rPr>
                <w:szCs w:val="26"/>
              </w:rPr>
              <w:t xml:space="preserve">iesniegumu </w:t>
            </w:r>
            <w:r w:rsidR="00AB7272" w:rsidRPr="00DA0E54">
              <w:rPr>
                <w:szCs w:val="26"/>
              </w:rPr>
              <w:t>vērtēšanas kritērijiem</w:t>
            </w:r>
            <w:r w:rsidR="006F710A" w:rsidRPr="00DA0E54">
              <w:rPr>
                <w:szCs w:val="26"/>
              </w:rPr>
              <w:t>.</w:t>
            </w:r>
          </w:p>
          <w:p w14:paraId="6140939F" w14:textId="77777777" w:rsidR="004E6D1E" w:rsidRPr="00C7462C" w:rsidRDefault="004E6D1E" w:rsidP="00C335BC">
            <w:pPr>
              <w:spacing w:after="120"/>
              <w:ind w:right="46"/>
              <w:jc w:val="both"/>
              <w:rPr>
                <w:rFonts w:eastAsia="MS Mincho"/>
              </w:rPr>
            </w:pPr>
          </w:p>
          <w:p w14:paraId="00E29150" w14:textId="138C7FC8" w:rsidR="00F804F1" w:rsidRPr="00566C9F" w:rsidRDefault="00F804F1" w:rsidP="00F804F1">
            <w:pPr>
              <w:jc w:val="both"/>
            </w:pPr>
            <w:r w:rsidRPr="005D2D91">
              <w:t>MK r</w:t>
            </w:r>
            <w:r>
              <w:t xml:space="preserve">īkojuma grozījumi tiek papildināti ar </w:t>
            </w:r>
            <w:proofErr w:type="spellStart"/>
            <w:r>
              <w:t>protokollēmumu</w:t>
            </w:r>
            <w:proofErr w:type="spellEnd"/>
            <w:r>
              <w:t xml:space="preserve">, kurā VARAM līdz 2021. gada 1. maijam jāveic grozījumi 2020. gada 15. jūlija rīkojumā Nr. 374 “Par darbības programmas "Izaugsme un nodarbinātība" 2.2.1. specifiskā atbalsta mērķa "Nodrošināt publisko datu </w:t>
            </w:r>
            <w:proofErr w:type="spellStart"/>
            <w:r>
              <w:t>atkalizmantošanas</w:t>
            </w:r>
            <w:proofErr w:type="spellEnd"/>
            <w:r>
              <w:t xml:space="preserve"> pieaugumu un efektīvu publiskās pārvaldes un privātā sektora mijiedarbību" 2.2.1.1. pasākuma "Centralizētu publiskās pārvaldes IKT platformu izveide, publiskās pārvaldes procesu optimizēšana un attīstība" un 2.2.1.2. pasākuma "Kultūras mantojuma </w:t>
            </w:r>
            <w:proofErr w:type="spellStart"/>
            <w:r>
              <w:t>digitalizācija</w:t>
            </w:r>
            <w:proofErr w:type="spellEnd"/>
            <w:r>
              <w:t>" projektu iesniegumu atlases 1. un 2. kārtas projektu sarakstu Eiropas Savienības fondu 2014.–2020. gada plānošanas periodam”, lai precizētu VM projektam “Veselības ministrijas un padotības iestāžu IKT centralizācijas atbalsts” norādīto plānotā finansējuma apjomu.</w:t>
            </w:r>
          </w:p>
          <w:p w14:paraId="0442927C" w14:textId="77777777" w:rsidR="000D186F" w:rsidRPr="00B06D1C" w:rsidRDefault="000D186F" w:rsidP="007C2FD2">
            <w:pPr>
              <w:pStyle w:val="VPBody"/>
              <w:keepNext/>
              <w:spacing w:after="0"/>
              <w:ind w:right="46"/>
              <w:jc w:val="both"/>
              <w:rPr>
                <w:szCs w:val="24"/>
              </w:rPr>
            </w:pPr>
          </w:p>
        </w:tc>
      </w:tr>
      <w:tr w:rsidR="000D186F" w:rsidRPr="00860BD5" w14:paraId="6DFE63A7" w14:textId="77777777" w:rsidTr="00163A48">
        <w:trPr>
          <w:tblCellSpacing w:w="20" w:type="dxa"/>
        </w:trPr>
        <w:tc>
          <w:tcPr>
            <w:tcW w:w="311" w:type="pct"/>
            <w:hideMark/>
          </w:tcPr>
          <w:p w14:paraId="06D229A1" w14:textId="77777777" w:rsidR="000D186F" w:rsidRPr="00860BD5" w:rsidRDefault="000D186F" w:rsidP="007C2FD2">
            <w:pPr>
              <w:jc w:val="center"/>
            </w:pPr>
            <w:r w:rsidRPr="00860BD5">
              <w:lastRenderedPageBreak/>
              <w:t>3.</w:t>
            </w:r>
          </w:p>
        </w:tc>
        <w:tc>
          <w:tcPr>
            <w:tcW w:w="1080" w:type="pct"/>
            <w:hideMark/>
          </w:tcPr>
          <w:p w14:paraId="4793C866" w14:textId="77777777" w:rsidR="000D186F" w:rsidRPr="00860BD5" w:rsidRDefault="000D186F" w:rsidP="007C2FD2">
            <w:r w:rsidRPr="00860BD5">
              <w:t>Projekta izstrādē iesaistītās institūcijas un publiskas personas kapitālsabiedrības</w:t>
            </w:r>
          </w:p>
        </w:tc>
        <w:tc>
          <w:tcPr>
            <w:tcW w:w="3609" w:type="pct"/>
            <w:hideMark/>
          </w:tcPr>
          <w:p w14:paraId="03DA6FC4" w14:textId="78604683" w:rsidR="000D186F" w:rsidRPr="00860BD5" w:rsidRDefault="000D186F" w:rsidP="00416634">
            <w:pPr>
              <w:ind w:right="46"/>
              <w:jc w:val="both"/>
            </w:pPr>
            <w:r>
              <w:t>V</w:t>
            </w:r>
            <w:r w:rsidR="00416634">
              <w:t>M</w:t>
            </w:r>
          </w:p>
        </w:tc>
      </w:tr>
      <w:tr w:rsidR="000D186F" w:rsidRPr="00860BD5" w14:paraId="5FFE06AE" w14:textId="77777777" w:rsidTr="00163A48">
        <w:trPr>
          <w:tblCellSpacing w:w="20" w:type="dxa"/>
        </w:trPr>
        <w:tc>
          <w:tcPr>
            <w:tcW w:w="311" w:type="pct"/>
            <w:hideMark/>
          </w:tcPr>
          <w:p w14:paraId="5341F960" w14:textId="77777777" w:rsidR="000D186F" w:rsidRPr="00860BD5" w:rsidRDefault="000D186F" w:rsidP="007C2FD2">
            <w:pPr>
              <w:jc w:val="center"/>
            </w:pPr>
            <w:r w:rsidRPr="00860BD5">
              <w:t>4.</w:t>
            </w:r>
          </w:p>
        </w:tc>
        <w:tc>
          <w:tcPr>
            <w:tcW w:w="1080" w:type="pct"/>
            <w:hideMark/>
          </w:tcPr>
          <w:p w14:paraId="2508AD85" w14:textId="77777777" w:rsidR="000D186F" w:rsidRPr="00860BD5" w:rsidRDefault="000D186F" w:rsidP="007C2FD2">
            <w:r w:rsidRPr="00860BD5">
              <w:t>Cita informācija</w:t>
            </w:r>
          </w:p>
        </w:tc>
        <w:tc>
          <w:tcPr>
            <w:tcW w:w="3609" w:type="pct"/>
            <w:hideMark/>
          </w:tcPr>
          <w:p w14:paraId="58F59265" w14:textId="76B503E5" w:rsidR="000D186F" w:rsidRPr="00860BD5" w:rsidRDefault="000D186F" w:rsidP="007C2FD2">
            <w:r w:rsidRPr="00860BD5">
              <w:t>Na</w:t>
            </w:r>
            <w:r w:rsidR="00416634">
              <w:t>v</w:t>
            </w:r>
          </w:p>
        </w:tc>
      </w:tr>
    </w:tbl>
    <w:p w14:paraId="2F5320D2" w14:textId="77777777" w:rsidR="000D186F" w:rsidRPr="00860BD5" w:rsidRDefault="000D186F" w:rsidP="000D186F">
      <w:pPr>
        <w:pStyle w:val="Title"/>
        <w:spacing w:before="130" w:line="260" w:lineRule="exact"/>
        <w:ind w:firstLine="539"/>
        <w:jc w:val="both"/>
        <w:rPr>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445"/>
        <w:gridCol w:w="5279"/>
      </w:tblGrid>
      <w:tr w:rsidR="000D186F" w:rsidRPr="00860BD5" w14:paraId="73EE3CA9" w14:textId="77777777" w:rsidTr="00354E21">
        <w:trPr>
          <w:cantSplit/>
          <w:tblCellSpacing w:w="20" w:type="dxa"/>
        </w:trPr>
        <w:tc>
          <w:tcPr>
            <w:tcW w:w="5000" w:type="pct"/>
            <w:gridSpan w:val="3"/>
            <w:vAlign w:val="center"/>
            <w:hideMark/>
          </w:tcPr>
          <w:p w14:paraId="231EE970" w14:textId="77777777" w:rsidR="000D186F" w:rsidRPr="00860BD5" w:rsidRDefault="000D186F" w:rsidP="007C2FD2">
            <w:pPr>
              <w:jc w:val="center"/>
              <w:rPr>
                <w:b/>
                <w:bCs/>
              </w:rPr>
            </w:pPr>
            <w:r w:rsidRPr="00860BD5">
              <w:rPr>
                <w:b/>
                <w:bCs/>
              </w:rPr>
              <w:t>II. Tiesību akta projekta ietekme uz sabiedrību, tautsaimniecības attīstību un administratīvo slogu</w:t>
            </w:r>
          </w:p>
        </w:tc>
      </w:tr>
      <w:tr w:rsidR="000D186F" w:rsidRPr="00860BD5" w14:paraId="2E30724D" w14:textId="77777777" w:rsidTr="00354E21">
        <w:trPr>
          <w:cantSplit/>
          <w:tblCellSpacing w:w="20" w:type="dxa"/>
        </w:trPr>
        <w:tc>
          <w:tcPr>
            <w:tcW w:w="311" w:type="pct"/>
            <w:hideMark/>
          </w:tcPr>
          <w:p w14:paraId="159A0A78" w14:textId="77777777" w:rsidR="000D186F" w:rsidRPr="00860BD5" w:rsidRDefault="000D186F" w:rsidP="007C2FD2">
            <w:pPr>
              <w:jc w:val="center"/>
            </w:pPr>
            <w:r w:rsidRPr="00860BD5">
              <w:t>1.</w:t>
            </w:r>
          </w:p>
        </w:tc>
        <w:tc>
          <w:tcPr>
            <w:tcW w:w="1479" w:type="pct"/>
            <w:hideMark/>
          </w:tcPr>
          <w:p w14:paraId="519066CC" w14:textId="77777777" w:rsidR="000D186F" w:rsidRPr="00860BD5" w:rsidRDefault="000D186F" w:rsidP="007C2FD2">
            <w:r w:rsidRPr="00860BD5">
              <w:t xml:space="preserve">Sabiedrības </w:t>
            </w:r>
            <w:proofErr w:type="spellStart"/>
            <w:r w:rsidRPr="00860BD5">
              <w:t>mērķgrupas</w:t>
            </w:r>
            <w:proofErr w:type="spellEnd"/>
            <w:r w:rsidRPr="00860BD5">
              <w:t>, kuras tiesiskais regulējums ietekmē vai varētu ietekmēt</w:t>
            </w:r>
          </w:p>
        </w:tc>
        <w:tc>
          <w:tcPr>
            <w:tcW w:w="3210" w:type="pct"/>
            <w:hideMark/>
          </w:tcPr>
          <w:p w14:paraId="2BC48BB5" w14:textId="6959E036" w:rsidR="000D186F" w:rsidRPr="00860BD5" w:rsidRDefault="000D186F" w:rsidP="007C2FD2">
            <w:r>
              <w:rPr>
                <w:lang w:eastAsia="en-US"/>
              </w:rPr>
              <w:t>Iedzīvotāji, komersanti (fiziskas personas, juridiskas personas), valsts pārvalde</w:t>
            </w:r>
            <w:r w:rsidR="00C97607">
              <w:rPr>
                <w:lang w:eastAsia="en-US"/>
              </w:rPr>
              <w:t>.</w:t>
            </w:r>
            <w:r>
              <w:rPr>
                <w:lang w:eastAsia="en-US"/>
              </w:rPr>
              <w:t xml:space="preserve"> </w:t>
            </w:r>
          </w:p>
        </w:tc>
      </w:tr>
      <w:tr w:rsidR="000D186F" w:rsidRPr="00860BD5" w14:paraId="48A53FCC" w14:textId="77777777" w:rsidTr="00354E21">
        <w:trPr>
          <w:cantSplit/>
          <w:tblCellSpacing w:w="20" w:type="dxa"/>
        </w:trPr>
        <w:tc>
          <w:tcPr>
            <w:tcW w:w="311" w:type="pct"/>
            <w:hideMark/>
          </w:tcPr>
          <w:p w14:paraId="139DBBC2" w14:textId="77777777" w:rsidR="000D186F" w:rsidRPr="00860BD5" w:rsidRDefault="000D186F" w:rsidP="007C2FD2">
            <w:pPr>
              <w:jc w:val="center"/>
            </w:pPr>
            <w:r w:rsidRPr="00860BD5">
              <w:lastRenderedPageBreak/>
              <w:t>2.</w:t>
            </w:r>
          </w:p>
        </w:tc>
        <w:tc>
          <w:tcPr>
            <w:tcW w:w="1479" w:type="pct"/>
            <w:hideMark/>
          </w:tcPr>
          <w:p w14:paraId="2538B567" w14:textId="77777777" w:rsidR="000D186F" w:rsidRPr="00860BD5" w:rsidRDefault="000D186F" w:rsidP="007C2FD2">
            <w:r w:rsidRPr="00860BD5">
              <w:t>Tiesiskā regulējuma ietekme uz tautsaimniecību un administratīvo slogu</w:t>
            </w:r>
          </w:p>
        </w:tc>
        <w:tc>
          <w:tcPr>
            <w:tcW w:w="3210" w:type="pct"/>
            <w:hideMark/>
          </w:tcPr>
          <w:p w14:paraId="0B94058A" w14:textId="712A21D1" w:rsidR="000D186F" w:rsidRPr="00860BD5" w:rsidRDefault="00416634" w:rsidP="007C2FD2">
            <w:r w:rsidRPr="00D37D70">
              <w:rPr>
                <w:iCs/>
              </w:rPr>
              <w:t xml:space="preserve">Rīkojuma projektam nav ietekmes uz tautsaimniecību un administratīvo slogu. </w:t>
            </w:r>
          </w:p>
        </w:tc>
      </w:tr>
      <w:tr w:rsidR="000D186F" w:rsidRPr="00860BD5" w14:paraId="36A37500" w14:textId="77777777" w:rsidTr="00354E21">
        <w:trPr>
          <w:cantSplit/>
          <w:tblCellSpacing w:w="20" w:type="dxa"/>
        </w:trPr>
        <w:tc>
          <w:tcPr>
            <w:tcW w:w="311" w:type="pct"/>
            <w:hideMark/>
          </w:tcPr>
          <w:p w14:paraId="068D4596" w14:textId="77777777" w:rsidR="000D186F" w:rsidRPr="00860BD5" w:rsidRDefault="000D186F" w:rsidP="007C2FD2">
            <w:pPr>
              <w:jc w:val="center"/>
            </w:pPr>
            <w:r w:rsidRPr="00860BD5">
              <w:t>3.</w:t>
            </w:r>
          </w:p>
        </w:tc>
        <w:tc>
          <w:tcPr>
            <w:tcW w:w="1479" w:type="pct"/>
            <w:hideMark/>
          </w:tcPr>
          <w:p w14:paraId="74B3421D" w14:textId="77777777" w:rsidR="000D186F" w:rsidRPr="00860BD5" w:rsidRDefault="000D186F" w:rsidP="007C2FD2">
            <w:r w:rsidRPr="00860BD5">
              <w:t>Administratīvo izmaksu monetārs novērtējums</w:t>
            </w:r>
          </w:p>
        </w:tc>
        <w:tc>
          <w:tcPr>
            <w:tcW w:w="3210" w:type="pct"/>
            <w:hideMark/>
          </w:tcPr>
          <w:p w14:paraId="1BFC3C56" w14:textId="77777777" w:rsidR="000D186F" w:rsidRPr="00860BD5" w:rsidRDefault="000D186F" w:rsidP="007C2FD2">
            <w:r>
              <w:t>Nav attiecināms</w:t>
            </w:r>
          </w:p>
        </w:tc>
      </w:tr>
      <w:tr w:rsidR="000D186F" w:rsidRPr="00860BD5" w14:paraId="3CBD34F4" w14:textId="77777777" w:rsidTr="00354E21">
        <w:trPr>
          <w:cantSplit/>
          <w:tblCellSpacing w:w="20" w:type="dxa"/>
        </w:trPr>
        <w:tc>
          <w:tcPr>
            <w:tcW w:w="311" w:type="pct"/>
            <w:hideMark/>
          </w:tcPr>
          <w:p w14:paraId="37CC5EF6" w14:textId="77777777" w:rsidR="000D186F" w:rsidRPr="00860BD5" w:rsidRDefault="000D186F" w:rsidP="007C2FD2">
            <w:pPr>
              <w:jc w:val="center"/>
            </w:pPr>
            <w:r w:rsidRPr="00860BD5">
              <w:t>4.</w:t>
            </w:r>
          </w:p>
        </w:tc>
        <w:tc>
          <w:tcPr>
            <w:tcW w:w="1479" w:type="pct"/>
            <w:hideMark/>
          </w:tcPr>
          <w:p w14:paraId="3663D4AA" w14:textId="77777777" w:rsidR="000D186F" w:rsidRPr="00860BD5" w:rsidRDefault="000D186F" w:rsidP="007C2FD2">
            <w:r w:rsidRPr="00860BD5">
              <w:t>Atbilstības izmaksu monetārs novērtējums</w:t>
            </w:r>
          </w:p>
        </w:tc>
        <w:tc>
          <w:tcPr>
            <w:tcW w:w="3210" w:type="pct"/>
            <w:hideMark/>
          </w:tcPr>
          <w:p w14:paraId="2EE25AAC" w14:textId="38D768C7" w:rsidR="000D186F" w:rsidRPr="00860BD5" w:rsidRDefault="00F861D2" w:rsidP="007C2FD2">
            <w:r>
              <w:t>Nav attiecināms</w:t>
            </w:r>
          </w:p>
        </w:tc>
      </w:tr>
      <w:tr w:rsidR="000D186F" w:rsidRPr="00860BD5" w14:paraId="789A20CF" w14:textId="77777777" w:rsidTr="00354E21">
        <w:trPr>
          <w:cantSplit/>
          <w:tblCellSpacing w:w="20" w:type="dxa"/>
        </w:trPr>
        <w:tc>
          <w:tcPr>
            <w:tcW w:w="311" w:type="pct"/>
            <w:hideMark/>
          </w:tcPr>
          <w:p w14:paraId="41A53E85" w14:textId="77777777" w:rsidR="000D186F" w:rsidRPr="00860BD5" w:rsidRDefault="000D186F" w:rsidP="007C2FD2">
            <w:pPr>
              <w:jc w:val="center"/>
            </w:pPr>
            <w:r w:rsidRPr="00860BD5">
              <w:t>5.</w:t>
            </w:r>
          </w:p>
        </w:tc>
        <w:tc>
          <w:tcPr>
            <w:tcW w:w="1479" w:type="pct"/>
            <w:hideMark/>
          </w:tcPr>
          <w:p w14:paraId="7B5C51E6" w14:textId="77777777" w:rsidR="000D186F" w:rsidRPr="00860BD5" w:rsidRDefault="000D186F" w:rsidP="007C2FD2">
            <w:r w:rsidRPr="00860BD5">
              <w:t>Cita informācija</w:t>
            </w:r>
          </w:p>
        </w:tc>
        <w:tc>
          <w:tcPr>
            <w:tcW w:w="3210" w:type="pct"/>
            <w:hideMark/>
          </w:tcPr>
          <w:p w14:paraId="1FBEDFBD" w14:textId="1DDFF3E7" w:rsidR="000D186F" w:rsidRPr="00860BD5" w:rsidRDefault="000D186F" w:rsidP="007C2FD2">
            <w:r w:rsidRPr="00860BD5">
              <w:t>Nav</w:t>
            </w:r>
          </w:p>
        </w:tc>
      </w:tr>
    </w:tbl>
    <w:p w14:paraId="4BE9AC85" w14:textId="77777777" w:rsidR="000D186F" w:rsidRPr="00716510" w:rsidRDefault="000D186F" w:rsidP="000D186F">
      <w:pPr>
        <w:rPr>
          <w:i/>
        </w:rPr>
      </w:pPr>
    </w:p>
    <w:p w14:paraId="5E8C45F4" w14:textId="77777777" w:rsidR="000D186F" w:rsidRPr="00860BD5" w:rsidRDefault="000D186F" w:rsidP="000D186F"/>
    <w:tbl>
      <w:tblPr>
        <w:tblpPr w:leftFromText="180" w:rightFromText="180" w:vertAnchor="text" w:tblpX="-289" w:tblpY="1"/>
        <w:tblOverlap w:val="never"/>
        <w:tblW w:w="5638"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552"/>
        <w:gridCol w:w="1262"/>
        <w:gridCol w:w="1140"/>
        <w:gridCol w:w="992"/>
        <w:gridCol w:w="1115"/>
        <w:gridCol w:w="869"/>
        <w:gridCol w:w="1134"/>
        <w:gridCol w:w="1284"/>
      </w:tblGrid>
      <w:tr w:rsidR="000D186F" w:rsidRPr="00860BD5" w14:paraId="18B985A9" w14:textId="77777777" w:rsidTr="003B465F">
        <w:trPr>
          <w:tblCellSpacing w:w="20" w:type="dxa"/>
        </w:trPr>
        <w:tc>
          <w:tcPr>
            <w:tcW w:w="9268" w:type="dxa"/>
            <w:gridSpan w:val="8"/>
            <w:shd w:val="clear" w:color="auto" w:fill="auto"/>
            <w:vAlign w:val="center"/>
            <w:hideMark/>
          </w:tcPr>
          <w:p w14:paraId="46648119" w14:textId="067039F7" w:rsidR="000D186F" w:rsidRPr="00860BD5" w:rsidRDefault="000D186F" w:rsidP="00D303EC">
            <w:pPr>
              <w:jc w:val="center"/>
              <w:rPr>
                <w:b/>
                <w:bCs/>
                <w:lang w:eastAsia="en-US"/>
              </w:rPr>
            </w:pPr>
            <w:r w:rsidRPr="00860BD5">
              <w:rPr>
                <w:b/>
                <w:bCs/>
                <w:lang w:eastAsia="en-US"/>
              </w:rPr>
              <w:t>III. Tiesību akta projekta ietekme uz valsts budžetu un pašvaldību budžetiem</w:t>
            </w:r>
          </w:p>
        </w:tc>
      </w:tr>
      <w:tr w:rsidR="00057741" w:rsidRPr="00860BD5" w14:paraId="31A033DC" w14:textId="77777777" w:rsidTr="003B465F">
        <w:trPr>
          <w:tblCellSpacing w:w="20" w:type="dxa"/>
        </w:trPr>
        <w:tc>
          <w:tcPr>
            <w:tcW w:w="1492" w:type="dxa"/>
            <w:vMerge w:val="restart"/>
            <w:shd w:val="clear" w:color="auto" w:fill="FFFFFF" w:themeFill="background1"/>
            <w:vAlign w:val="center"/>
          </w:tcPr>
          <w:p w14:paraId="20495540" w14:textId="77777777" w:rsidR="000D186F" w:rsidRPr="00860BD5" w:rsidRDefault="000D186F" w:rsidP="00D303EC">
            <w:pPr>
              <w:jc w:val="center"/>
              <w:rPr>
                <w:bCs/>
                <w:lang w:eastAsia="en-US"/>
              </w:rPr>
            </w:pPr>
            <w:r w:rsidRPr="00860BD5">
              <w:rPr>
                <w:bCs/>
                <w:lang w:eastAsia="en-US"/>
              </w:rPr>
              <w:t>Rādītāji</w:t>
            </w:r>
          </w:p>
        </w:tc>
        <w:tc>
          <w:tcPr>
            <w:tcW w:w="2362" w:type="dxa"/>
            <w:gridSpan w:val="2"/>
            <w:vMerge w:val="restart"/>
            <w:shd w:val="clear" w:color="auto" w:fill="FFFFFF" w:themeFill="background1"/>
            <w:vAlign w:val="center"/>
            <w:hideMark/>
          </w:tcPr>
          <w:p w14:paraId="38583C36" w14:textId="2D2D069C" w:rsidR="000D186F" w:rsidRPr="00230DBE" w:rsidRDefault="000D186F" w:rsidP="00D303EC">
            <w:pPr>
              <w:jc w:val="center"/>
              <w:rPr>
                <w:bCs/>
                <w:lang w:eastAsia="en-US"/>
              </w:rPr>
            </w:pPr>
            <w:r w:rsidRPr="00230DBE">
              <w:rPr>
                <w:bCs/>
                <w:lang w:eastAsia="en-US"/>
              </w:rPr>
              <w:t>2021</w:t>
            </w:r>
          </w:p>
        </w:tc>
        <w:tc>
          <w:tcPr>
            <w:tcW w:w="5334" w:type="dxa"/>
            <w:gridSpan w:val="5"/>
            <w:shd w:val="clear" w:color="auto" w:fill="FFFFFF" w:themeFill="background1"/>
            <w:vAlign w:val="center"/>
            <w:hideMark/>
          </w:tcPr>
          <w:p w14:paraId="2C0AB3CB" w14:textId="77777777" w:rsidR="000D186F" w:rsidRPr="00230DBE" w:rsidRDefault="000D186F" w:rsidP="00D303EC">
            <w:pPr>
              <w:jc w:val="center"/>
              <w:rPr>
                <w:lang w:eastAsia="en-US"/>
              </w:rPr>
            </w:pPr>
            <w:r w:rsidRPr="00230DBE">
              <w:rPr>
                <w:lang w:eastAsia="en-US"/>
              </w:rPr>
              <w:t>Turpmākie trīs gadi (</w:t>
            </w:r>
            <w:proofErr w:type="spellStart"/>
            <w:r w:rsidRPr="00230DBE">
              <w:rPr>
                <w:i/>
                <w:iCs/>
                <w:lang w:eastAsia="en-US"/>
              </w:rPr>
              <w:t>euro</w:t>
            </w:r>
            <w:proofErr w:type="spellEnd"/>
            <w:r w:rsidRPr="00230DBE">
              <w:rPr>
                <w:lang w:eastAsia="en-US"/>
              </w:rPr>
              <w:t>)</w:t>
            </w:r>
          </w:p>
        </w:tc>
      </w:tr>
      <w:tr w:rsidR="00C430E2" w:rsidRPr="00860BD5" w14:paraId="6BE58FCB" w14:textId="77777777" w:rsidTr="003B465F">
        <w:trPr>
          <w:tblCellSpacing w:w="20" w:type="dxa"/>
        </w:trPr>
        <w:tc>
          <w:tcPr>
            <w:tcW w:w="1492" w:type="dxa"/>
            <w:vMerge/>
            <w:vAlign w:val="center"/>
            <w:hideMark/>
          </w:tcPr>
          <w:p w14:paraId="69F252D7" w14:textId="77777777" w:rsidR="000D186F" w:rsidRPr="00860BD5" w:rsidRDefault="000D186F" w:rsidP="00D303EC">
            <w:pPr>
              <w:jc w:val="center"/>
              <w:rPr>
                <w:bCs/>
                <w:lang w:eastAsia="en-US"/>
              </w:rPr>
            </w:pPr>
          </w:p>
        </w:tc>
        <w:tc>
          <w:tcPr>
            <w:tcW w:w="2362" w:type="dxa"/>
            <w:gridSpan w:val="2"/>
            <w:vMerge/>
            <w:vAlign w:val="center"/>
            <w:hideMark/>
          </w:tcPr>
          <w:p w14:paraId="1060ECBB" w14:textId="77777777" w:rsidR="000D186F" w:rsidRPr="00230DBE" w:rsidRDefault="000D186F" w:rsidP="00D303EC">
            <w:pPr>
              <w:jc w:val="center"/>
              <w:rPr>
                <w:bCs/>
                <w:lang w:eastAsia="en-US"/>
              </w:rPr>
            </w:pPr>
          </w:p>
        </w:tc>
        <w:tc>
          <w:tcPr>
            <w:tcW w:w="2067" w:type="dxa"/>
            <w:gridSpan w:val="2"/>
            <w:shd w:val="clear" w:color="auto" w:fill="FFFFFF" w:themeFill="background1"/>
            <w:vAlign w:val="center"/>
            <w:hideMark/>
          </w:tcPr>
          <w:p w14:paraId="7166879D" w14:textId="33635EFF" w:rsidR="000D186F" w:rsidRPr="00230DBE" w:rsidRDefault="000D186F" w:rsidP="00D303EC">
            <w:pPr>
              <w:jc w:val="center"/>
              <w:rPr>
                <w:bCs/>
                <w:lang w:eastAsia="en-US"/>
              </w:rPr>
            </w:pPr>
            <w:r w:rsidRPr="00230DBE">
              <w:rPr>
                <w:bCs/>
                <w:lang w:eastAsia="en-US"/>
              </w:rPr>
              <w:t>2022</w:t>
            </w:r>
          </w:p>
        </w:tc>
        <w:tc>
          <w:tcPr>
            <w:tcW w:w="1963" w:type="dxa"/>
            <w:gridSpan w:val="2"/>
            <w:shd w:val="clear" w:color="auto" w:fill="FFFFFF" w:themeFill="background1"/>
            <w:vAlign w:val="center"/>
            <w:hideMark/>
          </w:tcPr>
          <w:p w14:paraId="056D8F65" w14:textId="06402BB1" w:rsidR="000D186F" w:rsidRPr="00230DBE" w:rsidRDefault="000D186F" w:rsidP="00D303EC">
            <w:pPr>
              <w:jc w:val="center"/>
              <w:rPr>
                <w:bCs/>
                <w:lang w:eastAsia="en-US"/>
              </w:rPr>
            </w:pPr>
            <w:r w:rsidRPr="00230DBE">
              <w:rPr>
                <w:bCs/>
                <w:lang w:eastAsia="en-US"/>
              </w:rPr>
              <w:t>2023</w:t>
            </w:r>
          </w:p>
        </w:tc>
        <w:tc>
          <w:tcPr>
            <w:tcW w:w="1224" w:type="dxa"/>
            <w:shd w:val="clear" w:color="auto" w:fill="FFFFFF" w:themeFill="background1"/>
            <w:vAlign w:val="center"/>
            <w:hideMark/>
          </w:tcPr>
          <w:p w14:paraId="5722C4D2" w14:textId="66D8CA9D" w:rsidR="000D186F" w:rsidRPr="00230DBE" w:rsidRDefault="000D186F" w:rsidP="00D303EC">
            <w:pPr>
              <w:jc w:val="center"/>
              <w:rPr>
                <w:bCs/>
                <w:lang w:eastAsia="en-US"/>
              </w:rPr>
            </w:pPr>
            <w:r w:rsidRPr="00230DBE">
              <w:rPr>
                <w:bCs/>
                <w:lang w:eastAsia="en-US"/>
              </w:rPr>
              <w:t>2024</w:t>
            </w:r>
          </w:p>
        </w:tc>
      </w:tr>
      <w:tr w:rsidR="00F25ACE" w:rsidRPr="00860BD5" w14:paraId="36D1211E" w14:textId="77777777" w:rsidTr="003B465F">
        <w:trPr>
          <w:tblCellSpacing w:w="20" w:type="dxa"/>
        </w:trPr>
        <w:tc>
          <w:tcPr>
            <w:tcW w:w="1492" w:type="dxa"/>
            <w:vMerge/>
            <w:vAlign w:val="center"/>
            <w:hideMark/>
          </w:tcPr>
          <w:p w14:paraId="60CA40FA" w14:textId="77777777" w:rsidR="000D186F" w:rsidRPr="00860BD5" w:rsidRDefault="000D186F" w:rsidP="00D303EC">
            <w:pPr>
              <w:jc w:val="center"/>
              <w:rPr>
                <w:b/>
                <w:bCs/>
                <w:lang w:eastAsia="en-US"/>
              </w:rPr>
            </w:pPr>
          </w:p>
        </w:tc>
        <w:tc>
          <w:tcPr>
            <w:tcW w:w="1222" w:type="dxa"/>
            <w:shd w:val="clear" w:color="auto" w:fill="FFFFFF" w:themeFill="background1"/>
            <w:vAlign w:val="center"/>
            <w:hideMark/>
          </w:tcPr>
          <w:p w14:paraId="4A2B95C1" w14:textId="77777777" w:rsidR="000D186F" w:rsidRPr="003C66DD" w:rsidRDefault="000D186F" w:rsidP="00D303EC">
            <w:pPr>
              <w:jc w:val="center"/>
              <w:rPr>
                <w:sz w:val="22"/>
                <w:szCs w:val="22"/>
                <w:lang w:eastAsia="en-US"/>
              </w:rPr>
            </w:pPr>
            <w:r w:rsidRPr="003C66DD">
              <w:rPr>
                <w:sz w:val="22"/>
                <w:szCs w:val="22"/>
                <w:lang w:eastAsia="en-US"/>
              </w:rPr>
              <w:t>saskaņā ar valsts budžetu kārtējam gadam</w:t>
            </w:r>
          </w:p>
        </w:tc>
        <w:tc>
          <w:tcPr>
            <w:tcW w:w="1100" w:type="dxa"/>
            <w:shd w:val="clear" w:color="auto" w:fill="FFFFFF" w:themeFill="background1"/>
            <w:vAlign w:val="center"/>
            <w:hideMark/>
          </w:tcPr>
          <w:p w14:paraId="051CEC47" w14:textId="77777777" w:rsidR="000D186F" w:rsidRPr="003C66DD" w:rsidRDefault="000D186F" w:rsidP="00D303EC">
            <w:pPr>
              <w:jc w:val="center"/>
              <w:rPr>
                <w:sz w:val="22"/>
                <w:szCs w:val="22"/>
                <w:lang w:eastAsia="en-US"/>
              </w:rPr>
            </w:pPr>
            <w:r w:rsidRPr="003C66DD">
              <w:rPr>
                <w:sz w:val="22"/>
                <w:szCs w:val="22"/>
                <w:lang w:eastAsia="en-US"/>
              </w:rPr>
              <w:t>izmaiņas kārtējā gadā, salīdzinot ar valsts budžetu kārtējam gadam</w:t>
            </w:r>
          </w:p>
        </w:tc>
        <w:tc>
          <w:tcPr>
            <w:tcW w:w="952" w:type="dxa"/>
            <w:shd w:val="clear" w:color="auto" w:fill="FFFFFF" w:themeFill="background1"/>
            <w:vAlign w:val="center"/>
            <w:hideMark/>
          </w:tcPr>
          <w:p w14:paraId="41A10721" w14:textId="77777777" w:rsidR="000D186F" w:rsidRPr="003C66DD" w:rsidRDefault="000D186F" w:rsidP="00D303EC">
            <w:pPr>
              <w:jc w:val="center"/>
              <w:rPr>
                <w:sz w:val="22"/>
                <w:szCs w:val="22"/>
                <w:lang w:eastAsia="en-US"/>
              </w:rPr>
            </w:pPr>
            <w:r w:rsidRPr="003C66DD">
              <w:rPr>
                <w:sz w:val="22"/>
                <w:szCs w:val="22"/>
                <w:lang w:eastAsia="en-US"/>
              </w:rPr>
              <w:t>saskaņā ar vidēja termiņa budžeta ietvaru</w:t>
            </w:r>
          </w:p>
        </w:tc>
        <w:tc>
          <w:tcPr>
            <w:tcW w:w="1075" w:type="dxa"/>
            <w:shd w:val="clear" w:color="auto" w:fill="FFFFFF" w:themeFill="background1"/>
            <w:vAlign w:val="center"/>
            <w:hideMark/>
          </w:tcPr>
          <w:p w14:paraId="599B64B0" w14:textId="10BD9FF3" w:rsidR="000D186F" w:rsidRPr="00FB12E6" w:rsidRDefault="000D186F" w:rsidP="00D303EC">
            <w:pPr>
              <w:jc w:val="center"/>
              <w:rPr>
                <w:sz w:val="22"/>
                <w:szCs w:val="22"/>
                <w:lang w:eastAsia="en-US"/>
              </w:rPr>
            </w:pPr>
            <w:r w:rsidRPr="00FB12E6">
              <w:rPr>
                <w:sz w:val="22"/>
                <w:szCs w:val="22"/>
                <w:lang w:eastAsia="en-US"/>
              </w:rPr>
              <w:t xml:space="preserve">izmaiņas, salīdzinot ar vidēja termiņa budžeta ietvaru </w:t>
            </w:r>
            <w:r w:rsidR="00BA5BFD">
              <w:rPr>
                <w:sz w:val="22"/>
                <w:szCs w:val="22"/>
                <w:lang w:eastAsia="en-US"/>
              </w:rPr>
              <w:t>2022</w:t>
            </w:r>
            <w:r w:rsidR="00C33F91">
              <w:rPr>
                <w:sz w:val="22"/>
                <w:szCs w:val="22"/>
                <w:lang w:eastAsia="en-US"/>
              </w:rPr>
              <w:t>.</w:t>
            </w:r>
            <w:r w:rsidRPr="00FB12E6">
              <w:rPr>
                <w:sz w:val="22"/>
                <w:szCs w:val="22"/>
                <w:lang w:eastAsia="en-US"/>
              </w:rPr>
              <w:t xml:space="preserve"> gadam</w:t>
            </w:r>
          </w:p>
        </w:tc>
        <w:tc>
          <w:tcPr>
            <w:tcW w:w="829" w:type="dxa"/>
            <w:shd w:val="clear" w:color="auto" w:fill="FFFFFF" w:themeFill="background1"/>
            <w:vAlign w:val="center"/>
            <w:hideMark/>
          </w:tcPr>
          <w:p w14:paraId="39729CC3" w14:textId="77777777" w:rsidR="000D186F" w:rsidRPr="00FB12E6" w:rsidRDefault="000D186F" w:rsidP="00D303EC">
            <w:pPr>
              <w:jc w:val="center"/>
              <w:rPr>
                <w:sz w:val="22"/>
                <w:szCs w:val="22"/>
                <w:lang w:eastAsia="en-US"/>
              </w:rPr>
            </w:pPr>
            <w:r w:rsidRPr="00FB12E6">
              <w:rPr>
                <w:sz w:val="22"/>
                <w:szCs w:val="22"/>
                <w:lang w:eastAsia="en-US"/>
              </w:rPr>
              <w:t>saskaņā ar vidēja termiņa budžeta ietvaru</w:t>
            </w:r>
          </w:p>
        </w:tc>
        <w:tc>
          <w:tcPr>
            <w:tcW w:w="1094" w:type="dxa"/>
            <w:shd w:val="clear" w:color="auto" w:fill="FFFFFF" w:themeFill="background1"/>
            <w:vAlign w:val="center"/>
            <w:hideMark/>
          </w:tcPr>
          <w:p w14:paraId="7CF4C319" w14:textId="55ADF595" w:rsidR="000D186F" w:rsidRPr="00FB12E6" w:rsidRDefault="000D186F" w:rsidP="00D303EC">
            <w:pPr>
              <w:jc w:val="center"/>
              <w:rPr>
                <w:sz w:val="22"/>
                <w:szCs w:val="22"/>
                <w:lang w:eastAsia="en-US"/>
              </w:rPr>
            </w:pPr>
            <w:r w:rsidRPr="00FB12E6">
              <w:rPr>
                <w:sz w:val="22"/>
                <w:szCs w:val="22"/>
                <w:lang w:eastAsia="en-US"/>
              </w:rPr>
              <w:t xml:space="preserve">izmaiņas, salīdzinot ar vidēja termiņa budžeta ietvaru </w:t>
            </w:r>
            <w:r w:rsidR="00BA5BFD">
              <w:rPr>
                <w:sz w:val="22"/>
                <w:szCs w:val="22"/>
                <w:lang w:eastAsia="en-US"/>
              </w:rPr>
              <w:t xml:space="preserve"> 2023</w:t>
            </w:r>
            <w:r w:rsidR="00C33F91">
              <w:rPr>
                <w:sz w:val="22"/>
                <w:szCs w:val="22"/>
                <w:lang w:eastAsia="en-US"/>
              </w:rPr>
              <w:t>.</w:t>
            </w:r>
            <w:r w:rsidRPr="00FB12E6">
              <w:rPr>
                <w:sz w:val="22"/>
                <w:szCs w:val="22"/>
                <w:lang w:eastAsia="en-US"/>
              </w:rPr>
              <w:t xml:space="preserve"> gadam</w:t>
            </w:r>
          </w:p>
        </w:tc>
        <w:tc>
          <w:tcPr>
            <w:tcW w:w="1224" w:type="dxa"/>
            <w:shd w:val="clear" w:color="auto" w:fill="FFFFFF" w:themeFill="background1"/>
            <w:vAlign w:val="center"/>
            <w:hideMark/>
          </w:tcPr>
          <w:p w14:paraId="54ED8340" w14:textId="2F06D56B" w:rsidR="000D186F" w:rsidRPr="00FB12E6" w:rsidRDefault="000D186F" w:rsidP="00D303EC">
            <w:pPr>
              <w:jc w:val="center"/>
              <w:rPr>
                <w:sz w:val="22"/>
                <w:szCs w:val="22"/>
                <w:lang w:eastAsia="en-US"/>
              </w:rPr>
            </w:pPr>
            <w:r w:rsidRPr="00FB12E6">
              <w:rPr>
                <w:sz w:val="22"/>
                <w:szCs w:val="22"/>
                <w:lang w:eastAsia="en-US"/>
              </w:rPr>
              <w:t xml:space="preserve">izmaiņas, salīdzinot ar vidēja termiņa budžeta ietvaru </w:t>
            </w:r>
            <w:r w:rsidRPr="00FB12E6">
              <w:rPr>
                <w:sz w:val="22"/>
                <w:szCs w:val="22"/>
                <w:lang w:eastAsia="en-US"/>
              </w:rPr>
              <w:br/>
            </w:r>
            <w:r w:rsidR="00BA5BFD">
              <w:rPr>
                <w:sz w:val="22"/>
                <w:szCs w:val="22"/>
                <w:lang w:eastAsia="en-US"/>
              </w:rPr>
              <w:t xml:space="preserve"> 202</w:t>
            </w:r>
            <w:r w:rsidR="00E440DC">
              <w:rPr>
                <w:sz w:val="22"/>
                <w:szCs w:val="22"/>
                <w:lang w:eastAsia="en-US"/>
              </w:rPr>
              <w:t>3</w:t>
            </w:r>
            <w:r w:rsidR="00C33F91">
              <w:rPr>
                <w:sz w:val="22"/>
                <w:szCs w:val="22"/>
                <w:lang w:eastAsia="en-US"/>
              </w:rPr>
              <w:t>.</w:t>
            </w:r>
            <w:r w:rsidRPr="00FB12E6">
              <w:rPr>
                <w:sz w:val="22"/>
                <w:szCs w:val="22"/>
                <w:lang w:eastAsia="en-US"/>
              </w:rPr>
              <w:t xml:space="preserve"> gadam</w:t>
            </w:r>
          </w:p>
        </w:tc>
      </w:tr>
      <w:tr w:rsidR="00F25ACE" w:rsidRPr="00860BD5" w14:paraId="4F480074" w14:textId="77777777" w:rsidTr="003B465F">
        <w:trPr>
          <w:tblCellSpacing w:w="20" w:type="dxa"/>
        </w:trPr>
        <w:tc>
          <w:tcPr>
            <w:tcW w:w="1492" w:type="dxa"/>
            <w:shd w:val="clear" w:color="auto" w:fill="FFFFFF" w:themeFill="background1"/>
            <w:vAlign w:val="center"/>
            <w:hideMark/>
          </w:tcPr>
          <w:p w14:paraId="0FF040D6" w14:textId="77777777" w:rsidR="000D186F" w:rsidRPr="00860BD5" w:rsidRDefault="000D186F" w:rsidP="00D303EC">
            <w:pPr>
              <w:jc w:val="center"/>
              <w:rPr>
                <w:lang w:eastAsia="en-US"/>
              </w:rPr>
            </w:pPr>
            <w:r w:rsidRPr="00860BD5">
              <w:rPr>
                <w:lang w:eastAsia="en-US"/>
              </w:rPr>
              <w:t>1</w:t>
            </w:r>
          </w:p>
        </w:tc>
        <w:tc>
          <w:tcPr>
            <w:tcW w:w="1222" w:type="dxa"/>
            <w:shd w:val="clear" w:color="auto" w:fill="FFFFFF" w:themeFill="background1"/>
            <w:vAlign w:val="center"/>
            <w:hideMark/>
          </w:tcPr>
          <w:p w14:paraId="0EF4096B" w14:textId="77777777" w:rsidR="000D186F" w:rsidRPr="00860BD5" w:rsidRDefault="000D186F" w:rsidP="00D303EC">
            <w:pPr>
              <w:jc w:val="center"/>
              <w:rPr>
                <w:lang w:eastAsia="en-US"/>
              </w:rPr>
            </w:pPr>
            <w:r w:rsidRPr="00860BD5">
              <w:rPr>
                <w:lang w:eastAsia="en-US"/>
              </w:rPr>
              <w:t>2</w:t>
            </w:r>
          </w:p>
        </w:tc>
        <w:tc>
          <w:tcPr>
            <w:tcW w:w="1100" w:type="dxa"/>
            <w:shd w:val="clear" w:color="auto" w:fill="FFFFFF" w:themeFill="background1"/>
            <w:vAlign w:val="center"/>
            <w:hideMark/>
          </w:tcPr>
          <w:p w14:paraId="4319FFC6" w14:textId="77777777" w:rsidR="000D186F" w:rsidRPr="00860BD5" w:rsidRDefault="000D186F" w:rsidP="00D303EC">
            <w:pPr>
              <w:jc w:val="center"/>
              <w:rPr>
                <w:lang w:eastAsia="en-US"/>
              </w:rPr>
            </w:pPr>
            <w:r w:rsidRPr="00860BD5">
              <w:rPr>
                <w:lang w:eastAsia="en-US"/>
              </w:rPr>
              <w:t>3</w:t>
            </w:r>
          </w:p>
        </w:tc>
        <w:tc>
          <w:tcPr>
            <w:tcW w:w="952" w:type="dxa"/>
            <w:shd w:val="clear" w:color="auto" w:fill="FFFFFF" w:themeFill="background1"/>
            <w:vAlign w:val="center"/>
            <w:hideMark/>
          </w:tcPr>
          <w:p w14:paraId="577627B8" w14:textId="77777777" w:rsidR="000D186F" w:rsidRPr="00860BD5" w:rsidRDefault="000D186F" w:rsidP="00D303EC">
            <w:pPr>
              <w:jc w:val="center"/>
              <w:rPr>
                <w:lang w:eastAsia="en-US"/>
              </w:rPr>
            </w:pPr>
            <w:r w:rsidRPr="00860BD5">
              <w:rPr>
                <w:lang w:eastAsia="en-US"/>
              </w:rPr>
              <w:t>4</w:t>
            </w:r>
          </w:p>
        </w:tc>
        <w:tc>
          <w:tcPr>
            <w:tcW w:w="1075" w:type="dxa"/>
            <w:shd w:val="clear" w:color="auto" w:fill="FFFFFF" w:themeFill="background1"/>
            <w:vAlign w:val="center"/>
            <w:hideMark/>
          </w:tcPr>
          <w:p w14:paraId="6ADEA10C" w14:textId="77777777" w:rsidR="000D186F" w:rsidRPr="00860BD5" w:rsidRDefault="000D186F" w:rsidP="00D303EC">
            <w:pPr>
              <w:jc w:val="center"/>
              <w:rPr>
                <w:lang w:eastAsia="en-US"/>
              </w:rPr>
            </w:pPr>
            <w:r w:rsidRPr="00860BD5">
              <w:rPr>
                <w:lang w:eastAsia="en-US"/>
              </w:rPr>
              <w:t>5</w:t>
            </w:r>
          </w:p>
        </w:tc>
        <w:tc>
          <w:tcPr>
            <w:tcW w:w="829" w:type="dxa"/>
            <w:shd w:val="clear" w:color="auto" w:fill="FFFFFF" w:themeFill="background1"/>
            <w:vAlign w:val="center"/>
            <w:hideMark/>
          </w:tcPr>
          <w:p w14:paraId="79D53614" w14:textId="77777777" w:rsidR="000D186F" w:rsidRPr="00860BD5" w:rsidRDefault="000D186F" w:rsidP="00D303EC">
            <w:pPr>
              <w:jc w:val="center"/>
              <w:rPr>
                <w:lang w:eastAsia="en-US"/>
              </w:rPr>
            </w:pPr>
            <w:r w:rsidRPr="00860BD5">
              <w:rPr>
                <w:lang w:eastAsia="en-US"/>
              </w:rPr>
              <w:t>6</w:t>
            </w:r>
          </w:p>
        </w:tc>
        <w:tc>
          <w:tcPr>
            <w:tcW w:w="1094" w:type="dxa"/>
            <w:shd w:val="clear" w:color="auto" w:fill="FFFFFF" w:themeFill="background1"/>
            <w:vAlign w:val="center"/>
            <w:hideMark/>
          </w:tcPr>
          <w:p w14:paraId="03888CB0" w14:textId="77777777" w:rsidR="000D186F" w:rsidRPr="00860BD5" w:rsidRDefault="000D186F" w:rsidP="00D303EC">
            <w:pPr>
              <w:jc w:val="center"/>
              <w:rPr>
                <w:lang w:eastAsia="en-US"/>
              </w:rPr>
            </w:pPr>
            <w:r w:rsidRPr="00860BD5">
              <w:rPr>
                <w:lang w:eastAsia="en-US"/>
              </w:rPr>
              <w:t>7</w:t>
            </w:r>
          </w:p>
        </w:tc>
        <w:tc>
          <w:tcPr>
            <w:tcW w:w="1224" w:type="dxa"/>
            <w:shd w:val="clear" w:color="auto" w:fill="FFFFFF" w:themeFill="background1"/>
            <w:vAlign w:val="center"/>
            <w:hideMark/>
          </w:tcPr>
          <w:p w14:paraId="2889F350" w14:textId="77777777" w:rsidR="000D186F" w:rsidRPr="00860BD5" w:rsidRDefault="000D186F" w:rsidP="00D303EC">
            <w:pPr>
              <w:jc w:val="center"/>
              <w:rPr>
                <w:lang w:eastAsia="en-US"/>
              </w:rPr>
            </w:pPr>
            <w:r w:rsidRPr="00860BD5">
              <w:rPr>
                <w:lang w:eastAsia="en-US"/>
              </w:rPr>
              <w:t>8</w:t>
            </w:r>
          </w:p>
        </w:tc>
      </w:tr>
      <w:tr w:rsidR="000612F2" w:rsidRPr="00860BD5" w14:paraId="4ED62FA2" w14:textId="77777777" w:rsidTr="003B465F">
        <w:trPr>
          <w:tblCellSpacing w:w="20" w:type="dxa"/>
        </w:trPr>
        <w:tc>
          <w:tcPr>
            <w:tcW w:w="1492" w:type="dxa"/>
            <w:shd w:val="clear" w:color="auto" w:fill="FFFFFF" w:themeFill="background1"/>
            <w:hideMark/>
          </w:tcPr>
          <w:p w14:paraId="18464B6B" w14:textId="77777777" w:rsidR="000612F2" w:rsidRPr="00860BD5" w:rsidRDefault="000612F2" w:rsidP="000612F2">
            <w:pPr>
              <w:rPr>
                <w:lang w:eastAsia="en-US"/>
              </w:rPr>
            </w:pPr>
            <w:r w:rsidRPr="00860BD5">
              <w:rPr>
                <w:lang w:eastAsia="en-US"/>
              </w:rPr>
              <w:t>1. Budžeta ieņēmumi</w:t>
            </w:r>
          </w:p>
        </w:tc>
        <w:tc>
          <w:tcPr>
            <w:tcW w:w="1222" w:type="dxa"/>
            <w:shd w:val="clear" w:color="auto" w:fill="FFFFFF" w:themeFill="background1"/>
            <w:vAlign w:val="center"/>
          </w:tcPr>
          <w:p w14:paraId="1D7475F0" w14:textId="59AFE938" w:rsidR="000612F2" w:rsidRPr="000612F2" w:rsidRDefault="000612F2" w:rsidP="000612F2">
            <w:pPr>
              <w:pStyle w:val="Default"/>
              <w:jc w:val="center"/>
              <w:rPr>
                <w:color w:val="auto"/>
              </w:rPr>
            </w:pPr>
          </w:p>
          <w:p w14:paraId="5BC80337" w14:textId="6707A99F" w:rsidR="000612F2" w:rsidRPr="000612F2" w:rsidRDefault="000612F2" w:rsidP="000612F2">
            <w:pPr>
              <w:pStyle w:val="Default"/>
              <w:jc w:val="center"/>
            </w:pPr>
            <w:r w:rsidRPr="000612F2">
              <w:t>166 550</w:t>
            </w:r>
          </w:p>
        </w:tc>
        <w:tc>
          <w:tcPr>
            <w:tcW w:w="1100" w:type="dxa"/>
            <w:shd w:val="clear" w:color="auto" w:fill="FFFFFF" w:themeFill="background1"/>
            <w:vAlign w:val="center"/>
          </w:tcPr>
          <w:p w14:paraId="5E298075" w14:textId="1DA54B19" w:rsidR="000612F2" w:rsidRPr="00FB12E6" w:rsidRDefault="000612F2" w:rsidP="000612F2">
            <w:pPr>
              <w:jc w:val="center"/>
              <w:rPr>
                <w:lang w:eastAsia="en-US"/>
              </w:rPr>
            </w:pPr>
          </w:p>
          <w:p w14:paraId="2330296D" w14:textId="50D67592" w:rsidR="000612F2" w:rsidRPr="00FB12E6" w:rsidRDefault="000612F2" w:rsidP="000612F2">
            <w:pPr>
              <w:jc w:val="center"/>
              <w:rPr>
                <w:lang w:eastAsia="en-US"/>
              </w:rPr>
            </w:pPr>
            <w:r w:rsidRPr="38DB4DD9">
              <w:rPr>
                <w:lang w:eastAsia="en-US"/>
              </w:rPr>
              <w:t>0</w:t>
            </w:r>
          </w:p>
        </w:tc>
        <w:tc>
          <w:tcPr>
            <w:tcW w:w="952" w:type="dxa"/>
            <w:shd w:val="clear" w:color="auto" w:fill="FFFFFF" w:themeFill="background1"/>
            <w:vAlign w:val="center"/>
          </w:tcPr>
          <w:p w14:paraId="1F0BF493" w14:textId="77777777" w:rsidR="000612F2" w:rsidRPr="000612F2" w:rsidRDefault="000612F2" w:rsidP="000612F2">
            <w:pPr>
              <w:jc w:val="center"/>
            </w:pPr>
          </w:p>
          <w:p w14:paraId="09B20947" w14:textId="28B26ADE" w:rsidR="000612F2" w:rsidRPr="000612F2" w:rsidRDefault="000612F2" w:rsidP="000612F2">
            <w:pPr>
              <w:jc w:val="center"/>
            </w:pPr>
            <w:r w:rsidRPr="000612F2">
              <w:t>7084</w:t>
            </w:r>
          </w:p>
        </w:tc>
        <w:tc>
          <w:tcPr>
            <w:tcW w:w="1075" w:type="dxa"/>
            <w:shd w:val="clear" w:color="auto" w:fill="FFFFFF" w:themeFill="background1"/>
            <w:vAlign w:val="center"/>
          </w:tcPr>
          <w:p w14:paraId="19C028F6" w14:textId="02B90BD1" w:rsidR="000612F2" w:rsidRPr="000612F2" w:rsidRDefault="000612F2" w:rsidP="000612F2">
            <w:pPr>
              <w:jc w:val="center"/>
            </w:pPr>
          </w:p>
          <w:p w14:paraId="0E1A91A2" w14:textId="4E6931D6" w:rsidR="000612F2" w:rsidRPr="000612F2" w:rsidRDefault="000612F2" w:rsidP="000612F2">
            <w:pPr>
              <w:jc w:val="center"/>
            </w:pPr>
            <w:r w:rsidRPr="000612F2">
              <w:t>0</w:t>
            </w:r>
          </w:p>
        </w:tc>
        <w:tc>
          <w:tcPr>
            <w:tcW w:w="829" w:type="dxa"/>
            <w:shd w:val="clear" w:color="auto" w:fill="FFFFFF" w:themeFill="background1"/>
            <w:vAlign w:val="center"/>
          </w:tcPr>
          <w:p w14:paraId="52427544" w14:textId="77777777" w:rsidR="000612F2" w:rsidRPr="000612F2" w:rsidRDefault="000612F2" w:rsidP="000612F2">
            <w:pPr>
              <w:jc w:val="center"/>
            </w:pPr>
          </w:p>
          <w:p w14:paraId="2C51A71B" w14:textId="5A999608" w:rsidR="000612F2" w:rsidRPr="000612F2" w:rsidRDefault="000612F2" w:rsidP="000612F2">
            <w:pPr>
              <w:jc w:val="center"/>
              <w:rPr>
                <w:lang w:eastAsia="en-US"/>
              </w:rPr>
            </w:pPr>
            <w:r w:rsidRPr="000612F2">
              <w:t>7084</w:t>
            </w:r>
          </w:p>
        </w:tc>
        <w:tc>
          <w:tcPr>
            <w:tcW w:w="1094" w:type="dxa"/>
            <w:shd w:val="clear" w:color="auto" w:fill="FFFFFF" w:themeFill="background1"/>
            <w:vAlign w:val="center"/>
          </w:tcPr>
          <w:p w14:paraId="2F48477E" w14:textId="2B13F98C" w:rsidR="000612F2" w:rsidRPr="00230DBE" w:rsidRDefault="000612F2" w:rsidP="000612F2">
            <w:pPr>
              <w:jc w:val="center"/>
            </w:pPr>
          </w:p>
          <w:p w14:paraId="53847393" w14:textId="34A9C9BE" w:rsidR="000612F2" w:rsidRPr="00230DBE" w:rsidRDefault="000612F2" w:rsidP="000612F2">
            <w:pPr>
              <w:jc w:val="center"/>
            </w:pPr>
            <w:r>
              <w:t>0</w:t>
            </w:r>
          </w:p>
        </w:tc>
        <w:tc>
          <w:tcPr>
            <w:tcW w:w="1224" w:type="dxa"/>
            <w:shd w:val="clear" w:color="auto" w:fill="FFFFFF" w:themeFill="background1"/>
            <w:vAlign w:val="center"/>
          </w:tcPr>
          <w:p w14:paraId="203DA821" w14:textId="221AD1D0" w:rsidR="000612F2" w:rsidRPr="00230DBE" w:rsidRDefault="000612F2" w:rsidP="000612F2">
            <w:pPr>
              <w:jc w:val="center"/>
            </w:pPr>
          </w:p>
          <w:p w14:paraId="1B52B428" w14:textId="70AD402F" w:rsidR="000612F2" w:rsidRPr="00230DBE" w:rsidRDefault="000612F2" w:rsidP="000612F2">
            <w:pPr>
              <w:jc w:val="center"/>
            </w:pPr>
            <w:r>
              <w:t>0</w:t>
            </w:r>
          </w:p>
        </w:tc>
      </w:tr>
      <w:tr w:rsidR="000612F2" w:rsidRPr="00860BD5" w14:paraId="16F16E52" w14:textId="77777777" w:rsidTr="000612F2">
        <w:trPr>
          <w:tblCellSpacing w:w="20" w:type="dxa"/>
        </w:trPr>
        <w:tc>
          <w:tcPr>
            <w:tcW w:w="1492" w:type="dxa"/>
            <w:shd w:val="clear" w:color="auto" w:fill="auto"/>
            <w:hideMark/>
          </w:tcPr>
          <w:p w14:paraId="09EE302C" w14:textId="77777777" w:rsidR="000612F2" w:rsidRPr="00860BD5" w:rsidRDefault="000612F2" w:rsidP="000612F2">
            <w:pPr>
              <w:rPr>
                <w:lang w:eastAsia="en-US"/>
              </w:rPr>
            </w:pPr>
            <w:r w:rsidRPr="00860BD5">
              <w:rPr>
                <w:lang w:eastAsia="en-US"/>
              </w:rPr>
              <w:t>1.1. valsts pamatbudžets, tai skaitā ieņēmumi no maksas pakalpojumiem un citi pašu ieņēmumi</w:t>
            </w:r>
          </w:p>
        </w:tc>
        <w:tc>
          <w:tcPr>
            <w:tcW w:w="1222" w:type="dxa"/>
            <w:shd w:val="clear" w:color="auto" w:fill="auto"/>
            <w:vAlign w:val="center"/>
            <w:hideMark/>
          </w:tcPr>
          <w:p w14:paraId="11BAC50E" w14:textId="6B01BB6D" w:rsidR="000612F2" w:rsidRPr="000612F2" w:rsidRDefault="000612F2" w:rsidP="000612F2">
            <w:pPr>
              <w:jc w:val="center"/>
              <w:rPr>
                <w:lang w:eastAsia="en-US"/>
              </w:rPr>
            </w:pPr>
            <w:r w:rsidRPr="000612F2">
              <w:t>166 550</w:t>
            </w:r>
          </w:p>
        </w:tc>
        <w:tc>
          <w:tcPr>
            <w:tcW w:w="1100" w:type="dxa"/>
            <w:shd w:val="clear" w:color="auto" w:fill="auto"/>
            <w:vAlign w:val="center"/>
            <w:hideMark/>
          </w:tcPr>
          <w:p w14:paraId="45265EFC" w14:textId="77777777" w:rsidR="000612F2" w:rsidRPr="00FB12E6" w:rsidRDefault="000612F2" w:rsidP="000612F2">
            <w:pPr>
              <w:jc w:val="center"/>
              <w:rPr>
                <w:lang w:eastAsia="en-US"/>
              </w:rPr>
            </w:pPr>
          </w:p>
        </w:tc>
        <w:tc>
          <w:tcPr>
            <w:tcW w:w="952" w:type="dxa"/>
            <w:shd w:val="clear" w:color="auto" w:fill="auto"/>
            <w:vAlign w:val="center"/>
          </w:tcPr>
          <w:p w14:paraId="6C16CC86" w14:textId="5FBA9AB7" w:rsidR="000612F2" w:rsidRPr="000612F2" w:rsidRDefault="000612F2" w:rsidP="000612F2">
            <w:pPr>
              <w:jc w:val="center"/>
              <w:rPr>
                <w:lang w:eastAsia="en-US"/>
              </w:rPr>
            </w:pPr>
            <w:r w:rsidRPr="000612F2">
              <w:t>7084</w:t>
            </w:r>
          </w:p>
        </w:tc>
        <w:tc>
          <w:tcPr>
            <w:tcW w:w="1075" w:type="dxa"/>
            <w:shd w:val="clear" w:color="auto" w:fill="auto"/>
            <w:vAlign w:val="center"/>
            <w:hideMark/>
          </w:tcPr>
          <w:p w14:paraId="41B12EDC" w14:textId="77777777" w:rsidR="000612F2" w:rsidRPr="000612F2" w:rsidRDefault="000612F2" w:rsidP="000612F2">
            <w:pPr>
              <w:jc w:val="center"/>
              <w:rPr>
                <w:lang w:eastAsia="en-US"/>
              </w:rPr>
            </w:pPr>
          </w:p>
        </w:tc>
        <w:tc>
          <w:tcPr>
            <w:tcW w:w="829" w:type="dxa"/>
            <w:shd w:val="clear" w:color="auto" w:fill="auto"/>
            <w:vAlign w:val="center"/>
          </w:tcPr>
          <w:p w14:paraId="455F8344" w14:textId="511D9310" w:rsidR="000612F2" w:rsidRPr="000612F2" w:rsidRDefault="000612F2" w:rsidP="000612F2">
            <w:pPr>
              <w:jc w:val="center"/>
              <w:rPr>
                <w:lang w:eastAsia="en-US"/>
              </w:rPr>
            </w:pPr>
            <w:r w:rsidRPr="000612F2">
              <w:t>7084</w:t>
            </w:r>
          </w:p>
        </w:tc>
        <w:tc>
          <w:tcPr>
            <w:tcW w:w="1094" w:type="dxa"/>
            <w:shd w:val="clear" w:color="auto" w:fill="auto"/>
            <w:vAlign w:val="center"/>
            <w:hideMark/>
          </w:tcPr>
          <w:p w14:paraId="7C3B9D45" w14:textId="77777777" w:rsidR="000612F2" w:rsidRPr="00230DBE" w:rsidRDefault="000612F2" w:rsidP="000612F2">
            <w:pPr>
              <w:jc w:val="center"/>
              <w:rPr>
                <w:lang w:eastAsia="en-US"/>
              </w:rPr>
            </w:pPr>
          </w:p>
        </w:tc>
        <w:tc>
          <w:tcPr>
            <w:tcW w:w="1224" w:type="dxa"/>
            <w:shd w:val="clear" w:color="auto" w:fill="auto"/>
            <w:vAlign w:val="center"/>
            <w:hideMark/>
          </w:tcPr>
          <w:p w14:paraId="160D4A8B" w14:textId="77777777" w:rsidR="000612F2" w:rsidRPr="00230DBE" w:rsidRDefault="000612F2" w:rsidP="000612F2">
            <w:pPr>
              <w:jc w:val="center"/>
              <w:rPr>
                <w:lang w:eastAsia="en-US"/>
              </w:rPr>
            </w:pPr>
          </w:p>
        </w:tc>
      </w:tr>
      <w:tr w:rsidR="000612F2" w:rsidRPr="00860BD5" w14:paraId="62F6C4A5" w14:textId="77777777" w:rsidTr="003B465F">
        <w:trPr>
          <w:tblCellSpacing w:w="20" w:type="dxa"/>
        </w:trPr>
        <w:tc>
          <w:tcPr>
            <w:tcW w:w="1492" w:type="dxa"/>
            <w:shd w:val="clear" w:color="auto" w:fill="auto"/>
            <w:hideMark/>
          </w:tcPr>
          <w:p w14:paraId="4721FFA1" w14:textId="77777777" w:rsidR="000612F2" w:rsidRPr="00860BD5" w:rsidRDefault="000612F2" w:rsidP="000612F2">
            <w:pPr>
              <w:rPr>
                <w:lang w:eastAsia="en-US"/>
              </w:rPr>
            </w:pPr>
            <w:r w:rsidRPr="00860BD5">
              <w:rPr>
                <w:lang w:eastAsia="en-US"/>
              </w:rPr>
              <w:t>1.2. valsts speciālais budžets</w:t>
            </w:r>
          </w:p>
        </w:tc>
        <w:tc>
          <w:tcPr>
            <w:tcW w:w="1222" w:type="dxa"/>
            <w:shd w:val="clear" w:color="auto" w:fill="auto"/>
            <w:vAlign w:val="center"/>
            <w:hideMark/>
          </w:tcPr>
          <w:p w14:paraId="7E589408" w14:textId="1D4113B9" w:rsidR="000612F2" w:rsidRPr="00FB12E6" w:rsidRDefault="000612F2" w:rsidP="000612F2">
            <w:pPr>
              <w:jc w:val="center"/>
              <w:rPr>
                <w:lang w:eastAsia="en-US"/>
              </w:rPr>
            </w:pPr>
            <w:r w:rsidRPr="00FB12E6">
              <w:rPr>
                <w:lang w:eastAsia="en-US"/>
              </w:rPr>
              <w:t>0</w:t>
            </w:r>
          </w:p>
        </w:tc>
        <w:tc>
          <w:tcPr>
            <w:tcW w:w="1100" w:type="dxa"/>
            <w:shd w:val="clear" w:color="auto" w:fill="auto"/>
            <w:vAlign w:val="center"/>
            <w:hideMark/>
          </w:tcPr>
          <w:p w14:paraId="2734013A" w14:textId="649E5362" w:rsidR="000612F2" w:rsidRPr="00FB12E6" w:rsidRDefault="000612F2" w:rsidP="000612F2">
            <w:pPr>
              <w:jc w:val="center"/>
              <w:rPr>
                <w:lang w:eastAsia="en-US"/>
              </w:rPr>
            </w:pPr>
            <w:r w:rsidRPr="00FB12E6">
              <w:rPr>
                <w:lang w:eastAsia="en-US"/>
              </w:rPr>
              <w:t>0</w:t>
            </w:r>
          </w:p>
        </w:tc>
        <w:tc>
          <w:tcPr>
            <w:tcW w:w="952" w:type="dxa"/>
            <w:shd w:val="clear" w:color="auto" w:fill="auto"/>
            <w:vAlign w:val="center"/>
            <w:hideMark/>
          </w:tcPr>
          <w:p w14:paraId="111FCD8A" w14:textId="28F1B2C4" w:rsidR="000612F2" w:rsidRPr="00230DBE" w:rsidRDefault="000612F2" w:rsidP="000612F2">
            <w:pPr>
              <w:jc w:val="center"/>
              <w:rPr>
                <w:lang w:eastAsia="en-US"/>
              </w:rPr>
            </w:pPr>
            <w:r w:rsidRPr="00230DBE">
              <w:rPr>
                <w:lang w:eastAsia="en-US"/>
              </w:rPr>
              <w:t>0</w:t>
            </w:r>
          </w:p>
        </w:tc>
        <w:tc>
          <w:tcPr>
            <w:tcW w:w="1075" w:type="dxa"/>
            <w:shd w:val="clear" w:color="auto" w:fill="auto"/>
            <w:vAlign w:val="center"/>
            <w:hideMark/>
          </w:tcPr>
          <w:p w14:paraId="0C1CD4D8" w14:textId="5B63CCB6" w:rsidR="000612F2" w:rsidRPr="00230DBE" w:rsidRDefault="000612F2" w:rsidP="000612F2">
            <w:pPr>
              <w:jc w:val="center"/>
              <w:rPr>
                <w:lang w:eastAsia="en-US"/>
              </w:rPr>
            </w:pPr>
            <w:r w:rsidRPr="00230DBE">
              <w:rPr>
                <w:lang w:eastAsia="en-US"/>
              </w:rPr>
              <w:t>0</w:t>
            </w:r>
          </w:p>
        </w:tc>
        <w:tc>
          <w:tcPr>
            <w:tcW w:w="829" w:type="dxa"/>
            <w:shd w:val="clear" w:color="auto" w:fill="auto"/>
            <w:vAlign w:val="center"/>
            <w:hideMark/>
          </w:tcPr>
          <w:p w14:paraId="491E0E4D" w14:textId="1EB15536" w:rsidR="000612F2" w:rsidRPr="00230DBE" w:rsidRDefault="000612F2" w:rsidP="000612F2">
            <w:pPr>
              <w:jc w:val="center"/>
              <w:rPr>
                <w:lang w:eastAsia="en-US"/>
              </w:rPr>
            </w:pPr>
            <w:r w:rsidRPr="00230DBE">
              <w:rPr>
                <w:lang w:eastAsia="en-US"/>
              </w:rPr>
              <w:t>0</w:t>
            </w:r>
          </w:p>
        </w:tc>
        <w:tc>
          <w:tcPr>
            <w:tcW w:w="1094" w:type="dxa"/>
            <w:shd w:val="clear" w:color="auto" w:fill="auto"/>
            <w:vAlign w:val="center"/>
            <w:hideMark/>
          </w:tcPr>
          <w:p w14:paraId="211783C8" w14:textId="141EAC19" w:rsidR="000612F2" w:rsidRPr="00230DBE" w:rsidRDefault="000612F2" w:rsidP="000612F2">
            <w:pPr>
              <w:jc w:val="center"/>
              <w:rPr>
                <w:lang w:eastAsia="en-US"/>
              </w:rPr>
            </w:pPr>
            <w:r w:rsidRPr="00230DBE">
              <w:rPr>
                <w:lang w:eastAsia="en-US"/>
              </w:rPr>
              <w:t>0</w:t>
            </w:r>
          </w:p>
        </w:tc>
        <w:tc>
          <w:tcPr>
            <w:tcW w:w="1224" w:type="dxa"/>
            <w:shd w:val="clear" w:color="auto" w:fill="auto"/>
            <w:vAlign w:val="center"/>
            <w:hideMark/>
          </w:tcPr>
          <w:p w14:paraId="1E274109" w14:textId="77BCE663" w:rsidR="000612F2" w:rsidRPr="00230DBE" w:rsidRDefault="000612F2" w:rsidP="000612F2">
            <w:pPr>
              <w:jc w:val="center"/>
              <w:rPr>
                <w:lang w:eastAsia="en-US"/>
              </w:rPr>
            </w:pPr>
            <w:r w:rsidRPr="00230DBE">
              <w:rPr>
                <w:lang w:eastAsia="en-US"/>
              </w:rPr>
              <w:t>0</w:t>
            </w:r>
          </w:p>
        </w:tc>
      </w:tr>
      <w:tr w:rsidR="000612F2" w:rsidRPr="00860BD5" w14:paraId="70975C8C" w14:textId="77777777" w:rsidTr="003B465F">
        <w:trPr>
          <w:tblCellSpacing w:w="20" w:type="dxa"/>
        </w:trPr>
        <w:tc>
          <w:tcPr>
            <w:tcW w:w="1492" w:type="dxa"/>
            <w:shd w:val="clear" w:color="auto" w:fill="auto"/>
            <w:hideMark/>
          </w:tcPr>
          <w:p w14:paraId="2FE2C7A2" w14:textId="77777777" w:rsidR="000612F2" w:rsidRPr="00860BD5" w:rsidRDefault="000612F2" w:rsidP="000612F2">
            <w:pPr>
              <w:rPr>
                <w:lang w:eastAsia="en-US"/>
              </w:rPr>
            </w:pPr>
            <w:r w:rsidRPr="00860BD5">
              <w:rPr>
                <w:lang w:eastAsia="en-US"/>
              </w:rPr>
              <w:t>1.3. pašvaldību budžets</w:t>
            </w:r>
          </w:p>
        </w:tc>
        <w:tc>
          <w:tcPr>
            <w:tcW w:w="1222" w:type="dxa"/>
            <w:shd w:val="clear" w:color="auto" w:fill="auto"/>
            <w:vAlign w:val="center"/>
            <w:hideMark/>
          </w:tcPr>
          <w:p w14:paraId="2A115597" w14:textId="62308ABF" w:rsidR="000612F2" w:rsidRPr="00FB12E6" w:rsidRDefault="000612F2" w:rsidP="000612F2">
            <w:pPr>
              <w:jc w:val="center"/>
              <w:rPr>
                <w:lang w:eastAsia="en-US"/>
              </w:rPr>
            </w:pPr>
            <w:r w:rsidRPr="00FB12E6">
              <w:rPr>
                <w:lang w:eastAsia="en-US"/>
              </w:rPr>
              <w:t>0</w:t>
            </w:r>
          </w:p>
        </w:tc>
        <w:tc>
          <w:tcPr>
            <w:tcW w:w="1100" w:type="dxa"/>
            <w:shd w:val="clear" w:color="auto" w:fill="auto"/>
            <w:vAlign w:val="center"/>
            <w:hideMark/>
          </w:tcPr>
          <w:p w14:paraId="760D3D1F" w14:textId="7B47996D" w:rsidR="000612F2" w:rsidRPr="00FB12E6" w:rsidRDefault="000612F2" w:rsidP="000612F2">
            <w:pPr>
              <w:jc w:val="center"/>
              <w:rPr>
                <w:lang w:eastAsia="en-US"/>
              </w:rPr>
            </w:pPr>
            <w:r w:rsidRPr="00FB12E6">
              <w:rPr>
                <w:lang w:eastAsia="en-US"/>
              </w:rPr>
              <w:t>0</w:t>
            </w:r>
          </w:p>
        </w:tc>
        <w:tc>
          <w:tcPr>
            <w:tcW w:w="952" w:type="dxa"/>
            <w:shd w:val="clear" w:color="auto" w:fill="auto"/>
            <w:vAlign w:val="center"/>
            <w:hideMark/>
          </w:tcPr>
          <w:p w14:paraId="74EEC219" w14:textId="04D5D4DA" w:rsidR="000612F2" w:rsidRPr="00230DBE" w:rsidRDefault="000612F2" w:rsidP="000612F2">
            <w:pPr>
              <w:jc w:val="center"/>
              <w:rPr>
                <w:lang w:eastAsia="en-US"/>
              </w:rPr>
            </w:pPr>
            <w:r w:rsidRPr="00230DBE">
              <w:rPr>
                <w:lang w:eastAsia="en-US"/>
              </w:rPr>
              <w:t>0</w:t>
            </w:r>
          </w:p>
        </w:tc>
        <w:tc>
          <w:tcPr>
            <w:tcW w:w="1075" w:type="dxa"/>
            <w:shd w:val="clear" w:color="auto" w:fill="auto"/>
            <w:vAlign w:val="center"/>
            <w:hideMark/>
          </w:tcPr>
          <w:p w14:paraId="06993265" w14:textId="1A535231" w:rsidR="000612F2" w:rsidRPr="00230DBE" w:rsidRDefault="000612F2" w:rsidP="000612F2">
            <w:pPr>
              <w:jc w:val="center"/>
              <w:rPr>
                <w:lang w:eastAsia="en-US"/>
              </w:rPr>
            </w:pPr>
            <w:r w:rsidRPr="00230DBE">
              <w:rPr>
                <w:lang w:eastAsia="en-US"/>
              </w:rPr>
              <w:t>0</w:t>
            </w:r>
          </w:p>
        </w:tc>
        <w:tc>
          <w:tcPr>
            <w:tcW w:w="829" w:type="dxa"/>
            <w:shd w:val="clear" w:color="auto" w:fill="auto"/>
            <w:vAlign w:val="center"/>
            <w:hideMark/>
          </w:tcPr>
          <w:p w14:paraId="3E2F032A" w14:textId="0984CE9D" w:rsidR="000612F2" w:rsidRPr="00230DBE" w:rsidRDefault="000612F2" w:rsidP="000612F2">
            <w:pPr>
              <w:jc w:val="center"/>
              <w:rPr>
                <w:lang w:eastAsia="en-US"/>
              </w:rPr>
            </w:pPr>
            <w:r w:rsidRPr="00230DBE">
              <w:rPr>
                <w:lang w:eastAsia="en-US"/>
              </w:rPr>
              <w:t>0</w:t>
            </w:r>
          </w:p>
        </w:tc>
        <w:tc>
          <w:tcPr>
            <w:tcW w:w="1094" w:type="dxa"/>
            <w:shd w:val="clear" w:color="auto" w:fill="auto"/>
            <w:vAlign w:val="center"/>
            <w:hideMark/>
          </w:tcPr>
          <w:p w14:paraId="2C993E1F" w14:textId="46F701FA" w:rsidR="000612F2" w:rsidRPr="00230DBE" w:rsidRDefault="000612F2" w:rsidP="000612F2">
            <w:pPr>
              <w:jc w:val="center"/>
              <w:rPr>
                <w:lang w:eastAsia="en-US"/>
              </w:rPr>
            </w:pPr>
            <w:r w:rsidRPr="00230DBE">
              <w:rPr>
                <w:lang w:eastAsia="en-US"/>
              </w:rPr>
              <w:t>0</w:t>
            </w:r>
          </w:p>
        </w:tc>
        <w:tc>
          <w:tcPr>
            <w:tcW w:w="1224" w:type="dxa"/>
            <w:shd w:val="clear" w:color="auto" w:fill="auto"/>
            <w:vAlign w:val="center"/>
            <w:hideMark/>
          </w:tcPr>
          <w:p w14:paraId="0DF0F944" w14:textId="0D139C5B" w:rsidR="000612F2" w:rsidRPr="00230DBE" w:rsidRDefault="000612F2" w:rsidP="000612F2">
            <w:pPr>
              <w:jc w:val="center"/>
              <w:rPr>
                <w:lang w:eastAsia="en-US"/>
              </w:rPr>
            </w:pPr>
            <w:r w:rsidRPr="00230DBE">
              <w:rPr>
                <w:lang w:eastAsia="en-US"/>
              </w:rPr>
              <w:t>0</w:t>
            </w:r>
          </w:p>
        </w:tc>
      </w:tr>
      <w:tr w:rsidR="000612F2" w:rsidRPr="00860BD5" w14:paraId="0E398E9C" w14:textId="77777777" w:rsidTr="003B465F">
        <w:trPr>
          <w:tblCellSpacing w:w="20" w:type="dxa"/>
        </w:trPr>
        <w:tc>
          <w:tcPr>
            <w:tcW w:w="1492" w:type="dxa"/>
            <w:shd w:val="clear" w:color="auto" w:fill="auto"/>
            <w:hideMark/>
          </w:tcPr>
          <w:p w14:paraId="79C6658F" w14:textId="77777777" w:rsidR="000612F2" w:rsidRPr="00860BD5" w:rsidRDefault="000612F2" w:rsidP="000612F2">
            <w:pPr>
              <w:rPr>
                <w:lang w:eastAsia="en-US"/>
              </w:rPr>
            </w:pPr>
            <w:r w:rsidRPr="00860BD5">
              <w:rPr>
                <w:lang w:eastAsia="en-US"/>
              </w:rPr>
              <w:t>2. Budžeta izdevumi</w:t>
            </w:r>
          </w:p>
        </w:tc>
        <w:tc>
          <w:tcPr>
            <w:tcW w:w="1222" w:type="dxa"/>
            <w:shd w:val="clear" w:color="auto" w:fill="auto"/>
            <w:vAlign w:val="center"/>
          </w:tcPr>
          <w:p w14:paraId="4B332525" w14:textId="5A7F0CBE" w:rsidR="000612F2" w:rsidRPr="00FB12E6" w:rsidRDefault="000612F2" w:rsidP="000612F2">
            <w:pPr>
              <w:jc w:val="center"/>
              <w:rPr>
                <w:lang w:eastAsia="en-US"/>
              </w:rPr>
            </w:pPr>
            <w:r>
              <w:t>194 691</w:t>
            </w:r>
          </w:p>
        </w:tc>
        <w:tc>
          <w:tcPr>
            <w:tcW w:w="1100" w:type="dxa"/>
            <w:shd w:val="clear" w:color="auto" w:fill="auto"/>
            <w:vAlign w:val="center"/>
          </w:tcPr>
          <w:p w14:paraId="0424E293" w14:textId="3E1E8F7C" w:rsidR="000612F2" w:rsidRPr="00FB12E6" w:rsidRDefault="000612F2" w:rsidP="000612F2">
            <w:pPr>
              <w:jc w:val="center"/>
              <w:rPr>
                <w:lang w:eastAsia="en-US"/>
              </w:rPr>
            </w:pPr>
            <w:r w:rsidRPr="38DB4DD9">
              <w:rPr>
                <w:lang w:eastAsia="en-US"/>
              </w:rPr>
              <w:t>+136</w:t>
            </w:r>
            <w:r>
              <w:t> </w:t>
            </w:r>
            <w:r w:rsidRPr="38DB4DD9">
              <w:rPr>
                <w:lang w:eastAsia="en-US"/>
              </w:rPr>
              <w:t>612</w:t>
            </w:r>
          </w:p>
        </w:tc>
        <w:tc>
          <w:tcPr>
            <w:tcW w:w="952" w:type="dxa"/>
            <w:shd w:val="clear" w:color="auto" w:fill="auto"/>
            <w:vAlign w:val="center"/>
          </w:tcPr>
          <w:p w14:paraId="1614C49F" w14:textId="11D7A437" w:rsidR="000612F2" w:rsidRPr="00230DBE" w:rsidRDefault="000612F2" w:rsidP="000612F2">
            <w:pPr>
              <w:jc w:val="center"/>
              <w:rPr>
                <w:lang w:eastAsia="en-US"/>
              </w:rPr>
            </w:pPr>
            <w:r>
              <w:t>7084</w:t>
            </w:r>
          </w:p>
        </w:tc>
        <w:tc>
          <w:tcPr>
            <w:tcW w:w="1075" w:type="dxa"/>
            <w:shd w:val="clear" w:color="auto" w:fill="auto"/>
            <w:vAlign w:val="center"/>
            <w:hideMark/>
          </w:tcPr>
          <w:p w14:paraId="35C7C97A" w14:textId="0014A9A1" w:rsidR="000612F2" w:rsidRPr="00230DBE" w:rsidRDefault="000612F2" w:rsidP="000612F2">
            <w:pPr>
              <w:jc w:val="center"/>
              <w:rPr>
                <w:lang w:eastAsia="en-US"/>
              </w:rPr>
            </w:pPr>
            <w:r w:rsidRPr="38DB4DD9">
              <w:rPr>
                <w:lang w:eastAsia="en-US"/>
              </w:rPr>
              <w:t>+136</w:t>
            </w:r>
            <w:r>
              <w:t> </w:t>
            </w:r>
            <w:r w:rsidRPr="38DB4DD9">
              <w:rPr>
                <w:lang w:eastAsia="en-US"/>
              </w:rPr>
              <w:t>612</w:t>
            </w:r>
          </w:p>
        </w:tc>
        <w:tc>
          <w:tcPr>
            <w:tcW w:w="829" w:type="dxa"/>
            <w:shd w:val="clear" w:color="auto" w:fill="auto"/>
            <w:vAlign w:val="center"/>
          </w:tcPr>
          <w:p w14:paraId="4C890C42" w14:textId="70011601" w:rsidR="000612F2" w:rsidRPr="00230DBE" w:rsidRDefault="000612F2" w:rsidP="000612F2">
            <w:pPr>
              <w:jc w:val="center"/>
              <w:rPr>
                <w:lang w:eastAsia="en-US"/>
              </w:rPr>
            </w:pPr>
            <w:r>
              <w:t>7084</w:t>
            </w:r>
          </w:p>
        </w:tc>
        <w:tc>
          <w:tcPr>
            <w:tcW w:w="1094" w:type="dxa"/>
            <w:shd w:val="clear" w:color="auto" w:fill="auto"/>
            <w:vAlign w:val="center"/>
            <w:hideMark/>
          </w:tcPr>
          <w:p w14:paraId="40A82FFF" w14:textId="2EA2F12A" w:rsidR="000612F2" w:rsidRPr="00230DBE" w:rsidRDefault="000612F2" w:rsidP="000612F2">
            <w:pPr>
              <w:jc w:val="center"/>
              <w:rPr>
                <w:lang w:eastAsia="en-US"/>
              </w:rPr>
            </w:pPr>
            <w:r w:rsidRPr="38DB4DD9">
              <w:rPr>
                <w:lang w:eastAsia="en-US"/>
              </w:rPr>
              <w:t>+136</w:t>
            </w:r>
            <w:r>
              <w:t> </w:t>
            </w:r>
            <w:r w:rsidRPr="38DB4DD9">
              <w:rPr>
                <w:lang w:eastAsia="en-US"/>
              </w:rPr>
              <w:t>612</w:t>
            </w:r>
          </w:p>
        </w:tc>
        <w:tc>
          <w:tcPr>
            <w:tcW w:w="1224" w:type="dxa"/>
            <w:shd w:val="clear" w:color="auto" w:fill="auto"/>
            <w:vAlign w:val="center"/>
            <w:hideMark/>
          </w:tcPr>
          <w:p w14:paraId="0F461252" w14:textId="4313B973" w:rsidR="000612F2" w:rsidRPr="00230DBE" w:rsidRDefault="000612F2" w:rsidP="000612F2">
            <w:pPr>
              <w:jc w:val="center"/>
              <w:rPr>
                <w:lang w:eastAsia="en-US"/>
              </w:rPr>
            </w:pPr>
            <w:r w:rsidRPr="38DB4DD9">
              <w:rPr>
                <w:lang w:eastAsia="en-US"/>
              </w:rPr>
              <w:t>+136</w:t>
            </w:r>
            <w:r>
              <w:t> </w:t>
            </w:r>
            <w:r w:rsidRPr="38DB4DD9">
              <w:rPr>
                <w:lang w:eastAsia="en-US"/>
              </w:rPr>
              <w:t>612</w:t>
            </w:r>
          </w:p>
        </w:tc>
      </w:tr>
      <w:tr w:rsidR="000612F2" w:rsidRPr="00860BD5" w14:paraId="010364A8" w14:textId="77777777" w:rsidTr="003B465F">
        <w:trPr>
          <w:tblCellSpacing w:w="20" w:type="dxa"/>
        </w:trPr>
        <w:tc>
          <w:tcPr>
            <w:tcW w:w="1492" w:type="dxa"/>
            <w:shd w:val="clear" w:color="auto" w:fill="auto"/>
            <w:hideMark/>
          </w:tcPr>
          <w:p w14:paraId="5120C0B3" w14:textId="77777777" w:rsidR="000612F2" w:rsidRPr="00860BD5" w:rsidRDefault="000612F2" w:rsidP="000612F2">
            <w:pPr>
              <w:rPr>
                <w:lang w:eastAsia="en-US"/>
              </w:rPr>
            </w:pPr>
            <w:r w:rsidRPr="00860BD5">
              <w:rPr>
                <w:lang w:eastAsia="en-US"/>
              </w:rPr>
              <w:t>2.1. valsts pamatbudžets</w:t>
            </w:r>
          </w:p>
        </w:tc>
        <w:tc>
          <w:tcPr>
            <w:tcW w:w="1222" w:type="dxa"/>
            <w:shd w:val="clear" w:color="auto" w:fill="auto"/>
            <w:vAlign w:val="center"/>
          </w:tcPr>
          <w:p w14:paraId="708D7E8C" w14:textId="38FEA7A1" w:rsidR="000612F2" w:rsidRPr="00FB12E6" w:rsidRDefault="000612F2" w:rsidP="000612F2">
            <w:pPr>
              <w:pStyle w:val="Default"/>
              <w:jc w:val="center"/>
            </w:pPr>
            <w:r>
              <w:t>194 691</w:t>
            </w:r>
          </w:p>
        </w:tc>
        <w:tc>
          <w:tcPr>
            <w:tcW w:w="1100" w:type="dxa"/>
            <w:shd w:val="clear" w:color="auto" w:fill="auto"/>
            <w:vAlign w:val="center"/>
          </w:tcPr>
          <w:p w14:paraId="7F3CB3CC" w14:textId="281FE063" w:rsidR="000612F2" w:rsidRPr="00FB12E6" w:rsidRDefault="000612F2" w:rsidP="000612F2">
            <w:pPr>
              <w:jc w:val="center"/>
              <w:rPr>
                <w:lang w:eastAsia="en-US"/>
              </w:rPr>
            </w:pPr>
            <w:r w:rsidRPr="38DB4DD9">
              <w:rPr>
                <w:lang w:eastAsia="en-US"/>
              </w:rPr>
              <w:t>+136</w:t>
            </w:r>
            <w:r>
              <w:t> </w:t>
            </w:r>
            <w:r w:rsidRPr="38DB4DD9">
              <w:rPr>
                <w:lang w:eastAsia="en-US"/>
              </w:rPr>
              <w:t>612</w:t>
            </w:r>
          </w:p>
        </w:tc>
        <w:tc>
          <w:tcPr>
            <w:tcW w:w="952" w:type="dxa"/>
            <w:shd w:val="clear" w:color="auto" w:fill="auto"/>
            <w:vAlign w:val="center"/>
          </w:tcPr>
          <w:p w14:paraId="56CA8B86" w14:textId="6B9FB7CC" w:rsidR="000612F2" w:rsidRPr="00230DBE" w:rsidRDefault="000612F2" w:rsidP="000612F2">
            <w:pPr>
              <w:jc w:val="center"/>
              <w:rPr>
                <w:lang w:eastAsia="en-US"/>
              </w:rPr>
            </w:pPr>
            <w:r>
              <w:t>7084</w:t>
            </w:r>
          </w:p>
        </w:tc>
        <w:tc>
          <w:tcPr>
            <w:tcW w:w="1075" w:type="dxa"/>
            <w:shd w:val="clear" w:color="auto" w:fill="auto"/>
            <w:vAlign w:val="center"/>
          </w:tcPr>
          <w:p w14:paraId="33577B9B" w14:textId="42462D97" w:rsidR="000612F2" w:rsidRPr="00230DBE" w:rsidRDefault="000612F2" w:rsidP="000612F2">
            <w:pPr>
              <w:jc w:val="center"/>
              <w:rPr>
                <w:lang w:eastAsia="en-US"/>
              </w:rPr>
            </w:pPr>
            <w:r w:rsidRPr="38DB4DD9">
              <w:rPr>
                <w:lang w:eastAsia="en-US"/>
              </w:rPr>
              <w:t>+136</w:t>
            </w:r>
            <w:r>
              <w:t> </w:t>
            </w:r>
            <w:r w:rsidRPr="38DB4DD9">
              <w:rPr>
                <w:lang w:eastAsia="en-US"/>
              </w:rPr>
              <w:t>612</w:t>
            </w:r>
          </w:p>
        </w:tc>
        <w:tc>
          <w:tcPr>
            <w:tcW w:w="829" w:type="dxa"/>
            <w:shd w:val="clear" w:color="auto" w:fill="auto"/>
            <w:vAlign w:val="center"/>
          </w:tcPr>
          <w:p w14:paraId="3E2DC0AD" w14:textId="16F04532" w:rsidR="000612F2" w:rsidRPr="00230DBE" w:rsidRDefault="000612F2" w:rsidP="000612F2">
            <w:pPr>
              <w:jc w:val="center"/>
              <w:rPr>
                <w:lang w:eastAsia="en-US"/>
              </w:rPr>
            </w:pPr>
            <w:r>
              <w:t>7084</w:t>
            </w:r>
          </w:p>
        </w:tc>
        <w:tc>
          <w:tcPr>
            <w:tcW w:w="1094" w:type="dxa"/>
            <w:shd w:val="clear" w:color="auto" w:fill="auto"/>
            <w:vAlign w:val="center"/>
          </w:tcPr>
          <w:p w14:paraId="7C457EBE" w14:textId="3639EA70" w:rsidR="000612F2" w:rsidRPr="00230DBE" w:rsidRDefault="000612F2" w:rsidP="000612F2">
            <w:pPr>
              <w:jc w:val="center"/>
              <w:rPr>
                <w:lang w:eastAsia="en-US"/>
              </w:rPr>
            </w:pPr>
            <w:r w:rsidRPr="38DB4DD9">
              <w:rPr>
                <w:lang w:eastAsia="en-US"/>
              </w:rPr>
              <w:t>+136</w:t>
            </w:r>
            <w:r>
              <w:t> </w:t>
            </w:r>
            <w:r w:rsidRPr="38DB4DD9">
              <w:rPr>
                <w:lang w:eastAsia="en-US"/>
              </w:rPr>
              <w:t>612</w:t>
            </w:r>
          </w:p>
        </w:tc>
        <w:tc>
          <w:tcPr>
            <w:tcW w:w="1224" w:type="dxa"/>
            <w:shd w:val="clear" w:color="auto" w:fill="auto"/>
            <w:vAlign w:val="center"/>
          </w:tcPr>
          <w:p w14:paraId="111C2D52" w14:textId="27FD33E1" w:rsidR="000612F2" w:rsidRPr="00230DBE" w:rsidRDefault="000612F2" w:rsidP="000612F2">
            <w:pPr>
              <w:jc w:val="center"/>
              <w:rPr>
                <w:lang w:eastAsia="en-US"/>
              </w:rPr>
            </w:pPr>
            <w:r w:rsidRPr="38DB4DD9">
              <w:rPr>
                <w:lang w:eastAsia="en-US"/>
              </w:rPr>
              <w:t>+136</w:t>
            </w:r>
            <w:r>
              <w:t> </w:t>
            </w:r>
            <w:r w:rsidRPr="38DB4DD9">
              <w:rPr>
                <w:lang w:eastAsia="en-US"/>
              </w:rPr>
              <w:t>612</w:t>
            </w:r>
          </w:p>
        </w:tc>
      </w:tr>
      <w:tr w:rsidR="000612F2" w:rsidRPr="00860BD5" w14:paraId="66B3CA01" w14:textId="77777777" w:rsidTr="003B465F">
        <w:trPr>
          <w:tblCellSpacing w:w="20" w:type="dxa"/>
        </w:trPr>
        <w:tc>
          <w:tcPr>
            <w:tcW w:w="1492" w:type="dxa"/>
            <w:shd w:val="clear" w:color="auto" w:fill="auto"/>
            <w:hideMark/>
          </w:tcPr>
          <w:p w14:paraId="7A39278B" w14:textId="77777777" w:rsidR="000612F2" w:rsidRPr="00860BD5" w:rsidRDefault="000612F2" w:rsidP="000612F2">
            <w:pPr>
              <w:rPr>
                <w:lang w:eastAsia="en-US"/>
              </w:rPr>
            </w:pPr>
            <w:r w:rsidRPr="00860BD5">
              <w:rPr>
                <w:lang w:eastAsia="en-US"/>
              </w:rPr>
              <w:lastRenderedPageBreak/>
              <w:t>2.2. valsts speciālais budžets</w:t>
            </w:r>
          </w:p>
        </w:tc>
        <w:tc>
          <w:tcPr>
            <w:tcW w:w="1222" w:type="dxa"/>
            <w:shd w:val="clear" w:color="auto" w:fill="auto"/>
            <w:vAlign w:val="center"/>
            <w:hideMark/>
          </w:tcPr>
          <w:p w14:paraId="7DAEE745" w14:textId="325BD95A" w:rsidR="000612F2" w:rsidRPr="00230DBE" w:rsidRDefault="000612F2" w:rsidP="000612F2">
            <w:pPr>
              <w:jc w:val="center"/>
              <w:rPr>
                <w:lang w:eastAsia="en-US"/>
              </w:rPr>
            </w:pPr>
            <w:r w:rsidRPr="00230DBE">
              <w:rPr>
                <w:lang w:eastAsia="en-US"/>
              </w:rPr>
              <w:t>0</w:t>
            </w:r>
          </w:p>
        </w:tc>
        <w:tc>
          <w:tcPr>
            <w:tcW w:w="1100" w:type="dxa"/>
            <w:shd w:val="clear" w:color="auto" w:fill="auto"/>
            <w:vAlign w:val="center"/>
            <w:hideMark/>
          </w:tcPr>
          <w:p w14:paraId="39EB3D79" w14:textId="08AE0F71" w:rsidR="000612F2" w:rsidRPr="00230DBE" w:rsidRDefault="000612F2" w:rsidP="000612F2">
            <w:pPr>
              <w:jc w:val="center"/>
              <w:rPr>
                <w:lang w:eastAsia="en-US"/>
              </w:rPr>
            </w:pPr>
            <w:r w:rsidRPr="00230DBE">
              <w:rPr>
                <w:lang w:eastAsia="en-US"/>
              </w:rPr>
              <w:t>0</w:t>
            </w:r>
          </w:p>
        </w:tc>
        <w:tc>
          <w:tcPr>
            <w:tcW w:w="952" w:type="dxa"/>
            <w:shd w:val="clear" w:color="auto" w:fill="auto"/>
            <w:vAlign w:val="center"/>
            <w:hideMark/>
          </w:tcPr>
          <w:p w14:paraId="10A22B18" w14:textId="18931FF2" w:rsidR="000612F2" w:rsidRPr="00230DBE" w:rsidRDefault="000612F2" w:rsidP="000612F2">
            <w:pPr>
              <w:jc w:val="center"/>
              <w:rPr>
                <w:lang w:eastAsia="en-US"/>
              </w:rPr>
            </w:pPr>
            <w:r w:rsidRPr="00230DBE">
              <w:rPr>
                <w:lang w:eastAsia="en-US"/>
              </w:rPr>
              <w:t>0</w:t>
            </w:r>
          </w:p>
        </w:tc>
        <w:tc>
          <w:tcPr>
            <w:tcW w:w="1075" w:type="dxa"/>
            <w:shd w:val="clear" w:color="auto" w:fill="auto"/>
            <w:vAlign w:val="center"/>
            <w:hideMark/>
          </w:tcPr>
          <w:p w14:paraId="385BECEB" w14:textId="5F3D3BBD" w:rsidR="000612F2" w:rsidRPr="00230DBE" w:rsidRDefault="000612F2" w:rsidP="000612F2">
            <w:pPr>
              <w:jc w:val="center"/>
              <w:rPr>
                <w:lang w:eastAsia="en-US"/>
              </w:rPr>
            </w:pPr>
            <w:r w:rsidRPr="00230DBE">
              <w:rPr>
                <w:lang w:eastAsia="en-US"/>
              </w:rPr>
              <w:t>0</w:t>
            </w:r>
          </w:p>
        </w:tc>
        <w:tc>
          <w:tcPr>
            <w:tcW w:w="829" w:type="dxa"/>
            <w:shd w:val="clear" w:color="auto" w:fill="auto"/>
            <w:vAlign w:val="center"/>
            <w:hideMark/>
          </w:tcPr>
          <w:p w14:paraId="399CCBDD" w14:textId="4B299DAC" w:rsidR="000612F2" w:rsidRPr="00230DBE" w:rsidRDefault="000612F2" w:rsidP="000612F2">
            <w:pPr>
              <w:jc w:val="center"/>
              <w:rPr>
                <w:lang w:eastAsia="en-US"/>
              </w:rPr>
            </w:pPr>
            <w:r w:rsidRPr="00230DBE">
              <w:rPr>
                <w:lang w:eastAsia="en-US"/>
              </w:rPr>
              <w:t>0</w:t>
            </w:r>
          </w:p>
        </w:tc>
        <w:tc>
          <w:tcPr>
            <w:tcW w:w="1094" w:type="dxa"/>
            <w:shd w:val="clear" w:color="auto" w:fill="auto"/>
            <w:vAlign w:val="center"/>
            <w:hideMark/>
          </w:tcPr>
          <w:p w14:paraId="4F45A49E" w14:textId="1692AB6D" w:rsidR="000612F2" w:rsidRPr="00230DBE" w:rsidRDefault="000612F2" w:rsidP="000612F2">
            <w:pPr>
              <w:jc w:val="center"/>
              <w:rPr>
                <w:lang w:eastAsia="en-US"/>
              </w:rPr>
            </w:pPr>
            <w:r w:rsidRPr="00230DBE">
              <w:rPr>
                <w:lang w:eastAsia="en-US"/>
              </w:rPr>
              <w:t>0</w:t>
            </w:r>
          </w:p>
        </w:tc>
        <w:tc>
          <w:tcPr>
            <w:tcW w:w="1224" w:type="dxa"/>
            <w:shd w:val="clear" w:color="auto" w:fill="auto"/>
            <w:vAlign w:val="center"/>
            <w:hideMark/>
          </w:tcPr>
          <w:p w14:paraId="3DC9183E" w14:textId="13C72335" w:rsidR="000612F2" w:rsidRPr="00230DBE" w:rsidRDefault="000612F2" w:rsidP="000612F2">
            <w:pPr>
              <w:jc w:val="center"/>
              <w:rPr>
                <w:lang w:eastAsia="en-US"/>
              </w:rPr>
            </w:pPr>
            <w:r w:rsidRPr="00230DBE">
              <w:rPr>
                <w:lang w:eastAsia="en-US"/>
              </w:rPr>
              <w:t>0</w:t>
            </w:r>
          </w:p>
        </w:tc>
      </w:tr>
      <w:tr w:rsidR="000612F2" w:rsidRPr="00860BD5" w14:paraId="0F2B58ED" w14:textId="77777777" w:rsidTr="003B465F">
        <w:trPr>
          <w:tblCellSpacing w:w="20" w:type="dxa"/>
        </w:trPr>
        <w:tc>
          <w:tcPr>
            <w:tcW w:w="1492" w:type="dxa"/>
            <w:shd w:val="clear" w:color="auto" w:fill="auto"/>
            <w:hideMark/>
          </w:tcPr>
          <w:p w14:paraId="1A596D25" w14:textId="77777777" w:rsidR="000612F2" w:rsidRPr="00860BD5" w:rsidRDefault="000612F2" w:rsidP="000612F2">
            <w:pPr>
              <w:rPr>
                <w:lang w:eastAsia="en-US"/>
              </w:rPr>
            </w:pPr>
            <w:r w:rsidRPr="00860BD5">
              <w:rPr>
                <w:lang w:eastAsia="en-US"/>
              </w:rPr>
              <w:t>2.3. pašvaldību budžets</w:t>
            </w:r>
          </w:p>
        </w:tc>
        <w:tc>
          <w:tcPr>
            <w:tcW w:w="1222" w:type="dxa"/>
            <w:shd w:val="clear" w:color="auto" w:fill="auto"/>
            <w:vAlign w:val="center"/>
            <w:hideMark/>
          </w:tcPr>
          <w:p w14:paraId="73BCE3AE" w14:textId="78B036FB" w:rsidR="000612F2" w:rsidRPr="00230DBE" w:rsidRDefault="000612F2" w:rsidP="000612F2">
            <w:pPr>
              <w:jc w:val="center"/>
              <w:rPr>
                <w:lang w:eastAsia="en-US"/>
              </w:rPr>
            </w:pPr>
            <w:r w:rsidRPr="00230DBE">
              <w:rPr>
                <w:lang w:eastAsia="en-US"/>
              </w:rPr>
              <w:t>0</w:t>
            </w:r>
          </w:p>
        </w:tc>
        <w:tc>
          <w:tcPr>
            <w:tcW w:w="1100" w:type="dxa"/>
            <w:shd w:val="clear" w:color="auto" w:fill="auto"/>
            <w:vAlign w:val="center"/>
            <w:hideMark/>
          </w:tcPr>
          <w:p w14:paraId="30776FBD" w14:textId="1B3A2C41" w:rsidR="000612F2" w:rsidRPr="00230DBE" w:rsidRDefault="000612F2" w:rsidP="000612F2">
            <w:pPr>
              <w:jc w:val="center"/>
              <w:rPr>
                <w:lang w:eastAsia="en-US"/>
              </w:rPr>
            </w:pPr>
            <w:r w:rsidRPr="00230DBE">
              <w:rPr>
                <w:lang w:eastAsia="en-US"/>
              </w:rPr>
              <w:t>0</w:t>
            </w:r>
          </w:p>
        </w:tc>
        <w:tc>
          <w:tcPr>
            <w:tcW w:w="952" w:type="dxa"/>
            <w:shd w:val="clear" w:color="auto" w:fill="auto"/>
            <w:vAlign w:val="center"/>
            <w:hideMark/>
          </w:tcPr>
          <w:p w14:paraId="7106844B" w14:textId="21C070D6" w:rsidR="000612F2" w:rsidRPr="00230DBE" w:rsidRDefault="000612F2" w:rsidP="000612F2">
            <w:pPr>
              <w:jc w:val="center"/>
              <w:rPr>
                <w:lang w:eastAsia="en-US"/>
              </w:rPr>
            </w:pPr>
            <w:r w:rsidRPr="00230DBE">
              <w:rPr>
                <w:lang w:eastAsia="en-US"/>
              </w:rPr>
              <w:t>0</w:t>
            </w:r>
          </w:p>
        </w:tc>
        <w:tc>
          <w:tcPr>
            <w:tcW w:w="1075" w:type="dxa"/>
            <w:shd w:val="clear" w:color="auto" w:fill="auto"/>
            <w:vAlign w:val="center"/>
            <w:hideMark/>
          </w:tcPr>
          <w:p w14:paraId="220E1AE6" w14:textId="6EB5968F" w:rsidR="000612F2" w:rsidRPr="00230DBE" w:rsidRDefault="000612F2" w:rsidP="000612F2">
            <w:pPr>
              <w:jc w:val="center"/>
              <w:rPr>
                <w:lang w:eastAsia="en-US"/>
              </w:rPr>
            </w:pPr>
            <w:r w:rsidRPr="00230DBE">
              <w:rPr>
                <w:lang w:eastAsia="en-US"/>
              </w:rPr>
              <w:t>0</w:t>
            </w:r>
          </w:p>
        </w:tc>
        <w:tc>
          <w:tcPr>
            <w:tcW w:w="829" w:type="dxa"/>
            <w:shd w:val="clear" w:color="auto" w:fill="auto"/>
            <w:vAlign w:val="center"/>
            <w:hideMark/>
          </w:tcPr>
          <w:p w14:paraId="122AA187" w14:textId="475DDD77" w:rsidR="000612F2" w:rsidRPr="00230DBE" w:rsidRDefault="000612F2" w:rsidP="000612F2">
            <w:pPr>
              <w:jc w:val="center"/>
              <w:rPr>
                <w:lang w:eastAsia="en-US"/>
              </w:rPr>
            </w:pPr>
            <w:r w:rsidRPr="00230DBE">
              <w:rPr>
                <w:lang w:eastAsia="en-US"/>
              </w:rPr>
              <w:t>0</w:t>
            </w:r>
          </w:p>
        </w:tc>
        <w:tc>
          <w:tcPr>
            <w:tcW w:w="1094" w:type="dxa"/>
            <w:shd w:val="clear" w:color="auto" w:fill="auto"/>
            <w:vAlign w:val="center"/>
            <w:hideMark/>
          </w:tcPr>
          <w:p w14:paraId="088385D2" w14:textId="7705FF42" w:rsidR="000612F2" w:rsidRPr="00230DBE" w:rsidRDefault="000612F2" w:rsidP="000612F2">
            <w:pPr>
              <w:jc w:val="center"/>
              <w:rPr>
                <w:lang w:eastAsia="en-US"/>
              </w:rPr>
            </w:pPr>
            <w:r w:rsidRPr="00230DBE">
              <w:rPr>
                <w:lang w:eastAsia="en-US"/>
              </w:rPr>
              <w:t>0</w:t>
            </w:r>
          </w:p>
        </w:tc>
        <w:tc>
          <w:tcPr>
            <w:tcW w:w="1224" w:type="dxa"/>
            <w:shd w:val="clear" w:color="auto" w:fill="auto"/>
            <w:vAlign w:val="center"/>
            <w:hideMark/>
          </w:tcPr>
          <w:p w14:paraId="38B19198" w14:textId="3C1E8FCC" w:rsidR="000612F2" w:rsidRPr="00230DBE" w:rsidRDefault="000612F2" w:rsidP="000612F2">
            <w:pPr>
              <w:jc w:val="center"/>
              <w:rPr>
                <w:lang w:eastAsia="en-US"/>
              </w:rPr>
            </w:pPr>
            <w:r w:rsidRPr="00230DBE">
              <w:rPr>
                <w:lang w:eastAsia="en-US"/>
              </w:rPr>
              <w:t>0</w:t>
            </w:r>
          </w:p>
        </w:tc>
      </w:tr>
      <w:tr w:rsidR="000612F2" w:rsidRPr="00860BD5" w14:paraId="59002AEF" w14:textId="77777777" w:rsidTr="003B465F">
        <w:trPr>
          <w:tblCellSpacing w:w="20" w:type="dxa"/>
        </w:trPr>
        <w:tc>
          <w:tcPr>
            <w:tcW w:w="1492" w:type="dxa"/>
            <w:shd w:val="clear" w:color="auto" w:fill="auto"/>
            <w:hideMark/>
          </w:tcPr>
          <w:p w14:paraId="0CFF345F" w14:textId="77777777" w:rsidR="000612F2" w:rsidRPr="00860BD5" w:rsidRDefault="000612F2" w:rsidP="000612F2">
            <w:pPr>
              <w:rPr>
                <w:lang w:eastAsia="en-US"/>
              </w:rPr>
            </w:pPr>
            <w:r w:rsidRPr="00860BD5">
              <w:rPr>
                <w:lang w:eastAsia="en-US"/>
              </w:rPr>
              <w:t>3. Finansiālā ietekme</w:t>
            </w:r>
          </w:p>
        </w:tc>
        <w:tc>
          <w:tcPr>
            <w:tcW w:w="1222" w:type="dxa"/>
            <w:shd w:val="clear" w:color="auto" w:fill="auto"/>
            <w:vAlign w:val="center"/>
            <w:hideMark/>
          </w:tcPr>
          <w:p w14:paraId="13950FEC" w14:textId="176EA5F2" w:rsidR="000612F2" w:rsidRDefault="000612F2" w:rsidP="000612F2">
            <w:pPr>
              <w:jc w:val="center"/>
            </w:pPr>
            <w:r w:rsidRPr="00D36ADA">
              <w:t>28</w:t>
            </w:r>
            <w:r w:rsidRPr="000E1418">
              <w:t> </w:t>
            </w:r>
            <w:r w:rsidRPr="00191F22">
              <w:t>14</w:t>
            </w:r>
            <w:r w:rsidRPr="00F25ACE">
              <w:t>1</w:t>
            </w:r>
          </w:p>
          <w:p w14:paraId="3588E3CC" w14:textId="746B0D0C" w:rsidR="000612F2" w:rsidRPr="00230DBE" w:rsidRDefault="000612F2" w:rsidP="000612F2">
            <w:pPr>
              <w:jc w:val="center"/>
              <w:rPr>
                <w:lang w:eastAsia="en-US"/>
              </w:rPr>
            </w:pPr>
          </w:p>
        </w:tc>
        <w:tc>
          <w:tcPr>
            <w:tcW w:w="1100" w:type="dxa"/>
            <w:shd w:val="clear" w:color="auto" w:fill="auto"/>
            <w:vAlign w:val="center"/>
            <w:hideMark/>
          </w:tcPr>
          <w:p w14:paraId="5F97E74B" w14:textId="65666343" w:rsidR="000612F2" w:rsidRPr="00230DBE" w:rsidRDefault="000612F2" w:rsidP="000612F2">
            <w:pPr>
              <w:jc w:val="center"/>
              <w:rPr>
                <w:lang w:eastAsia="en-US"/>
              </w:rPr>
            </w:pPr>
            <w:r>
              <w:t>-136 612</w:t>
            </w:r>
          </w:p>
        </w:tc>
        <w:tc>
          <w:tcPr>
            <w:tcW w:w="952" w:type="dxa"/>
            <w:shd w:val="clear" w:color="auto" w:fill="auto"/>
            <w:vAlign w:val="center"/>
          </w:tcPr>
          <w:p w14:paraId="61910E72" w14:textId="2015ED72" w:rsidR="000612F2" w:rsidRPr="00230DBE" w:rsidRDefault="000612F2" w:rsidP="000612F2">
            <w:pPr>
              <w:jc w:val="center"/>
              <w:rPr>
                <w:lang w:eastAsia="en-US"/>
              </w:rPr>
            </w:pPr>
          </w:p>
        </w:tc>
        <w:tc>
          <w:tcPr>
            <w:tcW w:w="1075" w:type="dxa"/>
            <w:shd w:val="clear" w:color="auto" w:fill="auto"/>
            <w:vAlign w:val="center"/>
          </w:tcPr>
          <w:p w14:paraId="14E42254" w14:textId="24091AA6" w:rsidR="000612F2" w:rsidRPr="00230DBE" w:rsidRDefault="000612F2" w:rsidP="000612F2">
            <w:pPr>
              <w:jc w:val="center"/>
              <w:rPr>
                <w:lang w:eastAsia="en-US"/>
              </w:rPr>
            </w:pPr>
            <w:r w:rsidRPr="1064577B">
              <w:rPr>
                <w:lang w:eastAsia="en-US"/>
              </w:rPr>
              <w:t>-136</w:t>
            </w:r>
            <w:r>
              <w:t> </w:t>
            </w:r>
            <w:r w:rsidRPr="1064577B">
              <w:rPr>
                <w:lang w:eastAsia="en-US"/>
              </w:rPr>
              <w:t>612</w:t>
            </w:r>
          </w:p>
        </w:tc>
        <w:tc>
          <w:tcPr>
            <w:tcW w:w="829" w:type="dxa"/>
            <w:shd w:val="clear" w:color="auto" w:fill="auto"/>
            <w:vAlign w:val="center"/>
          </w:tcPr>
          <w:p w14:paraId="0F05AE1C" w14:textId="150BD790" w:rsidR="000612F2" w:rsidRPr="00230DBE" w:rsidRDefault="000612F2" w:rsidP="000612F2">
            <w:pPr>
              <w:jc w:val="center"/>
              <w:rPr>
                <w:lang w:eastAsia="en-US"/>
              </w:rPr>
            </w:pPr>
          </w:p>
        </w:tc>
        <w:tc>
          <w:tcPr>
            <w:tcW w:w="1094" w:type="dxa"/>
            <w:shd w:val="clear" w:color="auto" w:fill="auto"/>
            <w:vAlign w:val="center"/>
          </w:tcPr>
          <w:p w14:paraId="67F5277C" w14:textId="69440672" w:rsidR="000612F2" w:rsidRPr="00230DBE" w:rsidRDefault="000612F2" w:rsidP="000612F2">
            <w:pPr>
              <w:jc w:val="center"/>
              <w:rPr>
                <w:lang w:eastAsia="en-US"/>
              </w:rPr>
            </w:pPr>
            <w:r w:rsidRPr="1064577B">
              <w:rPr>
                <w:lang w:eastAsia="en-US"/>
              </w:rPr>
              <w:t>-136</w:t>
            </w:r>
            <w:r>
              <w:t> </w:t>
            </w:r>
            <w:r w:rsidRPr="1064577B">
              <w:rPr>
                <w:lang w:eastAsia="en-US"/>
              </w:rPr>
              <w:t>612</w:t>
            </w:r>
          </w:p>
        </w:tc>
        <w:tc>
          <w:tcPr>
            <w:tcW w:w="1224" w:type="dxa"/>
            <w:shd w:val="clear" w:color="auto" w:fill="auto"/>
            <w:vAlign w:val="center"/>
          </w:tcPr>
          <w:p w14:paraId="42F8AC8B" w14:textId="1B399E05" w:rsidR="000612F2" w:rsidRPr="00230DBE" w:rsidRDefault="000612F2" w:rsidP="000612F2">
            <w:pPr>
              <w:jc w:val="center"/>
              <w:rPr>
                <w:lang w:eastAsia="en-US"/>
              </w:rPr>
            </w:pPr>
            <w:r w:rsidRPr="1064577B">
              <w:rPr>
                <w:lang w:eastAsia="en-US"/>
              </w:rPr>
              <w:t>-136</w:t>
            </w:r>
            <w:r>
              <w:t> </w:t>
            </w:r>
            <w:r w:rsidRPr="1064577B">
              <w:rPr>
                <w:lang w:eastAsia="en-US"/>
              </w:rPr>
              <w:t>612</w:t>
            </w:r>
          </w:p>
        </w:tc>
      </w:tr>
      <w:tr w:rsidR="000612F2" w:rsidRPr="00860BD5" w14:paraId="0E7B34A1" w14:textId="77777777" w:rsidTr="003B465F">
        <w:trPr>
          <w:tblCellSpacing w:w="20" w:type="dxa"/>
        </w:trPr>
        <w:tc>
          <w:tcPr>
            <w:tcW w:w="1492" w:type="dxa"/>
            <w:shd w:val="clear" w:color="auto" w:fill="auto"/>
            <w:hideMark/>
          </w:tcPr>
          <w:p w14:paraId="767BF5E0" w14:textId="77777777" w:rsidR="000612F2" w:rsidRPr="00860BD5" w:rsidRDefault="000612F2" w:rsidP="000612F2">
            <w:pPr>
              <w:rPr>
                <w:lang w:eastAsia="en-US"/>
              </w:rPr>
            </w:pPr>
            <w:r w:rsidRPr="00860BD5">
              <w:rPr>
                <w:lang w:eastAsia="en-US"/>
              </w:rPr>
              <w:t>3.1. valsts pamatbudžets</w:t>
            </w:r>
          </w:p>
        </w:tc>
        <w:tc>
          <w:tcPr>
            <w:tcW w:w="1222" w:type="dxa"/>
            <w:shd w:val="clear" w:color="auto" w:fill="auto"/>
            <w:vAlign w:val="center"/>
            <w:hideMark/>
          </w:tcPr>
          <w:p w14:paraId="2331AD84" w14:textId="2AC6078C" w:rsidR="000612F2" w:rsidRDefault="000612F2" w:rsidP="000612F2">
            <w:pPr>
              <w:jc w:val="center"/>
              <w:rPr>
                <w:lang w:eastAsia="en-US"/>
              </w:rPr>
            </w:pPr>
            <w:r>
              <w:rPr>
                <w:lang w:eastAsia="en-US"/>
              </w:rPr>
              <w:t>28 141</w:t>
            </w:r>
          </w:p>
          <w:p w14:paraId="0C949787" w14:textId="58466823" w:rsidR="000612F2" w:rsidRPr="00230DBE" w:rsidRDefault="000612F2" w:rsidP="000612F2">
            <w:pPr>
              <w:jc w:val="center"/>
              <w:rPr>
                <w:lang w:eastAsia="en-US"/>
              </w:rPr>
            </w:pPr>
          </w:p>
        </w:tc>
        <w:tc>
          <w:tcPr>
            <w:tcW w:w="1100" w:type="dxa"/>
            <w:shd w:val="clear" w:color="auto" w:fill="auto"/>
            <w:vAlign w:val="center"/>
            <w:hideMark/>
          </w:tcPr>
          <w:p w14:paraId="618A55B5" w14:textId="69EB030D" w:rsidR="000612F2" w:rsidRPr="00230DBE" w:rsidRDefault="000612F2" w:rsidP="000612F2">
            <w:pPr>
              <w:jc w:val="center"/>
            </w:pPr>
            <w:r>
              <w:t>-136 612</w:t>
            </w:r>
          </w:p>
          <w:p w14:paraId="3B85C0FA" w14:textId="1125ACF8" w:rsidR="000612F2" w:rsidRPr="00230DBE" w:rsidRDefault="000612F2" w:rsidP="000612F2">
            <w:pPr>
              <w:jc w:val="center"/>
              <w:rPr>
                <w:lang w:eastAsia="en-US"/>
              </w:rPr>
            </w:pPr>
          </w:p>
        </w:tc>
        <w:tc>
          <w:tcPr>
            <w:tcW w:w="952" w:type="dxa"/>
            <w:shd w:val="clear" w:color="auto" w:fill="auto"/>
            <w:vAlign w:val="center"/>
            <w:hideMark/>
          </w:tcPr>
          <w:p w14:paraId="154913BC" w14:textId="0442E305" w:rsidR="000612F2" w:rsidRPr="00230DBE" w:rsidRDefault="000612F2" w:rsidP="000612F2">
            <w:pPr>
              <w:jc w:val="center"/>
              <w:rPr>
                <w:lang w:eastAsia="en-US"/>
              </w:rPr>
            </w:pPr>
          </w:p>
        </w:tc>
        <w:tc>
          <w:tcPr>
            <w:tcW w:w="1075" w:type="dxa"/>
            <w:shd w:val="clear" w:color="auto" w:fill="auto"/>
            <w:vAlign w:val="center"/>
            <w:hideMark/>
          </w:tcPr>
          <w:p w14:paraId="2F86CFC4" w14:textId="53799095" w:rsidR="000612F2" w:rsidRPr="00230DBE" w:rsidRDefault="000612F2" w:rsidP="000612F2">
            <w:pPr>
              <w:jc w:val="center"/>
              <w:rPr>
                <w:lang w:eastAsia="en-US"/>
              </w:rPr>
            </w:pPr>
            <w:r w:rsidRPr="1064577B">
              <w:rPr>
                <w:lang w:eastAsia="en-US"/>
              </w:rPr>
              <w:t>-136</w:t>
            </w:r>
            <w:r>
              <w:t> </w:t>
            </w:r>
            <w:r w:rsidRPr="1064577B">
              <w:rPr>
                <w:lang w:eastAsia="en-US"/>
              </w:rPr>
              <w:t>612</w:t>
            </w:r>
          </w:p>
        </w:tc>
        <w:tc>
          <w:tcPr>
            <w:tcW w:w="829" w:type="dxa"/>
            <w:shd w:val="clear" w:color="auto" w:fill="auto"/>
            <w:vAlign w:val="center"/>
            <w:hideMark/>
          </w:tcPr>
          <w:p w14:paraId="61DD5C15" w14:textId="02597141" w:rsidR="000612F2" w:rsidRPr="00230DBE" w:rsidRDefault="000612F2" w:rsidP="000612F2">
            <w:pPr>
              <w:jc w:val="center"/>
              <w:rPr>
                <w:lang w:eastAsia="en-US"/>
              </w:rPr>
            </w:pPr>
          </w:p>
        </w:tc>
        <w:tc>
          <w:tcPr>
            <w:tcW w:w="1094" w:type="dxa"/>
            <w:shd w:val="clear" w:color="auto" w:fill="auto"/>
            <w:vAlign w:val="center"/>
            <w:hideMark/>
          </w:tcPr>
          <w:p w14:paraId="04226F38" w14:textId="41803EAE" w:rsidR="000612F2" w:rsidRPr="00230DBE" w:rsidRDefault="000612F2" w:rsidP="000612F2">
            <w:pPr>
              <w:jc w:val="center"/>
              <w:rPr>
                <w:lang w:eastAsia="en-US"/>
              </w:rPr>
            </w:pPr>
            <w:r w:rsidRPr="1064577B">
              <w:rPr>
                <w:lang w:eastAsia="en-US"/>
              </w:rPr>
              <w:t>-136</w:t>
            </w:r>
            <w:r>
              <w:t> </w:t>
            </w:r>
            <w:r w:rsidRPr="1064577B">
              <w:rPr>
                <w:lang w:eastAsia="en-US"/>
              </w:rPr>
              <w:t>612</w:t>
            </w:r>
          </w:p>
        </w:tc>
        <w:tc>
          <w:tcPr>
            <w:tcW w:w="1224" w:type="dxa"/>
            <w:shd w:val="clear" w:color="auto" w:fill="auto"/>
            <w:vAlign w:val="center"/>
            <w:hideMark/>
          </w:tcPr>
          <w:p w14:paraId="381165CD" w14:textId="3C964566" w:rsidR="000612F2" w:rsidRPr="00230DBE" w:rsidRDefault="000612F2" w:rsidP="000612F2">
            <w:pPr>
              <w:jc w:val="center"/>
              <w:rPr>
                <w:lang w:eastAsia="en-US"/>
              </w:rPr>
            </w:pPr>
            <w:r w:rsidRPr="1064577B">
              <w:rPr>
                <w:lang w:eastAsia="en-US"/>
              </w:rPr>
              <w:t>-136</w:t>
            </w:r>
            <w:r>
              <w:t> </w:t>
            </w:r>
            <w:r w:rsidRPr="1064577B">
              <w:rPr>
                <w:lang w:eastAsia="en-US"/>
              </w:rPr>
              <w:t>612</w:t>
            </w:r>
          </w:p>
        </w:tc>
      </w:tr>
      <w:tr w:rsidR="000612F2" w:rsidRPr="00860BD5" w14:paraId="1AB38F73" w14:textId="77777777" w:rsidTr="003B465F">
        <w:trPr>
          <w:tblCellSpacing w:w="20" w:type="dxa"/>
        </w:trPr>
        <w:tc>
          <w:tcPr>
            <w:tcW w:w="1492" w:type="dxa"/>
            <w:shd w:val="clear" w:color="auto" w:fill="auto"/>
            <w:hideMark/>
          </w:tcPr>
          <w:p w14:paraId="279EBF16" w14:textId="77777777" w:rsidR="000612F2" w:rsidRPr="00860BD5" w:rsidRDefault="000612F2" w:rsidP="000612F2">
            <w:pPr>
              <w:rPr>
                <w:lang w:eastAsia="en-US"/>
              </w:rPr>
            </w:pPr>
            <w:r w:rsidRPr="00860BD5">
              <w:rPr>
                <w:lang w:eastAsia="en-US"/>
              </w:rPr>
              <w:t>3.2. speciālais budžets</w:t>
            </w:r>
          </w:p>
        </w:tc>
        <w:tc>
          <w:tcPr>
            <w:tcW w:w="1222" w:type="dxa"/>
            <w:shd w:val="clear" w:color="auto" w:fill="auto"/>
            <w:vAlign w:val="center"/>
            <w:hideMark/>
          </w:tcPr>
          <w:p w14:paraId="1015641F" w14:textId="77777777" w:rsidR="000612F2" w:rsidRPr="00230DBE" w:rsidRDefault="000612F2" w:rsidP="000612F2">
            <w:pPr>
              <w:jc w:val="center"/>
              <w:rPr>
                <w:lang w:eastAsia="en-US"/>
              </w:rPr>
            </w:pPr>
          </w:p>
        </w:tc>
        <w:tc>
          <w:tcPr>
            <w:tcW w:w="1100" w:type="dxa"/>
            <w:shd w:val="clear" w:color="auto" w:fill="auto"/>
            <w:vAlign w:val="center"/>
            <w:hideMark/>
          </w:tcPr>
          <w:p w14:paraId="1FAEA46C" w14:textId="77777777" w:rsidR="000612F2" w:rsidRPr="00230DBE" w:rsidRDefault="000612F2" w:rsidP="000612F2">
            <w:pPr>
              <w:jc w:val="center"/>
              <w:rPr>
                <w:lang w:eastAsia="en-US"/>
              </w:rPr>
            </w:pPr>
          </w:p>
        </w:tc>
        <w:tc>
          <w:tcPr>
            <w:tcW w:w="952" w:type="dxa"/>
            <w:shd w:val="clear" w:color="auto" w:fill="auto"/>
            <w:vAlign w:val="center"/>
            <w:hideMark/>
          </w:tcPr>
          <w:p w14:paraId="09E68EB1" w14:textId="77777777" w:rsidR="000612F2" w:rsidRPr="00230DBE" w:rsidRDefault="000612F2" w:rsidP="000612F2">
            <w:pPr>
              <w:jc w:val="center"/>
              <w:rPr>
                <w:lang w:eastAsia="en-US"/>
              </w:rPr>
            </w:pPr>
          </w:p>
        </w:tc>
        <w:tc>
          <w:tcPr>
            <w:tcW w:w="1075" w:type="dxa"/>
            <w:shd w:val="clear" w:color="auto" w:fill="auto"/>
            <w:vAlign w:val="center"/>
            <w:hideMark/>
          </w:tcPr>
          <w:p w14:paraId="6CFCCC67" w14:textId="77777777" w:rsidR="000612F2" w:rsidRPr="00230DBE" w:rsidRDefault="000612F2" w:rsidP="000612F2">
            <w:pPr>
              <w:jc w:val="center"/>
              <w:rPr>
                <w:lang w:eastAsia="en-US"/>
              </w:rPr>
            </w:pPr>
          </w:p>
        </w:tc>
        <w:tc>
          <w:tcPr>
            <w:tcW w:w="829" w:type="dxa"/>
            <w:shd w:val="clear" w:color="auto" w:fill="auto"/>
            <w:vAlign w:val="center"/>
            <w:hideMark/>
          </w:tcPr>
          <w:p w14:paraId="393A7CC9" w14:textId="77777777" w:rsidR="000612F2" w:rsidRPr="00230DBE" w:rsidRDefault="000612F2" w:rsidP="000612F2">
            <w:pPr>
              <w:jc w:val="center"/>
              <w:rPr>
                <w:lang w:eastAsia="en-US"/>
              </w:rPr>
            </w:pPr>
          </w:p>
        </w:tc>
        <w:tc>
          <w:tcPr>
            <w:tcW w:w="1094" w:type="dxa"/>
            <w:shd w:val="clear" w:color="auto" w:fill="auto"/>
            <w:vAlign w:val="center"/>
            <w:hideMark/>
          </w:tcPr>
          <w:p w14:paraId="13D1FE1E" w14:textId="77777777" w:rsidR="000612F2" w:rsidRPr="00230DBE" w:rsidRDefault="000612F2" w:rsidP="000612F2">
            <w:pPr>
              <w:jc w:val="center"/>
              <w:rPr>
                <w:lang w:eastAsia="en-US"/>
              </w:rPr>
            </w:pPr>
          </w:p>
        </w:tc>
        <w:tc>
          <w:tcPr>
            <w:tcW w:w="1224" w:type="dxa"/>
            <w:shd w:val="clear" w:color="auto" w:fill="auto"/>
            <w:vAlign w:val="center"/>
            <w:hideMark/>
          </w:tcPr>
          <w:p w14:paraId="7A0E893B" w14:textId="77777777" w:rsidR="000612F2" w:rsidRPr="00230DBE" w:rsidRDefault="000612F2" w:rsidP="000612F2">
            <w:pPr>
              <w:jc w:val="center"/>
              <w:rPr>
                <w:lang w:eastAsia="en-US"/>
              </w:rPr>
            </w:pPr>
          </w:p>
        </w:tc>
      </w:tr>
      <w:tr w:rsidR="000612F2" w:rsidRPr="00860BD5" w14:paraId="447D6AB3" w14:textId="77777777" w:rsidTr="003B465F">
        <w:trPr>
          <w:tblCellSpacing w:w="20" w:type="dxa"/>
        </w:trPr>
        <w:tc>
          <w:tcPr>
            <w:tcW w:w="1492" w:type="dxa"/>
            <w:shd w:val="clear" w:color="auto" w:fill="auto"/>
            <w:hideMark/>
          </w:tcPr>
          <w:p w14:paraId="759301B8" w14:textId="77777777" w:rsidR="000612F2" w:rsidRPr="00860BD5" w:rsidRDefault="000612F2" w:rsidP="000612F2">
            <w:pPr>
              <w:rPr>
                <w:lang w:eastAsia="en-US"/>
              </w:rPr>
            </w:pPr>
            <w:r w:rsidRPr="00860BD5">
              <w:rPr>
                <w:lang w:eastAsia="en-US"/>
              </w:rPr>
              <w:t>3.3. pašvaldību budžets</w:t>
            </w:r>
          </w:p>
        </w:tc>
        <w:tc>
          <w:tcPr>
            <w:tcW w:w="1222" w:type="dxa"/>
            <w:shd w:val="clear" w:color="auto" w:fill="auto"/>
            <w:vAlign w:val="center"/>
            <w:hideMark/>
          </w:tcPr>
          <w:p w14:paraId="23B5F2F8" w14:textId="77777777" w:rsidR="000612F2" w:rsidRPr="00230DBE" w:rsidRDefault="000612F2" w:rsidP="000612F2">
            <w:pPr>
              <w:jc w:val="center"/>
              <w:rPr>
                <w:lang w:eastAsia="en-US"/>
              </w:rPr>
            </w:pPr>
          </w:p>
        </w:tc>
        <w:tc>
          <w:tcPr>
            <w:tcW w:w="1100" w:type="dxa"/>
            <w:shd w:val="clear" w:color="auto" w:fill="auto"/>
            <w:vAlign w:val="center"/>
            <w:hideMark/>
          </w:tcPr>
          <w:p w14:paraId="1636E924" w14:textId="77777777" w:rsidR="000612F2" w:rsidRPr="00230DBE" w:rsidRDefault="000612F2" w:rsidP="000612F2">
            <w:pPr>
              <w:jc w:val="center"/>
              <w:rPr>
                <w:lang w:eastAsia="en-US"/>
              </w:rPr>
            </w:pPr>
          </w:p>
        </w:tc>
        <w:tc>
          <w:tcPr>
            <w:tcW w:w="952" w:type="dxa"/>
            <w:shd w:val="clear" w:color="auto" w:fill="auto"/>
            <w:vAlign w:val="center"/>
            <w:hideMark/>
          </w:tcPr>
          <w:p w14:paraId="539AC3C6" w14:textId="77777777" w:rsidR="000612F2" w:rsidRPr="00230DBE" w:rsidRDefault="000612F2" w:rsidP="000612F2">
            <w:pPr>
              <w:jc w:val="center"/>
              <w:rPr>
                <w:lang w:eastAsia="en-US"/>
              </w:rPr>
            </w:pPr>
          </w:p>
        </w:tc>
        <w:tc>
          <w:tcPr>
            <w:tcW w:w="1075" w:type="dxa"/>
            <w:shd w:val="clear" w:color="auto" w:fill="auto"/>
            <w:vAlign w:val="center"/>
            <w:hideMark/>
          </w:tcPr>
          <w:p w14:paraId="73555785" w14:textId="77777777" w:rsidR="000612F2" w:rsidRPr="00230DBE" w:rsidRDefault="000612F2" w:rsidP="000612F2">
            <w:pPr>
              <w:jc w:val="center"/>
              <w:rPr>
                <w:lang w:eastAsia="en-US"/>
              </w:rPr>
            </w:pPr>
          </w:p>
        </w:tc>
        <w:tc>
          <w:tcPr>
            <w:tcW w:w="829" w:type="dxa"/>
            <w:shd w:val="clear" w:color="auto" w:fill="auto"/>
            <w:vAlign w:val="center"/>
            <w:hideMark/>
          </w:tcPr>
          <w:p w14:paraId="2C0B8C4B" w14:textId="77777777" w:rsidR="000612F2" w:rsidRPr="00230DBE" w:rsidRDefault="000612F2" w:rsidP="000612F2">
            <w:pPr>
              <w:jc w:val="center"/>
              <w:rPr>
                <w:lang w:eastAsia="en-US"/>
              </w:rPr>
            </w:pPr>
          </w:p>
        </w:tc>
        <w:tc>
          <w:tcPr>
            <w:tcW w:w="1094" w:type="dxa"/>
            <w:shd w:val="clear" w:color="auto" w:fill="auto"/>
            <w:vAlign w:val="center"/>
            <w:hideMark/>
          </w:tcPr>
          <w:p w14:paraId="5211E034" w14:textId="77777777" w:rsidR="000612F2" w:rsidRPr="00230DBE" w:rsidRDefault="000612F2" w:rsidP="000612F2">
            <w:pPr>
              <w:jc w:val="center"/>
              <w:rPr>
                <w:lang w:eastAsia="en-US"/>
              </w:rPr>
            </w:pPr>
          </w:p>
        </w:tc>
        <w:tc>
          <w:tcPr>
            <w:tcW w:w="1224" w:type="dxa"/>
            <w:shd w:val="clear" w:color="auto" w:fill="auto"/>
            <w:vAlign w:val="center"/>
            <w:hideMark/>
          </w:tcPr>
          <w:p w14:paraId="12D30542" w14:textId="77777777" w:rsidR="000612F2" w:rsidRPr="00230DBE" w:rsidRDefault="000612F2" w:rsidP="000612F2">
            <w:pPr>
              <w:jc w:val="center"/>
              <w:rPr>
                <w:lang w:eastAsia="en-US"/>
              </w:rPr>
            </w:pPr>
          </w:p>
        </w:tc>
      </w:tr>
      <w:tr w:rsidR="000612F2" w:rsidRPr="00860BD5" w14:paraId="711D2B93" w14:textId="77777777" w:rsidTr="003B465F">
        <w:trPr>
          <w:tblCellSpacing w:w="20" w:type="dxa"/>
        </w:trPr>
        <w:tc>
          <w:tcPr>
            <w:tcW w:w="1492" w:type="dxa"/>
            <w:shd w:val="clear" w:color="auto" w:fill="auto"/>
            <w:hideMark/>
          </w:tcPr>
          <w:p w14:paraId="1A7337EF" w14:textId="77777777" w:rsidR="000612F2" w:rsidRPr="00860BD5" w:rsidRDefault="000612F2" w:rsidP="000612F2">
            <w:pPr>
              <w:rPr>
                <w:lang w:eastAsia="en-US"/>
              </w:rPr>
            </w:pPr>
            <w:r w:rsidRPr="00860BD5">
              <w:rPr>
                <w:lang w:eastAsia="en-US"/>
              </w:rPr>
              <w:t>4. Finanšu līdzekļi papildu izdevumu finansēšanai (kompensējošu izdevumu samazinājumu norāda ar "+" zīmi)</w:t>
            </w:r>
          </w:p>
        </w:tc>
        <w:tc>
          <w:tcPr>
            <w:tcW w:w="1222" w:type="dxa"/>
            <w:shd w:val="clear" w:color="auto" w:fill="auto"/>
            <w:vAlign w:val="center"/>
            <w:hideMark/>
          </w:tcPr>
          <w:p w14:paraId="51359CAC" w14:textId="333253F6" w:rsidR="000612F2" w:rsidRPr="00230DBE" w:rsidRDefault="000612F2" w:rsidP="000612F2">
            <w:pPr>
              <w:jc w:val="center"/>
              <w:rPr>
                <w:lang w:eastAsia="en-US"/>
              </w:rPr>
            </w:pPr>
            <w:r w:rsidRPr="00230DBE">
              <w:rPr>
                <w:lang w:eastAsia="en-US"/>
              </w:rPr>
              <w:t>0</w:t>
            </w:r>
          </w:p>
        </w:tc>
        <w:tc>
          <w:tcPr>
            <w:tcW w:w="1100" w:type="dxa"/>
            <w:shd w:val="clear" w:color="auto" w:fill="auto"/>
            <w:vAlign w:val="center"/>
            <w:hideMark/>
          </w:tcPr>
          <w:p w14:paraId="10C84BF4" w14:textId="1A8BFAE5" w:rsidR="000612F2" w:rsidRPr="00230DBE" w:rsidRDefault="000612F2" w:rsidP="000612F2">
            <w:pPr>
              <w:jc w:val="center"/>
              <w:rPr>
                <w:lang w:eastAsia="en-US"/>
              </w:rPr>
            </w:pPr>
            <w:r w:rsidRPr="38DB4DD9">
              <w:rPr>
                <w:lang w:eastAsia="en-US"/>
              </w:rPr>
              <w:t xml:space="preserve"> +136</w:t>
            </w:r>
            <w:r>
              <w:t> </w:t>
            </w:r>
            <w:r w:rsidRPr="38DB4DD9">
              <w:rPr>
                <w:lang w:eastAsia="en-US"/>
              </w:rPr>
              <w:t>612</w:t>
            </w:r>
          </w:p>
        </w:tc>
        <w:tc>
          <w:tcPr>
            <w:tcW w:w="952" w:type="dxa"/>
            <w:shd w:val="clear" w:color="auto" w:fill="auto"/>
            <w:vAlign w:val="center"/>
            <w:hideMark/>
          </w:tcPr>
          <w:p w14:paraId="6F167E78" w14:textId="7037E6CC" w:rsidR="000612F2" w:rsidRPr="00230DBE" w:rsidRDefault="000612F2" w:rsidP="000612F2">
            <w:pPr>
              <w:jc w:val="center"/>
              <w:rPr>
                <w:lang w:eastAsia="en-US"/>
              </w:rPr>
            </w:pPr>
            <w:r w:rsidRPr="00230DBE">
              <w:rPr>
                <w:lang w:eastAsia="en-US"/>
              </w:rPr>
              <w:t>0</w:t>
            </w:r>
          </w:p>
        </w:tc>
        <w:tc>
          <w:tcPr>
            <w:tcW w:w="1075" w:type="dxa"/>
            <w:shd w:val="clear" w:color="auto" w:fill="auto"/>
            <w:vAlign w:val="center"/>
            <w:hideMark/>
          </w:tcPr>
          <w:p w14:paraId="4CFEAF97" w14:textId="7A8F4B3D" w:rsidR="000612F2" w:rsidRPr="00230DBE" w:rsidRDefault="000612F2" w:rsidP="000612F2">
            <w:pPr>
              <w:jc w:val="center"/>
              <w:rPr>
                <w:lang w:eastAsia="en-US"/>
              </w:rPr>
            </w:pPr>
            <w:r w:rsidRPr="1064577B">
              <w:rPr>
                <w:lang w:eastAsia="en-US"/>
              </w:rPr>
              <w:t xml:space="preserve"> +136</w:t>
            </w:r>
            <w:r>
              <w:t> </w:t>
            </w:r>
            <w:r w:rsidRPr="1064577B">
              <w:rPr>
                <w:lang w:eastAsia="en-US"/>
              </w:rPr>
              <w:t>612</w:t>
            </w:r>
          </w:p>
        </w:tc>
        <w:tc>
          <w:tcPr>
            <w:tcW w:w="829" w:type="dxa"/>
            <w:shd w:val="clear" w:color="auto" w:fill="auto"/>
            <w:vAlign w:val="center"/>
            <w:hideMark/>
          </w:tcPr>
          <w:p w14:paraId="61A30035" w14:textId="6EA45FE3" w:rsidR="000612F2" w:rsidRPr="00230DBE" w:rsidRDefault="000612F2" w:rsidP="000612F2">
            <w:pPr>
              <w:jc w:val="center"/>
              <w:rPr>
                <w:lang w:eastAsia="en-US"/>
              </w:rPr>
            </w:pPr>
            <w:r w:rsidRPr="00230DBE">
              <w:rPr>
                <w:lang w:eastAsia="en-US"/>
              </w:rPr>
              <w:t>0</w:t>
            </w:r>
          </w:p>
        </w:tc>
        <w:tc>
          <w:tcPr>
            <w:tcW w:w="1094" w:type="dxa"/>
            <w:shd w:val="clear" w:color="auto" w:fill="auto"/>
            <w:vAlign w:val="center"/>
            <w:hideMark/>
          </w:tcPr>
          <w:p w14:paraId="454BCE9D" w14:textId="66466875" w:rsidR="000612F2" w:rsidRPr="00230DBE" w:rsidRDefault="000612F2" w:rsidP="000612F2">
            <w:pPr>
              <w:jc w:val="center"/>
              <w:rPr>
                <w:lang w:eastAsia="en-US"/>
              </w:rPr>
            </w:pPr>
            <w:r w:rsidRPr="1064577B">
              <w:rPr>
                <w:lang w:eastAsia="en-US"/>
              </w:rPr>
              <w:t xml:space="preserve"> +136</w:t>
            </w:r>
            <w:r>
              <w:t> </w:t>
            </w:r>
            <w:r w:rsidRPr="1064577B">
              <w:rPr>
                <w:lang w:eastAsia="en-US"/>
              </w:rPr>
              <w:t>612</w:t>
            </w:r>
          </w:p>
        </w:tc>
        <w:tc>
          <w:tcPr>
            <w:tcW w:w="1224" w:type="dxa"/>
            <w:shd w:val="clear" w:color="auto" w:fill="auto"/>
            <w:vAlign w:val="center"/>
            <w:hideMark/>
          </w:tcPr>
          <w:p w14:paraId="08424351" w14:textId="36222FBD" w:rsidR="000612F2" w:rsidRPr="00230DBE" w:rsidRDefault="000612F2" w:rsidP="000612F2">
            <w:pPr>
              <w:jc w:val="center"/>
              <w:rPr>
                <w:lang w:eastAsia="en-US"/>
              </w:rPr>
            </w:pPr>
            <w:r w:rsidRPr="1064577B">
              <w:rPr>
                <w:lang w:eastAsia="en-US"/>
              </w:rPr>
              <w:t xml:space="preserve"> +136</w:t>
            </w:r>
            <w:r>
              <w:t> </w:t>
            </w:r>
            <w:r w:rsidRPr="1064577B">
              <w:rPr>
                <w:lang w:eastAsia="en-US"/>
              </w:rPr>
              <w:t>612</w:t>
            </w:r>
          </w:p>
        </w:tc>
      </w:tr>
      <w:tr w:rsidR="000612F2" w:rsidRPr="00860BD5" w14:paraId="05439066" w14:textId="77777777" w:rsidTr="003B465F">
        <w:trPr>
          <w:tblCellSpacing w:w="20" w:type="dxa"/>
        </w:trPr>
        <w:tc>
          <w:tcPr>
            <w:tcW w:w="1492" w:type="dxa"/>
            <w:shd w:val="clear" w:color="auto" w:fill="auto"/>
            <w:hideMark/>
          </w:tcPr>
          <w:p w14:paraId="071DAC9A" w14:textId="77777777" w:rsidR="000612F2" w:rsidRPr="00860BD5" w:rsidRDefault="000612F2" w:rsidP="000612F2">
            <w:pPr>
              <w:rPr>
                <w:lang w:eastAsia="en-US"/>
              </w:rPr>
            </w:pPr>
            <w:r w:rsidRPr="00860BD5">
              <w:rPr>
                <w:lang w:eastAsia="en-US"/>
              </w:rPr>
              <w:t>5. Precizēta finansiālā ietekme</w:t>
            </w:r>
          </w:p>
        </w:tc>
        <w:tc>
          <w:tcPr>
            <w:tcW w:w="1222" w:type="dxa"/>
            <w:vMerge w:val="restart"/>
            <w:shd w:val="clear" w:color="auto" w:fill="auto"/>
            <w:vAlign w:val="center"/>
            <w:hideMark/>
          </w:tcPr>
          <w:p w14:paraId="18734FB6" w14:textId="77777777" w:rsidR="000612F2" w:rsidRPr="00FC7B40" w:rsidRDefault="000612F2" w:rsidP="000612F2">
            <w:pPr>
              <w:jc w:val="center"/>
              <w:rPr>
                <w:color w:val="C00000"/>
                <w:lang w:eastAsia="en-US"/>
              </w:rPr>
            </w:pPr>
          </w:p>
        </w:tc>
        <w:tc>
          <w:tcPr>
            <w:tcW w:w="1100" w:type="dxa"/>
            <w:shd w:val="clear" w:color="auto" w:fill="auto"/>
            <w:vAlign w:val="center"/>
            <w:hideMark/>
          </w:tcPr>
          <w:p w14:paraId="1AC5C2B3" w14:textId="77777777" w:rsidR="000612F2" w:rsidRPr="00FC7B40" w:rsidRDefault="000612F2" w:rsidP="000612F2">
            <w:pPr>
              <w:jc w:val="center"/>
              <w:rPr>
                <w:color w:val="C00000"/>
                <w:lang w:eastAsia="en-US"/>
              </w:rPr>
            </w:pPr>
          </w:p>
        </w:tc>
        <w:tc>
          <w:tcPr>
            <w:tcW w:w="952" w:type="dxa"/>
            <w:vMerge w:val="restart"/>
            <w:shd w:val="clear" w:color="auto" w:fill="auto"/>
            <w:vAlign w:val="center"/>
            <w:hideMark/>
          </w:tcPr>
          <w:p w14:paraId="2FCB0EBE" w14:textId="77777777" w:rsidR="000612F2" w:rsidRPr="00FC7B40" w:rsidRDefault="000612F2" w:rsidP="000612F2">
            <w:pPr>
              <w:jc w:val="center"/>
              <w:rPr>
                <w:color w:val="C00000"/>
                <w:lang w:eastAsia="en-US"/>
              </w:rPr>
            </w:pPr>
          </w:p>
        </w:tc>
        <w:tc>
          <w:tcPr>
            <w:tcW w:w="1075" w:type="dxa"/>
            <w:shd w:val="clear" w:color="auto" w:fill="auto"/>
            <w:vAlign w:val="center"/>
            <w:hideMark/>
          </w:tcPr>
          <w:p w14:paraId="1C014DF7" w14:textId="77777777" w:rsidR="000612F2" w:rsidRPr="00FC7B40" w:rsidRDefault="000612F2" w:rsidP="000612F2">
            <w:pPr>
              <w:jc w:val="center"/>
              <w:rPr>
                <w:color w:val="C00000"/>
                <w:lang w:eastAsia="en-US"/>
              </w:rPr>
            </w:pPr>
          </w:p>
        </w:tc>
        <w:tc>
          <w:tcPr>
            <w:tcW w:w="829" w:type="dxa"/>
            <w:vMerge w:val="restart"/>
            <w:shd w:val="clear" w:color="auto" w:fill="auto"/>
            <w:vAlign w:val="center"/>
            <w:hideMark/>
          </w:tcPr>
          <w:p w14:paraId="7918C662" w14:textId="77777777" w:rsidR="000612F2" w:rsidRPr="00FC7B40" w:rsidRDefault="000612F2" w:rsidP="000612F2">
            <w:pPr>
              <w:jc w:val="center"/>
              <w:rPr>
                <w:color w:val="C00000"/>
                <w:lang w:eastAsia="en-US"/>
              </w:rPr>
            </w:pPr>
          </w:p>
        </w:tc>
        <w:tc>
          <w:tcPr>
            <w:tcW w:w="1094" w:type="dxa"/>
            <w:shd w:val="clear" w:color="auto" w:fill="auto"/>
            <w:vAlign w:val="center"/>
            <w:hideMark/>
          </w:tcPr>
          <w:p w14:paraId="467F8CA5" w14:textId="77777777" w:rsidR="000612F2" w:rsidRPr="00FC7B40" w:rsidRDefault="000612F2" w:rsidP="000612F2">
            <w:pPr>
              <w:jc w:val="center"/>
              <w:rPr>
                <w:color w:val="C00000"/>
                <w:lang w:eastAsia="en-US"/>
              </w:rPr>
            </w:pPr>
          </w:p>
        </w:tc>
        <w:tc>
          <w:tcPr>
            <w:tcW w:w="1224" w:type="dxa"/>
            <w:shd w:val="clear" w:color="auto" w:fill="auto"/>
            <w:vAlign w:val="center"/>
            <w:hideMark/>
          </w:tcPr>
          <w:p w14:paraId="26437746" w14:textId="77777777" w:rsidR="000612F2" w:rsidRPr="00FC7B40" w:rsidRDefault="000612F2" w:rsidP="000612F2">
            <w:pPr>
              <w:jc w:val="center"/>
              <w:rPr>
                <w:color w:val="C00000"/>
                <w:lang w:eastAsia="en-US"/>
              </w:rPr>
            </w:pPr>
          </w:p>
        </w:tc>
      </w:tr>
      <w:tr w:rsidR="000612F2" w:rsidRPr="00860BD5" w14:paraId="3835C0A2" w14:textId="77777777" w:rsidTr="003B465F">
        <w:trPr>
          <w:tblCellSpacing w:w="20" w:type="dxa"/>
        </w:trPr>
        <w:tc>
          <w:tcPr>
            <w:tcW w:w="1492" w:type="dxa"/>
            <w:shd w:val="clear" w:color="auto" w:fill="auto"/>
            <w:hideMark/>
          </w:tcPr>
          <w:p w14:paraId="0C0755FA" w14:textId="77777777" w:rsidR="000612F2" w:rsidRPr="00860BD5" w:rsidRDefault="000612F2" w:rsidP="000612F2">
            <w:pPr>
              <w:rPr>
                <w:lang w:eastAsia="en-US"/>
              </w:rPr>
            </w:pPr>
            <w:r w:rsidRPr="00860BD5">
              <w:rPr>
                <w:lang w:eastAsia="en-US"/>
              </w:rPr>
              <w:t>5.1. valsts pamatbudžets</w:t>
            </w:r>
          </w:p>
        </w:tc>
        <w:tc>
          <w:tcPr>
            <w:tcW w:w="1222" w:type="dxa"/>
            <w:vMerge/>
            <w:vAlign w:val="center"/>
            <w:hideMark/>
          </w:tcPr>
          <w:p w14:paraId="1079FEC9" w14:textId="77777777" w:rsidR="000612F2" w:rsidRPr="00FC7B40" w:rsidRDefault="000612F2" w:rsidP="000612F2">
            <w:pPr>
              <w:jc w:val="center"/>
              <w:rPr>
                <w:color w:val="C00000"/>
                <w:lang w:eastAsia="en-US"/>
              </w:rPr>
            </w:pPr>
          </w:p>
        </w:tc>
        <w:tc>
          <w:tcPr>
            <w:tcW w:w="1100" w:type="dxa"/>
            <w:shd w:val="clear" w:color="auto" w:fill="auto"/>
            <w:vAlign w:val="center"/>
            <w:hideMark/>
          </w:tcPr>
          <w:p w14:paraId="333029E1" w14:textId="77777777" w:rsidR="000612F2" w:rsidRPr="00FC7B40" w:rsidRDefault="000612F2" w:rsidP="000612F2">
            <w:pPr>
              <w:jc w:val="center"/>
              <w:rPr>
                <w:color w:val="C00000"/>
                <w:lang w:eastAsia="en-US"/>
              </w:rPr>
            </w:pPr>
          </w:p>
        </w:tc>
        <w:tc>
          <w:tcPr>
            <w:tcW w:w="952" w:type="dxa"/>
            <w:vMerge/>
            <w:vAlign w:val="center"/>
            <w:hideMark/>
          </w:tcPr>
          <w:p w14:paraId="59C373CE" w14:textId="77777777" w:rsidR="000612F2" w:rsidRPr="00FC7B40" w:rsidRDefault="000612F2" w:rsidP="000612F2">
            <w:pPr>
              <w:jc w:val="center"/>
              <w:rPr>
                <w:color w:val="C00000"/>
                <w:lang w:eastAsia="en-US"/>
              </w:rPr>
            </w:pPr>
          </w:p>
        </w:tc>
        <w:tc>
          <w:tcPr>
            <w:tcW w:w="1075" w:type="dxa"/>
            <w:shd w:val="clear" w:color="auto" w:fill="auto"/>
            <w:vAlign w:val="center"/>
            <w:hideMark/>
          </w:tcPr>
          <w:p w14:paraId="3A3E8239" w14:textId="77777777" w:rsidR="000612F2" w:rsidRPr="00FC7B40" w:rsidRDefault="000612F2" w:rsidP="000612F2">
            <w:pPr>
              <w:jc w:val="center"/>
              <w:rPr>
                <w:color w:val="C00000"/>
                <w:lang w:eastAsia="en-US"/>
              </w:rPr>
            </w:pPr>
          </w:p>
        </w:tc>
        <w:tc>
          <w:tcPr>
            <w:tcW w:w="829" w:type="dxa"/>
            <w:vMerge/>
            <w:vAlign w:val="center"/>
            <w:hideMark/>
          </w:tcPr>
          <w:p w14:paraId="0B169D20" w14:textId="77777777" w:rsidR="000612F2" w:rsidRPr="00FC7B40" w:rsidRDefault="000612F2" w:rsidP="000612F2">
            <w:pPr>
              <w:jc w:val="center"/>
              <w:rPr>
                <w:color w:val="C00000"/>
                <w:lang w:eastAsia="en-US"/>
              </w:rPr>
            </w:pPr>
          </w:p>
        </w:tc>
        <w:tc>
          <w:tcPr>
            <w:tcW w:w="1094" w:type="dxa"/>
            <w:shd w:val="clear" w:color="auto" w:fill="auto"/>
            <w:vAlign w:val="center"/>
            <w:hideMark/>
          </w:tcPr>
          <w:p w14:paraId="7D9694FC" w14:textId="77777777" w:rsidR="000612F2" w:rsidRPr="00FC7B40" w:rsidRDefault="000612F2" w:rsidP="000612F2">
            <w:pPr>
              <w:jc w:val="center"/>
              <w:rPr>
                <w:color w:val="C00000"/>
                <w:lang w:eastAsia="en-US"/>
              </w:rPr>
            </w:pPr>
          </w:p>
        </w:tc>
        <w:tc>
          <w:tcPr>
            <w:tcW w:w="1224" w:type="dxa"/>
            <w:shd w:val="clear" w:color="auto" w:fill="auto"/>
            <w:vAlign w:val="center"/>
            <w:hideMark/>
          </w:tcPr>
          <w:p w14:paraId="14DE88E0" w14:textId="77777777" w:rsidR="000612F2" w:rsidRPr="00FC7B40" w:rsidRDefault="000612F2" w:rsidP="000612F2">
            <w:pPr>
              <w:jc w:val="center"/>
              <w:rPr>
                <w:color w:val="C00000"/>
                <w:lang w:eastAsia="en-US"/>
              </w:rPr>
            </w:pPr>
          </w:p>
        </w:tc>
      </w:tr>
      <w:tr w:rsidR="000612F2" w:rsidRPr="00860BD5" w14:paraId="0B0CBA07" w14:textId="77777777" w:rsidTr="003B465F">
        <w:trPr>
          <w:tblCellSpacing w:w="20" w:type="dxa"/>
        </w:trPr>
        <w:tc>
          <w:tcPr>
            <w:tcW w:w="1492" w:type="dxa"/>
            <w:shd w:val="clear" w:color="auto" w:fill="auto"/>
            <w:hideMark/>
          </w:tcPr>
          <w:p w14:paraId="012BD6BB" w14:textId="77777777" w:rsidR="000612F2" w:rsidRPr="00860BD5" w:rsidRDefault="000612F2" w:rsidP="000612F2">
            <w:pPr>
              <w:rPr>
                <w:lang w:eastAsia="en-US"/>
              </w:rPr>
            </w:pPr>
            <w:r w:rsidRPr="00860BD5">
              <w:rPr>
                <w:lang w:eastAsia="en-US"/>
              </w:rPr>
              <w:t>5.2. speciālais budžets</w:t>
            </w:r>
          </w:p>
        </w:tc>
        <w:tc>
          <w:tcPr>
            <w:tcW w:w="1222" w:type="dxa"/>
            <w:vMerge/>
            <w:vAlign w:val="center"/>
            <w:hideMark/>
          </w:tcPr>
          <w:p w14:paraId="09D9692D" w14:textId="77777777" w:rsidR="000612F2" w:rsidRPr="00FC7B40" w:rsidRDefault="000612F2" w:rsidP="000612F2">
            <w:pPr>
              <w:jc w:val="center"/>
              <w:rPr>
                <w:color w:val="C00000"/>
                <w:lang w:eastAsia="en-US"/>
              </w:rPr>
            </w:pPr>
          </w:p>
        </w:tc>
        <w:tc>
          <w:tcPr>
            <w:tcW w:w="1100" w:type="dxa"/>
            <w:shd w:val="clear" w:color="auto" w:fill="auto"/>
            <w:vAlign w:val="center"/>
            <w:hideMark/>
          </w:tcPr>
          <w:p w14:paraId="74A4A163" w14:textId="77777777" w:rsidR="000612F2" w:rsidRPr="00FC7B40" w:rsidRDefault="000612F2" w:rsidP="000612F2">
            <w:pPr>
              <w:jc w:val="center"/>
              <w:rPr>
                <w:color w:val="C00000"/>
                <w:lang w:eastAsia="en-US"/>
              </w:rPr>
            </w:pPr>
          </w:p>
        </w:tc>
        <w:tc>
          <w:tcPr>
            <w:tcW w:w="952" w:type="dxa"/>
            <w:vMerge/>
            <w:vAlign w:val="center"/>
            <w:hideMark/>
          </w:tcPr>
          <w:p w14:paraId="6AD04797" w14:textId="77777777" w:rsidR="000612F2" w:rsidRPr="00FC7B40" w:rsidRDefault="000612F2" w:rsidP="000612F2">
            <w:pPr>
              <w:jc w:val="center"/>
              <w:rPr>
                <w:color w:val="C00000"/>
                <w:lang w:eastAsia="en-US"/>
              </w:rPr>
            </w:pPr>
          </w:p>
        </w:tc>
        <w:tc>
          <w:tcPr>
            <w:tcW w:w="1075" w:type="dxa"/>
            <w:shd w:val="clear" w:color="auto" w:fill="auto"/>
            <w:vAlign w:val="center"/>
            <w:hideMark/>
          </w:tcPr>
          <w:p w14:paraId="53574E63" w14:textId="77777777" w:rsidR="000612F2" w:rsidRPr="00FC7B40" w:rsidRDefault="000612F2" w:rsidP="000612F2">
            <w:pPr>
              <w:jc w:val="center"/>
              <w:rPr>
                <w:color w:val="C00000"/>
                <w:lang w:eastAsia="en-US"/>
              </w:rPr>
            </w:pPr>
          </w:p>
        </w:tc>
        <w:tc>
          <w:tcPr>
            <w:tcW w:w="829" w:type="dxa"/>
            <w:vMerge/>
            <w:vAlign w:val="center"/>
            <w:hideMark/>
          </w:tcPr>
          <w:p w14:paraId="57670068" w14:textId="77777777" w:rsidR="000612F2" w:rsidRPr="00FC7B40" w:rsidRDefault="000612F2" w:rsidP="000612F2">
            <w:pPr>
              <w:jc w:val="center"/>
              <w:rPr>
                <w:color w:val="C00000"/>
                <w:lang w:eastAsia="en-US"/>
              </w:rPr>
            </w:pPr>
          </w:p>
        </w:tc>
        <w:tc>
          <w:tcPr>
            <w:tcW w:w="1094" w:type="dxa"/>
            <w:shd w:val="clear" w:color="auto" w:fill="auto"/>
            <w:vAlign w:val="center"/>
            <w:hideMark/>
          </w:tcPr>
          <w:p w14:paraId="25878AD2" w14:textId="77777777" w:rsidR="000612F2" w:rsidRPr="00FC7B40" w:rsidRDefault="000612F2" w:rsidP="000612F2">
            <w:pPr>
              <w:jc w:val="center"/>
              <w:rPr>
                <w:color w:val="C00000"/>
                <w:lang w:eastAsia="en-US"/>
              </w:rPr>
            </w:pPr>
          </w:p>
        </w:tc>
        <w:tc>
          <w:tcPr>
            <w:tcW w:w="1224" w:type="dxa"/>
            <w:shd w:val="clear" w:color="auto" w:fill="auto"/>
            <w:vAlign w:val="center"/>
            <w:hideMark/>
          </w:tcPr>
          <w:p w14:paraId="5BE5697D" w14:textId="77777777" w:rsidR="000612F2" w:rsidRPr="00FC7B40" w:rsidRDefault="000612F2" w:rsidP="000612F2">
            <w:pPr>
              <w:jc w:val="center"/>
              <w:rPr>
                <w:color w:val="C00000"/>
                <w:lang w:eastAsia="en-US"/>
              </w:rPr>
            </w:pPr>
          </w:p>
        </w:tc>
      </w:tr>
      <w:tr w:rsidR="000612F2" w:rsidRPr="00860BD5" w14:paraId="5CE7C7ED" w14:textId="77777777" w:rsidTr="003B465F">
        <w:trPr>
          <w:tblCellSpacing w:w="20" w:type="dxa"/>
        </w:trPr>
        <w:tc>
          <w:tcPr>
            <w:tcW w:w="1492" w:type="dxa"/>
            <w:shd w:val="clear" w:color="auto" w:fill="auto"/>
            <w:hideMark/>
          </w:tcPr>
          <w:p w14:paraId="02495B50" w14:textId="77777777" w:rsidR="000612F2" w:rsidRPr="00860BD5" w:rsidRDefault="000612F2" w:rsidP="000612F2">
            <w:pPr>
              <w:rPr>
                <w:lang w:eastAsia="en-US"/>
              </w:rPr>
            </w:pPr>
            <w:r w:rsidRPr="00860BD5">
              <w:rPr>
                <w:lang w:eastAsia="en-US"/>
              </w:rPr>
              <w:t>5.3. pašvaldību budžets</w:t>
            </w:r>
          </w:p>
        </w:tc>
        <w:tc>
          <w:tcPr>
            <w:tcW w:w="1222" w:type="dxa"/>
            <w:vMerge/>
            <w:vAlign w:val="center"/>
            <w:hideMark/>
          </w:tcPr>
          <w:p w14:paraId="5340CB73" w14:textId="77777777" w:rsidR="000612F2" w:rsidRPr="00FC7B40" w:rsidRDefault="000612F2" w:rsidP="000612F2">
            <w:pPr>
              <w:jc w:val="center"/>
              <w:rPr>
                <w:color w:val="C00000"/>
                <w:lang w:eastAsia="en-US"/>
              </w:rPr>
            </w:pPr>
          </w:p>
        </w:tc>
        <w:tc>
          <w:tcPr>
            <w:tcW w:w="1100" w:type="dxa"/>
            <w:shd w:val="clear" w:color="auto" w:fill="auto"/>
            <w:vAlign w:val="center"/>
            <w:hideMark/>
          </w:tcPr>
          <w:p w14:paraId="77C9EE3E" w14:textId="77777777" w:rsidR="000612F2" w:rsidRPr="00FC7B40" w:rsidRDefault="000612F2" w:rsidP="000612F2">
            <w:pPr>
              <w:jc w:val="center"/>
              <w:rPr>
                <w:color w:val="C00000"/>
                <w:lang w:eastAsia="en-US"/>
              </w:rPr>
            </w:pPr>
          </w:p>
        </w:tc>
        <w:tc>
          <w:tcPr>
            <w:tcW w:w="952" w:type="dxa"/>
            <w:vMerge/>
            <w:vAlign w:val="center"/>
            <w:hideMark/>
          </w:tcPr>
          <w:p w14:paraId="18C5ADD9" w14:textId="77777777" w:rsidR="000612F2" w:rsidRPr="00FC7B40" w:rsidRDefault="000612F2" w:rsidP="000612F2">
            <w:pPr>
              <w:jc w:val="center"/>
              <w:rPr>
                <w:color w:val="C00000"/>
                <w:lang w:eastAsia="en-US"/>
              </w:rPr>
            </w:pPr>
          </w:p>
        </w:tc>
        <w:tc>
          <w:tcPr>
            <w:tcW w:w="1075" w:type="dxa"/>
            <w:shd w:val="clear" w:color="auto" w:fill="auto"/>
            <w:vAlign w:val="center"/>
            <w:hideMark/>
          </w:tcPr>
          <w:p w14:paraId="72AB11E8" w14:textId="77777777" w:rsidR="000612F2" w:rsidRPr="00FC7B40" w:rsidRDefault="000612F2" w:rsidP="000612F2">
            <w:pPr>
              <w:jc w:val="center"/>
              <w:rPr>
                <w:color w:val="C00000"/>
                <w:lang w:eastAsia="en-US"/>
              </w:rPr>
            </w:pPr>
          </w:p>
        </w:tc>
        <w:tc>
          <w:tcPr>
            <w:tcW w:w="829" w:type="dxa"/>
            <w:vMerge/>
            <w:vAlign w:val="center"/>
            <w:hideMark/>
          </w:tcPr>
          <w:p w14:paraId="27DAD457" w14:textId="77777777" w:rsidR="000612F2" w:rsidRPr="00FC7B40" w:rsidRDefault="000612F2" w:rsidP="000612F2">
            <w:pPr>
              <w:jc w:val="center"/>
              <w:rPr>
                <w:color w:val="C00000"/>
                <w:lang w:eastAsia="en-US"/>
              </w:rPr>
            </w:pPr>
          </w:p>
        </w:tc>
        <w:tc>
          <w:tcPr>
            <w:tcW w:w="1094" w:type="dxa"/>
            <w:shd w:val="clear" w:color="auto" w:fill="auto"/>
            <w:vAlign w:val="center"/>
            <w:hideMark/>
          </w:tcPr>
          <w:p w14:paraId="1110C62E" w14:textId="77777777" w:rsidR="000612F2" w:rsidRPr="00FC7B40" w:rsidRDefault="000612F2" w:rsidP="000612F2">
            <w:pPr>
              <w:jc w:val="center"/>
              <w:rPr>
                <w:color w:val="C00000"/>
                <w:lang w:eastAsia="en-US"/>
              </w:rPr>
            </w:pPr>
          </w:p>
        </w:tc>
        <w:tc>
          <w:tcPr>
            <w:tcW w:w="1224" w:type="dxa"/>
            <w:shd w:val="clear" w:color="auto" w:fill="auto"/>
            <w:vAlign w:val="center"/>
            <w:hideMark/>
          </w:tcPr>
          <w:p w14:paraId="4B8F8B82" w14:textId="77777777" w:rsidR="000612F2" w:rsidRPr="00FC7B40" w:rsidRDefault="000612F2" w:rsidP="000612F2">
            <w:pPr>
              <w:jc w:val="center"/>
              <w:rPr>
                <w:color w:val="C00000"/>
                <w:lang w:eastAsia="en-US"/>
              </w:rPr>
            </w:pPr>
          </w:p>
        </w:tc>
      </w:tr>
      <w:tr w:rsidR="000612F2" w:rsidRPr="00860BD5" w14:paraId="004113A2" w14:textId="77777777" w:rsidTr="003B465F">
        <w:trPr>
          <w:tblCellSpacing w:w="20" w:type="dxa"/>
        </w:trPr>
        <w:tc>
          <w:tcPr>
            <w:tcW w:w="1492" w:type="dxa"/>
            <w:shd w:val="clear" w:color="auto" w:fill="auto"/>
            <w:hideMark/>
          </w:tcPr>
          <w:p w14:paraId="42EDB6CC" w14:textId="0D5ECAF4" w:rsidR="000612F2" w:rsidRPr="00860BD5" w:rsidRDefault="000612F2" w:rsidP="000612F2">
            <w:pPr>
              <w:rPr>
                <w:lang w:eastAsia="en-US"/>
              </w:rPr>
            </w:pPr>
            <w:r w:rsidRPr="00860BD5">
              <w:rPr>
                <w:lang w:eastAsia="en-US"/>
              </w:rPr>
              <w:t xml:space="preserve">6. Detalizēts ieņēmumu un izdevumu aprēķins (ja nepieciešams, detalizētu ieņēmumu un izdevumu aprēķinu var </w:t>
            </w:r>
            <w:r w:rsidRPr="00860BD5">
              <w:rPr>
                <w:lang w:eastAsia="en-US"/>
              </w:rPr>
              <w:lastRenderedPageBreak/>
              <w:t>pievienot anotācijas pielikumā)</w:t>
            </w:r>
          </w:p>
        </w:tc>
        <w:tc>
          <w:tcPr>
            <w:tcW w:w="7736" w:type="dxa"/>
            <w:gridSpan w:val="7"/>
            <w:vMerge w:val="restart"/>
            <w:shd w:val="clear" w:color="auto" w:fill="auto"/>
            <w:vAlign w:val="center"/>
            <w:hideMark/>
          </w:tcPr>
          <w:p w14:paraId="61F3709F" w14:textId="7286C804" w:rsidR="000612F2" w:rsidRDefault="000612F2" w:rsidP="000612F2">
            <w:pPr>
              <w:jc w:val="both"/>
            </w:pPr>
          </w:p>
          <w:p w14:paraId="5824C5A0" w14:textId="324E875B" w:rsidR="000612F2" w:rsidRPr="008F59DE" w:rsidRDefault="000612F2" w:rsidP="000612F2">
            <w:pPr>
              <w:jc w:val="both"/>
            </w:pPr>
            <w:r w:rsidRPr="11645F5C">
              <w:t xml:space="preserve">Mainot Projekta tvērumu, Projekts tiks realizēts par 1 544 765 </w:t>
            </w:r>
            <w:proofErr w:type="spellStart"/>
            <w:r w:rsidRPr="11645F5C">
              <w:rPr>
                <w:i/>
                <w:iCs/>
              </w:rPr>
              <w:t>euro</w:t>
            </w:r>
            <w:proofErr w:type="spellEnd"/>
            <w:r w:rsidRPr="11645F5C">
              <w:t xml:space="preserve"> (ERAF finansējums –1 313 050 </w:t>
            </w:r>
            <w:proofErr w:type="spellStart"/>
            <w:r w:rsidRPr="11645F5C">
              <w:rPr>
                <w:i/>
                <w:iCs/>
              </w:rPr>
              <w:t>euro</w:t>
            </w:r>
            <w:proofErr w:type="spellEnd"/>
            <w:r w:rsidRPr="11645F5C">
              <w:t xml:space="preserve"> apmērā un valsts budžeta finansējums –231 715 </w:t>
            </w:r>
            <w:proofErr w:type="spellStart"/>
            <w:r w:rsidRPr="11645F5C">
              <w:rPr>
                <w:i/>
                <w:iCs/>
              </w:rPr>
              <w:t>euro</w:t>
            </w:r>
            <w:proofErr w:type="spellEnd"/>
            <w:r w:rsidRPr="11645F5C">
              <w:t xml:space="preserve"> apmērā). Tādējādi Projekta kopējās izmaksas tiek samazinātas no sākotnēji plānotajām izmaksām par 1 955 235 </w:t>
            </w:r>
            <w:proofErr w:type="spellStart"/>
            <w:r w:rsidRPr="11645F5C">
              <w:rPr>
                <w:i/>
                <w:iCs/>
              </w:rPr>
              <w:t>euro</w:t>
            </w:r>
            <w:proofErr w:type="spellEnd"/>
            <w:r w:rsidRPr="11645F5C">
              <w:rPr>
                <w:i/>
                <w:iCs/>
              </w:rPr>
              <w:t xml:space="preserve"> </w:t>
            </w:r>
            <w:r w:rsidRPr="11645F5C">
              <w:t xml:space="preserve">(ERAF finansējums – 1 661 </w:t>
            </w:r>
            <w:r w:rsidRPr="008F59DE">
              <w:t xml:space="preserve">950 </w:t>
            </w:r>
            <w:proofErr w:type="spellStart"/>
            <w:r w:rsidRPr="008F59DE">
              <w:rPr>
                <w:i/>
                <w:iCs/>
              </w:rPr>
              <w:t>euro</w:t>
            </w:r>
            <w:proofErr w:type="spellEnd"/>
            <w:r w:rsidRPr="002E38E1">
              <w:t xml:space="preserve"> apmērā un valsts budžeta finansējums – 293 285 </w:t>
            </w:r>
            <w:proofErr w:type="spellStart"/>
            <w:r w:rsidRPr="008F59DE">
              <w:rPr>
                <w:i/>
              </w:rPr>
              <w:t>euro</w:t>
            </w:r>
            <w:proofErr w:type="spellEnd"/>
            <w:r w:rsidRPr="008F59DE">
              <w:t xml:space="preserve"> apmērā).</w:t>
            </w:r>
          </w:p>
          <w:p w14:paraId="2042F13D" w14:textId="3758AC7C" w:rsidR="000612F2" w:rsidRDefault="000612F2" w:rsidP="000612F2">
            <w:pPr>
              <w:jc w:val="both"/>
            </w:pPr>
            <w:r w:rsidRPr="008F59DE">
              <w:t xml:space="preserve">Projektā ieviesto informācijas sistēmu uzturēšanas izmaksas </w:t>
            </w:r>
            <w:r w:rsidRPr="007556FA">
              <w:t xml:space="preserve">2021.gadā un turpmāk ik gadu plānotas 143 696 </w:t>
            </w:r>
            <w:proofErr w:type="spellStart"/>
            <w:r w:rsidRPr="007556FA">
              <w:rPr>
                <w:i/>
                <w:iCs/>
              </w:rPr>
              <w:t>euro</w:t>
            </w:r>
            <w:proofErr w:type="spellEnd"/>
            <w:r w:rsidRPr="007556FA">
              <w:t xml:space="preserve"> apmērā, ko veido papildu </w:t>
            </w:r>
            <w:r w:rsidR="00926CD1" w:rsidRPr="007556FA">
              <w:t>valsts budžet</w:t>
            </w:r>
            <w:r w:rsidR="00A0341F" w:rsidRPr="007556FA">
              <w:t>a</w:t>
            </w:r>
            <w:r w:rsidR="00926CD1" w:rsidRPr="007556FA">
              <w:t xml:space="preserve"> </w:t>
            </w:r>
            <w:r w:rsidRPr="007556FA">
              <w:t xml:space="preserve">pieprasītais finansējums 136 612 </w:t>
            </w:r>
            <w:proofErr w:type="spellStart"/>
            <w:r w:rsidRPr="007556FA">
              <w:rPr>
                <w:i/>
                <w:iCs/>
              </w:rPr>
              <w:t>euro</w:t>
            </w:r>
            <w:proofErr w:type="spellEnd"/>
            <w:r w:rsidRPr="007556FA">
              <w:t xml:space="preserve"> </w:t>
            </w:r>
            <w:r w:rsidR="002F4434" w:rsidRPr="007556FA">
              <w:t xml:space="preserve"> apmērā </w:t>
            </w:r>
            <w:r w:rsidRPr="007556FA">
              <w:t xml:space="preserve">un </w:t>
            </w:r>
            <w:r w:rsidR="002F4434" w:rsidRPr="007556FA">
              <w:t xml:space="preserve">7 084 </w:t>
            </w:r>
            <w:proofErr w:type="spellStart"/>
            <w:r w:rsidR="002F4434" w:rsidRPr="007556FA">
              <w:rPr>
                <w:i/>
                <w:iCs/>
              </w:rPr>
              <w:t>euro</w:t>
            </w:r>
            <w:proofErr w:type="spellEnd"/>
            <w:r w:rsidRPr="007556FA">
              <w:t xml:space="preserve"> </w:t>
            </w:r>
            <w:r w:rsidR="00DF482C" w:rsidRPr="007556FA">
              <w:t xml:space="preserve">no </w:t>
            </w:r>
            <w:r w:rsidR="00353962" w:rsidRPr="007556FA">
              <w:rPr>
                <w:rStyle w:val="normaltextrun"/>
              </w:rPr>
              <w:t>VM budžeta</w:t>
            </w:r>
            <w:r w:rsidR="00353962" w:rsidRPr="00353962">
              <w:rPr>
                <w:rStyle w:val="normaltextrun"/>
                <w:shd w:val="clear" w:color="auto" w:fill="FFFFFF"/>
              </w:rPr>
              <w:t xml:space="preserve"> </w:t>
            </w:r>
            <w:r w:rsidR="00353962" w:rsidRPr="00353962">
              <w:rPr>
                <w:rStyle w:val="normaltextrun"/>
                <w:shd w:val="clear" w:color="auto" w:fill="FFFFFF"/>
              </w:rPr>
              <w:lastRenderedPageBreak/>
              <w:t xml:space="preserve">apakšprogrammā 97.00.00 </w:t>
            </w:r>
            <w:r w:rsidR="00DF482C">
              <w:rPr>
                <w:rStyle w:val="normaltextrun"/>
                <w:shd w:val="clear" w:color="auto" w:fill="FFFFFF"/>
              </w:rPr>
              <w:t>pieejamiem līdzekļiem</w:t>
            </w:r>
            <w:r w:rsidRPr="00C162C9">
              <w:t xml:space="preserve"> </w:t>
            </w:r>
            <w:r w:rsidRPr="11645F5C">
              <w:t>resursu vadības sistēmas “</w:t>
            </w:r>
            <w:proofErr w:type="spellStart"/>
            <w:r w:rsidRPr="11645F5C">
              <w:t>Horizon</w:t>
            </w:r>
            <w:proofErr w:type="spellEnd"/>
            <w:r w:rsidRPr="11645F5C">
              <w:t>” uzturēšanai. Plānoto uzturēšanas izmaksu sadalījums - resursu vadības sistēmas “</w:t>
            </w:r>
            <w:proofErr w:type="spellStart"/>
            <w:r w:rsidRPr="11645F5C">
              <w:t>Horizon</w:t>
            </w:r>
            <w:proofErr w:type="spellEnd"/>
            <w:r w:rsidRPr="11645F5C">
              <w:t xml:space="preserve">”  uzturēšanai – 73 739,82 </w:t>
            </w:r>
            <w:proofErr w:type="spellStart"/>
            <w:r w:rsidRPr="11645F5C">
              <w:rPr>
                <w:i/>
                <w:iCs/>
              </w:rPr>
              <w:t>euro</w:t>
            </w:r>
            <w:proofErr w:type="spellEnd"/>
            <w:r w:rsidRPr="11645F5C">
              <w:t xml:space="preserve"> un dokumentu vadības sistēmas “Namejs” uzturēšanai – 69 956,15 </w:t>
            </w:r>
            <w:proofErr w:type="spellStart"/>
            <w:r w:rsidRPr="11645F5C">
              <w:rPr>
                <w:i/>
                <w:iCs/>
              </w:rPr>
              <w:t>euro</w:t>
            </w:r>
            <w:proofErr w:type="spellEnd"/>
            <w:r w:rsidRPr="11645F5C">
              <w:t>.</w:t>
            </w:r>
          </w:p>
          <w:p w14:paraId="33D3361C" w14:textId="6412EBDA" w:rsidR="000612F2" w:rsidRDefault="000612F2" w:rsidP="000612F2">
            <w:pPr>
              <w:jc w:val="both"/>
            </w:pPr>
            <w:r w:rsidRPr="11645F5C">
              <w:t xml:space="preserve">Uzturēšanas izmaksas veido: iegādāto licenču uzturēšana un atjaunināšana, izstrādāto un ieviesto informācijas sistēmu, to konfigurāciju un izveidoto integrācijas risinājumu  uzturēšana. </w:t>
            </w:r>
            <w:r>
              <w:t>Noteiktais</w:t>
            </w:r>
            <w:r w:rsidRPr="11645F5C">
              <w:t xml:space="preserve"> uzturēšanas izmaksu apjoms balstās uz lietojumprogrammatūras licenču uzturēšanas un nomas izmaksām, kas noteiktas, vadoties no Elektronisko iepirkumu sistēmas datiem, kā arī uz izstrādāto un ieviesto lietojumprogrammatūru un  integrācijas risinājumu  uzturēšanas izmaksām, kas atbilstoši no veikto darbu izmaksām sastāda 10% - lietojumprogrammatūrai, 15% - integrācijas risinājumiem.</w:t>
            </w:r>
          </w:p>
          <w:p w14:paraId="4E4F0AFB" w14:textId="7CCC33DE" w:rsidR="000612F2" w:rsidRDefault="000612F2" w:rsidP="000612F2">
            <w:pPr>
              <w:pStyle w:val="CommentText"/>
              <w:jc w:val="both"/>
            </w:pPr>
          </w:p>
          <w:p w14:paraId="4C19AC8D" w14:textId="07900F5D" w:rsidR="000612F2" w:rsidRPr="002E4F07" w:rsidRDefault="000612F2" w:rsidP="000612F2">
            <w:pPr>
              <w:pStyle w:val="CommentText"/>
              <w:jc w:val="both"/>
              <w:rPr>
                <w:sz w:val="24"/>
                <w:szCs w:val="24"/>
              </w:rPr>
            </w:pPr>
            <w:r w:rsidRPr="00F25ACE">
              <w:rPr>
                <w:sz w:val="24"/>
                <w:szCs w:val="24"/>
              </w:rPr>
              <w:t xml:space="preserve">2021. gadā </w:t>
            </w:r>
            <w:r w:rsidRPr="00F25ACE">
              <w:rPr>
                <w:sz w:val="24"/>
                <w:szCs w:val="24"/>
                <w:lang w:eastAsia="en-US"/>
              </w:rPr>
              <w:t xml:space="preserve">saskaņā ar valsts </w:t>
            </w:r>
            <w:r w:rsidRPr="002E4F07">
              <w:rPr>
                <w:sz w:val="24"/>
                <w:szCs w:val="24"/>
                <w:lang w:eastAsia="en-US"/>
              </w:rPr>
              <w:t>budžetu kārtējam gadam</w:t>
            </w:r>
            <w:r w:rsidRPr="002E4F07">
              <w:rPr>
                <w:sz w:val="24"/>
                <w:szCs w:val="24"/>
              </w:rPr>
              <w:t xml:space="preserve"> </w:t>
            </w:r>
            <w:r w:rsidR="00E11BF7" w:rsidRPr="002E4F07">
              <w:rPr>
                <w:sz w:val="24"/>
                <w:szCs w:val="24"/>
              </w:rPr>
              <w:t xml:space="preserve">VM budžetā plānotie </w:t>
            </w:r>
            <w:r w:rsidRPr="002E4F07">
              <w:rPr>
                <w:sz w:val="24"/>
                <w:szCs w:val="24"/>
                <w:u w:val="single"/>
              </w:rPr>
              <w:t>izdevumi</w:t>
            </w:r>
            <w:r w:rsidRPr="002E4F07">
              <w:rPr>
                <w:sz w:val="24"/>
                <w:szCs w:val="24"/>
              </w:rPr>
              <w:t xml:space="preserve"> ir 194 691 </w:t>
            </w:r>
            <w:proofErr w:type="spellStart"/>
            <w:r w:rsidRPr="002E4F07">
              <w:rPr>
                <w:i/>
                <w:iCs/>
                <w:sz w:val="24"/>
                <w:szCs w:val="24"/>
              </w:rPr>
              <w:t>euro</w:t>
            </w:r>
            <w:proofErr w:type="spellEnd"/>
            <w:r w:rsidRPr="002E4F07">
              <w:rPr>
                <w:sz w:val="24"/>
                <w:szCs w:val="24"/>
              </w:rPr>
              <w:t xml:space="preserve">, ko veido Projekta kopējās izmaksas 187 607 </w:t>
            </w:r>
            <w:proofErr w:type="spellStart"/>
            <w:r w:rsidRPr="002E4F07">
              <w:rPr>
                <w:i/>
                <w:iCs/>
                <w:sz w:val="24"/>
                <w:szCs w:val="24"/>
              </w:rPr>
              <w:t>euro</w:t>
            </w:r>
            <w:proofErr w:type="spellEnd"/>
            <w:r w:rsidRPr="002E4F07">
              <w:rPr>
                <w:sz w:val="24"/>
                <w:szCs w:val="24"/>
              </w:rPr>
              <w:t xml:space="preserve"> (</w:t>
            </w:r>
            <w:r w:rsidRPr="002E4F07">
              <w:rPr>
                <w:iCs/>
                <w:noProof/>
                <w:sz w:val="24"/>
                <w:szCs w:val="24"/>
              </w:rPr>
              <w:t xml:space="preserve">ERAF finansējums – </w:t>
            </w:r>
            <w:r w:rsidRPr="002E4F07">
              <w:rPr>
                <w:sz w:val="24"/>
                <w:szCs w:val="24"/>
                <w:shd w:val="clear" w:color="auto" w:fill="FFFFFF"/>
              </w:rPr>
              <w:t xml:space="preserve">159 466 </w:t>
            </w:r>
            <w:r w:rsidRPr="002E4F07">
              <w:rPr>
                <w:i/>
                <w:iCs/>
                <w:noProof/>
                <w:sz w:val="24"/>
                <w:szCs w:val="24"/>
              </w:rPr>
              <w:t>euro</w:t>
            </w:r>
            <w:r w:rsidRPr="002E4F07">
              <w:rPr>
                <w:iCs/>
                <w:noProof/>
                <w:sz w:val="24"/>
                <w:szCs w:val="24"/>
              </w:rPr>
              <w:t xml:space="preserve"> apmērā un valsts budžeta finansējums – </w:t>
            </w:r>
            <w:r w:rsidRPr="002E4F07">
              <w:rPr>
                <w:sz w:val="24"/>
                <w:szCs w:val="24"/>
              </w:rPr>
              <w:t xml:space="preserve">28 141 </w:t>
            </w:r>
            <w:r w:rsidRPr="002E4F07">
              <w:rPr>
                <w:i/>
                <w:noProof/>
                <w:sz w:val="24"/>
                <w:szCs w:val="24"/>
              </w:rPr>
              <w:t>euro</w:t>
            </w:r>
            <w:r w:rsidRPr="002E4F07">
              <w:rPr>
                <w:iCs/>
                <w:noProof/>
                <w:sz w:val="24"/>
                <w:szCs w:val="24"/>
              </w:rPr>
              <w:t xml:space="preserve"> apmērā</w:t>
            </w:r>
            <w:r w:rsidRPr="002E4F07">
              <w:rPr>
                <w:sz w:val="24"/>
                <w:szCs w:val="24"/>
              </w:rPr>
              <w:t xml:space="preserve">) un uzturēšanas izmaksas 7084 </w:t>
            </w:r>
            <w:proofErr w:type="spellStart"/>
            <w:r w:rsidRPr="002E4F07">
              <w:rPr>
                <w:i/>
                <w:iCs/>
                <w:sz w:val="24"/>
                <w:szCs w:val="24"/>
              </w:rPr>
              <w:t>euro</w:t>
            </w:r>
            <w:proofErr w:type="spellEnd"/>
            <w:r w:rsidR="00926CD1" w:rsidRPr="002E4F07">
              <w:rPr>
                <w:i/>
                <w:iCs/>
                <w:sz w:val="24"/>
                <w:szCs w:val="24"/>
              </w:rPr>
              <w:t>.</w:t>
            </w:r>
          </w:p>
          <w:p w14:paraId="21710528" w14:textId="0228A971" w:rsidR="00926CD1" w:rsidRDefault="000612F2" w:rsidP="000612F2">
            <w:pPr>
              <w:pStyle w:val="CommentText"/>
              <w:jc w:val="both"/>
              <w:rPr>
                <w:sz w:val="24"/>
                <w:szCs w:val="24"/>
                <w:lang w:eastAsia="en-US"/>
              </w:rPr>
            </w:pPr>
            <w:r w:rsidRPr="002E4F07">
              <w:rPr>
                <w:sz w:val="24"/>
                <w:szCs w:val="24"/>
              </w:rPr>
              <w:t>S</w:t>
            </w:r>
            <w:r w:rsidRPr="002E4F07">
              <w:rPr>
                <w:sz w:val="24"/>
                <w:szCs w:val="24"/>
                <w:lang w:eastAsia="en-US"/>
              </w:rPr>
              <w:t>askaņā ar valsts budžetu kārtējam gadam</w:t>
            </w:r>
            <w:r w:rsidR="00E11BF7" w:rsidRPr="002E4F07">
              <w:rPr>
                <w:sz w:val="24"/>
                <w:szCs w:val="24"/>
                <w:lang w:eastAsia="en-US"/>
              </w:rPr>
              <w:t xml:space="preserve"> </w:t>
            </w:r>
            <w:r w:rsidR="00E11BF7" w:rsidRPr="002E4F07">
              <w:rPr>
                <w:sz w:val="24"/>
                <w:szCs w:val="24"/>
              </w:rPr>
              <w:t xml:space="preserve">VM budžetā  paredzētie </w:t>
            </w:r>
            <w:r w:rsidRPr="002E4F07">
              <w:rPr>
                <w:sz w:val="24"/>
                <w:szCs w:val="24"/>
                <w:u w:val="single"/>
              </w:rPr>
              <w:t>ieņēmumi</w:t>
            </w:r>
            <w:r w:rsidRPr="002E4F07">
              <w:rPr>
                <w:sz w:val="24"/>
                <w:szCs w:val="24"/>
              </w:rPr>
              <w:t xml:space="preserve"> ir 166 550 </w:t>
            </w:r>
            <w:proofErr w:type="spellStart"/>
            <w:r w:rsidRPr="002E4F07">
              <w:rPr>
                <w:i/>
                <w:iCs/>
                <w:sz w:val="24"/>
                <w:szCs w:val="24"/>
              </w:rPr>
              <w:t>euro</w:t>
            </w:r>
            <w:proofErr w:type="spellEnd"/>
            <w:r w:rsidRPr="002E4F07">
              <w:rPr>
                <w:sz w:val="24"/>
                <w:szCs w:val="24"/>
              </w:rPr>
              <w:t xml:space="preserve">, ko veido </w:t>
            </w:r>
            <w:r w:rsidRPr="002E4F07">
              <w:rPr>
                <w:iCs/>
                <w:noProof/>
                <w:sz w:val="24"/>
                <w:szCs w:val="24"/>
              </w:rPr>
              <w:t xml:space="preserve">ERAF finansējums </w:t>
            </w:r>
            <w:r w:rsidRPr="002E4F07">
              <w:rPr>
                <w:sz w:val="24"/>
                <w:szCs w:val="24"/>
              </w:rPr>
              <w:t xml:space="preserve">159 466 </w:t>
            </w:r>
            <w:proofErr w:type="spellStart"/>
            <w:r w:rsidRPr="002E4F07">
              <w:rPr>
                <w:i/>
                <w:iCs/>
                <w:sz w:val="24"/>
                <w:szCs w:val="24"/>
                <w:lang w:eastAsia="en-US"/>
              </w:rPr>
              <w:t>euro</w:t>
            </w:r>
            <w:proofErr w:type="spellEnd"/>
            <w:r w:rsidR="00926CD1" w:rsidRPr="002E4F07">
              <w:rPr>
                <w:sz w:val="24"/>
                <w:szCs w:val="24"/>
                <w:lang w:eastAsia="en-US"/>
              </w:rPr>
              <w:t xml:space="preserve"> un finansējums uzturēšanas izmaksām </w:t>
            </w:r>
            <w:r w:rsidRPr="002E4F07">
              <w:rPr>
                <w:sz w:val="24"/>
                <w:szCs w:val="24"/>
              </w:rPr>
              <w:t>7084</w:t>
            </w:r>
            <w:r w:rsidRPr="002E4F07">
              <w:rPr>
                <w:sz w:val="24"/>
                <w:szCs w:val="24"/>
                <w:lang w:eastAsia="en-US"/>
              </w:rPr>
              <w:t xml:space="preserve"> </w:t>
            </w:r>
            <w:proofErr w:type="spellStart"/>
            <w:r w:rsidRPr="002E4F07">
              <w:rPr>
                <w:i/>
                <w:iCs/>
                <w:sz w:val="24"/>
                <w:szCs w:val="24"/>
                <w:lang w:eastAsia="en-US"/>
              </w:rPr>
              <w:t>euro</w:t>
            </w:r>
            <w:proofErr w:type="spellEnd"/>
            <w:r w:rsidRPr="002E4F07">
              <w:rPr>
                <w:sz w:val="24"/>
                <w:szCs w:val="24"/>
                <w:lang w:eastAsia="en-US"/>
              </w:rPr>
              <w:t xml:space="preserve"> apmērā</w:t>
            </w:r>
            <w:r w:rsidR="00926CD1" w:rsidRPr="002E4F07">
              <w:rPr>
                <w:sz w:val="24"/>
                <w:szCs w:val="24"/>
                <w:lang w:eastAsia="en-US"/>
              </w:rPr>
              <w:t>.</w:t>
            </w:r>
          </w:p>
          <w:p w14:paraId="078E8C5A" w14:textId="63C5B1AB" w:rsidR="000612F2" w:rsidRPr="00A871CA" w:rsidRDefault="000612F2" w:rsidP="000612F2">
            <w:pPr>
              <w:pStyle w:val="CommentText"/>
              <w:jc w:val="both"/>
              <w:rPr>
                <w:sz w:val="24"/>
                <w:szCs w:val="24"/>
              </w:rPr>
            </w:pPr>
            <w:r w:rsidRPr="00EB1FC2">
              <w:rPr>
                <w:sz w:val="24"/>
                <w:szCs w:val="24"/>
                <w:u w:val="single"/>
                <w:lang w:eastAsia="en-US"/>
              </w:rPr>
              <w:t>Izmaiņas kārtējā</w:t>
            </w:r>
            <w:r w:rsidRPr="00AB6220">
              <w:rPr>
                <w:sz w:val="24"/>
                <w:szCs w:val="24"/>
                <w:u w:val="single"/>
                <w:lang w:eastAsia="en-US"/>
              </w:rPr>
              <w:t xml:space="preserve"> gadā</w:t>
            </w:r>
            <w:r w:rsidRPr="00AB6220">
              <w:rPr>
                <w:sz w:val="24"/>
                <w:szCs w:val="24"/>
                <w:lang w:eastAsia="en-US"/>
              </w:rPr>
              <w:t>, salīdzinot ar valsts budžetu kārtējam gadam</w:t>
            </w:r>
            <w:r>
              <w:rPr>
                <w:sz w:val="24"/>
                <w:szCs w:val="24"/>
                <w:lang w:eastAsia="en-US"/>
              </w:rPr>
              <w:t>,</w:t>
            </w:r>
            <w:r w:rsidRPr="00A871CA">
              <w:rPr>
                <w:sz w:val="24"/>
                <w:szCs w:val="24"/>
                <w:lang w:eastAsia="en-US"/>
              </w:rPr>
              <w:t xml:space="preserve"> </w:t>
            </w:r>
            <w:r w:rsidRPr="00A871CA">
              <w:rPr>
                <w:sz w:val="24"/>
                <w:szCs w:val="24"/>
              </w:rPr>
              <w:t xml:space="preserve">tiek </w:t>
            </w:r>
            <w:r w:rsidRPr="00AB6220">
              <w:rPr>
                <w:sz w:val="24"/>
                <w:szCs w:val="24"/>
                <w:shd w:val="clear" w:color="auto" w:fill="FFFFFF"/>
              </w:rPr>
              <w:t>p</w:t>
            </w:r>
            <w:r>
              <w:rPr>
                <w:sz w:val="24"/>
                <w:szCs w:val="24"/>
                <w:shd w:val="clear" w:color="auto" w:fill="FFFFFF"/>
              </w:rPr>
              <w:t>lānoti papildus</w:t>
            </w:r>
            <w:r w:rsidRPr="00A871CA">
              <w:rPr>
                <w:sz w:val="24"/>
                <w:szCs w:val="24"/>
                <w:shd w:val="clear" w:color="auto" w:fill="FFFFFF"/>
              </w:rPr>
              <w:t xml:space="preserve"> </w:t>
            </w:r>
            <w:r>
              <w:rPr>
                <w:sz w:val="24"/>
                <w:szCs w:val="24"/>
                <w:shd w:val="clear" w:color="auto" w:fill="FFFFFF"/>
              </w:rPr>
              <w:t xml:space="preserve">136 612 </w:t>
            </w:r>
            <w:proofErr w:type="spellStart"/>
            <w:r w:rsidRPr="00A871CA">
              <w:rPr>
                <w:i/>
                <w:iCs/>
                <w:sz w:val="24"/>
                <w:szCs w:val="24"/>
                <w:shd w:val="clear" w:color="auto" w:fill="FFFFFF"/>
              </w:rPr>
              <w:t>euro</w:t>
            </w:r>
            <w:proofErr w:type="spellEnd"/>
            <w:r w:rsidRPr="00A871CA">
              <w:rPr>
                <w:sz w:val="24"/>
                <w:szCs w:val="24"/>
                <w:shd w:val="clear" w:color="auto" w:fill="FFFFFF"/>
              </w:rPr>
              <w:t xml:space="preserve"> </w:t>
            </w:r>
            <w:r w:rsidRPr="00A871CA">
              <w:rPr>
                <w:sz w:val="24"/>
                <w:szCs w:val="24"/>
              </w:rPr>
              <w:t>uzturēšanas izmaksām.</w:t>
            </w:r>
          </w:p>
          <w:p w14:paraId="61D057B2" w14:textId="77777777" w:rsidR="000612F2" w:rsidRDefault="000612F2" w:rsidP="000612F2">
            <w:pPr>
              <w:jc w:val="both"/>
              <w:rPr>
                <w:iCs/>
                <w:noProof/>
              </w:rPr>
            </w:pPr>
          </w:p>
          <w:p w14:paraId="7AB433E2" w14:textId="77777777" w:rsidR="000612F2" w:rsidRPr="00CD0D4F" w:rsidRDefault="000612F2" w:rsidP="000612F2">
            <w:pPr>
              <w:jc w:val="both"/>
              <w:rPr>
                <w:u w:val="single"/>
              </w:rPr>
            </w:pPr>
            <w:r w:rsidRPr="00CD0D4F">
              <w:rPr>
                <w:u w:val="single"/>
              </w:rPr>
              <w:t>Projekta ietvaros veiktie izdevumi:</w:t>
            </w:r>
          </w:p>
          <w:p w14:paraId="6E375BEF" w14:textId="26A2E3F4" w:rsidR="000612F2" w:rsidRDefault="000612F2" w:rsidP="000612F2">
            <w:pPr>
              <w:jc w:val="both"/>
              <w:rPr>
                <w:b/>
                <w:i/>
              </w:rPr>
            </w:pPr>
            <w:r w:rsidRPr="00CD0D4F">
              <w:rPr>
                <w:b/>
                <w:i/>
              </w:rPr>
              <w:t>No 201</w:t>
            </w:r>
            <w:r>
              <w:rPr>
                <w:b/>
                <w:i/>
              </w:rPr>
              <w:t>8</w:t>
            </w:r>
            <w:r w:rsidRPr="00CD0D4F">
              <w:rPr>
                <w:b/>
                <w:i/>
              </w:rPr>
              <w:t>.</w:t>
            </w:r>
            <w:r w:rsidRPr="00CD0D4F">
              <w:t> </w:t>
            </w:r>
            <w:r w:rsidRPr="00CD0D4F">
              <w:rPr>
                <w:b/>
                <w:i/>
              </w:rPr>
              <w:t>gada līdz 20</w:t>
            </w:r>
            <w:r>
              <w:rPr>
                <w:b/>
                <w:i/>
              </w:rPr>
              <w:t>20</w:t>
            </w:r>
            <w:r w:rsidRPr="00CD0D4F">
              <w:rPr>
                <w:b/>
                <w:i/>
              </w:rPr>
              <w:t>.</w:t>
            </w:r>
            <w:r w:rsidRPr="00CD0D4F">
              <w:t> </w:t>
            </w:r>
            <w:r w:rsidRPr="00CD0D4F">
              <w:rPr>
                <w:b/>
                <w:i/>
              </w:rPr>
              <w:t>gadam:</w:t>
            </w:r>
          </w:p>
          <w:p w14:paraId="32C03200" w14:textId="74777B40" w:rsidR="000612F2" w:rsidRPr="00947127" w:rsidRDefault="000612F2" w:rsidP="000612F2">
            <w:pPr>
              <w:jc w:val="both"/>
              <w:rPr>
                <w:iCs/>
                <w:noProof/>
              </w:rPr>
            </w:pPr>
            <w:r w:rsidRPr="00947127">
              <w:t>2018. gadā – 676</w:t>
            </w:r>
            <w:r w:rsidRPr="00860BD5">
              <w:rPr>
                <w:lang w:eastAsia="en-US"/>
              </w:rPr>
              <w:t> </w:t>
            </w:r>
            <w:r w:rsidRPr="00947127">
              <w:t>05</w:t>
            </w:r>
            <w:r>
              <w:t>3</w:t>
            </w:r>
            <w:r w:rsidRPr="00947127">
              <w:t xml:space="preserve"> </w:t>
            </w:r>
            <w:proofErr w:type="spellStart"/>
            <w:r w:rsidRPr="00947127">
              <w:rPr>
                <w:i/>
              </w:rPr>
              <w:t>euro</w:t>
            </w:r>
            <w:proofErr w:type="spellEnd"/>
            <w:r w:rsidRPr="00947127">
              <w:rPr>
                <w:i/>
              </w:rPr>
              <w:t xml:space="preserve"> </w:t>
            </w:r>
            <w:r w:rsidRPr="00947127">
              <w:rPr>
                <w:iCs/>
                <w:noProof/>
              </w:rPr>
              <w:t xml:space="preserve">(ERAF finansējums – </w:t>
            </w:r>
            <w:r w:rsidRPr="00947127">
              <w:rPr>
                <w:shd w:val="clear" w:color="auto" w:fill="FFFFFF"/>
              </w:rPr>
              <w:t>574</w:t>
            </w:r>
            <w:r w:rsidRPr="00860BD5">
              <w:rPr>
                <w:lang w:eastAsia="en-US"/>
              </w:rPr>
              <w:t> </w:t>
            </w:r>
            <w:r w:rsidRPr="00947127">
              <w:rPr>
                <w:shd w:val="clear" w:color="auto" w:fill="FFFFFF"/>
              </w:rPr>
              <w:t>64</w:t>
            </w:r>
            <w:r>
              <w:rPr>
                <w:shd w:val="clear" w:color="auto" w:fill="FFFFFF"/>
              </w:rPr>
              <w:t>5</w:t>
            </w:r>
            <w:r w:rsidRPr="00947127">
              <w:rPr>
                <w:shd w:val="clear" w:color="auto" w:fill="FFFFFF"/>
              </w:rPr>
              <w:t xml:space="preserve"> </w:t>
            </w:r>
            <w:r w:rsidRPr="00947127">
              <w:rPr>
                <w:i/>
                <w:iCs/>
                <w:noProof/>
              </w:rPr>
              <w:t>euro</w:t>
            </w:r>
            <w:r w:rsidRPr="00947127">
              <w:rPr>
                <w:iCs/>
                <w:noProof/>
              </w:rPr>
              <w:t xml:space="preserve"> apmērā un valsts budžeta finansējums – </w:t>
            </w:r>
            <w:r w:rsidRPr="00947127">
              <w:rPr>
                <w:shd w:val="clear" w:color="auto" w:fill="FFFFFF"/>
              </w:rPr>
              <w:t>101</w:t>
            </w:r>
            <w:r w:rsidRPr="00860BD5">
              <w:rPr>
                <w:lang w:eastAsia="en-US"/>
              </w:rPr>
              <w:t> </w:t>
            </w:r>
            <w:r w:rsidRPr="00947127">
              <w:rPr>
                <w:shd w:val="clear" w:color="auto" w:fill="FFFFFF"/>
              </w:rPr>
              <w:t>40</w:t>
            </w:r>
            <w:r>
              <w:rPr>
                <w:shd w:val="clear" w:color="auto" w:fill="FFFFFF"/>
              </w:rPr>
              <w:t>8</w:t>
            </w:r>
            <w:r w:rsidRPr="00947127">
              <w:rPr>
                <w:shd w:val="clear" w:color="auto" w:fill="FFFFFF"/>
              </w:rPr>
              <w:t xml:space="preserve"> </w:t>
            </w:r>
            <w:r w:rsidRPr="00947127">
              <w:rPr>
                <w:i/>
                <w:noProof/>
              </w:rPr>
              <w:t>euro</w:t>
            </w:r>
            <w:r w:rsidRPr="00947127">
              <w:rPr>
                <w:iCs/>
                <w:noProof/>
              </w:rPr>
              <w:t xml:space="preserve"> apmērā)</w:t>
            </w:r>
            <w:r>
              <w:rPr>
                <w:iCs/>
                <w:noProof/>
              </w:rPr>
              <w:t xml:space="preserve">, </w:t>
            </w:r>
            <w:r w:rsidRPr="00947127">
              <w:t xml:space="preserve">2019. gadā – 411 157 </w:t>
            </w:r>
            <w:proofErr w:type="spellStart"/>
            <w:r w:rsidRPr="00947127">
              <w:rPr>
                <w:i/>
              </w:rPr>
              <w:t>euro</w:t>
            </w:r>
            <w:proofErr w:type="spellEnd"/>
            <w:r w:rsidRPr="00947127">
              <w:rPr>
                <w:i/>
              </w:rPr>
              <w:t xml:space="preserve"> </w:t>
            </w:r>
            <w:r w:rsidRPr="00947127">
              <w:rPr>
                <w:iCs/>
                <w:noProof/>
              </w:rPr>
              <w:t xml:space="preserve">(ERAF finansējums – </w:t>
            </w:r>
            <w:r w:rsidRPr="00947127">
              <w:rPr>
                <w:shd w:val="clear" w:color="auto" w:fill="FFFFFF"/>
              </w:rPr>
              <w:t>349</w:t>
            </w:r>
            <w:r w:rsidRPr="00860BD5">
              <w:rPr>
                <w:lang w:eastAsia="en-US"/>
              </w:rPr>
              <w:t> </w:t>
            </w:r>
            <w:r w:rsidRPr="00947127">
              <w:rPr>
                <w:shd w:val="clear" w:color="auto" w:fill="FFFFFF"/>
              </w:rPr>
              <w:t xml:space="preserve">483 </w:t>
            </w:r>
            <w:r w:rsidRPr="00947127">
              <w:rPr>
                <w:i/>
                <w:iCs/>
                <w:noProof/>
              </w:rPr>
              <w:t>euro</w:t>
            </w:r>
            <w:r w:rsidRPr="00947127">
              <w:rPr>
                <w:iCs/>
                <w:noProof/>
              </w:rPr>
              <w:t xml:space="preserve"> apmērā un valsts budžeta finansējums – </w:t>
            </w:r>
            <w:r w:rsidRPr="00947127">
              <w:t>61</w:t>
            </w:r>
            <w:r w:rsidRPr="00860BD5">
              <w:rPr>
                <w:lang w:eastAsia="en-US"/>
              </w:rPr>
              <w:t> </w:t>
            </w:r>
            <w:r w:rsidRPr="00947127">
              <w:t>67</w:t>
            </w:r>
            <w:r>
              <w:t>4</w:t>
            </w:r>
            <w:r w:rsidRPr="00947127">
              <w:t xml:space="preserve"> </w:t>
            </w:r>
            <w:r w:rsidRPr="00947127">
              <w:rPr>
                <w:i/>
                <w:noProof/>
              </w:rPr>
              <w:t>euro</w:t>
            </w:r>
            <w:r w:rsidRPr="00947127">
              <w:rPr>
                <w:iCs/>
                <w:noProof/>
              </w:rPr>
              <w:t xml:space="preserve"> apmērā)</w:t>
            </w:r>
            <w:r>
              <w:rPr>
                <w:iCs/>
                <w:noProof/>
              </w:rPr>
              <w:t xml:space="preserve">, </w:t>
            </w:r>
            <w:r w:rsidRPr="00947127">
              <w:t>2020. gadā – 269</w:t>
            </w:r>
            <w:r w:rsidRPr="00860BD5">
              <w:rPr>
                <w:lang w:eastAsia="en-US"/>
              </w:rPr>
              <w:t> </w:t>
            </w:r>
            <w:r w:rsidRPr="00947127">
              <w:t>94</w:t>
            </w:r>
            <w:r>
              <w:t>8</w:t>
            </w:r>
            <w:r w:rsidRPr="00947127">
              <w:t xml:space="preserve"> </w:t>
            </w:r>
            <w:proofErr w:type="spellStart"/>
            <w:r w:rsidRPr="00947127">
              <w:rPr>
                <w:i/>
              </w:rPr>
              <w:t>euro</w:t>
            </w:r>
            <w:proofErr w:type="spellEnd"/>
            <w:r w:rsidRPr="00947127">
              <w:rPr>
                <w:i/>
              </w:rPr>
              <w:t xml:space="preserve"> </w:t>
            </w:r>
            <w:r w:rsidRPr="00947127">
              <w:rPr>
                <w:iCs/>
                <w:noProof/>
              </w:rPr>
              <w:t xml:space="preserve">(ERAF finansējums – </w:t>
            </w:r>
            <w:r w:rsidRPr="00947127">
              <w:rPr>
                <w:shd w:val="clear" w:color="auto" w:fill="FFFFFF"/>
              </w:rPr>
              <w:t>229</w:t>
            </w:r>
            <w:r w:rsidRPr="00860BD5">
              <w:rPr>
                <w:lang w:eastAsia="en-US"/>
              </w:rPr>
              <w:t> </w:t>
            </w:r>
            <w:r w:rsidRPr="00947127">
              <w:rPr>
                <w:shd w:val="clear" w:color="auto" w:fill="FFFFFF"/>
              </w:rPr>
              <w:t>45</w:t>
            </w:r>
            <w:r>
              <w:rPr>
                <w:shd w:val="clear" w:color="auto" w:fill="FFFFFF"/>
              </w:rPr>
              <w:t>6</w:t>
            </w:r>
            <w:r w:rsidRPr="00947127">
              <w:rPr>
                <w:shd w:val="clear" w:color="auto" w:fill="FFFFFF"/>
              </w:rPr>
              <w:t xml:space="preserve"> </w:t>
            </w:r>
            <w:r w:rsidRPr="00947127">
              <w:rPr>
                <w:i/>
                <w:iCs/>
                <w:noProof/>
              </w:rPr>
              <w:t>euro</w:t>
            </w:r>
            <w:r w:rsidRPr="00947127">
              <w:rPr>
                <w:iCs/>
                <w:noProof/>
              </w:rPr>
              <w:t xml:space="preserve"> apmērā un valsts budžeta finansējums – </w:t>
            </w:r>
            <w:r w:rsidRPr="00947127">
              <w:t>40</w:t>
            </w:r>
            <w:r w:rsidRPr="00860BD5">
              <w:rPr>
                <w:lang w:eastAsia="en-US"/>
              </w:rPr>
              <w:t> </w:t>
            </w:r>
            <w:r w:rsidRPr="00947127">
              <w:t xml:space="preserve">492 </w:t>
            </w:r>
            <w:r w:rsidRPr="00947127">
              <w:rPr>
                <w:i/>
                <w:noProof/>
              </w:rPr>
              <w:t>euro</w:t>
            </w:r>
            <w:r w:rsidRPr="00947127">
              <w:rPr>
                <w:iCs/>
                <w:noProof/>
              </w:rPr>
              <w:t xml:space="preserve"> apmērā)</w:t>
            </w:r>
            <w:r>
              <w:rPr>
                <w:iCs/>
                <w:noProof/>
              </w:rPr>
              <w:t>.</w:t>
            </w:r>
          </w:p>
          <w:p w14:paraId="520FC3BB" w14:textId="77777777" w:rsidR="000612F2" w:rsidRPr="00CD0D4F" w:rsidRDefault="000612F2" w:rsidP="000612F2">
            <w:pPr>
              <w:jc w:val="both"/>
              <w:rPr>
                <w:b/>
                <w:i/>
              </w:rPr>
            </w:pPr>
          </w:p>
          <w:p w14:paraId="3E66468D" w14:textId="52540F9F" w:rsidR="000612F2" w:rsidRPr="00B13735" w:rsidRDefault="000612F2" w:rsidP="000612F2">
            <w:pPr>
              <w:jc w:val="both"/>
              <w:rPr>
                <w:b/>
                <w:i/>
              </w:rPr>
            </w:pPr>
            <w:r w:rsidRPr="00B13735">
              <w:rPr>
                <w:b/>
                <w:i/>
              </w:rPr>
              <w:t>2021.</w:t>
            </w:r>
            <w:r w:rsidRPr="00B13735">
              <w:t> </w:t>
            </w:r>
            <w:r w:rsidRPr="00B13735">
              <w:rPr>
                <w:b/>
                <w:i/>
              </w:rPr>
              <w:t>gads:</w:t>
            </w:r>
          </w:p>
          <w:p w14:paraId="5371F484" w14:textId="5EEE3354" w:rsidR="000612F2" w:rsidRPr="00E4796B" w:rsidRDefault="000612F2" w:rsidP="000612F2">
            <w:pPr>
              <w:jc w:val="both"/>
              <w:rPr>
                <w:iCs/>
                <w:noProof/>
              </w:rPr>
            </w:pPr>
            <w:r w:rsidRPr="00B13735">
              <w:rPr>
                <w:iCs/>
                <w:noProof/>
              </w:rPr>
              <w:t>Projekta īstenošanai</w:t>
            </w:r>
            <w:r w:rsidRPr="00CD0D4F">
              <w:rPr>
                <w:iCs/>
                <w:noProof/>
              </w:rPr>
              <w:t xml:space="preserve"> </w:t>
            </w:r>
            <w:r w:rsidRPr="00E4796B">
              <w:rPr>
                <w:iCs/>
                <w:noProof/>
              </w:rPr>
              <w:t>p</w:t>
            </w:r>
            <w:r>
              <w:rPr>
                <w:iCs/>
                <w:noProof/>
              </w:rPr>
              <w:t>iešķirtais</w:t>
            </w:r>
            <w:r w:rsidRPr="00E4796B">
              <w:rPr>
                <w:iCs/>
                <w:noProof/>
              </w:rPr>
              <w:t xml:space="preserve"> finansējums 2021.</w:t>
            </w:r>
            <w:r w:rsidRPr="00E4796B">
              <w:t> </w:t>
            </w:r>
            <w:r w:rsidRPr="00E4796B">
              <w:rPr>
                <w:iCs/>
                <w:noProof/>
              </w:rPr>
              <w:t xml:space="preserve">gada valsts </w:t>
            </w:r>
            <w:r w:rsidRPr="00EA5AFF">
              <w:rPr>
                <w:iCs/>
                <w:noProof/>
              </w:rPr>
              <w:t xml:space="preserve">budžetā </w:t>
            </w:r>
            <w:r w:rsidRPr="006B5041">
              <w:t>187</w:t>
            </w:r>
            <w:r>
              <w:rPr>
                <w:lang w:eastAsia="en-US"/>
              </w:rPr>
              <w:t> </w:t>
            </w:r>
            <w:r w:rsidRPr="006B5041">
              <w:t>60</w:t>
            </w:r>
            <w:r w:rsidRPr="00EA5AFF">
              <w:t>7</w:t>
            </w:r>
            <w:r w:rsidRPr="00E4796B">
              <w:t xml:space="preserve"> </w:t>
            </w:r>
            <w:proofErr w:type="spellStart"/>
            <w:r w:rsidRPr="00E4796B">
              <w:rPr>
                <w:i/>
              </w:rPr>
              <w:t>euro</w:t>
            </w:r>
            <w:proofErr w:type="spellEnd"/>
            <w:r w:rsidRPr="00E4796B">
              <w:rPr>
                <w:i/>
              </w:rPr>
              <w:t xml:space="preserve"> </w:t>
            </w:r>
            <w:r w:rsidRPr="00E4796B">
              <w:rPr>
                <w:iCs/>
                <w:noProof/>
              </w:rPr>
              <w:t>(ERAF finansējums –</w:t>
            </w:r>
            <w:r w:rsidRPr="00E4796B">
              <w:rPr>
                <w:shd w:val="clear" w:color="auto" w:fill="FFFFFF"/>
              </w:rPr>
              <w:t>159</w:t>
            </w:r>
            <w:r>
              <w:rPr>
                <w:lang w:eastAsia="en-US"/>
              </w:rPr>
              <w:t> </w:t>
            </w:r>
            <w:r w:rsidRPr="00E4796B">
              <w:rPr>
                <w:shd w:val="clear" w:color="auto" w:fill="FFFFFF"/>
              </w:rPr>
              <w:t>46</w:t>
            </w:r>
            <w:r>
              <w:rPr>
                <w:shd w:val="clear" w:color="auto" w:fill="FFFFFF"/>
              </w:rPr>
              <w:t>6</w:t>
            </w:r>
            <w:r w:rsidRPr="00E4796B">
              <w:rPr>
                <w:iCs/>
                <w:noProof/>
              </w:rPr>
              <w:t xml:space="preserve"> </w:t>
            </w:r>
            <w:r w:rsidRPr="00E4796B">
              <w:rPr>
                <w:i/>
                <w:iCs/>
                <w:noProof/>
              </w:rPr>
              <w:t>euro</w:t>
            </w:r>
            <w:r w:rsidRPr="00E4796B">
              <w:rPr>
                <w:iCs/>
                <w:noProof/>
              </w:rPr>
              <w:t xml:space="preserve"> apmērā un valsts budžeta finansējums –</w:t>
            </w:r>
            <w:r w:rsidRPr="00E4796B">
              <w:t>28</w:t>
            </w:r>
            <w:r>
              <w:rPr>
                <w:lang w:eastAsia="en-US"/>
              </w:rPr>
              <w:t> </w:t>
            </w:r>
            <w:r w:rsidRPr="00E4796B">
              <w:t>14</w:t>
            </w:r>
            <w:r>
              <w:t>1</w:t>
            </w:r>
            <w:r w:rsidRPr="00E4796B">
              <w:t xml:space="preserve"> </w:t>
            </w:r>
            <w:r w:rsidRPr="00E4796B">
              <w:rPr>
                <w:i/>
                <w:noProof/>
              </w:rPr>
              <w:t>euro</w:t>
            </w:r>
            <w:r w:rsidRPr="00E4796B">
              <w:rPr>
                <w:iCs/>
                <w:noProof/>
              </w:rPr>
              <w:t xml:space="preserve"> apmērā)</w:t>
            </w:r>
            <w:r>
              <w:rPr>
                <w:iCs/>
                <w:noProof/>
              </w:rPr>
              <w:t>.</w:t>
            </w:r>
          </w:p>
          <w:p w14:paraId="27A21503" w14:textId="72D762E1" w:rsidR="000612F2" w:rsidRDefault="000612F2" w:rsidP="000612F2">
            <w:pPr>
              <w:jc w:val="both"/>
              <w:rPr>
                <w:bCs/>
              </w:rPr>
            </w:pPr>
            <w:r>
              <w:rPr>
                <w:bCs/>
                <w:noProof/>
              </w:rPr>
              <w:t xml:space="preserve">VM ir saskaņojusi ar VARAM Projekta ietvaros ieviesto informācijas sistēmu uzturēšanas izdevumus. </w:t>
            </w:r>
            <w:r w:rsidRPr="00FB12E6">
              <w:rPr>
                <w:bCs/>
                <w:noProof/>
              </w:rPr>
              <w:t xml:space="preserve">Pamatojoties uz VARAM </w:t>
            </w:r>
            <w:r w:rsidRPr="00FB12E6">
              <w:rPr>
                <w:noProof/>
              </w:rPr>
              <w:t>vēstulē Nr. 1-132/5738</w:t>
            </w:r>
            <w:r w:rsidRPr="00FB12E6">
              <w:rPr>
                <w:bCs/>
                <w:noProof/>
              </w:rPr>
              <w:t xml:space="preserve"> (</w:t>
            </w:r>
            <w:r w:rsidRPr="00FB12E6">
              <w:rPr>
                <w:noProof/>
              </w:rPr>
              <w:t>29.06.2020</w:t>
            </w:r>
            <w:r w:rsidRPr="00FB12E6">
              <w:t>.)</w:t>
            </w:r>
            <w:r w:rsidRPr="00FB12E6">
              <w:rPr>
                <w:noProof/>
              </w:rPr>
              <w:t xml:space="preserve"> </w:t>
            </w:r>
            <w:r>
              <w:rPr>
                <w:noProof/>
              </w:rPr>
              <w:t>“</w:t>
            </w:r>
            <w:r w:rsidRPr="00595D74">
              <w:rPr>
                <w:i/>
              </w:rPr>
              <w:t xml:space="preserve">Par projekta “Veselības ministrijas un padotības iestāžu IKT centralizācijas atbalsts” ietvaros </w:t>
            </w:r>
            <w:r w:rsidRPr="009E0664">
              <w:rPr>
                <w:i/>
              </w:rPr>
              <w:t xml:space="preserve">izveidoto </w:t>
            </w:r>
            <w:r>
              <w:rPr>
                <w:i/>
              </w:rPr>
              <w:t xml:space="preserve">informācijas </w:t>
            </w:r>
            <w:r w:rsidRPr="009E0664">
              <w:rPr>
                <w:i/>
              </w:rPr>
              <w:t>sistēmu uzturēšanas izmaksām</w:t>
            </w:r>
            <w:r>
              <w:rPr>
                <w:i/>
              </w:rPr>
              <w:t xml:space="preserve">” </w:t>
            </w:r>
            <w:r w:rsidRPr="00FB12E6">
              <w:rPr>
                <w:bCs/>
                <w:noProof/>
              </w:rPr>
              <w:t xml:space="preserve">sniegto atzinumu </w:t>
            </w:r>
            <w:r>
              <w:rPr>
                <w:bCs/>
                <w:noProof/>
              </w:rPr>
              <w:t xml:space="preserve">par Projekta ieviesto risinājumu papildus uzturēšanas izdevumiem, </w:t>
            </w:r>
            <w:r w:rsidRPr="00FB12E6">
              <w:rPr>
                <w:bCs/>
                <w:noProof/>
              </w:rPr>
              <w:t>VM ar vēstuli Nr.</w:t>
            </w:r>
            <w:r w:rsidRPr="00FB12E6">
              <w:rPr>
                <w:shd w:val="clear" w:color="auto" w:fill="FFFFFF"/>
              </w:rPr>
              <w:t> 01-13FM-1/396</w:t>
            </w:r>
            <w:r w:rsidRPr="00FB12E6">
              <w:rPr>
                <w:bCs/>
                <w:noProof/>
              </w:rPr>
              <w:t xml:space="preserve"> (21.01.2021.) </w:t>
            </w:r>
            <w:r w:rsidRPr="00B1234C">
              <w:rPr>
                <w:i/>
              </w:rPr>
              <w:t>“</w:t>
            </w:r>
            <w:bookmarkStart w:id="0" w:name="_Hlk505798417"/>
            <w:r w:rsidRPr="00B1234C">
              <w:rPr>
                <w:i/>
              </w:rPr>
              <w:t>Par pamatbudžeta apropriācijas pārdali</w:t>
            </w:r>
            <w:bookmarkEnd w:id="0"/>
            <w:r w:rsidRPr="00B1234C">
              <w:rPr>
                <w:i/>
              </w:rPr>
              <w:t>”</w:t>
            </w:r>
            <w:r>
              <w:rPr>
                <w:i/>
              </w:rPr>
              <w:t xml:space="preserve"> </w:t>
            </w:r>
            <w:r w:rsidRPr="00FB12E6">
              <w:rPr>
                <w:bCs/>
                <w:noProof/>
              </w:rPr>
              <w:t xml:space="preserve">lūgusi Finanšu ministrijai </w:t>
            </w:r>
            <w:r w:rsidRPr="00FB12E6">
              <w:rPr>
                <w:bCs/>
              </w:rPr>
              <w:t>veikt apropriācijas pārdali 136</w:t>
            </w:r>
            <w:r w:rsidRPr="00860BD5">
              <w:rPr>
                <w:lang w:eastAsia="en-US"/>
              </w:rPr>
              <w:t> </w:t>
            </w:r>
            <w:r w:rsidRPr="00FB12E6">
              <w:rPr>
                <w:bCs/>
              </w:rPr>
              <w:t xml:space="preserve">612 </w:t>
            </w:r>
            <w:proofErr w:type="spellStart"/>
            <w:r w:rsidRPr="00FB12E6">
              <w:rPr>
                <w:bCs/>
                <w:i/>
                <w:iCs/>
              </w:rPr>
              <w:t>euro</w:t>
            </w:r>
            <w:proofErr w:type="spellEnd"/>
            <w:r w:rsidRPr="00FB12E6">
              <w:rPr>
                <w:b/>
                <w:i/>
                <w:iCs/>
              </w:rPr>
              <w:t xml:space="preserve"> </w:t>
            </w:r>
            <w:r w:rsidRPr="00FB12E6">
              <w:rPr>
                <w:bCs/>
              </w:rPr>
              <w:t>apmērā uz</w:t>
            </w:r>
            <w:r w:rsidRPr="00FB12E6">
              <w:rPr>
                <w:bCs/>
                <w:noProof/>
              </w:rPr>
              <w:t xml:space="preserve"> </w:t>
            </w:r>
            <w:r w:rsidRPr="00FB12E6">
              <w:rPr>
                <w:bCs/>
              </w:rPr>
              <w:t xml:space="preserve">VM budžeta programmu 97.00.00 “Nozares vadība un politikas plānošana”, lai nodrošinātu Projekta ietvaros izveidoto </w:t>
            </w:r>
            <w:r w:rsidRPr="00FB12E6">
              <w:t xml:space="preserve">informācijas sistēmu un infrastruktūras risinājumu </w:t>
            </w:r>
            <w:r w:rsidRPr="00FB12E6">
              <w:rPr>
                <w:lang w:eastAsia="en-US"/>
              </w:rPr>
              <w:t>uzturēšanu</w:t>
            </w:r>
            <w:r w:rsidRPr="00FB12E6">
              <w:rPr>
                <w:bCs/>
              </w:rPr>
              <w:t>.</w:t>
            </w:r>
          </w:p>
          <w:p w14:paraId="13605AEA" w14:textId="20071200" w:rsidR="000612F2" w:rsidRDefault="000612F2" w:rsidP="000612F2">
            <w:pPr>
              <w:jc w:val="both"/>
              <w:rPr>
                <w:color w:val="000000"/>
                <w:bdr w:val="none" w:sz="0" w:space="0" w:color="auto" w:frame="1"/>
                <w:shd w:val="clear" w:color="auto" w:fill="FFFFFF"/>
              </w:rPr>
            </w:pPr>
            <w:r>
              <w:rPr>
                <w:color w:val="000000"/>
                <w:bdr w:val="none" w:sz="0" w:space="0" w:color="auto" w:frame="1"/>
                <w:shd w:val="clear" w:color="auto" w:fill="FFFFFF"/>
              </w:rPr>
              <w:t>Kā arī </w:t>
            </w:r>
            <w:r>
              <w:rPr>
                <w:color w:val="000000"/>
                <w:shd w:val="clear" w:color="auto" w:fill="FFFFFF"/>
              </w:rPr>
              <w:t>VM iesniegs priekšlikumus izmaiņām valsts pamatbudžeta bāzes izdevumos 2022.-2024.gadam, paredzot papildus finansējumu </w:t>
            </w:r>
            <w:r>
              <w:rPr>
                <w:color w:val="000000"/>
                <w:bdr w:val="none" w:sz="0" w:space="0" w:color="auto" w:frame="1"/>
                <w:shd w:val="clear" w:color="auto" w:fill="FFFFFF"/>
              </w:rPr>
              <w:t> Projekta ietvaros izveidoto </w:t>
            </w:r>
            <w:r>
              <w:rPr>
                <w:color w:val="000000"/>
                <w:shd w:val="clear" w:color="auto" w:fill="FFFFFF"/>
              </w:rPr>
              <w:t>informācijas sistēmu un infrastruktūras risinājumu </w:t>
            </w:r>
            <w:r>
              <w:rPr>
                <w:color w:val="000000"/>
                <w:bdr w:val="none" w:sz="0" w:space="0" w:color="auto" w:frame="1"/>
                <w:shd w:val="clear" w:color="auto" w:fill="FFFFFF"/>
              </w:rPr>
              <w:t>uzturēšanai 136 612 </w:t>
            </w:r>
            <w:proofErr w:type="spellStart"/>
            <w:r>
              <w:rPr>
                <w:i/>
                <w:iCs/>
                <w:color w:val="000000"/>
                <w:bdr w:val="none" w:sz="0" w:space="0" w:color="auto" w:frame="1"/>
                <w:shd w:val="clear" w:color="auto" w:fill="FFFFFF"/>
              </w:rPr>
              <w:t>euro</w:t>
            </w:r>
            <w:proofErr w:type="spellEnd"/>
            <w:r>
              <w:rPr>
                <w:color w:val="000000"/>
                <w:bdr w:val="none" w:sz="0" w:space="0" w:color="auto" w:frame="1"/>
                <w:shd w:val="clear" w:color="auto" w:fill="FFFFFF"/>
              </w:rPr>
              <w:t> ik gadu</w:t>
            </w:r>
            <w:r>
              <w:rPr>
                <w:color w:val="000000"/>
                <w:shd w:val="clear" w:color="auto" w:fill="FFFFFF"/>
              </w:rPr>
              <w:t xml:space="preserve"> likumprojekta “Par valsts budžetu 2022.gadam” </w:t>
            </w:r>
            <w:r>
              <w:rPr>
                <w:color w:val="000000"/>
                <w:shd w:val="clear" w:color="auto" w:fill="FFFFFF"/>
              </w:rPr>
              <w:lastRenderedPageBreak/>
              <w:t>un</w:t>
            </w:r>
            <w:r>
              <w:rPr>
                <w:color w:val="000000"/>
                <w:bdr w:val="none" w:sz="0" w:space="0" w:color="auto" w:frame="1"/>
                <w:shd w:val="clear" w:color="auto" w:fill="FFFFFF"/>
              </w:rPr>
              <w:t>  </w:t>
            </w:r>
            <w:r>
              <w:rPr>
                <w:color w:val="000000"/>
                <w:shd w:val="clear" w:color="auto" w:fill="FFFFFF"/>
              </w:rPr>
              <w:t>likumprojekta “Par vidējā termiņa budžeta ietvaru 2022., 2023. un 2024.gadam”</w:t>
            </w:r>
            <w:r>
              <w:rPr>
                <w:color w:val="000000"/>
                <w:bdr w:val="none" w:sz="0" w:space="0" w:color="auto" w:frame="1"/>
                <w:shd w:val="clear" w:color="auto" w:fill="FFFFFF"/>
              </w:rPr>
              <w:t>  </w:t>
            </w:r>
            <w:r>
              <w:rPr>
                <w:color w:val="000000"/>
                <w:shd w:val="clear" w:color="auto" w:fill="FFFFFF"/>
              </w:rPr>
              <w:t>izstrādes procesā.</w:t>
            </w:r>
          </w:p>
          <w:p w14:paraId="3511A058" w14:textId="3232B0CE" w:rsidR="000612F2" w:rsidRPr="00FE7068" w:rsidRDefault="000612F2" w:rsidP="000612F2">
            <w:pPr>
              <w:jc w:val="both"/>
              <w:rPr>
                <w:rFonts w:eastAsia="Calibri"/>
                <w:highlight w:val="lightGray"/>
              </w:rPr>
            </w:pPr>
          </w:p>
        </w:tc>
      </w:tr>
      <w:tr w:rsidR="000612F2" w:rsidRPr="00860BD5" w14:paraId="197D1703" w14:textId="77777777" w:rsidTr="003B465F">
        <w:trPr>
          <w:tblCellSpacing w:w="20" w:type="dxa"/>
        </w:trPr>
        <w:tc>
          <w:tcPr>
            <w:tcW w:w="1492" w:type="dxa"/>
            <w:shd w:val="clear" w:color="auto" w:fill="auto"/>
            <w:hideMark/>
          </w:tcPr>
          <w:p w14:paraId="5B9AE226" w14:textId="77777777" w:rsidR="000612F2" w:rsidRPr="00860BD5" w:rsidRDefault="000612F2" w:rsidP="000612F2">
            <w:pPr>
              <w:rPr>
                <w:lang w:eastAsia="en-US"/>
              </w:rPr>
            </w:pPr>
            <w:r w:rsidRPr="00860BD5">
              <w:rPr>
                <w:lang w:eastAsia="en-US"/>
              </w:rPr>
              <w:lastRenderedPageBreak/>
              <w:t>6.1. detalizēts ieņēmumu aprēķins</w:t>
            </w:r>
          </w:p>
        </w:tc>
        <w:tc>
          <w:tcPr>
            <w:tcW w:w="7736" w:type="dxa"/>
            <w:gridSpan w:val="7"/>
            <w:vMerge/>
            <w:vAlign w:val="center"/>
            <w:hideMark/>
          </w:tcPr>
          <w:p w14:paraId="5FE2C3C4" w14:textId="77777777" w:rsidR="000612F2" w:rsidRPr="00860BD5" w:rsidRDefault="000612F2" w:rsidP="000612F2">
            <w:pPr>
              <w:jc w:val="center"/>
              <w:rPr>
                <w:lang w:eastAsia="en-US"/>
              </w:rPr>
            </w:pPr>
          </w:p>
        </w:tc>
      </w:tr>
      <w:tr w:rsidR="000612F2" w:rsidRPr="00860BD5" w14:paraId="79F146D2" w14:textId="77777777" w:rsidTr="003B465F">
        <w:trPr>
          <w:tblCellSpacing w:w="20" w:type="dxa"/>
        </w:trPr>
        <w:tc>
          <w:tcPr>
            <w:tcW w:w="1492" w:type="dxa"/>
            <w:shd w:val="clear" w:color="auto" w:fill="auto"/>
            <w:hideMark/>
          </w:tcPr>
          <w:p w14:paraId="6EE89BA3" w14:textId="77777777" w:rsidR="000612F2" w:rsidRPr="00860BD5" w:rsidRDefault="000612F2" w:rsidP="000612F2">
            <w:pPr>
              <w:rPr>
                <w:lang w:eastAsia="en-US"/>
              </w:rPr>
            </w:pPr>
            <w:r w:rsidRPr="00860BD5">
              <w:rPr>
                <w:lang w:eastAsia="en-US"/>
              </w:rPr>
              <w:t>6.2. detalizēts izdevumu aprēķins</w:t>
            </w:r>
          </w:p>
        </w:tc>
        <w:tc>
          <w:tcPr>
            <w:tcW w:w="7736" w:type="dxa"/>
            <w:gridSpan w:val="7"/>
            <w:vMerge/>
            <w:vAlign w:val="center"/>
            <w:hideMark/>
          </w:tcPr>
          <w:p w14:paraId="6CA7BC57" w14:textId="77777777" w:rsidR="000612F2" w:rsidRPr="00860BD5" w:rsidRDefault="000612F2" w:rsidP="000612F2">
            <w:pPr>
              <w:jc w:val="center"/>
              <w:rPr>
                <w:lang w:eastAsia="en-US"/>
              </w:rPr>
            </w:pPr>
          </w:p>
        </w:tc>
      </w:tr>
      <w:tr w:rsidR="000612F2" w:rsidRPr="00860BD5" w14:paraId="0B3541DB" w14:textId="77777777" w:rsidTr="003B465F">
        <w:trPr>
          <w:tblCellSpacing w:w="20" w:type="dxa"/>
        </w:trPr>
        <w:tc>
          <w:tcPr>
            <w:tcW w:w="1492" w:type="dxa"/>
            <w:shd w:val="clear" w:color="auto" w:fill="auto"/>
            <w:hideMark/>
          </w:tcPr>
          <w:p w14:paraId="3836D1D0" w14:textId="77777777" w:rsidR="000612F2" w:rsidRPr="00860BD5" w:rsidRDefault="000612F2" w:rsidP="000612F2">
            <w:pPr>
              <w:rPr>
                <w:lang w:eastAsia="en-US"/>
              </w:rPr>
            </w:pPr>
            <w:r w:rsidRPr="00860BD5">
              <w:rPr>
                <w:lang w:eastAsia="en-US"/>
              </w:rPr>
              <w:t>7. Amata vietu skaita izmaiņas</w:t>
            </w:r>
          </w:p>
        </w:tc>
        <w:tc>
          <w:tcPr>
            <w:tcW w:w="7736" w:type="dxa"/>
            <w:gridSpan w:val="7"/>
            <w:shd w:val="clear" w:color="auto" w:fill="auto"/>
            <w:hideMark/>
          </w:tcPr>
          <w:p w14:paraId="2A1BE537" w14:textId="7ACB4248" w:rsidR="000612F2" w:rsidRPr="00860BD5" w:rsidRDefault="000612F2" w:rsidP="000612F2">
            <w:pPr>
              <w:rPr>
                <w:lang w:eastAsia="en-US"/>
              </w:rPr>
            </w:pPr>
            <w:r>
              <w:rPr>
                <w:lang w:eastAsia="en-US"/>
              </w:rPr>
              <w:t>Nav</w:t>
            </w:r>
          </w:p>
        </w:tc>
      </w:tr>
      <w:tr w:rsidR="000612F2" w:rsidRPr="00860BD5" w14:paraId="597894D8" w14:textId="77777777" w:rsidTr="003B465F">
        <w:trPr>
          <w:tblCellSpacing w:w="20" w:type="dxa"/>
        </w:trPr>
        <w:tc>
          <w:tcPr>
            <w:tcW w:w="1492" w:type="dxa"/>
            <w:shd w:val="clear" w:color="auto" w:fill="auto"/>
            <w:hideMark/>
          </w:tcPr>
          <w:p w14:paraId="152C1DFE" w14:textId="77777777" w:rsidR="000612F2" w:rsidRPr="00860BD5" w:rsidRDefault="000612F2" w:rsidP="000612F2">
            <w:pPr>
              <w:rPr>
                <w:lang w:eastAsia="en-US"/>
              </w:rPr>
            </w:pPr>
            <w:r w:rsidRPr="00860BD5">
              <w:rPr>
                <w:lang w:eastAsia="en-US"/>
              </w:rPr>
              <w:t>8. Cita informācija</w:t>
            </w:r>
          </w:p>
        </w:tc>
        <w:tc>
          <w:tcPr>
            <w:tcW w:w="7736" w:type="dxa"/>
            <w:gridSpan w:val="7"/>
            <w:shd w:val="clear" w:color="auto" w:fill="auto"/>
            <w:hideMark/>
          </w:tcPr>
          <w:p w14:paraId="58874BEC" w14:textId="4043BF93" w:rsidR="000612F2" w:rsidRPr="00860BD5" w:rsidRDefault="000612F2" w:rsidP="000612F2">
            <w:pPr>
              <w:rPr>
                <w:lang w:eastAsia="en-US"/>
              </w:rPr>
            </w:pPr>
            <w:r w:rsidRPr="00860BD5">
              <w:rPr>
                <w:lang w:eastAsia="en-US"/>
              </w:rPr>
              <w:t>Nav</w:t>
            </w:r>
          </w:p>
        </w:tc>
      </w:tr>
    </w:tbl>
    <w:p w14:paraId="18960E10" w14:textId="3B28C98D" w:rsidR="00D927C3" w:rsidRDefault="00D927C3" w:rsidP="000D186F">
      <w:pPr>
        <w:pStyle w:val="Title"/>
        <w:spacing w:before="130" w:line="260" w:lineRule="exact"/>
        <w:ind w:firstLine="539"/>
        <w:jc w:val="both"/>
        <w:rPr>
          <w:sz w:val="24"/>
          <w:szCs w:val="24"/>
        </w:rPr>
      </w:pPr>
    </w:p>
    <w:p w14:paraId="26C8F92C" w14:textId="77777777" w:rsidR="005371AA" w:rsidRPr="00860BD5" w:rsidRDefault="005371AA" w:rsidP="000D186F">
      <w:pPr>
        <w:pStyle w:val="Title"/>
        <w:spacing w:before="130" w:line="260" w:lineRule="exact"/>
        <w:ind w:firstLine="539"/>
        <w:jc w:val="both"/>
        <w:rPr>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0D186F" w:rsidRPr="00860BD5" w14:paraId="3B1EAA67" w14:textId="77777777" w:rsidTr="00270B48">
        <w:trPr>
          <w:cantSplit/>
          <w:tblCellSpacing w:w="20" w:type="dxa"/>
        </w:trPr>
        <w:tc>
          <w:tcPr>
            <w:tcW w:w="5000" w:type="pct"/>
            <w:vAlign w:val="center"/>
            <w:hideMark/>
          </w:tcPr>
          <w:p w14:paraId="56CE1594" w14:textId="6C1AE6B5" w:rsidR="000D186F" w:rsidRPr="00860BD5" w:rsidRDefault="007E190A" w:rsidP="007C2FD2">
            <w:pPr>
              <w:jc w:val="center"/>
              <w:rPr>
                <w:b/>
                <w:bCs/>
              </w:rPr>
            </w:pPr>
            <w:r w:rsidRPr="00860BD5">
              <w:rPr>
                <w:b/>
                <w:bCs/>
              </w:rPr>
              <w:t>IV. Tiesību akta projekta ietekme uz spēkā esošo tiesību normu sistēmu</w:t>
            </w:r>
          </w:p>
        </w:tc>
      </w:tr>
      <w:tr w:rsidR="00FB12E6" w:rsidRPr="00860BD5" w14:paraId="2BFD4C01" w14:textId="77777777" w:rsidTr="00270B48">
        <w:trPr>
          <w:cantSplit/>
          <w:tblCellSpacing w:w="20" w:type="dxa"/>
        </w:trPr>
        <w:tc>
          <w:tcPr>
            <w:tcW w:w="5000" w:type="pct"/>
            <w:vAlign w:val="center"/>
          </w:tcPr>
          <w:p w14:paraId="1A543837" w14:textId="0B14B9C8" w:rsidR="00FB12E6" w:rsidRPr="00860BD5" w:rsidRDefault="00FB12E6" w:rsidP="00FB12E6">
            <w:pPr>
              <w:rPr>
                <w:b/>
                <w:bCs/>
              </w:rPr>
            </w:pPr>
            <w:r w:rsidRPr="00102AE2">
              <w:rPr>
                <w:bCs/>
                <w:lang w:eastAsia="en-US"/>
              </w:rPr>
              <w:t>Projekts šo jomu neskar</w:t>
            </w:r>
          </w:p>
        </w:tc>
      </w:tr>
    </w:tbl>
    <w:p w14:paraId="383E95EA" w14:textId="2663C9D2" w:rsidR="000D186F" w:rsidRDefault="000D186F" w:rsidP="00BF7F7B">
      <w:pPr>
        <w:pStyle w:val="Title"/>
        <w:spacing w:before="130" w:line="260" w:lineRule="exact"/>
        <w:jc w:val="both"/>
        <w:rPr>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7E190A" w:rsidRPr="00860BD5" w14:paraId="6CE5E712" w14:textId="77777777" w:rsidTr="00617717">
        <w:trPr>
          <w:cantSplit/>
          <w:tblCellSpacing w:w="20" w:type="dxa"/>
        </w:trPr>
        <w:tc>
          <w:tcPr>
            <w:tcW w:w="5000" w:type="pct"/>
            <w:vAlign w:val="center"/>
            <w:hideMark/>
          </w:tcPr>
          <w:p w14:paraId="523596C5" w14:textId="77777777" w:rsidR="007E190A" w:rsidRPr="00860BD5" w:rsidRDefault="007E190A" w:rsidP="00617717">
            <w:pPr>
              <w:jc w:val="center"/>
              <w:rPr>
                <w:b/>
                <w:bCs/>
              </w:rPr>
            </w:pPr>
            <w:r w:rsidRPr="00860BD5">
              <w:rPr>
                <w:b/>
                <w:bCs/>
              </w:rPr>
              <w:t>V. Tiesību akta projekta atbilstība Latvijas Republikas starptautiskajām saistībām</w:t>
            </w:r>
          </w:p>
        </w:tc>
      </w:tr>
      <w:tr w:rsidR="007E190A" w:rsidRPr="00860BD5" w14:paraId="54D88780" w14:textId="77777777" w:rsidTr="00617717">
        <w:trPr>
          <w:cantSplit/>
          <w:tblCellSpacing w:w="20" w:type="dxa"/>
        </w:trPr>
        <w:tc>
          <w:tcPr>
            <w:tcW w:w="5000" w:type="pct"/>
            <w:vAlign w:val="center"/>
          </w:tcPr>
          <w:p w14:paraId="4ADE7FC5" w14:textId="77777777" w:rsidR="007E190A" w:rsidRPr="00860BD5" w:rsidRDefault="007E190A" w:rsidP="00617717">
            <w:pPr>
              <w:rPr>
                <w:b/>
                <w:bCs/>
              </w:rPr>
            </w:pPr>
            <w:r w:rsidRPr="00102AE2">
              <w:rPr>
                <w:bCs/>
                <w:lang w:eastAsia="en-US"/>
              </w:rPr>
              <w:t>Projekts šo jomu neskar</w:t>
            </w:r>
          </w:p>
        </w:tc>
      </w:tr>
    </w:tbl>
    <w:p w14:paraId="1C965646" w14:textId="77777777" w:rsidR="007E190A" w:rsidRPr="00860BD5" w:rsidRDefault="007E190A" w:rsidP="00BF7F7B">
      <w:pPr>
        <w:pStyle w:val="Title"/>
        <w:spacing w:before="130" w:line="260" w:lineRule="exact"/>
        <w:jc w:val="both"/>
        <w:rPr>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3142"/>
        <w:gridCol w:w="4582"/>
      </w:tblGrid>
      <w:tr w:rsidR="000D186F" w:rsidRPr="00860BD5" w14:paraId="1D2DFB45" w14:textId="77777777" w:rsidTr="00270B48">
        <w:trPr>
          <w:cantSplit/>
          <w:tblCellSpacing w:w="20" w:type="dxa"/>
        </w:trPr>
        <w:tc>
          <w:tcPr>
            <w:tcW w:w="5000" w:type="pct"/>
            <w:gridSpan w:val="3"/>
            <w:vAlign w:val="center"/>
            <w:hideMark/>
          </w:tcPr>
          <w:p w14:paraId="5409F5F8" w14:textId="77777777" w:rsidR="000D186F" w:rsidRPr="00860BD5" w:rsidRDefault="000D186F" w:rsidP="007C2FD2">
            <w:pPr>
              <w:jc w:val="center"/>
              <w:rPr>
                <w:b/>
                <w:bCs/>
              </w:rPr>
            </w:pPr>
            <w:r w:rsidRPr="00860BD5">
              <w:rPr>
                <w:b/>
                <w:bCs/>
              </w:rPr>
              <w:t>VI. Sabiedrības līdzdalība un komunikācijas aktivitātes</w:t>
            </w:r>
          </w:p>
        </w:tc>
      </w:tr>
      <w:tr w:rsidR="000D186F" w:rsidRPr="00860BD5" w14:paraId="1D35F839" w14:textId="77777777" w:rsidTr="00270B48">
        <w:trPr>
          <w:cantSplit/>
          <w:tblCellSpacing w:w="20" w:type="dxa"/>
        </w:trPr>
        <w:tc>
          <w:tcPr>
            <w:tcW w:w="311" w:type="pct"/>
            <w:hideMark/>
          </w:tcPr>
          <w:p w14:paraId="080D472F" w14:textId="77777777" w:rsidR="000D186F" w:rsidRPr="00860BD5" w:rsidRDefault="000D186F" w:rsidP="007C2FD2">
            <w:pPr>
              <w:jc w:val="center"/>
            </w:pPr>
            <w:r w:rsidRPr="00860BD5">
              <w:t>1.</w:t>
            </w:r>
          </w:p>
        </w:tc>
        <w:tc>
          <w:tcPr>
            <w:tcW w:w="1908" w:type="pct"/>
            <w:hideMark/>
          </w:tcPr>
          <w:p w14:paraId="007083A3" w14:textId="77777777" w:rsidR="000D186F" w:rsidRPr="00860BD5" w:rsidRDefault="000D186F" w:rsidP="007C2FD2">
            <w:r w:rsidRPr="00860BD5">
              <w:t>Plānotās sabiedrības līdzdalības un komunikācijas aktivitātes saistībā ar projektu</w:t>
            </w:r>
          </w:p>
        </w:tc>
        <w:tc>
          <w:tcPr>
            <w:tcW w:w="2781" w:type="pct"/>
            <w:hideMark/>
          </w:tcPr>
          <w:p w14:paraId="7776A21C" w14:textId="2E58688F" w:rsidR="00B8529E" w:rsidRPr="00860BD5" w:rsidRDefault="00B8529E" w:rsidP="007C2FD2">
            <w:r w:rsidRPr="006B41F7">
              <w:t>Sabiedrības līdzdalības pasākumu organizēt nav nepieciešams, jo projekts neietekmē sabiedrību tiešā veidā.</w:t>
            </w:r>
          </w:p>
        </w:tc>
      </w:tr>
      <w:tr w:rsidR="000D186F" w:rsidRPr="00860BD5" w14:paraId="7954FA09" w14:textId="77777777" w:rsidTr="00270B48">
        <w:trPr>
          <w:cantSplit/>
          <w:tblCellSpacing w:w="20" w:type="dxa"/>
        </w:trPr>
        <w:tc>
          <w:tcPr>
            <w:tcW w:w="311" w:type="pct"/>
            <w:hideMark/>
          </w:tcPr>
          <w:p w14:paraId="3A805EE0" w14:textId="77777777" w:rsidR="000D186F" w:rsidRPr="00860BD5" w:rsidRDefault="000D186F" w:rsidP="007C2FD2">
            <w:pPr>
              <w:jc w:val="center"/>
            </w:pPr>
            <w:r w:rsidRPr="00860BD5">
              <w:t>2.</w:t>
            </w:r>
          </w:p>
        </w:tc>
        <w:tc>
          <w:tcPr>
            <w:tcW w:w="1908" w:type="pct"/>
            <w:hideMark/>
          </w:tcPr>
          <w:p w14:paraId="69C48BBE" w14:textId="77777777" w:rsidR="000D186F" w:rsidRPr="00860BD5" w:rsidRDefault="000D186F" w:rsidP="007C2FD2">
            <w:r w:rsidRPr="00860BD5">
              <w:t>Sabiedrības līdzdalība projekta izstrādē</w:t>
            </w:r>
          </w:p>
        </w:tc>
        <w:tc>
          <w:tcPr>
            <w:tcW w:w="2781" w:type="pct"/>
          </w:tcPr>
          <w:p w14:paraId="3431E618" w14:textId="5B4B24D0" w:rsidR="000D186F" w:rsidRPr="00860BD5" w:rsidRDefault="00BF7F7B" w:rsidP="007C2FD2">
            <w:r>
              <w:t>Nav attiecināms</w:t>
            </w:r>
          </w:p>
        </w:tc>
      </w:tr>
      <w:tr w:rsidR="000D186F" w:rsidRPr="00860BD5" w14:paraId="50F0853B" w14:textId="77777777" w:rsidTr="00270B48">
        <w:trPr>
          <w:cantSplit/>
          <w:tblCellSpacing w:w="20" w:type="dxa"/>
        </w:trPr>
        <w:tc>
          <w:tcPr>
            <w:tcW w:w="311" w:type="pct"/>
            <w:hideMark/>
          </w:tcPr>
          <w:p w14:paraId="4C092ADF" w14:textId="77777777" w:rsidR="000D186F" w:rsidRPr="00860BD5" w:rsidRDefault="000D186F" w:rsidP="007C2FD2">
            <w:pPr>
              <w:jc w:val="center"/>
            </w:pPr>
            <w:r w:rsidRPr="00860BD5">
              <w:t>3.</w:t>
            </w:r>
          </w:p>
        </w:tc>
        <w:tc>
          <w:tcPr>
            <w:tcW w:w="1908" w:type="pct"/>
            <w:hideMark/>
          </w:tcPr>
          <w:p w14:paraId="16BE93BE" w14:textId="77777777" w:rsidR="000D186F" w:rsidRPr="00860BD5" w:rsidRDefault="000D186F" w:rsidP="007C2FD2">
            <w:r w:rsidRPr="00860BD5">
              <w:t>Sabiedrības līdzdalības rezultāti</w:t>
            </w:r>
          </w:p>
        </w:tc>
        <w:tc>
          <w:tcPr>
            <w:tcW w:w="2781" w:type="pct"/>
          </w:tcPr>
          <w:p w14:paraId="283694A0" w14:textId="6CD03340" w:rsidR="000D186F" w:rsidRPr="00860BD5" w:rsidRDefault="00BF7F7B" w:rsidP="007C2FD2">
            <w:r>
              <w:t>Nav attiecināms</w:t>
            </w:r>
          </w:p>
        </w:tc>
      </w:tr>
      <w:tr w:rsidR="000D186F" w:rsidRPr="00860BD5" w14:paraId="23DCC8A0" w14:textId="77777777" w:rsidTr="00270B48">
        <w:trPr>
          <w:cantSplit/>
          <w:tblCellSpacing w:w="20" w:type="dxa"/>
        </w:trPr>
        <w:tc>
          <w:tcPr>
            <w:tcW w:w="311" w:type="pct"/>
            <w:hideMark/>
          </w:tcPr>
          <w:p w14:paraId="363410BC" w14:textId="77777777" w:rsidR="000D186F" w:rsidRPr="00860BD5" w:rsidRDefault="000D186F" w:rsidP="007C2FD2">
            <w:pPr>
              <w:jc w:val="center"/>
            </w:pPr>
            <w:r w:rsidRPr="00860BD5">
              <w:t>4.</w:t>
            </w:r>
          </w:p>
        </w:tc>
        <w:tc>
          <w:tcPr>
            <w:tcW w:w="1908" w:type="pct"/>
            <w:hideMark/>
          </w:tcPr>
          <w:p w14:paraId="0672D025" w14:textId="77777777" w:rsidR="000D186F" w:rsidRPr="00860BD5" w:rsidRDefault="000D186F" w:rsidP="007C2FD2">
            <w:r w:rsidRPr="00860BD5">
              <w:t>Cita informācija</w:t>
            </w:r>
          </w:p>
        </w:tc>
        <w:tc>
          <w:tcPr>
            <w:tcW w:w="2781" w:type="pct"/>
            <w:hideMark/>
          </w:tcPr>
          <w:p w14:paraId="2B326E1A" w14:textId="15DA2522" w:rsidR="000D186F" w:rsidRPr="00A43CA4" w:rsidRDefault="00BF7F7B" w:rsidP="007C2FD2">
            <w:pPr>
              <w:jc w:val="both"/>
              <w:rPr>
                <w:lang w:eastAsia="en-US"/>
              </w:rPr>
            </w:pPr>
            <w:r>
              <w:rPr>
                <w:lang w:eastAsia="en-US"/>
              </w:rPr>
              <w:t>Nav</w:t>
            </w:r>
          </w:p>
          <w:p w14:paraId="48B6B223" w14:textId="77777777" w:rsidR="000D186F" w:rsidRPr="00860BD5" w:rsidRDefault="000D186F" w:rsidP="007C2FD2"/>
        </w:tc>
      </w:tr>
    </w:tbl>
    <w:p w14:paraId="680968C8" w14:textId="31D1F9DE" w:rsidR="000D186F" w:rsidRDefault="000D186F" w:rsidP="000D186F">
      <w:pPr>
        <w:pStyle w:val="Title"/>
        <w:spacing w:before="130" w:line="260" w:lineRule="exact"/>
        <w:ind w:firstLine="539"/>
        <w:jc w:val="both"/>
        <w:rPr>
          <w:sz w:val="24"/>
          <w:szCs w:val="24"/>
        </w:rPr>
      </w:pPr>
    </w:p>
    <w:p w14:paraId="5F6B870C" w14:textId="77777777" w:rsidR="005371AA" w:rsidRDefault="005371AA" w:rsidP="000D186F">
      <w:pPr>
        <w:pStyle w:val="Title"/>
        <w:spacing w:before="130" w:line="260" w:lineRule="exact"/>
        <w:ind w:firstLine="539"/>
        <w:jc w:val="both"/>
        <w:rPr>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60"/>
        <w:gridCol w:w="3112"/>
        <w:gridCol w:w="4618"/>
      </w:tblGrid>
      <w:tr w:rsidR="000D186F" w:rsidRPr="00860BD5" w14:paraId="0FAB58CD" w14:textId="77777777" w:rsidTr="005371AA">
        <w:trPr>
          <w:tblCellSpacing w:w="20" w:type="dxa"/>
        </w:trPr>
        <w:tc>
          <w:tcPr>
            <w:tcW w:w="4952" w:type="pct"/>
            <w:gridSpan w:val="3"/>
            <w:vAlign w:val="center"/>
            <w:hideMark/>
          </w:tcPr>
          <w:p w14:paraId="4C05A582" w14:textId="77777777" w:rsidR="000D186F" w:rsidRPr="00860BD5" w:rsidRDefault="000D186F" w:rsidP="007C2FD2">
            <w:pPr>
              <w:jc w:val="center"/>
              <w:rPr>
                <w:b/>
                <w:bCs/>
              </w:rPr>
            </w:pPr>
            <w:r w:rsidRPr="00860BD5">
              <w:rPr>
                <w:b/>
                <w:bCs/>
              </w:rPr>
              <w:t>VII. Tiesību akta projekta izpildes nodrošināšana un tās ietekme uz institūcijām</w:t>
            </w:r>
          </w:p>
        </w:tc>
      </w:tr>
      <w:tr w:rsidR="000D186F" w:rsidRPr="00860BD5" w14:paraId="6A3EB480" w14:textId="77777777" w:rsidTr="005371AA">
        <w:trPr>
          <w:tblCellSpacing w:w="20" w:type="dxa"/>
        </w:trPr>
        <w:tc>
          <w:tcPr>
            <w:tcW w:w="305" w:type="pct"/>
            <w:hideMark/>
          </w:tcPr>
          <w:p w14:paraId="3B7A6B84" w14:textId="77777777" w:rsidR="000D186F" w:rsidRPr="00860BD5" w:rsidRDefault="000D186F" w:rsidP="007C2FD2">
            <w:pPr>
              <w:jc w:val="center"/>
            </w:pPr>
            <w:r w:rsidRPr="00860BD5">
              <w:t>1.</w:t>
            </w:r>
          </w:p>
        </w:tc>
        <w:tc>
          <w:tcPr>
            <w:tcW w:w="1871" w:type="pct"/>
            <w:hideMark/>
          </w:tcPr>
          <w:p w14:paraId="627B85E3" w14:textId="77777777" w:rsidR="000D186F" w:rsidRPr="00860BD5" w:rsidRDefault="000D186F" w:rsidP="007C2FD2">
            <w:r w:rsidRPr="00860BD5">
              <w:t>Projekta izpildē iesaistītās institūcijas</w:t>
            </w:r>
          </w:p>
        </w:tc>
        <w:tc>
          <w:tcPr>
            <w:tcW w:w="2727" w:type="pct"/>
            <w:hideMark/>
          </w:tcPr>
          <w:p w14:paraId="5E439BAA" w14:textId="407EEC03" w:rsidR="00BF7F7B" w:rsidRDefault="000D186F" w:rsidP="00BF7F7B">
            <w:pPr>
              <w:jc w:val="both"/>
            </w:pPr>
            <w:r>
              <w:t>Nacionālais veselības dienests</w:t>
            </w:r>
            <w:r w:rsidR="00C867FE">
              <w:t xml:space="preserve">, </w:t>
            </w:r>
            <w:r w:rsidR="00BF7F7B">
              <w:t>Zāļu valsts aģentūra</w:t>
            </w:r>
            <w:r w:rsidR="00AC2291">
              <w:t xml:space="preserve">, </w:t>
            </w:r>
            <w:r w:rsidR="00BF7F7B">
              <w:t>Veselības inspekcija</w:t>
            </w:r>
            <w:r w:rsidR="00AC2291">
              <w:t>.</w:t>
            </w:r>
          </w:p>
          <w:p w14:paraId="60810C9F" w14:textId="77777777" w:rsidR="000D186F" w:rsidRDefault="000D186F" w:rsidP="007C2FD2">
            <w:pPr>
              <w:jc w:val="both"/>
            </w:pPr>
          </w:p>
          <w:p w14:paraId="51CE166A" w14:textId="00501055" w:rsidR="000D186F" w:rsidRPr="00860BD5" w:rsidRDefault="000D186F" w:rsidP="007C2FD2"/>
        </w:tc>
      </w:tr>
      <w:tr w:rsidR="000D186F" w:rsidRPr="00860BD5" w14:paraId="6522B894" w14:textId="77777777" w:rsidTr="005371AA">
        <w:trPr>
          <w:tblCellSpacing w:w="20" w:type="dxa"/>
        </w:trPr>
        <w:tc>
          <w:tcPr>
            <w:tcW w:w="305" w:type="pct"/>
            <w:hideMark/>
          </w:tcPr>
          <w:p w14:paraId="029F8418" w14:textId="77777777" w:rsidR="000D186F" w:rsidRPr="00860BD5" w:rsidRDefault="000D186F" w:rsidP="007C2FD2">
            <w:pPr>
              <w:jc w:val="center"/>
            </w:pPr>
            <w:r w:rsidRPr="00860BD5">
              <w:t>2.</w:t>
            </w:r>
          </w:p>
        </w:tc>
        <w:tc>
          <w:tcPr>
            <w:tcW w:w="1871" w:type="pct"/>
            <w:hideMark/>
          </w:tcPr>
          <w:p w14:paraId="3C9B4E48" w14:textId="77777777" w:rsidR="000D186F" w:rsidRPr="00860BD5" w:rsidRDefault="000D186F" w:rsidP="007C2FD2">
            <w:r w:rsidRPr="00860BD5">
              <w:t>Projekta izpildes ietekme uz pārvaldes funkcijām un institucionālo struktūru.</w:t>
            </w:r>
            <w:r w:rsidRPr="00860BD5">
              <w:br/>
              <w:t>Jaunu institūciju izveide, esošu institūciju likvidācija vai reorganizācija, to ietekme uz institūcijas cilvēkresursiem</w:t>
            </w:r>
          </w:p>
        </w:tc>
        <w:tc>
          <w:tcPr>
            <w:tcW w:w="2727" w:type="pct"/>
            <w:hideMark/>
          </w:tcPr>
          <w:p w14:paraId="2D16F787" w14:textId="77777777" w:rsidR="000D186F" w:rsidRPr="00860BD5" w:rsidRDefault="000D186F" w:rsidP="007C2FD2">
            <w:r w:rsidRPr="003A3B4F">
              <w:t>Nav attiecināms</w:t>
            </w:r>
          </w:p>
        </w:tc>
      </w:tr>
      <w:tr w:rsidR="000D186F" w:rsidRPr="00860BD5" w14:paraId="433E5E29" w14:textId="77777777" w:rsidTr="005371AA">
        <w:trPr>
          <w:tblCellSpacing w:w="20" w:type="dxa"/>
        </w:trPr>
        <w:tc>
          <w:tcPr>
            <w:tcW w:w="305" w:type="pct"/>
            <w:hideMark/>
          </w:tcPr>
          <w:p w14:paraId="000FEAFF" w14:textId="77777777" w:rsidR="000D186F" w:rsidRPr="00860BD5" w:rsidRDefault="000D186F" w:rsidP="007C2FD2">
            <w:pPr>
              <w:jc w:val="center"/>
            </w:pPr>
            <w:r w:rsidRPr="00860BD5">
              <w:lastRenderedPageBreak/>
              <w:t>3.</w:t>
            </w:r>
          </w:p>
        </w:tc>
        <w:tc>
          <w:tcPr>
            <w:tcW w:w="1871" w:type="pct"/>
            <w:hideMark/>
          </w:tcPr>
          <w:p w14:paraId="7DB6FB52" w14:textId="77777777" w:rsidR="000D186F" w:rsidRPr="00860BD5" w:rsidRDefault="000D186F" w:rsidP="007C2FD2">
            <w:r w:rsidRPr="00860BD5">
              <w:t>Cita informācija</w:t>
            </w:r>
          </w:p>
        </w:tc>
        <w:tc>
          <w:tcPr>
            <w:tcW w:w="2727" w:type="pct"/>
            <w:hideMark/>
          </w:tcPr>
          <w:p w14:paraId="6FD46BF4" w14:textId="77777777" w:rsidR="000D186F" w:rsidRPr="00860BD5" w:rsidRDefault="000D186F" w:rsidP="007C2FD2">
            <w:r w:rsidRPr="00860BD5">
              <w:t>Nav</w:t>
            </w:r>
          </w:p>
        </w:tc>
      </w:tr>
    </w:tbl>
    <w:p w14:paraId="4AAF21BC" w14:textId="77777777" w:rsidR="000D186F" w:rsidRDefault="000D186F" w:rsidP="000D186F"/>
    <w:p w14:paraId="3BAE1724" w14:textId="77777777" w:rsidR="000D186F" w:rsidRDefault="000D186F" w:rsidP="000D186F"/>
    <w:p w14:paraId="20BAA4DC" w14:textId="7CAA0828" w:rsidR="000D186F" w:rsidRPr="00BF7F7B" w:rsidRDefault="000D186F" w:rsidP="000D186F">
      <w:pPr>
        <w:tabs>
          <w:tab w:val="left" w:pos="6379"/>
          <w:tab w:val="left" w:pos="6804"/>
        </w:tabs>
        <w:jc w:val="both"/>
      </w:pPr>
      <w:r w:rsidRPr="00BF7F7B">
        <w:t xml:space="preserve">Veselības ministrs                                                                  </w:t>
      </w:r>
      <w:proofErr w:type="spellStart"/>
      <w:r w:rsidRPr="00BF7F7B">
        <w:t>D.Pavļuts</w:t>
      </w:r>
      <w:proofErr w:type="spellEnd"/>
    </w:p>
    <w:p w14:paraId="33534B2A" w14:textId="77777777" w:rsidR="000D186F" w:rsidRPr="00BF7F7B" w:rsidRDefault="000D186F" w:rsidP="000D186F">
      <w:pPr>
        <w:overflowPunct w:val="0"/>
        <w:autoSpaceDE w:val="0"/>
        <w:autoSpaceDN w:val="0"/>
        <w:adjustRightInd w:val="0"/>
        <w:jc w:val="both"/>
        <w:textAlignment w:val="baseline"/>
      </w:pPr>
    </w:p>
    <w:p w14:paraId="6DF33850" w14:textId="77777777" w:rsidR="00B178A4" w:rsidRPr="00BF7F7B" w:rsidRDefault="00B178A4" w:rsidP="00B178A4">
      <w:r w:rsidRPr="00BF7F7B">
        <w:t xml:space="preserve">Vīza: </w:t>
      </w:r>
      <w:r>
        <w:t>v</w:t>
      </w:r>
      <w:r w:rsidRPr="00BF7F7B">
        <w:t>alsts sekretāre</w:t>
      </w:r>
      <w:r w:rsidRPr="00BF7F7B">
        <w:tab/>
      </w:r>
      <w:r w:rsidRPr="00BF7F7B">
        <w:tab/>
      </w:r>
      <w:r w:rsidRPr="00BF7F7B">
        <w:tab/>
      </w:r>
      <w:r w:rsidRPr="00BF7F7B">
        <w:tab/>
      </w:r>
      <w:r w:rsidRPr="00BF7F7B">
        <w:tab/>
      </w:r>
      <w:r w:rsidRPr="00BF7F7B">
        <w:tab/>
      </w:r>
      <w:r w:rsidRPr="00BF7F7B">
        <w:rPr>
          <w:rStyle w:val="normaltextrun"/>
          <w:color w:val="000000"/>
        </w:rPr>
        <w:t>D. </w:t>
      </w:r>
      <w:r>
        <w:rPr>
          <w:rStyle w:val="normaltextrun"/>
          <w:color w:val="000000"/>
        </w:rPr>
        <w:t>Mūrmane-Umbraško</w:t>
      </w:r>
    </w:p>
    <w:p w14:paraId="1D77496D" w14:textId="77777777" w:rsidR="000D186F" w:rsidRPr="00BF7F7B" w:rsidRDefault="000D186F" w:rsidP="000D186F"/>
    <w:p w14:paraId="6F34586D" w14:textId="60C19896" w:rsidR="000D186F" w:rsidRDefault="000D186F" w:rsidP="000D186F"/>
    <w:p w14:paraId="46312FE7" w14:textId="77777777" w:rsidR="000D186F" w:rsidRDefault="000D186F" w:rsidP="000D186F"/>
    <w:p w14:paraId="51F1E7B3" w14:textId="1B422763" w:rsidR="000D186F" w:rsidRPr="00870D73" w:rsidRDefault="000D186F" w:rsidP="000D186F">
      <w:pPr>
        <w:tabs>
          <w:tab w:val="left" w:pos="6237"/>
        </w:tabs>
        <w:rPr>
          <w:sz w:val="20"/>
          <w:szCs w:val="20"/>
        </w:rPr>
      </w:pPr>
      <w:r>
        <w:rPr>
          <w:sz w:val="20"/>
          <w:szCs w:val="20"/>
        </w:rPr>
        <w:t>Lūkina</w:t>
      </w:r>
      <w:r w:rsidRPr="00870D73">
        <w:rPr>
          <w:sz w:val="20"/>
          <w:szCs w:val="20"/>
        </w:rPr>
        <w:t xml:space="preserve"> 67</w:t>
      </w:r>
      <w:r>
        <w:rPr>
          <w:sz w:val="20"/>
          <w:szCs w:val="20"/>
        </w:rPr>
        <w:t>876023</w:t>
      </w:r>
    </w:p>
    <w:p w14:paraId="3710FF5B" w14:textId="72207030" w:rsidR="009900E5" w:rsidRDefault="005371AA" w:rsidP="009900E5">
      <w:pPr>
        <w:pStyle w:val="pamattekststabul"/>
        <w:tabs>
          <w:tab w:val="left" w:pos="3119"/>
          <w:tab w:val="left" w:pos="5812"/>
        </w:tabs>
        <w:spacing w:before="0" w:beforeAutospacing="0" w:after="0" w:afterAutospacing="0"/>
        <w:jc w:val="both"/>
        <w:rPr>
          <w:sz w:val="20"/>
          <w:szCs w:val="20"/>
        </w:rPr>
      </w:pPr>
      <w:hyperlink r:id="rId8" w:history="1">
        <w:r w:rsidR="009900E5" w:rsidRPr="00206824">
          <w:rPr>
            <w:rStyle w:val="Hyperlink"/>
            <w:sz w:val="20"/>
            <w:szCs w:val="20"/>
          </w:rPr>
          <w:t>ieva.Lukina@vm.gov.lv</w:t>
        </w:r>
      </w:hyperlink>
    </w:p>
    <w:p w14:paraId="5A2768A0" w14:textId="77777777" w:rsidR="009900E5" w:rsidRDefault="009900E5" w:rsidP="009900E5">
      <w:pPr>
        <w:pStyle w:val="pamattekststabul"/>
        <w:tabs>
          <w:tab w:val="left" w:pos="3119"/>
          <w:tab w:val="left" w:pos="5812"/>
        </w:tabs>
        <w:spacing w:before="0" w:beforeAutospacing="0" w:after="0" w:afterAutospacing="0"/>
        <w:jc w:val="both"/>
        <w:rPr>
          <w:sz w:val="20"/>
          <w:szCs w:val="20"/>
        </w:rPr>
      </w:pPr>
    </w:p>
    <w:p w14:paraId="2B4D9D68" w14:textId="6ED5FFC4" w:rsidR="009900E5" w:rsidRPr="005A4389" w:rsidRDefault="009900E5" w:rsidP="009900E5">
      <w:pPr>
        <w:pStyle w:val="pamattekststabul"/>
        <w:tabs>
          <w:tab w:val="left" w:pos="3119"/>
          <w:tab w:val="left" w:pos="5812"/>
        </w:tabs>
        <w:spacing w:before="0" w:beforeAutospacing="0" w:after="0" w:afterAutospacing="0"/>
        <w:jc w:val="both"/>
        <w:rPr>
          <w:sz w:val="20"/>
          <w:szCs w:val="20"/>
          <w:lang w:val="lv-LV"/>
        </w:rPr>
      </w:pPr>
      <w:r w:rsidRPr="005A4389">
        <w:rPr>
          <w:sz w:val="20"/>
          <w:szCs w:val="20"/>
        </w:rPr>
        <w:t>Bērtulsone</w:t>
      </w:r>
      <w:r w:rsidR="00E657A0">
        <w:rPr>
          <w:sz w:val="20"/>
          <w:szCs w:val="20"/>
        </w:rPr>
        <w:t xml:space="preserve"> </w:t>
      </w:r>
      <w:r w:rsidRPr="005A4389">
        <w:rPr>
          <w:sz w:val="20"/>
          <w:szCs w:val="20"/>
        </w:rPr>
        <w:t>60008321</w:t>
      </w:r>
    </w:p>
    <w:p w14:paraId="4852A1D5" w14:textId="119727AE" w:rsidR="000D186F" w:rsidRPr="00870D73" w:rsidRDefault="005371AA" w:rsidP="009900E5">
      <w:pPr>
        <w:tabs>
          <w:tab w:val="left" w:pos="0"/>
          <w:tab w:val="right" w:pos="4678"/>
        </w:tabs>
        <w:jc w:val="both"/>
        <w:rPr>
          <w:sz w:val="20"/>
          <w:szCs w:val="20"/>
        </w:rPr>
      </w:pPr>
      <w:hyperlink r:id="rId9" w:history="1">
        <w:r w:rsidR="009900E5" w:rsidRPr="00206824">
          <w:rPr>
            <w:rStyle w:val="Hyperlink"/>
            <w:sz w:val="20"/>
            <w:szCs w:val="20"/>
          </w:rPr>
          <w:t>iveta.bertulsone@vm.gov.lv</w:t>
        </w:r>
      </w:hyperlink>
      <w:r w:rsidR="009900E5">
        <w:rPr>
          <w:sz w:val="20"/>
          <w:szCs w:val="20"/>
        </w:rPr>
        <w:t xml:space="preserve"> </w:t>
      </w:r>
    </w:p>
    <w:sectPr w:rsidR="000D186F" w:rsidRPr="00870D73" w:rsidSect="006A479A">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3EF25" w14:textId="77777777" w:rsidR="00E51EB0" w:rsidRDefault="00E51EB0">
      <w:r>
        <w:separator/>
      </w:r>
    </w:p>
  </w:endnote>
  <w:endnote w:type="continuationSeparator" w:id="0">
    <w:p w14:paraId="70BC1D44" w14:textId="77777777" w:rsidR="00E51EB0" w:rsidRDefault="00E51EB0">
      <w:r>
        <w:continuationSeparator/>
      </w:r>
    </w:p>
  </w:endnote>
  <w:endnote w:type="continuationNotice" w:id="1">
    <w:p w14:paraId="6ADDB634" w14:textId="77777777" w:rsidR="00E51EB0" w:rsidRDefault="00E51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4DE8" w14:textId="585E5F25" w:rsidR="007C2FD2" w:rsidRPr="000F30E4" w:rsidRDefault="007C2FD2" w:rsidP="007C2FD2">
    <w:pPr>
      <w:pStyle w:val="Footer"/>
      <w:jc w:val="both"/>
      <w:rPr>
        <w:sz w:val="20"/>
        <w:szCs w:val="20"/>
      </w:rPr>
    </w:pPr>
    <w:r w:rsidRPr="000F30E4">
      <w:rPr>
        <w:sz w:val="20"/>
        <w:szCs w:val="20"/>
      </w:rPr>
      <w:t>VManot_</w:t>
    </w:r>
    <w:r w:rsidR="005264DD">
      <w:rPr>
        <w:sz w:val="20"/>
        <w:szCs w:val="20"/>
      </w:rPr>
      <w:t>1</w:t>
    </w:r>
    <w:r w:rsidR="008A736B">
      <w:rPr>
        <w:sz w:val="20"/>
        <w:szCs w:val="20"/>
      </w:rPr>
      <w:t>6</w:t>
    </w:r>
    <w:r w:rsidR="00C57AD3">
      <w:rPr>
        <w:sz w:val="20"/>
        <w:szCs w:val="20"/>
      </w:rPr>
      <w:t>0321</w:t>
    </w:r>
    <w:r w:rsidRPr="000F30E4">
      <w:rPr>
        <w:sz w:val="20"/>
        <w:szCs w:val="20"/>
      </w:rPr>
      <w:t>_</w:t>
    </w:r>
    <w:r w:rsidR="00EF403D">
      <w:rPr>
        <w:sz w:val="20"/>
        <w:szCs w:val="20"/>
      </w:rPr>
      <w:t>VM</w:t>
    </w:r>
    <w:r w:rsidR="00DC6A2F">
      <w:rPr>
        <w:sz w:val="20"/>
        <w:szCs w:val="20"/>
      </w:rPr>
      <w:t>_IKT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91AF" w14:textId="5AE03CC1" w:rsidR="00EF403D" w:rsidRPr="00EF403D" w:rsidRDefault="00EF403D" w:rsidP="00EF403D">
    <w:pPr>
      <w:pStyle w:val="Footer"/>
      <w:jc w:val="both"/>
      <w:rPr>
        <w:sz w:val="20"/>
        <w:szCs w:val="20"/>
      </w:rPr>
    </w:pPr>
    <w:r w:rsidRPr="000F30E4">
      <w:rPr>
        <w:sz w:val="20"/>
        <w:szCs w:val="20"/>
      </w:rPr>
      <w:t>VManot_</w:t>
    </w:r>
    <w:r w:rsidR="008D0B5C">
      <w:rPr>
        <w:sz w:val="20"/>
        <w:szCs w:val="20"/>
      </w:rPr>
      <w:t>1</w:t>
    </w:r>
    <w:r w:rsidR="008A736B">
      <w:rPr>
        <w:sz w:val="20"/>
        <w:szCs w:val="20"/>
      </w:rPr>
      <w:t>6</w:t>
    </w:r>
    <w:r w:rsidR="00C57AD3">
      <w:rPr>
        <w:sz w:val="20"/>
        <w:szCs w:val="20"/>
      </w:rPr>
      <w:t>0321</w:t>
    </w:r>
    <w:r w:rsidRPr="000F30E4">
      <w:rPr>
        <w:sz w:val="20"/>
        <w:szCs w:val="20"/>
      </w:rPr>
      <w:t>_</w:t>
    </w:r>
    <w:r>
      <w:rPr>
        <w:sz w:val="20"/>
        <w:szCs w:val="20"/>
      </w:rPr>
      <w:t>VM_IKT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F7C6B" w14:textId="77777777" w:rsidR="00E51EB0" w:rsidRDefault="00E51EB0">
      <w:r>
        <w:separator/>
      </w:r>
    </w:p>
  </w:footnote>
  <w:footnote w:type="continuationSeparator" w:id="0">
    <w:p w14:paraId="52308194" w14:textId="77777777" w:rsidR="00E51EB0" w:rsidRDefault="00E51EB0">
      <w:r>
        <w:continuationSeparator/>
      </w:r>
    </w:p>
  </w:footnote>
  <w:footnote w:type="continuationNotice" w:id="1">
    <w:p w14:paraId="43225E7C" w14:textId="77777777" w:rsidR="00E51EB0" w:rsidRDefault="00E51EB0"/>
  </w:footnote>
  <w:footnote w:id="2">
    <w:p w14:paraId="4AB89ADD" w14:textId="77777777" w:rsidR="005371AA" w:rsidRDefault="005371AA" w:rsidP="005371AA">
      <w:pPr>
        <w:pStyle w:val="FootnoteText"/>
        <w:jc w:val="both"/>
      </w:pPr>
      <w:r>
        <w:rPr>
          <w:rStyle w:val="FootnoteReference"/>
        </w:rPr>
        <w:footnoteRef/>
      </w:r>
      <w:r>
        <w:t xml:space="preserve"> </w:t>
      </w:r>
      <w:r w:rsidRPr="00945213">
        <w:rPr>
          <w:sz w:val="18"/>
        </w:rPr>
        <w:t>Eiropas Parlamenta un Padomes 2013.gada 28.decembra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147893"/>
      <w:docPartObj>
        <w:docPartGallery w:val="Page Numbers (Top of Page)"/>
        <w:docPartUnique/>
      </w:docPartObj>
    </w:sdtPr>
    <w:sdtEndPr>
      <w:rPr>
        <w:noProof/>
      </w:rPr>
    </w:sdtEndPr>
    <w:sdtContent>
      <w:p w14:paraId="1D7DB988" w14:textId="66AF29B3" w:rsidR="006A479A" w:rsidRDefault="006A479A">
        <w:pPr>
          <w:pStyle w:val="Header"/>
          <w:jc w:val="center"/>
        </w:pPr>
        <w:r>
          <w:fldChar w:fldCharType="begin"/>
        </w:r>
        <w:r>
          <w:instrText xml:space="preserve"> PAGE   \* MERGEFORMAT </w:instrText>
        </w:r>
        <w:r>
          <w:fldChar w:fldCharType="separate"/>
        </w:r>
        <w:r w:rsidR="00DF5183">
          <w:rPr>
            <w:noProof/>
          </w:rPr>
          <w:t>9</w:t>
        </w:r>
        <w:r>
          <w:rPr>
            <w:noProof/>
          </w:rPr>
          <w:fldChar w:fldCharType="end"/>
        </w:r>
      </w:p>
    </w:sdtContent>
  </w:sdt>
  <w:p w14:paraId="2E01108E" w14:textId="77777777" w:rsidR="001A707D" w:rsidRDefault="001A7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71A50"/>
    <w:multiLevelType w:val="hybridMultilevel"/>
    <w:tmpl w:val="A65EE9D2"/>
    <w:lvl w:ilvl="0" w:tplc="F9A6E708">
      <w:start w:val="3"/>
      <w:numFmt w:val="bullet"/>
      <w:lvlText w:val="-"/>
      <w:lvlJc w:val="left"/>
      <w:pPr>
        <w:ind w:left="108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C683477"/>
    <w:multiLevelType w:val="hybridMultilevel"/>
    <w:tmpl w:val="9796ECB8"/>
    <w:lvl w:ilvl="0" w:tplc="FE8A9C38">
      <w:start w:val="28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A24153"/>
    <w:multiLevelType w:val="multilevel"/>
    <w:tmpl w:val="5D88A7E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B4D70A9"/>
    <w:multiLevelType w:val="hybridMultilevel"/>
    <w:tmpl w:val="1006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825B06"/>
    <w:multiLevelType w:val="multilevel"/>
    <w:tmpl w:val="A4D4DC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87E72ED"/>
    <w:multiLevelType w:val="hybridMultilevel"/>
    <w:tmpl w:val="71D8D3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D55C41"/>
    <w:multiLevelType w:val="hybridMultilevel"/>
    <w:tmpl w:val="E0D602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3B33CA"/>
    <w:multiLevelType w:val="hybridMultilevel"/>
    <w:tmpl w:val="E0802534"/>
    <w:lvl w:ilvl="0" w:tplc="66D8F886">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8CE0F8A"/>
    <w:multiLevelType w:val="hybridMultilevel"/>
    <w:tmpl w:val="4F7A592E"/>
    <w:lvl w:ilvl="0" w:tplc="37843F1A">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722B28D7"/>
    <w:multiLevelType w:val="hybridMultilevel"/>
    <w:tmpl w:val="E71A52E2"/>
    <w:lvl w:ilvl="0" w:tplc="13C4C3DC">
      <w:start w:val="1"/>
      <w:numFmt w:val="decimal"/>
      <w:lvlText w:val="%1."/>
      <w:lvlJc w:val="left"/>
      <w:pPr>
        <w:ind w:left="360" w:hanging="360"/>
      </w:pPr>
    </w:lvl>
    <w:lvl w:ilvl="1" w:tplc="65ACFDF2" w:tentative="1">
      <w:start w:val="1"/>
      <w:numFmt w:val="lowerLetter"/>
      <w:lvlText w:val="%2."/>
      <w:lvlJc w:val="left"/>
      <w:pPr>
        <w:ind w:left="1080" w:hanging="360"/>
      </w:pPr>
    </w:lvl>
    <w:lvl w:ilvl="2" w:tplc="BAA0FFEA" w:tentative="1">
      <w:start w:val="1"/>
      <w:numFmt w:val="lowerRoman"/>
      <w:lvlText w:val="%3."/>
      <w:lvlJc w:val="right"/>
      <w:pPr>
        <w:ind w:left="1800" w:hanging="180"/>
      </w:pPr>
    </w:lvl>
    <w:lvl w:ilvl="3" w:tplc="4CF81D2E" w:tentative="1">
      <w:start w:val="1"/>
      <w:numFmt w:val="decimal"/>
      <w:lvlText w:val="%4."/>
      <w:lvlJc w:val="left"/>
      <w:pPr>
        <w:ind w:left="2520" w:hanging="360"/>
      </w:pPr>
    </w:lvl>
    <w:lvl w:ilvl="4" w:tplc="B71E7EBC" w:tentative="1">
      <w:start w:val="1"/>
      <w:numFmt w:val="lowerLetter"/>
      <w:lvlText w:val="%5."/>
      <w:lvlJc w:val="left"/>
      <w:pPr>
        <w:ind w:left="3240" w:hanging="360"/>
      </w:pPr>
    </w:lvl>
    <w:lvl w:ilvl="5" w:tplc="513A966A" w:tentative="1">
      <w:start w:val="1"/>
      <w:numFmt w:val="lowerRoman"/>
      <w:lvlText w:val="%6."/>
      <w:lvlJc w:val="right"/>
      <w:pPr>
        <w:ind w:left="3960" w:hanging="180"/>
      </w:pPr>
    </w:lvl>
    <w:lvl w:ilvl="6" w:tplc="058C473A" w:tentative="1">
      <w:start w:val="1"/>
      <w:numFmt w:val="decimal"/>
      <w:lvlText w:val="%7."/>
      <w:lvlJc w:val="left"/>
      <w:pPr>
        <w:ind w:left="4680" w:hanging="360"/>
      </w:pPr>
    </w:lvl>
    <w:lvl w:ilvl="7" w:tplc="026E8970" w:tentative="1">
      <w:start w:val="1"/>
      <w:numFmt w:val="lowerLetter"/>
      <w:lvlText w:val="%8."/>
      <w:lvlJc w:val="left"/>
      <w:pPr>
        <w:ind w:left="5400" w:hanging="360"/>
      </w:pPr>
    </w:lvl>
    <w:lvl w:ilvl="8" w:tplc="FEA0D020" w:tentative="1">
      <w:start w:val="1"/>
      <w:numFmt w:val="lowerRoman"/>
      <w:lvlText w:val="%9."/>
      <w:lvlJc w:val="right"/>
      <w:pPr>
        <w:ind w:left="6120" w:hanging="180"/>
      </w:pPr>
    </w:lvl>
  </w:abstractNum>
  <w:abstractNum w:abstractNumId="10" w15:restartNumberingAfterBreak="0">
    <w:nsid w:val="73572560"/>
    <w:multiLevelType w:val="hybridMultilevel"/>
    <w:tmpl w:val="AD0AF4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8A037C"/>
    <w:multiLevelType w:val="hybridMultilevel"/>
    <w:tmpl w:val="6D1421A8"/>
    <w:lvl w:ilvl="0" w:tplc="6070391C">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FAD62F4"/>
    <w:multiLevelType w:val="hybridMultilevel"/>
    <w:tmpl w:val="E0D602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1"/>
  </w:num>
  <w:num w:numId="5">
    <w:abstractNumId w:val="10"/>
  </w:num>
  <w:num w:numId="6">
    <w:abstractNumId w:val="4"/>
  </w:num>
  <w:num w:numId="7">
    <w:abstractNumId w:val="5"/>
  </w:num>
  <w:num w:numId="8">
    <w:abstractNumId w:val="2"/>
  </w:num>
  <w:num w:numId="9">
    <w:abstractNumId w:val="12"/>
  </w:num>
  <w:num w:numId="10">
    <w:abstractNumId w:val="0"/>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6F"/>
    <w:rsid w:val="00000FB9"/>
    <w:rsid w:val="000013BB"/>
    <w:rsid w:val="00006DF0"/>
    <w:rsid w:val="00009FAE"/>
    <w:rsid w:val="000117AF"/>
    <w:rsid w:val="0001337F"/>
    <w:rsid w:val="000208ED"/>
    <w:rsid w:val="00024B42"/>
    <w:rsid w:val="000312E2"/>
    <w:rsid w:val="00031A49"/>
    <w:rsid w:val="000334BB"/>
    <w:rsid w:val="00033D70"/>
    <w:rsid w:val="000361E7"/>
    <w:rsid w:val="000408C8"/>
    <w:rsid w:val="000449AF"/>
    <w:rsid w:val="00044C30"/>
    <w:rsid w:val="00045872"/>
    <w:rsid w:val="00046F91"/>
    <w:rsid w:val="000472CC"/>
    <w:rsid w:val="00050C64"/>
    <w:rsid w:val="00051524"/>
    <w:rsid w:val="000519E4"/>
    <w:rsid w:val="00051ADB"/>
    <w:rsid w:val="00057741"/>
    <w:rsid w:val="00057865"/>
    <w:rsid w:val="000612F2"/>
    <w:rsid w:val="000632F3"/>
    <w:rsid w:val="000726AC"/>
    <w:rsid w:val="0007756E"/>
    <w:rsid w:val="00081474"/>
    <w:rsid w:val="0008753E"/>
    <w:rsid w:val="00094185"/>
    <w:rsid w:val="00094970"/>
    <w:rsid w:val="00095A76"/>
    <w:rsid w:val="00095BB7"/>
    <w:rsid w:val="0009738D"/>
    <w:rsid w:val="000A3DF9"/>
    <w:rsid w:val="000A6464"/>
    <w:rsid w:val="000A649F"/>
    <w:rsid w:val="000A65CD"/>
    <w:rsid w:val="000B4FA0"/>
    <w:rsid w:val="000B65C4"/>
    <w:rsid w:val="000B6679"/>
    <w:rsid w:val="000B67E5"/>
    <w:rsid w:val="000C1858"/>
    <w:rsid w:val="000C330D"/>
    <w:rsid w:val="000C5330"/>
    <w:rsid w:val="000C6E40"/>
    <w:rsid w:val="000C7600"/>
    <w:rsid w:val="000D186F"/>
    <w:rsid w:val="000D18DC"/>
    <w:rsid w:val="000D6CD7"/>
    <w:rsid w:val="000D6FA2"/>
    <w:rsid w:val="000D7D1C"/>
    <w:rsid w:val="000E1418"/>
    <w:rsid w:val="000E2B47"/>
    <w:rsid w:val="000E3BB2"/>
    <w:rsid w:val="000E4F17"/>
    <w:rsid w:val="000F14ED"/>
    <w:rsid w:val="000F30E4"/>
    <w:rsid w:val="001055ED"/>
    <w:rsid w:val="00112098"/>
    <w:rsid w:val="001143BE"/>
    <w:rsid w:val="001147EC"/>
    <w:rsid w:val="00115312"/>
    <w:rsid w:val="001200B4"/>
    <w:rsid w:val="00122877"/>
    <w:rsid w:val="001231FA"/>
    <w:rsid w:val="001240FD"/>
    <w:rsid w:val="001245FB"/>
    <w:rsid w:val="00125311"/>
    <w:rsid w:val="00125F90"/>
    <w:rsid w:val="0012771C"/>
    <w:rsid w:val="00132EF9"/>
    <w:rsid w:val="001330D4"/>
    <w:rsid w:val="001421A5"/>
    <w:rsid w:val="0014328B"/>
    <w:rsid w:val="0014437B"/>
    <w:rsid w:val="00146157"/>
    <w:rsid w:val="001463FB"/>
    <w:rsid w:val="001472A2"/>
    <w:rsid w:val="0015315C"/>
    <w:rsid w:val="001551C8"/>
    <w:rsid w:val="0015537F"/>
    <w:rsid w:val="0015672F"/>
    <w:rsid w:val="00163A48"/>
    <w:rsid w:val="001647A2"/>
    <w:rsid w:val="00166EC2"/>
    <w:rsid w:val="001707EE"/>
    <w:rsid w:val="00176AAB"/>
    <w:rsid w:val="00176E2E"/>
    <w:rsid w:val="00180206"/>
    <w:rsid w:val="00180D64"/>
    <w:rsid w:val="00181017"/>
    <w:rsid w:val="00183983"/>
    <w:rsid w:val="0018434C"/>
    <w:rsid w:val="00191F22"/>
    <w:rsid w:val="001929EB"/>
    <w:rsid w:val="00194656"/>
    <w:rsid w:val="00195979"/>
    <w:rsid w:val="00196079"/>
    <w:rsid w:val="001A4826"/>
    <w:rsid w:val="001A707D"/>
    <w:rsid w:val="001B0BDC"/>
    <w:rsid w:val="001B28CA"/>
    <w:rsid w:val="001B2E52"/>
    <w:rsid w:val="001B6B0F"/>
    <w:rsid w:val="001B7F99"/>
    <w:rsid w:val="001C108A"/>
    <w:rsid w:val="001C540D"/>
    <w:rsid w:val="001C6BCF"/>
    <w:rsid w:val="001C74A3"/>
    <w:rsid w:val="001D1E65"/>
    <w:rsid w:val="001D3479"/>
    <w:rsid w:val="001E03D2"/>
    <w:rsid w:val="001E3839"/>
    <w:rsid w:val="001F0E52"/>
    <w:rsid w:val="001F2597"/>
    <w:rsid w:val="00200787"/>
    <w:rsid w:val="00200DA7"/>
    <w:rsid w:val="00201493"/>
    <w:rsid w:val="00205D24"/>
    <w:rsid w:val="00207B62"/>
    <w:rsid w:val="002125C0"/>
    <w:rsid w:val="00212AB8"/>
    <w:rsid w:val="0022003A"/>
    <w:rsid w:val="00222381"/>
    <w:rsid w:val="0022245B"/>
    <w:rsid w:val="002234B8"/>
    <w:rsid w:val="00230DBE"/>
    <w:rsid w:val="00232678"/>
    <w:rsid w:val="0023417E"/>
    <w:rsid w:val="002358ED"/>
    <w:rsid w:val="00236AA7"/>
    <w:rsid w:val="0024059B"/>
    <w:rsid w:val="002414FB"/>
    <w:rsid w:val="00241FD7"/>
    <w:rsid w:val="002434D3"/>
    <w:rsid w:val="0024568C"/>
    <w:rsid w:val="00246231"/>
    <w:rsid w:val="002462AA"/>
    <w:rsid w:val="00250FFA"/>
    <w:rsid w:val="0025261D"/>
    <w:rsid w:val="002529D3"/>
    <w:rsid w:val="00252B9A"/>
    <w:rsid w:val="00261EA2"/>
    <w:rsid w:val="00262FE9"/>
    <w:rsid w:val="00270B48"/>
    <w:rsid w:val="002710E9"/>
    <w:rsid w:val="00273CF8"/>
    <w:rsid w:val="002764E2"/>
    <w:rsid w:val="00280BD6"/>
    <w:rsid w:val="00283268"/>
    <w:rsid w:val="00283500"/>
    <w:rsid w:val="002906C3"/>
    <w:rsid w:val="0029215F"/>
    <w:rsid w:val="00292F01"/>
    <w:rsid w:val="0029308F"/>
    <w:rsid w:val="002938E3"/>
    <w:rsid w:val="00295237"/>
    <w:rsid w:val="002959A6"/>
    <w:rsid w:val="00295CB8"/>
    <w:rsid w:val="00296134"/>
    <w:rsid w:val="0029781E"/>
    <w:rsid w:val="002979D4"/>
    <w:rsid w:val="002A0C9D"/>
    <w:rsid w:val="002A29E1"/>
    <w:rsid w:val="002A2D9D"/>
    <w:rsid w:val="002A3027"/>
    <w:rsid w:val="002A3BA4"/>
    <w:rsid w:val="002A5888"/>
    <w:rsid w:val="002A5B53"/>
    <w:rsid w:val="002A7536"/>
    <w:rsid w:val="002A76AB"/>
    <w:rsid w:val="002B066B"/>
    <w:rsid w:val="002B33FF"/>
    <w:rsid w:val="002B70CB"/>
    <w:rsid w:val="002C2ABB"/>
    <w:rsid w:val="002C3B48"/>
    <w:rsid w:val="002C461E"/>
    <w:rsid w:val="002D1DBE"/>
    <w:rsid w:val="002D2287"/>
    <w:rsid w:val="002D31C3"/>
    <w:rsid w:val="002D4196"/>
    <w:rsid w:val="002D523E"/>
    <w:rsid w:val="002E1E98"/>
    <w:rsid w:val="002E38E1"/>
    <w:rsid w:val="002E4F07"/>
    <w:rsid w:val="002E5A90"/>
    <w:rsid w:val="002E6725"/>
    <w:rsid w:val="002E672B"/>
    <w:rsid w:val="002F1ACE"/>
    <w:rsid w:val="002F2F9E"/>
    <w:rsid w:val="002F3B11"/>
    <w:rsid w:val="002F3DCC"/>
    <w:rsid w:val="002F4434"/>
    <w:rsid w:val="002F56BB"/>
    <w:rsid w:val="002F7512"/>
    <w:rsid w:val="002F77E2"/>
    <w:rsid w:val="003025DC"/>
    <w:rsid w:val="00302F05"/>
    <w:rsid w:val="003045EE"/>
    <w:rsid w:val="00304E58"/>
    <w:rsid w:val="00311C5A"/>
    <w:rsid w:val="00311CAF"/>
    <w:rsid w:val="003126FC"/>
    <w:rsid w:val="003170E4"/>
    <w:rsid w:val="00322DDC"/>
    <w:rsid w:val="00327140"/>
    <w:rsid w:val="003272A7"/>
    <w:rsid w:val="003356E9"/>
    <w:rsid w:val="00342E61"/>
    <w:rsid w:val="00343977"/>
    <w:rsid w:val="00344FFE"/>
    <w:rsid w:val="003500E4"/>
    <w:rsid w:val="00350F06"/>
    <w:rsid w:val="003518DF"/>
    <w:rsid w:val="00352FDE"/>
    <w:rsid w:val="00353962"/>
    <w:rsid w:val="00353BB7"/>
    <w:rsid w:val="00353BD3"/>
    <w:rsid w:val="00354E21"/>
    <w:rsid w:val="0035609C"/>
    <w:rsid w:val="00361052"/>
    <w:rsid w:val="00362301"/>
    <w:rsid w:val="003633A7"/>
    <w:rsid w:val="00363C2A"/>
    <w:rsid w:val="00364431"/>
    <w:rsid w:val="00366268"/>
    <w:rsid w:val="00370A3F"/>
    <w:rsid w:val="00372E8E"/>
    <w:rsid w:val="00374EB5"/>
    <w:rsid w:val="00376230"/>
    <w:rsid w:val="003817FB"/>
    <w:rsid w:val="003851A6"/>
    <w:rsid w:val="00393E85"/>
    <w:rsid w:val="00396F9D"/>
    <w:rsid w:val="003A39DF"/>
    <w:rsid w:val="003A3B10"/>
    <w:rsid w:val="003A77E6"/>
    <w:rsid w:val="003B0857"/>
    <w:rsid w:val="003B394C"/>
    <w:rsid w:val="003B465F"/>
    <w:rsid w:val="003B5B8C"/>
    <w:rsid w:val="003B5E75"/>
    <w:rsid w:val="003B6BEF"/>
    <w:rsid w:val="003C01F6"/>
    <w:rsid w:val="003C2025"/>
    <w:rsid w:val="003C344E"/>
    <w:rsid w:val="003C66DD"/>
    <w:rsid w:val="003D01AC"/>
    <w:rsid w:val="003D15CB"/>
    <w:rsid w:val="003D4EBE"/>
    <w:rsid w:val="003D74C2"/>
    <w:rsid w:val="003D7802"/>
    <w:rsid w:val="003E13E4"/>
    <w:rsid w:val="003E5B22"/>
    <w:rsid w:val="003E5B27"/>
    <w:rsid w:val="003F19CD"/>
    <w:rsid w:val="003F30EA"/>
    <w:rsid w:val="003F7C49"/>
    <w:rsid w:val="004010BF"/>
    <w:rsid w:val="00402978"/>
    <w:rsid w:val="00403390"/>
    <w:rsid w:val="00403DED"/>
    <w:rsid w:val="00411E03"/>
    <w:rsid w:val="00411F9F"/>
    <w:rsid w:val="0041582E"/>
    <w:rsid w:val="00416634"/>
    <w:rsid w:val="00421877"/>
    <w:rsid w:val="0042210D"/>
    <w:rsid w:val="00427FC9"/>
    <w:rsid w:val="00430152"/>
    <w:rsid w:val="00431400"/>
    <w:rsid w:val="00432C2E"/>
    <w:rsid w:val="00435C23"/>
    <w:rsid w:val="004408B9"/>
    <w:rsid w:val="00440D99"/>
    <w:rsid w:val="00445D7E"/>
    <w:rsid w:val="00446903"/>
    <w:rsid w:val="00450C6F"/>
    <w:rsid w:val="004515BA"/>
    <w:rsid w:val="0045298C"/>
    <w:rsid w:val="00452D06"/>
    <w:rsid w:val="004549B7"/>
    <w:rsid w:val="00454EE1"/>
    <w:rsid w:val="004578A8"/>
    <w:rsid w:val="00461CC7"/>
    <w:rsid w:val="00461FE9"/>
    <w:rsid w:val="004650BA"/>
    <w:rsid w:val="00466031"/>
    <w:rsid w:val="00467247"/>
    <w:rsid w:val="00472A35"/>
    <w:rsid w:val="00474E58"/>
    <w:rsid w:val="004752FC"/>
    <w:rsid w:val="004766E0"/>
    <w:rsid w:val="004775F0"/>
    <w:rsid w:val="00482D3E"/>
    <w:rsid w:val="00486BA8"/>
    <w:rsid w:val="004900DD"/>
    <w:rsid w:val="00490161"/>
    <w:rsid w:val="00492514"/>
    <w:rsid w:val="00493F80"/>
    <w:rsid w:val="00495A92"/>
    <w:rsid w:val="004971AA"/>
    <w:rsid w:val="00497B2A"/>
    <w:rsid w:val="00497E64"/>
    <w:rsid w:val="004A138D"/>
    <w:rsid w:val="004A2B54"/>
    <w:rsid w:val="004A426A"/>
    <w:rsid w:val="004B25DB"/>
    <w:rsid w:val="004B3B4A"/>
    <w:rsid w:val="004B5BE4"/>
    <w:rsid w:val="004B7581"/>
    <w:rsid w:val="004C28A6"/>
    <w:rsid w:val="004C2CAF"/>
    <w:rsid w:val="004D0BF7"/>
    <w:rsid w:val="004D1B31"/>
    <w:rsid w:val="004D2F89"/>
    <w:rsid w:val="004D33C7"/>
    <w:rsid w:val="004E194A"/>
    <w:rsid w:val="004E659A"/>
    <w:rsid w:val="004E6D1E"/>
    <w:rsid w:val="004E7007"/>
    <w:rsid w:val="004E7F6B"/>
    <w:rsid w:val="004F0B76"/>
    <w:rsid w:val="004F16AB"/>
    <w:rsid w:val="00502704"/>
    <w:rsid w:val="005046F8"/>
    <w:rsid w:val="00510F5F"/>
    <w:rsid w:val="005137B2"/>
    <w:rsid w:val="0051591D"/>
    <w:rsid w:val="005241B6"/>
    <w:rsid w:val="00524852"/>
    <w:rsid w:val="0052614C"/>
    <w:rsid w:val="005264DD"/>
    <w:rsid w:val="0053092B"/>
    <w:rsid w:val="00535538"/>
    <w:rsid w:val="00536339"/>
    <w:rsid w:val="00536758"/>
    <w:rsid w:val="00536EA7"/>
    <w:rsid w:val="005371AA"/>
    <w:rsid w:val="005374A8"/>
    <w:rsid w:val="00544EE5"/>
    <w:rsid w:val="00544F91"/>
    <w:rsid w:val="0055711A"/>
    <w:rsid w:val="00557183"/>
    <w:rsid w:val="005624E4"/>
    <w:rsid w:val="00566C9F"/>
    <w:rsid w:val="0056772D"/>
    <w:rsid w:val="005700DF"/>
    <w:rsid w:val="005734A9"/>
    <w:rsid w:val="005761F7"/>
    <w:rsid w:val="00580887"/>
    <w:rsid w:val="005814C6"/>
    <w:rsid w:val="005818D4"/>
    <w:rsid w:val="00585998"/>
    <w:rsid w:val="005861B5"/>
    <w:rsid w:val="00587663"/>
    <w:rsid w:val="00592706"/>
    <w:rsid w:val="0059286E"/>
    <w:rsid w:val="005951A8"/>
    <w:rsid w:val="0059557B"/>
    <w:rsid w:val="0059702B"/>
    <w:rsid w:val="005A163B"/>
    <w:rsid w:val="005A4389"/>
    <w:rsid w:val="005A5A89"/>
    <w:rsid w:val="005A796F"/>
    <w:rsid w:val="005B309E"/>
    <w:rsid w:val="005B396C"/>
    <w:rsid w:val="005B477B"/>
    <w:rsid w:val="005B6EA0"/>
    <w:rsid w:val="005C0A92"/>
    <w:rsid w:val="005C2622"/>
    <w:rsid w:val="005C54E9"/>
    <w:rsid w:val="005C6695"/>
    <w:rsid w:val="005C6D14"/>
    <w:rsid w:val="005D25A7"/>
    <w:rsid w:val="005D29A1"/>
    <w:rsid w:val="005D2D91"/>
    <w:rsid w:val="005D4C59"/>
    <w:rsid w:val="005D59F9"/>
    <w:rsid w:val="005E16A9"/>
    <w:rsid w:val="005E1DCE"/>
    <w:rsid w:val="005E29EE"/>
    <w:rsid w:val="005E34FC"/>
    <w:rsid w:val="005E5963"/>
    <w:rsid w:val="005F08DA"/>
    <w:rsid w:val="005F4E74"/>
    <w:rsid w:val="00603889"/>
    <w:rsid w:val="00607E09"/>
    <w:rsid w:val="00613AE4"/>
    <w:rsid w:val="00614A8A"/>
    <w:rsid w:val="00617717"/>
    <w:rsid w:val="00625093"/>
    <w:rsid w:val="006252C6"/>
    <w:rsid w:val="0062663D"/>
    <w:rsid w:val="00626848"/>
    <w:rsid w:val="00627DC0"/>
    <w:rsid w:val="006305BA"/>
    <w:rsid w:val="0063112D"/>
    <w:rsid w:val="00634BB0"/>
    <w:rsid w:val="00635D53"/>
    <w:rsid w:val="006379A7"/>
    <w:rsid w:val="00642AF0"/>
    <w:rsid w:val="0064303B"/>
    <w:rsid w:val="00644CC0"/>
    <w:rsid w:val="006462B5"/>
    <w:rsid w:val="006474AE"/>
    <w:rsid w:val="006518CE"/>
    <w:rsid w:val="006542A6"/>
    <w:rsid w:val="00654433"/>
    <w:rsid w:val="00655650"/>
    <w:rsid w:val="0065768B"/>
    <w:rsid w:val="00664AC6"/>
    <w:rsid w:val="00670C0E"/>
    <w:rsid w:val="00674840"/>
    <w:rsid w:val="00681A16"/>
    <w:rsid w:val="00681F26"/>
    <w:rsid w:val="00686286"/>
    <w:rsid w:val="006931FE"/>
    <w:rsid w:val="006974FD"/>
    <w:rsid w:val="00697557"/>
    <w:rsid w:val="006A0C3D"/>
    <w:rsid w:val="006A13F0"/>
    <w:rsid w:val="006A2114"/>
    <w:rsid w:val="006A479A"/>
    <w:rsid w:val="006B12A5"/>
    <w:rsid w:val="006B2485"/>
    <w:rsid w:val="006B4026"/>
    <w:rsid w:val="006B412A"/>
    <w:rsid w:val="006B41F7"/>
    <w:rsid w:val="006B49BB"/>
    <w:rsid w:val="006B5041"/>
    <w:rsid w:val="006B50E0"/>
    <w:rsid w:val="006B5DE0"/>
    <w:rsid w:val="006B6977"/>
    <w:rsid w:val="006C1000"/>
    <w:rsid w:val="006C20EB"/>
    <w:rsid w:val="006C56B9"/>
    <w:rsid w:val="006C6238"/>
    <w:rsid w:val="006C6D7C"/>
    <w:rsid w:val="006C6F18"/>
    <w:rsid w:val="006D1511"/>
    <w:rsid w:val="006D35EA"/>
    <w:rsid w:val="006D5069"/>
    <w:rsid w:val="006E04D0"/>
    <w:rsid w:val="006E3BCF"/>
    <w:rsid w:val="006E434B"/>
    <w:rsid w:val="006E609A"/>
    <w:rsid w:val="006F710A"/>
    <w:rsid w:val="007014A7"/>
    <w:rsid w:val="00705915"/>
    <w:rsid w:val="00705C7D"/>
    <w:rsid w:val="007067EC"/>
    <w:rsid w:val="007076F6"/>
    <w:rsid w:val="007133FC"/>
    <w:rsid w:val="00716510"/>
    <w:rsid w:val="00722901"/>
    <w:rsid w:val="00722E85"/>
    <w:rsid w:val="00724DA6"/>
    <w:rsid w:val="00725457"/>
    <w:rsid w:val="00725C65"/>
    <w:rsid w:val="007260DD"/>
    <w:rsid w:val="00726ABC"/>
    <w:rsid w:val="00727103"/>
    <w:rsid w:val="00727E5D"/>
    <w:rsid w:val="00740536"/>
    <w:rsid w:val="00751269"/>
    <w:rsid w:val="007556FA"/>
    <w:rsid w:val="00755DAA"/>
    <w:rsid w:val="007574E1"/>
    <w:rsid w:val="00760CFE"/>
    <w:rsid w:val="00764CB7"/>
    <w:rsid w:val="00770ECB"/>
    <w:rsid w:val="00771D2E"/>
    <w:rsid w:val="00774B71"/>
    <w:rsid w:val="007757E3"/>
    <w:rsid w:val="00781E7E"/>
    <w:rsid w:val="0078375B"/>
    <w:rsid w:val="0078494E"/>
    <w:rsid w:val="00792B61"/>
    <w:rsid w:val="007A0847"/>
    <w:rsid w:val="007A1444"/>
    <w:rsid w:val="007A3FFA"/>
    <w:rsid w:val="007A4B0E"/>
    <w:rsid w:val="007B1072"/>
    <w:rsid w:val="007B14CF"/>
    <w:rsid w:val="007B1C06"/>
    <w:rsid w:val="007B27C3"/>
    <w:rsid w:val="007C2FD2"/>
    <w:rsid w:val="007C5053"/>
    <w:rsid w:val="007C65C3"/>
    <w:rsid w:val="007D1826"/>
    <w:rsid w:val="007D2590"/>
    <w:rsid w:val="007D2970"/>
    <w:rsid w:val="007D2EDF"/>
    <w:rsid w:val="007D5950"/>
    <w:rsid w:val="007D5F9D"/>
    <w:rsid w:val="007E190A"/>
    <w:rsid w:val="007E1AEE"/>
    <w:rsid w:val="007E3BEC"/>
    <w:rsid w:val="007E3EA6"/>
    <w:rsid w:val="007E3F10"/>
    <w:rsid w:val="007F327D"/>
    <w:rsid w:val="007F418E"/>
    <w:rsid w:val="007F59EA"/>
    <w:rsid w:val="007F7CAD"/>
    <w:rsid w:val="00800E61"/>
    <w:rsid w:val="00801005"/>
    <w:rsid w:val="00802139"/>
    <w:rsid w:val="0080747E"/>
    <w:rsid w:val="00813738"/>
    <w:rsid w:val="008172A0"/>
    <w:rsid w:val="00821FC5"/>
    <w:rsid w:val="0082488C"/>
    <w:rsid w:val="008253E1"/>
    <w:rsid w:val="00827A3F"/>
    <w:rsid w:val="00830CBF"/>
    <w:rsid w:val="0083141D"/>
    <w:rsid w:val="008324C4"/>
    <w:rsid w:val="00834980"/>
    <w:rsid w:val="0083781A"/>
    <w:rsid w:val="00842483"/>
    <w:rsid w:val="00852DDB"/>
    <w:rsid w:val="00854CE0"/>
    <w:rsid w:val="008568BE"/>
    <w:rsid w:val="0085768A"/>
    <w:rsid w:val="00861F23"/>
    <w:rsid w:val="008626CF"/>
    <w:rsid w:val="00862D6B"/>
    <w:rsid w:val="00866A4E"/>
    <w:rsid w:val="008671B7"/>
    <w:rsid w:val="00871ADE"/>
    <w:rsid w:val="00871D91"/>
    <w:rsid w:val="00874D67"/>
    <w:rsid w:val="008751EB"/>
    <w:rsid w:val="00875BB9"/>
    <w:rsid w:val="00877C29"/>
    <w:rsid w:val="008803C0"/>
    <w:rsid w:val="00880C25"/>
    <w:rsid w:val="00882035"/>
    <w:rsid w:val="00882D73"/>
    <w:rsid w:val="008834C0"/>
    <w:rsid w:val="0088721A"/>
    <w:rsid w:val="00891CE4"/>
    <w:rsid w:val="00893761"/>
    <w:rsid w:val="00895478"/>
    <w:rsid w:val="00897B4B"/>
    <w:rsid w:val="008A02E4"/>
    <w:rsid w:val="008A3E9F"/>
    <w:rsid w:val="008A47BF"/>
    <w:rsid w:val="008A736B"/>
    <w:rsid w:val="008B02C3"/>
    <w:rsid w:val="008B16FB"/>
    <w:rsid w:val="008B1BC3"/>
    <w:rsid w:val="008B4D40"/>
    <w:rsid w:val="008B5091"/>
    <w:rsid w:val="008B6506"/>
    <w:rsid w:val="008B6AC6"/>
    <w:rsid w:val="008B7D15"/>
    <w:rsid w:val="008C16A7"/>
    <w:rsid w:val="008C3F06"/>
    <w:rsid w:val="008C4941"/>
    <w:rsid w:val="008C7983"/>
    <w:rsid w:val="008D058E"/>
    <w:rsid w:val="008D0B5C"/>
    <w:rsid w:val="008D158E"/>
    <w:rsid w:val="008D31C9"/>
    <w:rsid w:val="008E0424"/>
    <w:rsid w:val="008F4D02"/>
    <w:rsid w:val="008F53F3"/>
    <w:rsid w:val="008F59DE"/>
    <w:rsid w:val="009066D4"/>
    <w:rsid w:val="00906B72"/>
    <w:rsid w:val="009074D5"/>
    <w:rsid w:val="00907E02"/>
    <w:rsid w:val="009140FA"/>
    <w:rsid w:val="00921370"/>
    <w:rsid w:val="00921808"/>
    <w:rsid w:val="00921DE8"/>
    <w:rsid w:val="00926CD1"/>
    <w:rsid w:val="00933B39"/>
    <w:rsid w:val="00934961"/>
    <w:rsid w:val="00934D12"/>
    <w:rsid w:val="00935E2C"/>
    <w:rsid w:val="00940292"/>
    <w:rsid w:val="00940400"/>
    <w:rsid w:val="0094160E"/>
    <w:rsid w:val="009429CE"/>
    <w:rsid w:val="00942F8B"/>
    <w:rsid w:val="00947127"/>
    <w:rsid w:val="00956601"/>
    <w:rsid w:val="0095689F"/>
    <w:rsid w:val="00957AE4"/>
    <w:rsid w:val="00965002"/>
    <w:rsid w:val="00970F51"/>
    <w:rsid w:val="009725F7"/>
    <w:rsid w:val="009766B5"/>
    <w:rsid w:val="009833E1"/>
    <w:rsid w:val="00983714"/>
    <w:rsid w:val="00983FB6"/>
    <w:rsid w:val="009847CF"/>
    <w:rsid w:val="009900E5"/>
    <w:rsid w:val="0099102A"/>
    <w:rsid w:val="0099144F"/>
    <w:rsid w:val="009953B2"/>
    <w:rsid w:val="0099546F"/>
    <w:rsid w:val="00997618"/>
    <w:rsid w:val="009A12D2"/>
    <w:rsid w:val="009A5AEA"/>
    <w:rsid w:val="009A60F3"/>
    <w:rsid w:val="009B5B6B"/>
    <w:rsid w:val="009B7B3A"/>
    <w:rsid w:val="009B7C1C"/>
    <w:rsid w:val="009C361B"/>
    <w:rsid w:val="009C5323"/>
    <w:rsid w:val="009C58C9"/>
    <w:rsid w:val="009C5A75"/>
    <w:rsid w:val="009D30E1"/>
    <w:rsid w:val="009D6275"/>
    <w:rsid w:val="009E0E5D"/>
    <w:rsid w:val="009E1576"/>
    <w:rsid w:val="009E25BC"/>
    <w:rsid w:val="009E5305"/>
    <w:rsid w:val="009F2A9C"/>
    <w:rsid w:val="009F3B6C"/>
    <w:rsid w:val="009F6A60"/>
    <w:rsid w:val="00A003DE"/>
    <w:rsid w:val="00A0341F"/>
    <w:rsid w:val="00A06463"/>
    <w:rsid w:val="00A06912"/>
    <w:rsid w:val="00A102C4"/>
    <w:rsid w:val="00A10943"/>
    <w:rsid w:val="00A114B6"/>
    <w:rsid w:val="00A14165"/>
    <w:rsid w:val="00A150FF"/>
    <w:rsid w:val="00A165EF"/>
    <w:rsid w:val="00A22771"/>
    <w:rsid w:val="00A230C1"/>
    <w:rsid w:val="00A2405F"/>
    <w:rsid w:val="00A2480D"/>
    <w:rsid w:val="00A30C6D"/>
    <w:rsid w:val="00A3196F"/>
    <w:rsid w:val="00A33007"/>
    <w:rsid w:val="00A33B72"/>
    <w:rsid w:val="00A3428E"/>
    <w:rsid w:val="00A34622"/>
    <w:rsid w:val="00A34855"/>
    <w:rsid w:val="00A356E5"/>
    <w:rsid w:val="00A4255B"/>
    <w:rsid w:val="00A42722"/>
    <w:rsid w:val="00A43A19"/>
    <w:rsid w:val="00A51CB8"/>
    <w:rsid w:val="00A51DFA"/>
    <w:rsid w:val="00A524D9"/>
    <w:rsid w:val="00A553FE"/>
    <w:rsid w:val="00A61EF5"/>
    <w:rsid w:val="00A637EE"/>
    <w:rsid w:val="00A708BC"/>
    <w:rsid w:val="00A71055"/>
    <w:rsid w:val="00A80337"/>
    <w:rsid w:val="00A81FBF"/>
    <w:rsid w:val="00A8292F"/>
    <w:rsid w:val="00A8483F"/>
    <w:rsid w:val="00A85BBE"/>
    <w:rsid w:val="00A873D1"/>
    <w:rsid w:val="00AA02C9"/>
    <w:rsid w:val="00AA1A20"/>
    <w:rsid w:val="00AA7ED9"/>
    <w:rsid w:val="00AB3117"/>
    <w:rsid w:val="00AB3C9C"/>
    <w:rsid w:val="00AB5BC8"/>
    <w:rsid w:val="00AB6220"/>
    <w:rsid w:val="00AB7272"/>
    <w:rsid w:val="00AC0508"/>
    <w:rsid w:val="00AC1997"/>
    <w:rsid w:val="00AC2291"/>
    <w:rsid w:val="00AC263E"/>
    <w:rsid w:val="00AC3C73"/>
    <w:rsid w:val="00AC4AAA"/>
    <w:rsid w:val="00AC5037"/>
    <w:rsid w:val="00AC6C5A"/>
    <w:rsid w:val="00AD4322"/>
    <w:rsid w:val="00AE1831"/>
    <w:rsid w:val="00AE4FA7"/>
    <w:rsid w:val="00AE53C2"/>
    <w:rsid w:val="00AE735D"/>
    <w:rsid w:val="00AE7A60"/>
    <w:rsid w:val="00AF0D7C"/>
    <w:rsid w:val="00AF7C26"/>
    <w:rsid w:val="00B0243C"/>
    <w:rsid w:val="00B0507E"/>
    <w:rsid w:val="00B062FC"/>
    <w:rsid w:val="00B06D1C"/>
    <w:rsid w:val="00B1234C"/>
    <w:rsid w:val="00B13735"/>
    <w:rsid w:val="00B178A4"/>
    <w:rsid w:val="00B17ECE"/>
    <w:rsid w:val="00B2636A"/>
    <w:rsid w:val="00B27C38"/>
    <w:rsid w:val="00B3086F"/>
    <w:rsid w:val="00B33DAE"/>
    <w:rsid w:val="00B34EC9"/>
    <w:rsid w:val="00B3599B"/>
    <w:rsid w:val="00B35B49"/>
    <w:rsid w:val="00B36098"/>
    <w:rsid w:val="00B3615B"/>
    <w:rsid w:val="00B37904"/>
    <w:rsid w:val="00B468B1"/>
    <w:rsid w:val="00B5125C"/>
    <w:rsid w:val="00B520EE"/>
    <w:rsid w:val="00B52A95"/>
    <w:rsid w:val="00B562FC"/>
    <w:rsid w:val="00B56EA7"/>
    <w:rsid w:val="00B60177"/>
    <w:rsid w:val="00B60C6B"/>
    <w:rsid w:val="00B61D8B"/>
    <w:rsid w:val="00B653D8"/>
    <w:rsid w:val="00B66DFF"/>
    <w:rsid w:val="00B6764C"/>
    <w:rsid w:val="00B72A2F"/>
    <w:rsid w:val="00B8529E"/>
    <w:rsid w:val="00B86F4B"/>
    <w:rsid w:val="00B86FFC"/>
    <w:rsid w:val="00B871C0"/>
    <w:rsid w:val="00B90CC3"/>
    <w:rsid w:val="00B93617"/>
    <w:rsid w:val="00B93AA0"/>
    <w:rsid w:val="00B96766"/>
    <w:rsid w:val="00B97642"/>
    <w:rsid w:val="00B97F04"/>
    <w:rsid w:val="00BA5BFD"/>
    <w:rsid w:val="00BA7430"/>
    <w:rsid w:val="00BB3E06"/>
    <w:rsid w:val="00BB5008"/>
    <w:rsid w:val="00BB5050"/>
    <w:rsid w:val="00BB77BF"/>
    <w:rsid w:val="00BB7C11"/>
    <w:rsid w:val="00BC0802"/>
    <w:rsid w:val="00BC363D"/>
    <w:rsid w:val="00BC38C8"/>
    <w:rsid w:val="00BC4CFD"/>
    <w:rsid w:val="00BD3791"/>
    <w:rsid w:val="00BD5C2B"/>
    <w:rsid w:val="00BD6E07"/>
    <w:rsid w:val="00BE1CAB"/>
    <w:rsid w:val="00BE3F0A"/>
    <w:rsid w:val="00BE529A"/>
    <w:rsid w:val="00BE66C2"/>
    <w:rsid w:val="00BF050E"/>
    <w:rsid w:val="00BF26D9"/>
    <w:rsid w:val="00BF2D22"/>
    <w:rsid w:val="00BF416E"/>
    <w:rsid w:val="00BF55B6"/>
    <w:rsid w:val="00BF7F7B"/>
    <w:rsid w:val="00C0056C"/>
    <w:rsid w:val="00C0084B"/>
    <w:rsid w:val="00C0220B"/>
    <w:rsid w:val="00C02E6C"/>
    <w:rsid w:val="00C06E64"/>
    <w:rsid w:val="00C117ED"/>
    <w:rsid w:val="00C126C1"/>
    <w:rsid w:val="00C12B28"/>
    <w:rsid w:val="00C12E9E"/>
    <w:rsid w:val="00C1452B"/>
    <w:rsid w:val="00C162C9"/>
    <w:rsid w:val="00C175E8"/>
    <w:rsid w:val="00C17932"/>
    <w:rsid w:val="00C202D9"/>
    <w:rsid w:val="00C24092"/>
    <w:rsid w:val="00C27404"/>
    <w:rsid w:val="00C27A6A"/>
    <w:rsid w:val="00C3022D"/>
    <w:rsid w:val="00C335BC"/>
    <w:rsid w:val="00C33700"/>
    <w:rsid w:val="00C33F91"/>
    <w:rsid w:val="00C366A8"/>
    <w:rsid w:val="00C414E0"/>
    <w:rsid w:val="00C41CF0"/>
    <w:rsid w:val="00C41D5E"/>
    <w:rsid w:val="00C430E2"/>
    <w:rsid w:val="00C43977"/>
    <w:rsid w:val="00C446D3"/>
    <w:rsid w:val="00C4557D"/>
    <w:rsid w:val="00C461D5"/>
    <w:rsid w:val="00C47857"/>
    <w:rsid w:val="00C505CB"/>
    <w:rsid w:val="00C50990"/>
    <w:rsid w:val="00C51277"/>
    <w:rsid w:val="00C51EC1"/>
    <w:rsid w:val="00C53429"/>
    <w:rsid w:val="00C546FD"/>
    <w:rsid w:val="00C54B06"/>
    <w:rsid w:val="00C57AD3"/>
    <w:rsid w:val="00C631A4"/>
    <w:rsid w:val="00C63EC0"/>
    <w:rsid w:val="00C663E3"/>
    <w:rsid w:val="00C7037A"/>
    <w:rsid w:val="00C72414"/>
    <w:rsid w:val="00C72ED3"/>
    <w:rsid w:val="00C7462C"/>
    <w:rsid w:val="00C75822"/>
    <w:rsid w:val="00C80B23"/>
    <w:rsid w:val="00C84678"/>
    <w:rsid w:val="00C85FB3"/>
    <w:rsid w:val="00C867FE"/>
    <w:rsid w:val="00C86F1A"/>
    <w:rsid w:val="00C93691"/>
    <w:rsid w:val="00C97607"/>
    <w:rsid w:val="00CA1EEF"/>
    <w:rsid w:val="00CA4A16"/>
    <w:rsid w:val="00CB201A"/>
    <w:rsid w:val="00CB3E21"/>
    <w:rsid w:val="00CB4DDD"/>
    <w:rsid w:val="00CB5366"/>
    <w:rsid w:val="00CB6135"/>
    <w:rsid w:val="00CC0E24"/>
    <w:rsid w:val="00CC1C92"/>
    <w:rsid w:val="00CD0510"/>
    <w:rsid w:val="00CD178D"/>
    <w:rsid w:val="00CD358C"/>
    <w:rsid w:val="00CE26CC"/>
    <w:rsid w:val="00CE2894"/>
    <w:rsid w:val="00CE6943"/>
    <w:rsid w:val="00CF032C"/>
    <w:rsid w:val="00CF2F15"/>
    <w:rsid w:val="00CF3C4E"/>
    <w:rsid w:val="00CF7ECF"/>
    <w:rsid w:val="00D01486"/>
    <w:rsid w:val="00D0173F"/>
    <w:rsid w:val="00D022B4"/>
    <w:rsid w:val="00D026D9"/>
    <w:rsid w:val="00D02F5D"/>
    <w:rsid w:val="00D055DD"/>
    <w:rsid w:val="00D11207"/>
    <w:rsid w:val="00D12847"/>
    <w:rsid w:val="00D17552"/>
    <w:rsid w:val="00D215DA"/>
    <w:rsid w:val="00D26CBD"/>
    <w:rsid w:val="00D277FE"/>
    <w:rsid w:val="00D303EC"/>
    <w:rsid w:val="00D3163D"/>
    <w:rsid w:val="00D36ADA"/>
    <w:rsid w:val="00D37D70"/>
    <w:rsid w:val="00D403D7"/>
    <w:rsid w:val="00D40ADB"/>
    <w:rsid w:val="00D44EA7"/>
    <w:rsid w:val="00D44FD3"/>
    <w:rsid w:val="00D55292"/>
    <w:rsid w:val="00D557C7"/>
    <w:rsid w:val="00D571D1"/>
    <w:rsid w:val="00D674D2"/>
    <w:rsid w:val="00D72263"/>
    <w:rsid w:val="00D74129"/>
    <w:rsid w:val="00D84201"/>
    <w:rsid w:val="00D84DB2"/>
    <w:rsid w:val="00D87DA5"/>
    <w:rsid w:val="00D927C3"/>
    <w:rsid w:val="00D94261"/>
    <w:rsid w:val="00D96798"/>
    <w:rsid w:val="00DA0E54"/>
    <w:rsid w:val="00DA1092"/>
    <w:rsid w:val="00DA2417"/>
    <w:rsid w:val="00DA3112"/>
    <w:rsid w:val="00DA610A"/>
    <w:rsid w:val="00DB3C28"/>
    <w:rsid w:val="00DC01FE"/>
    <w:rsid w:val="00DC035B"/>
    <w:rsid w:val="00DC6A2F"/>
    <w:rsid w:val="00DD3A00"/>
    <w:rsid w:val="00DD4CE2"/>
    <w:rsid w:val="00DD4F87"/>
    <w:rsid w:val="00DE1DC5"/>
    <w:rsid w:val="00DE4D10"/>
    <w:rsid w:val="00DE5F29"/>
    <w:rsid w:val="00DE7349"/>
    <w:rsid w:val="00DE73B3"/>
    <w:rsid w:val="00DF1756"/>
    <w:rsid w:val="00DF37CF"/>
    <w:rsid w:val="00DF482C"/>
    <w:rsid w:val="00DF5183"/>
    <w:rsid w:val="00E05364"/>
    <w:rsid w:val="00E1028C"/>
    <w:rsid w:val="00E11BF7"/>
    <w:rsid w:val="00E13166"/>
    <w:rsid w:val="00E2039B"/>
    <w:rsid w:val="00E2423C"/>
    <w:rsid w:val="00E251BB"/>
    <w:rsid w:val="00E302C8"/>
    <w:rsid w:val="00E31799"/>
    <w:rsid w:val="00E31D8A"/>
    <w:rsid w:val="00E33321"/>
    <w:rsid w:val="00E33C7D"/>
    <w:rsid w:val="00E34472"/>
    <w:rsid w:val="00E37814"/>
    <w:rsid w:val="00E41834"/>
    <w:rsid w:val="00E440DC"/>
    <w:rsid w:val="00E46D90"/>
    <w:rsid w:val="00E475E3"/>
    <w:rsid w:val="00E4796B"/>
    <w:rsid w:val="00E5009E"/>
    <w:rsid w:val="00E51EB0"/>
    <w:rsid w:val="00E52844"/>
    <w:rsid w:val="00E52DB7"/>
    <w:rsid w:val="00E572A3"/>
    <w:rsid w:val="00E574FB"/>
    <w:rsid w:val="00E64025"/>
    <w:rsid w:val="00E657A0"/>
    <w:rsid w:val="00E67572"/>
    <w:rsid w:val="00E701FB"/>
    <w:rsid w:val="00E74225"/>
    <w:rsid w:val="00E7488D"/>
    <w:rsid w:val="00E74E29"/>
    <w:rsid w:val="00E77BA0"/>
    <w:rsid w:val="00E826BD"/>
    <w:rsid w:val="00E836D0"/>
    <w:rsid w:val="00E90895"/>
    <w:rsid w:val="00E90B3B"/>
    <w:rsid w:val="00E924A3"/>
    <w:rsid w:val="00E959E8"/>
    <w:rsid w:val="00E9673F"/>
    <w:rsid w:val="00E96CF8"/>
    <w:rsid w:val="00E97328"/>
    <w:rsid w:val="00EA0B0C"/>
    <w:rsid w:val="00EA29D8"/>
    <w:rsid w:val="00EA3D17"/>
    <w:rsid w:val="00EA55D0"/>
    <w:rsid w:val="00EA5AFF"/>
    <w:rsid w:val="00EA7889"/>
    <w:rsid w:val="00EA7D22"/>
    <w:rsid w:val="00EB1FC2"/>
    <w:rsid w:val="00EB44EA"/>
    <w:rsid w:val="00EB4CA9"/>
    <w:rsid w:val="00EC054E"/>
    <w:rsid w:val="00EC142A"/>
    <w:rsid w:val="00EC1CE9"/>
    <w:rsid w:val="00EC3E25"/>
    <w:rsid w:val="00EC3E29"/>
    <w:rsid w:val="00EC40CE"/>
    <w:rsid w:val="00EC6CC0"/>
    <w:rsid w:val="00ED5637"/>
    <w:rsid w:val="00EE0D23"/>
    <w:rsid w:val="00EE5D75"/>
    <w:rsid w:val="00EF07D3"/>
    <w:rsid w:val="00EF3980"/>
    <w:rsid w:val="00EF403D"/>
    <w:rsid w:val="00EF4649"/>
    <w:rsid w:val="00EF59A5"/>
    <w:rsid w:val="00EF727D"/>
    <w:rsid w:val="00F00963"/>
    <w:rsid w:val="00F00E6B"/>
    <w:rsid w:val="00F07B85"/>
    <w:rsid w:val="00F12BDE"/>
    <w:rsid w:val="00F14B37"/>
    <w:rsid w:val="00F14E5D"/>
    <w:rsid w:val="00F25ACE"/>
    <w:rsid w:val="00F26F87"/>
    <w:rsid w:val="00F272CB"/>
    <w:rsid w:val="00F305AC"/>
    <w:rsid w:val="00F34C27"/>
    <w:rsid w:val="00F34DAB"/>
    <w:rsid w:val="00F376D1"/>
    <w:rsid w:val="00F4253B"/>
    <w:rsid w:val="00F4356C"/>
    <w:rsid w:val="00F45C82"/>
    <w:rsid w:val="00F51978"/>
    <w:rsid w:val="00F550C6"/>
    <w:rsid w:val="00F55E2D"/>
    <w:rsid w:val="00F65E53"/>
    <w:rsid w:val="00F7156D"/>
    <w:rsid w:val="00F7537A"/>
    <w:rsid w:val="00F76083"/>
    <w:rsid w:val="00F76097"/>
    <w:rsid w:val="00F804F1"/>
    <w:rsid w:val="00F861D2"/>
    <w:rsid w:val="00F936F6"/>
    <w:rsid w:val="00F95A43"/>
    <w:rsid w:val="00F96836"/>
    <w:rsid w:val="00F97478"/>
    <w:rsid w:val="00FA23E3"/>
    <w:rsid w:val="00FA53E8"/>
    <w:rsid w:val="00FA71B6"/>
    <w:rsid w:val="00FB12E6"/>
    <w:rsid w:val="00FB2E76"/>
    <w:rsid w:val="00FB3B94"/>
    <w:rsid w:val="00FC03FE"/>
    <w:rsid w:val="00FC3686"/>
    <w:rsid w:val="00FC4D11"/>
    <w:rsid w:val="00FC7B40"/>
    <w:rsid w:val="00FD0DEC"/>
    <w:rsid w:val="00FD2C37"/>
    <w:rsid w:val="00FD6324"/>
    <w:rsid w:val="00FD6E72"/>
    <w:rsid w:val="00FE0438"/>
    <w:rsid w:val="00FE109C"/>
    <w:rsid w:val="00FE2F77"/>
    <w:rsid w:val="00FE2F9A"/>
    <w:rsid w:val="00FE67CC"/>
    <w:rsid w:val="00FE7068"/>
    <w:rsid w:val="00FF1125"/>
    <w:rsid w:val="00FF124B"/>
    <w:rsid w:val="00FF4F9B"/>
    <w:rsid w:val="00FF5870"/>
    <w:rsid w:val="00FF6754"/>
    <w:rsid w:val="00FF6C28"/>
    <w:rsid w:val="023EC535"/>
    <w:rsid w:val="032718DF"/>
    <w:rsid w:val="03B65D92"/>
    <w:rsid w:val="055E722E"/>
    <w:rsid w:val="05D4344B"/>
    <w:rsid w:val="05EF7868"/>
    <w:rsid w:val="0674B4AC"/>
    <w:rsid w:val="06C4A6A1"/>
    <w:rsid w:val="0798EE6B"/>
    <w:rsid w:val="079C47C6"/>
    <w:rsid w:val="08F933A8"/>
    <w:rsid w:val="09A5587C"/>
    <w:rsid w:val="0A7BC137"/>
    <w:rsid w:val="0A8CA745"/>
    <w:rsid w:val="0AD56A3C"/>
    <w:rsid w:val="0C80FB33"/>
    <w:rsid w:val="0CA4A00F"/>
    <w:rsid w:val="0CAFBE37"/>
    <w:rsid w:val="0EC8871A"/>
    <w:rsid w:val="0EF9C558"/>
    <w:rsid w:val="1064577B"/>
    <w:rsid w:val="111DEB8B"/>
    <w:rsid w:val="11645F5C"/>
    <w:rsid w:val="12F5E4B7"/>
    <w:rsid w:val="1347F186"/>
    <w:rsid w:val="13896E7C"/>
    <w:rsid w:val="1475169D"/>
    <w:rsid w:val="14E1F704"/>
    <w:rsid w:val="150CE553"/>
    <w:rsid w:val="15835004"/>
    <w:rsid w:val="166AB327"/>
    <w:rsid w:val="166BE217"/>
    <w:rsid w:val="16E3335D"/>
    <w:rsid w:val="1A7E27A5"/>
    <w:rsid w:val="1AB4ADBD"/>
    <w:rsid w:val="1B45BBDB"/>
    <w:rsid w:val="1B4CD126"/>
    <w:rsid w:val="1C76EDD9"/>
    <w:rsid w:val="1DE6F67A"/>
    <w:rsid w:val="1E8FE988"/>
    <w:rsid w:val="2007BCEA"/>
    <w:rsid w:val="20A6D413"/>
    <w:rsid w:val="21142CD7"/>
    <w:rsid w:val="21409217"/>
    <w:rsid w:val="221E3266"/>
    <w:rsid w:val="22356BDC"/>
    <w:rsid w:val="2278E6EB"/>
    <w:rsid w:val="22799D33"/>
    <w:rsid w:val="242E8317"/>
    <w:rsid w:val="2454F3AB"/>
    <w:rsid w:val="259E01A8"/>
    <w:rsid w:val="2996DA8D"/>
    <w:rsid w:val="2B110B26"/>
    <w:rsid w:val="2B4D3551"/>
    <w:rsid w:val="2BDFDC99"/>
    <w:rsid w:val="2BF7DA70"/>
    <w:rsid w:val="2CE8A03E"/>
    <w:rsid w:val="2CE9E5CF"/>
    <w:rsid w:val="2CFD3629"/>
    <w:rsid w:val="2D09257B"/>
    <w:rsid w:val="2D2C8894"/>
    <w:rsid w:val="2D41EB9D"/>
    <w:rsid w:val="2D89406C"/>
    <w:rsid w:val="30E85E16"/>
    <w:rsid w:val="31FE10FB"/>
    <w:rsid w:val="329EEB75"/>
    <w:rsid w:val="33D2C513"/>
    <w:rsid w:val="3411DAAF"/>
    <w:rsid w:val="3454BA11"/>
    <w:rsid w:val="349397E0"/>
    <w:rsid w:val="34B98D6A"/>
    <w:rsid w:val="36D94470"/>
    <w:rsid w:val="37213EBE"/>
    <w:rsid w:val="3726EC93"/>
    <w:rsid w:val="37C7CA28"/>
    <w:rsid w:val="382927D6"/>
    <w:rsid w:val="389FA021"/>
    <w:rsid w:val="38DB4DD9"/>
    <w:rsid w:val="3A4AFF45"/>
    <w:rsid w:val="3B794BBC"/>
    <w:rsid w:val="3BDF6D21"/>
    <w:rsid w:val="3C73D985"/>
    <w:rsid w:val="3C9DF597"/>
    <w:rsid w:val="3DBCBA78"/>
    <w:rsid w:val="3E2DCAF7"/>
    <w:rsid w:val="3E4DEA92"/>
    <w:rsid w:val="40259197"/>
    <w:rsid w:val="40A5517F"/>
    <w:rsid w:val="40AF04F7"/>
    <w:rsid w:val="417D5183"/>
    <w:rsid w:val="45E00841"/>
    <w:rsid w:val="463D3997"/>
    <w:rsid w:val="47466676"/>
    <w:rsid w:val="479307FC"/>
    <w:rsid w:val="4866F3DB"/>
    <w:rsid w:val="49BCC9A0"/>
    <w:rsid w:val="49CAEA8E"/>
    <w:rsid w:val="4A7716CC"/>
    <w:rsid w:val="4AD866E3"/>
    <w:rsid w:val="4B12A6F3"/>
    <w:rsid w:val="4B49A443"/>
    <w:rsid w:val="4B774921"/>
    <w:rsid w:val="4C39AA40"/>
    <w:rsid w:val="4FCF1AC8"/>
    <w:rsid w:val="50D92543"/>
    <w:rsid w:val="5265AE9F"/>
    <w:rsid w:val="53A72E6C"/>
    <w:rsid w:val="54512102"/>
    <w:rsid w:val="561DC6DD"/>
    <w:rsid w:val="58055014"/>
    <w:rsid w:val="58D57A81"/>
    <w:rsid w:val="58F05975"/>
    <w:rsid w:val="593853F8"/>
    <w:rsid w:val="593AEF9B"/>
    <w:rsid w:val="59B8B0C1"/>
    <w:rsid w:val="59E08CBF"/>
    <w:rsid w:val="5A23684C"/>
    <w:rsid w:val="5B3D5BD3"/>
    <w:rsid w:val="5BBBDBE3"/>
    <w:rsid w:val="5CA4E9F9"/>
    <w:rsid w:val="5CD8ADE9"/>
    <w:rsid w:val="5E55A9C5"/>
    <w:rsid w:val="60CD3C0F"/>
    <w:rsid w:val="60EE6B3C"/>
    <w:rsid w:val="610986C2"/>
    <w:rsid w:val="63DAA878"/>
    <w:rsid w:val="64B64E92"/>
    <w:rsid w:val="65205CB8"/>
    <w:rsid w:val="65B218AC"/>
    <w:rsid w:val="663A6BEC"/>
    <w:rsid w:val="66AB90D2"/>
    <w:rsid w:val="6754F7EE"/>
    <w:rsid w:val="67A75664"/>
    <w:rsid w:val="67DB4CD9"/>
    <w:rsid w:val="6A5AB472"/>
    <w:rsid w:val="6ADE0AE4"/>
    <w:rsid w:val="6AEF4DEE"/>
    <w:rsid w:val="6C130055"/>
    <w:rsid w:val="6C56ADAC"/>
    <w:rsid w:val="6F6873A7"/>
    <w:rsid w:val="701024EE"/>
    <w:rsid w:val="70C51347"/>
    <w:rsid w:val="71EB19C2"/>
    <w:rsid w:val="72C4F8FA"/>
    <w:rsid w:val="7378CC23"/>
    <w:rsid w:val="73827942"/>
    <w:rsid w:val="73B457E3"/>
    <w:rsid w:val="740E2284"/>
    <w:rsid w:val="7459A92E"/>
    <w:rsid w:val="74A1DB20"/>
    <w:rsid w:val="74BE4AC4"/>
    <w:rsid w:val="755502B7"/>
    <w:rsid w:val="75D69EAE"/>
    <w:rsid w:val="75F50D0B"/>
    <w:rsid w:val="763B9036"/>
    <w:rsid w:val="76537C89"/>
    <w:rsid w:val="77A7CBA2"/>
    <w:rsid w:val="781FE995"/>
    <w:rsid w:val="791B8B75"/>
    <w:rsid w:val="7968DF9B"/>
    <w:rsid w:val="7975B48F"/>
    <w:rsid w:val="7A5EC2A5"/>
    <w:rsid w:val="7AA0452A"/>
    <w:rsid w:val="7B62A45D"/>
    <w:rsid w:val="7C379A6D"/>
    <w:rsid w:val="7CEF494E"/>
    <w:rsid w:val="7D5DAB25"/>
    <w:rsid w:val="7D9AC120"/>
    <w:rsid w:val="7EF68FF5"/>
    <w:rsid w:val="7F92BA9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87D93"/>
  <w15:chartTrackingRefBased/>
  <w15:docId w15:val="{7F7021DA-572F-4BAD-92CA-D04358C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86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186F"/>
    <w:pPr>
      <w:jc w:val="center"/>
    </w:pPr>
    <w:rPr>
      <w:sz w:val="28"/>
      <w:szCs w:val="20"/>
      <w:lang w:eastAsia="en-US"/>
    </w:rPr>
  </w:style>
  <w:style w:type="character" w:customStyle="1" w:styleId="TitleChar">
    <w:name w:val="Title Char"/>
    <w:basedOn w:val="DefaultParagraphFont"/>
    <w:link w:val="Title"/>
    <w:rsid w:val="000D186F"/>
    <w:rPr>
      <w:rFonts w:ascii="Times New Roman" w:eastAsia="Times New Roman" w:hAnsi="Times New Roman" w:cs="Times New Roman"/>
      <w:sz w:val="28"/>
      <w:szCs w:val="20"/>
    </w:rPr>
  </w:style>
  <w:style w:type="character" w:customStyle="1" w:styleId="normaltextrun">
    <w:name w:val="normaltextrun"/>
    <w:basedOn w:val="DefaultParagraphFont"/>
    <w:rsid w:val="000D186F"/>
  </w:style>
  <w:style w:type="character" w:customStyle="1" w:styleId="eop">
    <w:name w:val="eop"/>
    <w:basedOn w:val="DefaultParagraphFont"/>
    <w:rsid w:val="000D186F"/>
  </w:style>
  <w:style w:type="paragraph" w:styleId="ListParagraph">
    <w:name w:val="List Paragraph"/>
    <w:aliases w:val="2,H&amp;P List Paragraph"/>
    <w:basedOn w:val="Normal"/>
    <w:link w:val="ListParagraphChar"/>
    <w:uiPriority w:val="34"/>
    <w:qFormat/>
    <w:rsid w:val="000D186F"/>
    <w:pPr>
      <w:ind w:left="720"/>
      <w:contextualSpacing/>
    </w:pPr>
  </w:style>
  <w:style w:type="character" w:customStyle="1" w:styleId="ListParagraphChar">
    <w:name w:val="List Paragraph Char"/>
    <w:aliases w:val="2 Char,H&amp;P List Paragraph Char"/>
    <w:link w:val="ListParagraph"/>
    <w:uiPriority w:val="34"/>
    <w:locked/>
    <w:rsid w:val="000D186F"/>
    <w:rPr>
      <w:rFonts w:ascii="Times New Roman" w:eastAsia="Times New Roman" w:hAnsi="Times New Roman" w:cs="Times New Roman"/>
      <w:sz w:val="24"/>
      <w:szCs w:val="24"/>
      <w:lang w:eastAsia="lv-LV"/>
    </w:rPr>
  </w:style>
  <w:style w:type="character" w:customStyle="1" w:styleId="VPBodyChar">
    <w:name w:val="VP Body Char"/>
    <w:link w:val="VPBody"/>
    <w:locked/>
    <w:rsid w:val="000D186F"/>
    <w:rPr>
      <w:rFonts w:ascii="Times New Roman" w:hAnsi="Times New Roman" w:cs="Times New Roman"/>
      <w:sz w:val="24"/>
    </w:rPr>
  </w:style>
  <w:style w:type="paragraph" w:customStyle="1" w:styleId="VPBody">
    <w:name w:val="VP Body"/>
    <w:basedOn w:val="Normal"/>
    <w:link w:val="VPBodyChar"/>
    <w:qFormat/>
    <w:rsid w:val="000D186F"/>
    <w:pPr>
      <w:spacing w:after="160" w:line="254" w:lineRule="auto"/>
    </w:pPr>
    <w:rPr>
      <w:rFonts w:eastAsiaTheme="minorHAnsi"/>
      <w:szCs w:val="22"/>
      <w:lang w:eastAsia="en-US"/>
    </w:rPr>
  </w:style>
  <w:style w:type="paragraph" w:styleId="Footer">
    <w:name w:val="footer"/>
    <w:basedOn w:val="Normal"/>
    <w:link w:val="FooterChar"/>
    <w:uiPriority w:val="99"/>
    <w:unhideWhenUsed/>
    <w:rsid w:val="000D186F"/>
    <w:pPr>
      <w:tabs>
        <w:tab w:val="center" w:pos="4513"/>
        <w:tab w:val="right" w:pos="9026"/>
      </w:tabs>
    </w:pPr>
  </w:style>
  <w:style w:type="character" w:customStyle="1" w:styleId="FooterChar">
    <w:name w:val="Footer Char"/>
    <w:basedOn w:val="DefaultParagraphFont"/>
    <w:link w:val="Footer"/>
    <w:uiPriority w:val="99"/>
    <w:rsid w:val="000D186F"/>
    <w:rPr>
      <w:rFonts w:ascii="Times New Roman" w:eastAsia="Times New Roman" w:hAnsi="Times New Roman" w:cs="Times New Roman"/>
      <w:sz w:val="24"/>
      <w:szCs w:val="24"/>
      <w:lang w:eastAsia="lv-LV"/>
    </w:rPr>
  </w:style>
  <w:style w:type="paragraph" w:customStyle="1" w:styleId="Default">
    <w:name w:val="Default"/>
    <w:rsid w:val="000D186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186F"/>
    <w:rPr>
      <w:sz w:val="16"/>
      <w:szCs w:val="16"/>
    </w:rPr>
  </w:style>
  <w:style w:type="paragraph" w:styleId="CommentText">
    <w:name w:val="annotation text"/>
    <w:basedOn w:val="Normal"/>
    <w:link w:val="CommentTextChar"/>
    <w:uiPriority w:val="99"/>
    <w:unhideWhenUsed/>
    <w:rsid w:val="000D186F"/>
    <w:rPr>
      <w:sz w:val="20"/>
      <w:szCs w:val="20"/>
    </w:rPr>
  </w:style>
  <w:style w:type="character" w:customStyle="1" w:styleId="CommentTextChar">
    <w:name w:val="Comment Text Char"/>
    <w:basedOn w:val="DefaultParagraphFont"/>
    <w:link w:val="CommentText"/>
    <w:uiPriority w:val="99"/>
    <w:rsid w:val="000D186F"/>
    <w:rPr>
      <w:rFonts w:ascii="Times New Roman" w:eastAsia="Times New Roman" w:hAnsi="Times New Roman" w:cs="Times New Roman"/>
      <w:sz w:val="20"/>
      <w:szCs w:val="20"/>
      <w:lang w:eastAsia="lv-LV"/>
    </w:rPr>
  </w:style>
  <w:style w:type="paragraph" w:customStyle="1" w:styleId="VPTitle">
    <w:name w:val="VP Title"/>
    <w:basedOn w:val="Title"/>
    <w:qFormat/>
    <w:rsid w:val="000D186F"/>
    <w:pPr>
      <w:spacing w:before="80" w:line="360" w:lineRule="auto"/>
      <w:contextualSpacing/>
    </w:pPr>
    <w:rPr>
      <w:rFonts w:eastAsiaTheme="majorEastAsia" w:cstheme="majorBidi"/>
      <w:b/>
      <w:spacing w:val="-10"/>
      <w:kern w:val="28"/>
      <w:sz w:val="48"/>
      <w:szCs w:val="56"/>
    </w:rPr>
  </w:style>
  <w:style w:type="paragraph" w:styleId="BalloonText">
    <w:name w:val="Balloon Text"/>
    <w:basedOn w:val="Normal"/>
    <w:link w:val="BalloonTextChar"/>
    <w:uiPriority w:val="99"/>
    <w:semiHidden/>
    <w:unhideWhenUsed/>
    <w:rsid w:val="000D1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6F"/>
    <w:rPr>
      <w:rFonts w:ascii="Segoe UI" w:eastAsia="Times New Roman" w:hAnsi="Segoe UI" w:cs="Segoe UI"/>
      <w:sz w:val="18"/>
      <w:szCs w:val="18"/>
      <w:lang w:eastAsia="lv-LV"/>
    </w:rPr>
  </w:style>
  <w:style w:type="paragraph" w:customStyle="1" w:styleId="paragraph">
    <w:name w:val="paragraph"/>
    <w:basedOn w:val="Normal"/>
    <w:rsid w:val="00B06D1C"/>
    <w:pPr>
      <w:spacing w:before="100" w:beforeAutospacing="1" w:after="100" w:afterAutospacing="1"/>
    </w:pPr>
  </w:style>
  <w:style w:type="character" w:customStyle="1" w:styleId="superscript">
    <w:name w:val="superscript"/>
    <w:basedOn w:val="DefaultParagraphFont"/>
    <w:rsid w:val="00B06D1C"/>
  </w:style>
  <w:style w:type="paragraph" w:styleId="FootnoteText">
    <w:name w:val="footnote text"/>
    <w:basedOn w:val="Normal"/>
    <w:link w:val="FootnoteTextChar"/>
    <w:semiHidden/>
    <w:unhideWhenUsed/>
    <w:rsid w:val="00094185"/>
    <w:rPr>
      <w:sz w:val="20"/>
      <w:szCs w:val="20"/>
    </w:rPr>
  </w:style>
  <w:style w:type="character" w:customStyle="1" w:styleId="FootnoteTextChar">
    <w:name w:val="Footnote Text Char"/>
    <w:basedOn w:val="DefaultParagraphFont"/>
    <w:link w:val="FootnoteText"/>
    <w:semiHidden/>
    <w:rsid w:val="00094185"/>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094185"/>
    <w:rPr>
      <w:vertAlign w:val="superscript"/>
    </w:rPr>
  </w:style>
  <w:style w:type="paragraph" w:styleId="Header">
    <w:name w:val="header"/>
    <w:basedOn w:val="Normal"/>
    <w:link w:val="HeaderChar"/>
    <w:uiPriority w:val="99"/>
    <w:unhideWhenUsed/>
    <w:rsid w:val="000F30E4"/>
    <w:pPr>
      <w:tabs>
        <w:tab w:val="center" w:pos="4513"/>
        <w:tab w:val="right" w:pos="9026"/>
      </w:tabs>
    </w:pPr>
  </w:style>
  <w:style w:type="character" w:customStyle="1" w:styleId="HeaderChar">
    <w:name w:val="Header Char"/>
    <w:basedOn w:val="DefaultParagraphFont"/>
    <w:link w:val="Header"/>
    <w:uiPriority w:val="99"/>
    <w:rsid w:val="000F30E4"/>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9E5305"/>
    <w:rPr>
      <w:b/>
      <w:bCs/>
    </w:rPr>
  </w:style>
  <w:style w:type="character" w:customStyle="1" w:styleId="CommentSubjectChar">
    <w:name w:val="Comment Subject Char"/>
    <w:basedOn w:val="CommentTextChar"/>
    <w:link w:val="CommentSubject"/>
    <w:uiPriority w:val="99"/>
    <w:semiHidden/>
    <w:rsid w:val="009E5305"/>
    <w:rPr>
      <w:rFonts w:ascii="Times New Roman" w:eastAsia="Times New Roman" w:hAnsi="Times New Roman" w:cs="Times New Roman"/>
      <w:b/>
      <w:bCs/>
      <w:sz w:val="20"/>
      <w:szCs w:val="20"/>
      <w:lang w:eastAsia="lv-LV"/>
    </w:rPr>
  </w:style>
  <w:style w:type="paragraph" w:customStyle="1" w:styleId="pamattekststabul">
    <w:name w:val="pamattekststabul"/>
    <w:basedOn w:val="Normal"/>
    <w:rsid w:val="00095A76"/>
    <w:pPr>
      <w:spacing w:before="100" w:beforeAutospacing="1" w:after="100" w:afterAutospacing="1"/>
    </w:pPr>
    <w:rPr>
      <w:lang w:val="en-US" w:eastAsia="en-US"/>
    </w:rPr>
  </w:style>
  <w:style w:type="character" w:styleId="Hyperlink">
    <w:name w:val="Hyperlink"/>
    <w:uiPriority w:val="99"/>
    <w:unhideWhenUsed/>
    <w:rsid w:val="003518DF"/>
    <w:rPr>
      <w:color w:val="0000FF"/>
      <w:u w:val="single"/>
    </w:rPr>
  </w:style>
  <w:style w:type="character" w:customStyle="1" w:styleId="UnresolvedMention1">
    <w:name w:val="Unresolved Mention1"/>
    <w:basedOn w:val="DefaultParagraphFont"/>
    <w:uiPriority w:val="99"/>
    <w:semiHidden/>
    <w:unhideWhenUsed/>
    <w:rsid w:val="009900E5"/>
    <w:rPr>
      <w:color w:val="605E5C"/>
      <w:shd w:val="clear" w:color="auto" w:fill="E1DFDD"/>
    </w:rPr>
  </w:style>
  <w:style w:type="paragraph" w:customStyle="1" w:styleId="xxmsonormal">
    <w:name w:val="x_x_msonormal"/>
    <w:basedOn w:val="Normal"/>
    <w:uiPriority w:val="99"/>
    <w:rsid w:val="00F65E5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287244">
      <w:bodyDiv w:val="1"/>
      <w:marLeft w:val="0"/>
      <w:marRight w:val="0"/>
      <w:marTop w:val="0"/>
      <w:marBottom w:val="0"/>
      <w:divBdr>
        <w:top w:val="none" w:sz="0" w:space="0" w:color="auto"/>
        <w:left w:val="none" w:sz="0" w:space="0" w:color="auto"/>
        <w:bottom w:val="none" w:sz="0" w:space="0" w:color="auto"/>
        <w:right w:val="none" w:sz="0" w:space="0" w:color="auto"/>
      </w:divBdr>
      <w:divsChild>
        <w:div w:id="138155090">
          <w:marLeft w:val="0"/>
          <w:marRight w:val="0"/>
          <w:marTop w:val="0"/>
          <w:marBottom w:val="0"/>
          <w:divBdr>
            <w:top w:val="none" w:sz="0" w:space="0" w:color="auto"/>
            <w:left w:val="none" w:sz="0" w:space="0" w:color="auto"/>
            <w:bottom w:val="none" w:sz="0" w:space="0" w:color="auto"/>
            <w:right w:val="none" w:sz="0" w:space="0" w:color="auto"/>
          </w:divBdr>
        </w:div>
        <w:div w:id="417750248">
          <w:marLeft w:val="0"/>
          <w:marRight w:val="0"/>
          <w:marTop w:val="0"/>
          <w:marBottom w:val="0"/>
          <w:divBdr>
            <w:top w:val="none" w:sz="0" w:space="0" w:color="auto"/>
            <w:left w:val="none" w:sz="0" w:space="0" w:color="auto"/>
            <w:bottom w:val="none" w:sz="0" w:space="0" w:color="auto"/>
            <w:right w:val="none" w:sz="0" w:space="0" w:color="auto"/>
          </w:divBdr>
        </w:div>
        <w:div w:id="769735699">
          <w:marLeft w:val="0"/>
          <w:marRight w:val="0"/>
          <w:marTop w:val="0"/>
          <w:marBottom w:val="0"/>
          <w:divBdr>
            <w:top w:val="none" w:sz="0" w:space="0" w:color="auto"/>
            <w:left w:val="none" w:sz="0" w:space="0" w:color="auto"/>
            <w:bottom w:val="none" w:sz="0" w:space="0" w:color="auto"/>
            <w:right w:val="none" w:sz="0" w:space="0" w:color="auto"/>
          </w:divBdr>
        </w:div>
        <w:div w:id="813134810">
          <w:marLeft w:val="0"/>
          <w:marRight w:val="0"/>
          <w:marTop w:val="0"/>
          <w:marBottom w:val="0"/>
          <w:divBdr>
            <w:top w:val="none" w:sz="0" w:space="0" w:color="auto"/>
            <w:left w:val="none" w:sz="0" w:space="0" w:color="auto"/>
            <w:bottom w:val="none" w:sz="0" w:space="0" w:color="auto"/>
            <w:right w:val="none" w:sz="0" w:space="0" w:color="auto"/>
          </w:divBdr>
        </w:div>
        <w:div w:id="856507072">
          <w:marLeft w:val="0"/>
          <w:marRight w:val="0"/>
          <w:marTop w:val="0"/>
          <w:marBottom w:val="0"/>
          <w:divBdr>
            <w:top w:val="none" w:sz="0" w:space="0" w:color="auto"/>
            <w:left w:val="none" w:sz="0" w:space="0" w:color="auto"/>
            <w:bottom w:val="none" w:sz="0" w:space="0" w:color="auto"/>
            <w:right w:val="none" w:sz="0" w:space="0" w:color="auto"/>
          </w:divBdr>
        </w:div>
        <w:div w:id="1090348633">
          <w:marLeft w:val="0"/>
          <w:marRight w:val="0"/>
          <w:marTop w:val="0"/>
          <w:marBottom w:val="0"/>
          <w:divBdr>
            <w:top w:val="none" w:sz="0" w:space="0" w:color="auto"/>
            <w:left w:val="none" w:sz="0" w:space="0" w:color="auto"/>
            <w:bottom w:val="none" w:sz="0" w:space="0" w:color="auto"/>
            <w:right w:val="none" w:sz="0" w:space="0" w:color="auto"/>
          </w:divBdr>
        </w:div>
        <w:div w:id="1196769250">
          <w:marLeft w:val="0"/>
          <w:marRight w:val="0"/>
          <w:marTop w:val="0"/>
          <w:marBottom w:val="0"/>
          <w:divBdr>
            <w:top w:val="none" w:sz="0" w:space="0" w:color="auto"/>
            <w:left w:val="none" w:sz="0" w:space="0" w:color="auto"/>
            <w:bottom w:val="none" w:sz="0" w:space="0" w:color="auto"/>
            <w:right w:val="none" w:sz="0" w:space="0" w:color="auto"/>
          </w:divBdr>
        </w:div>
        <w:div w:id="1255940064">
          <w:marLeft w:val="0"/>
          <w:marRight w:val="0"/>
          <w:marTop w:val="0"/>
          <w:marBottom w:val="0"/>
          <w:divBdr>
            <w:top w:val="none" w:sz="0" w:space="0" w:color="auto"/>
            <w:left w:val="none" w:sz="0" w:space="0" w:color="auto"/>
            <w:bottom w:val="none" w:sz="0" w:space="0" w:color="auto"/>
            <w:right w:val="none" w:sz="0" w:space="0" w:color="auto"/>
          </w:divBdr>
        </w:div>
        <w:div w:id="1291476122">
          <w:marLeft w:val="0"/>
          <w:marRight w:val="0"/>
          <w:marTop w:val="0"/>
          <w:marBottom w:val="0"/>
          <w:divBdr>
            <w:top w:val="none" w:sz="0" w:space="0" w:color="auto"/>
            <w:left w:val="none" w:sz="0" w:space="0" w:color="auto"/>
            <w:bottom w:val="none" w:sz="0" w:space="0" w:color="auto"/>
            <w:right w:val="none" w:sz="0" w:space="0" w:color="auto"/>
          </w:divBdr>
        </w:div>
        <w:div w:id="1677884999">
          <w:marLeft w:val="0"/>
          <w:marRight w:val="0"/>
          <w:marTop w:val="0"/>
          <w:marBottom w:val="0"/>
          <w:divBdr>
            <w:top w:val="none" w:sz="0" w:space="0" w:color="auto"/>
            <w:left w:val="none" w:sz="0" w:space="0" w:color="auto"/>
            <w:bottom w:val="none" w:sz="0" w:space="0" w:color="auto"/>
            <w:right w:val="none" w:sz="0" w:space="0" w:color="auto"/>
          </w:divBdr>
        </w:div>
        <w:div w:id="1923026196">
          <w:marLeft w:val="0"/>
          <w:marRight w:val="0"/>
          <w:marTop w:val="0"/>
          <w:marBottom w:val="0"/>
          <w:divBdr>
            <w:top w:val="none" w:sz="0" w:space="0" w:color="auto"/>
            <w:left w:val="none" w:sz="0" w:space="0" w:color="auto"/>
            <w:bottom w:val="none" w:sz="0" w:space="0" w:color="auto"/>
            <w:right w:val="none" w:sz="0" w:space="0" w:color="auto"/>
          </w:divBdr>
        </w:div>
      </w:divsChild>
    </w:div>
    <w:div w:id="789473246">
      <w:bodyDiv w:val="1"/>
      <w:marLeft w:val="0"/>
      <w:marRight w:val="0"/>
      <w:marTop w:val="0"/>
      <w:marBottom w:val="0"/>
      <w:divBdr>
        <w:top w:val="none" w:sz="0" w:space="0" w:color="auto"/>
        <w:left w:val="none" w:sz="0" w:space="0" w:color="auto"/>
        <w:bottom w:val="none" w:sz="0" w:space="0" w:color="auto"/>
        <w:right w:val="none" w:sz="0" w:space="0" w:color="auto"/>
      </w:divBdr>
    </w:div>
    <w:div w:id="903182883">
      <w:bodyDiv w:val="1"/>
      <w:marLeft w:val="0"/>
      <w:marRight w:val="0"/>
      <w:marTop w:val="0"/>
      <w:marBottom w:val="0"/>
      <w:divBdr>
        <w:top w:val="none" w:sz="0" w:space="0" w:color="auto"/>
        <w:left w:val="none" w:sz="0" w:space="0" w:color="auto"/>
        <w:bottom w:val="none" w:sz="0" w:space="0" w:color="auto"/>
        <w:right w:val="none" w:sz="0" w:space="0" w:color="auto"/>
      </w:divBdr>
    </w:div>
    <w:div w:id="1577592239">
      <w:bodyDiv w:val="1"/>
      <w:marLeft w:val="0"/>
      <w:marRight w:val="0"/>
      <w:marTop w:val="0"/>
      <w:marBottom w:val="0"/>
      <w:divBdr>
        <w:top w:val="none" w:sz="0" w:space="0" w:color="auto"/>
        <w:left w:val="none" w:sz="0" w:space="0" w:color="auto"/>
        <w:bottom w:val="none" w:sz="0" w:space="0" w:color="auto"/>
        <w:right w:val="none" w:sz="0" w:space="0" w:color="auto"/>
      </w:divBdr>
    </w:div>
    <w:div w:id="1661495467">
      <w:bodyDiv w:val="1"/>
      <w:marLeft w:val="0"/>
      <w:marRight w:val="0"/>
      <w:marTop w:val="0"/>
      <w:marBottom w:val="0"/>
      <w:divBdr>
        <w:top w:val="none" w:sz="0" w:space="0" w:color="auto"/>
        <w:left w:val="none" w:sz="0" w:space="0" w:color="auto"/>
        <w:bottom w:val="none" w:sz="0" w:space="0" w:color="auto"/>
        <w:right w:val="none" w:sz="0" w:space="0" w:color="auto"/>
      </w:divBdr>
    </w:div>
    <w:div w:id="20149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Lukin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eta.bertulson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584CC-5E0D-4E62-8179-E0583619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12795</Words>
  <Characters>7294</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20049</CharactersWithSpaces>
  <SharedDoc>false</SharedDoc>
  <HLinks>
    <vt:vector size="12" baseType="variant">
      <vt:variant>
        <vt:i4>2555912</vt:i4>
      </vt:variant>
      <vt:variant>
        <vt:i4>3</vt:i4>
      </vt:variant>
      <vt:variant>
        <vt:i4>0</vt:i4>
      </vt:variant>
      <vt:variant>
        <vt:i4>5</vt:i4>
      </vt:variant>
      <vt:variant>
        <vt:lpwstr>mailto:iveta.bertulsone@vm.gov.lv</vt:lpwstr>
      </vt:variant>
      <vt:variant>
        <vt:lpwstr/>
      </vt:variant>
      <vt:variant>
        <vt:i4>4259959</vt:i4>
      </vt:variant>
      <vt:variant>
        <vt:i4>0</vt:i4>
      </vt:variant>
      <vt:variant>
        <vt:i4>0</vt:i4>
      </vt:variant>
      <vt:variant>
        <vt:i4>5</vt:i4>
      </vt:variant>
      <vt:variant>
        <vt:lpwstr>mailto:ieva.Lukina@vm.gov.lv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Lūkina</dc:creator>
  <cp:keywords/>
  <dc:description/>
  <cp:lastModifiedBy>Iveta Bērtulsone</cp:lastModifiedBy>
  <cp:revision>10</cp:revision>
  <dcterms:created xsi:type="dcterms:W3CDTF">2021-03-13T10:55:00Z</dcterms:created>
  <dcterms:modified xsi:type="dcterms:W3CDTF">2021-03-16T16:06:00Z</dcterms:modified>
</cp:coreProperties>
</file>