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ABE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40385105" w14:textId="4B15C604" w:rsidR="00214D9A" w:rsidRPr="00214D9A" w:rsidRDefault="0061568D" w:rsidP="00526D9F">
            <w:pPr>
              <w:jc w:val="center"/>
              <w:rPr>
                <w:b/>
                <w:bCs/>
                <w:sz w:val="28"/>
                <w:szCs w:val="28"/>
              </w:rPr>
            </w:pPr>
            <w:r>
              <w:rPr>
                <w:b/>
                <w:bCs/>
              </w:rPr>
              <w:t xml:space="preserve">Par </w:t>
            </w:r>
            <w:r w:rsidR="00D51DA8" w:rsidRPr="00D51DA8">
              <w:rPr>
                <w:b/>
                <w:bCs/>
              </w:rPr>
              <w:t xml:space="preserve">Ministru kabineta sēdes </w:t>
            </w:r>
            <w:proofErr w:type="spellStart"/>
            <w:r w:rsidR="00D51DA8" w:rsidRPr="00D51DA8">
              <w:rPr>
                <w:b/>
                <w:bCs/>
              </w:rPr>
              <w:t>protokollēmuma</w:t>
            </w:r>
            <w:proofErr w:type="spellEnd"/>
            <w:r w:rsidR="00D51DA8" w:rsidRPr="00D51DA8">
              <w:rPr>
                <w:b/>
                <w:bCs/>
              </w:rPr>
              <w:t xml:space="preserve"> projektu “Par Ministru kabineta 2021. gada </w:t>
            </w:r>
            <w:r>
              <w:rPr>
                <w:b/>
                <w:bCs/>
              </w:rPr>
              <w:t>24. marta</w:t>
            </w:r>
            <w:r w:rsidR="00D51DA8" w:rsidRPr="00D51DA8">
              <w:rPr>
                <w:b/>
                <w:bCs/>
              </w:rPr>
              <w:t xml:space="preserve"> sēdes </w:t>
            </w:r>
            <w:proofErr w:type="spellStart"/>
            <w:r w:rsidR="00D51DA8" w:rsidRPr="00D51DA8">
              <w:rPr>
                <w:b/>
                <w:bCs/>
              </w:rPr>
              <w:t>protokollēmuma</w:t>
            </w:r>
            <w:proofErr w:type="spellEnd"/>
            <w:r w:rsidR="00D51DA8" w:rsidRPr="00D51DA8">
              <w:rPr>
                <w:b/>
                <w:bCs/>
              </w:rPr>
              <w:t xml:space="preserve"> (prot.Nr.29 45.§) 5.</w:t>
            </w:r>
            <w:r>
              <w:rPr>
                <w:b/>
                <w:bCs/>
              </w:rPr>
              <w:t> </w:t>
            </w:r>
            <w:r w:rsidR="00D51DA8" w:rsidRPr="00D51DA8">
              <w:rPr>
                <w:b/>
                <w:bCs/>
              </w:rPr>
              <w:t>punktā dotā uzdevuma atzīšanu par aktualitāti zaudējušu”</w:t>
            </w:r>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7D42D3">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61"/>
        <w:gridCol w:w="3686"/>
        <w:gridCol w:w="3267"/>
        <w:gridCol w:w="2693"/>
        <w:gridCol w:w="2693"/>
      </w:tblGrid>
      <w:tr w:rsidR="005F4BFD" w:rsidRPr="00712B66" w14:paraId="50BCA9A7" w14:textId="77777777" w:rsidTr="00B90F62">
        <w:tc>
          <w:tcPr>
            <w:tcW w:w="701"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67"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B90F62">
        <w:tc>
          <w:tcPr>
            <w:tcW w:w="701"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267"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801E13" w:rsidRPr="008A36C9" w14:paraId="46A3C4AC" w14:textId="77777777" w:rsidTr="00B90F62">
        <w:tc>
          <w:tcPr>
            <w:tcW w:w="701" w:type="dxa"/>
            <w:tcBorders>
              <w:top w:val="single" w:sz="6" w:space="0" w:color="000000"/>
              <w:left w:val="single" w:sz="6" w:space="0" w:color="000000"/>
              <w:bottom w:val="single" w:sz="6" w:space="0" w:color="000000"/>
              <w:right w:val="single" w:sz="6" w:space="0" w:color="000000"/>
            </w:tcBorders>
          </w:tcPr>
          <w:p w14:paraId="2940FFF5" w14:textId="081DA542" w:rsidR="00801E13" w:rsidRDefault="00801E13" w:rsidP="00801E13">
            <w:pPr>
              <w:pStyle w:val="naisc"/>
              <w:spacing w:before="0" w:after="0"/>
              <w:rPr>
                <w:sz w:val="20"/>
                <w:szCs w:val="20"/>
              </w:rPr>
            </w:pPr>
            <w:r>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3DA817F8" w14:textId="7FDD802B" w:rsidR="00801E13" w:rsidRDefault="00801E13" w:rsidP="00801E13">
            <w:pPr>
              <w:pStyle w:val="naisc"/>
              <w:spacing w:before="0" w:after="0"/>
              <w:jc w:val="left"/>
              <w:rPr>
                <w:color w:val="000000"/>
              </w:rPr>
            </w:pPr>
            <w:r>
              <w:rPr>
                <w:color w:val="000000"/>
              </w:rPr>
              <w:t xml:space="preserve">MK </w:t>
            </w:r>
            <w:proofErr w:type="spellStart"/>
            <w:r w:rsidRPr="00D51DA8">
              <w:rPr>
                <w:color w:val="000000"/>
              </w:rPr>
              <w:t>protokollēmuma</w:t>
            </w:r>
            <w:proofErr w:type="spellEnd"/>
            <w:r w:rsidRPr="00D51DA8">
              <w:rPr>
                <w:color w:val="000000"/>
              </w:rPr>
              <w:t xml:space="preserve"> projekts</w:t>
            </w:r>
          </w:p>
        </w:tc>
        <w:tc>
          <w:tcPr>
            <w:tcW w:w="3686" w:type="dxa"/>
            <w:tcBorders>
              <w:top w:val="single" w:sz="6" w:space="0" w:color="000000"/>
              <w:left w:val="single" w:sz="6" w:space="0" w:color="000000"/>
              <w:bottom w:val="single" w:sz="6" w:space="0" w:color="000000"/>
              <w:right w:val="single" w:sz="6" w:space="0" w:color="000000"/>
            </w:tcBorders>
          </w:tcPr>
          <w:p w14:paraId="5793D3D9" w14:textId="77777777" w:rsidR="00801E13" w:rsidRDefault="00801E13" w:rsidP="00801E13">
            <w:pPr>
              <w:pStyle w:val="naisc"/>
              <w:spacing w:before="0" w:after="0"/>
              <w:jc w:val="both"/>
              <w:rPr>
                <w:bCs/>
              </w:rPr>
            </w:pPr>
            <w:r>
              <w:rPr>
                <w:b/>
                <w:bCs/>
              </w:rPr>
              <w:t xml:space="preserve">Finanšu </w:t>
            </w:r>
            <w:r w:rsidRPr="00783E18">
              <w:rPr>
                <w:b/>
                <w:bCs/>
              </w:rPr>
              <w:t xml:space="preserve">ministrijas 2021.gada </w:t>
            </w:r>
            <w:r>
              <w:rPr>
                <w:b/>
                <w:bCs/>
              </w:rPr>
              <w:t>7.aprīļa</w:t>
            </w:r>
            <w:r w:rsidRPr="00783E18">
              <w:rPr>
                <w:b/>
                <w:bCs/>
              </w:rPr>
              <w:t xml:space="preserve"> atzinums Nr.12/A-2/</w:t>
            </w:r>
            <w:r>
              <w:rPr>
                <w:b/>
                <w:bCs/>
              </w:rPr>
              <w:t>1900</w:t>
            </w:r>
          </w:p>
          <w:p w14:paraId="5D330405" w14:textId="77777777" w:rsidR="00801E13" w:rsidRPr="00D51DA8" w:rsidRDefault="00801E13" w:rsidP="00801E13">
            <w:pPr>
              <w:pStyle w:val="naisc"/>
              <w:jc w:val="both"/>
              <w:rPr>
                <w:bCs/>
              </w:rPr>
            </w:pPr>
            <w:proofErr w:type="spellStart"/>
            <w:r w:rsidRPr="00D51DA8">
              <w:rPr>
                <w:bCs/>
              </w:rPr>
              <w:t>Protokollēmuma</w:t>
            </w:r>
            <w:proofErr w:type="spellEnd"/>
            <w:r w:rsidRPr="00D51DA8">
              <w:rPr>
                <w:bCs/>
              </w:rPr>
              <w:t xml:space="preserve"> projektā minētais uzdevums ir cieši saistīts ar Veselības ministrijas sagatavoto Ministru kabineta rīkojuma “Par finanšu līdzekļu piešķiršanu no valsts budžeta programmas “Līdzekļi neparedzētiem gadījumiem”” projektu, kas paredz finansējuma piešķiršanu nacionāla mēroga vakcinācijas kompleksu darbībai. Finanšu ministrija savā 2021.gada 6.aprīļa atzinumā Nr. 12/A-2/1871 par minēto projektu ir norādījusi, ka nacionāla mēroga vakcinācijas kompleksu darbībai nepieciešamajā finansējumā ir iekļautas arī pašvaldību iestāžu komunālo maksājumu, apsardzes un uzkopšanas izmaksas, tādejādi paredzot no valsts budžeta </w:t>
            </w:r>
            <w:r w:rsidRPr="00D51DA8">
              <w:rPr>
                <w:bCs/>
              </w:rPr>
              <w:lastRenderedPageBreak/>
              <w:t>līdzekļiem segt pašvaldību kārtējos izdevumus, kas būtu radušies neatkarīgi no tā, vai vakcinācijas centrs iestādē tiktu vai netiktu izvietots. Attiecīgi nepieciešams Veselības ministrijas un Vides aizsardzības un reģionālās attīstības ministrijas vērtējums par vakcinācijas centru, kas izvietoti pašvaldību iestādēs, izmaksu līdzfinansēšanu arī no pašvaldību budžetiem.</w:t>
            </w:r>
          </w:p>
          <w:p w14:paraId="74AC673F" w14:textId="092E2C01" w:rsidR="00801E13" w:rsidRPr="0023633E" w:rsidRDefault="00801E13" w:rsidP="00801E13">
            <w:pPr>
              <w:pStyle w:val="naisc"/>
              <w:spacing w:before="0" w:after="0"/>
              <w:jc w:val="both"/>
              <w:rPr>
                <w:b/>
                <w:u w:val="single"/>
              </w:rPr>
            </w:pPr>
            <w:r w:rsidRPr="00D51DA8">
              <w:rPr>
                <w:bCs/>
              </w:rPr>
              <w:t xml:space="preserve">Ņemot vērā minēto, uzskatām, ka nav veikts </w:t>
            </w:r>
            <w:proofErr w:type="spellStart"/>
            <w:r w:rsidRPr="00D51DA8">
              <w:rPr>
                <w:bCs/>
              </w:rPr>
              <w:t>izvērtējums</w:t>
            </w:r>
            <w:proofErr w:type="spellEnd"/>
            <w:r w:rsidRPr="00D51DA8">
              <w:rPr>
                <w:bCs/>
              </w:rPr>
              <w:t xml:space="preserve"> un sniegts pamatojums Ministru kabineta 2021.gada 24.marta sēdes </w:t>
            </w:r>
            <w:proofErr w:type="spellStart"/>
            <w:r w:rsidRPr="00D51DA8">
              <w:rPr>
                <w:bCs/>
              </w:rPr>
              <w:t>protokollēmuma</w:t>
            </w:r>
            <w:proofErr w:type="spellEnd"/>
            <w:r w:rsidRPr="00D51DA8">
              <w:rPr>
                <w:bCs/>
              </w:rPr>
              <w:t xml:space="preserve"> (prot.Nr.29 45.§) “Grozījumi Ministru kabineta 2020. gada 9. jūnija noteikumos Nr. 360 “Epidemioloģiskās drošības pasākumi Covid-19 infekcijas izplatības ierobežošanai”” 5.punktā dotā uzdevuma atzīšanai par aktualitāti zaudējušu.</w:t>
            </w:r>
          </w:p>
        </w:tc>
        <w:tc>
          <w:tcPr>
            <w:tcW w:w="3267" w:type="dxa"/>
            <w:tcBorders>
              <w:top w:val="single" w:sz="6" w:space="0" w:color="000000"/>
              <w:left w:val="single" w:sz="6" w:space="0" w:color="000000"/>
              <w:bottom w:val="single" w:sz="6" w:space="0" w:color="000000"/>
              <w:right w:val="single" w:sz="6" w:space="0" w:color="000000"/>
            </w:tcBorders>
          </w:tcPr>
          <w:p w14:paraId="3EED32D4" w14:textId="19892039" w:rsidR="00801E13" w:rsidRPr="00801E13" w:rsidRDefault="00801E13" w:rsidP="00B90F62">
            <w:pPr>
              <w:pStyle w:val="naisc"/>
              <w:spacing w:before="0" w:after="120"/>
              <w:jc w:val="both"/>
              <w:rPr>
                <w:b/>
                <w:bCs/>
              </w:rPr>
            </w:pPr>
            <w:r w:rsidRPr="00801E13">
              <w:rPr>
                <w:b/>
                <w:bCs/>
              </w:rPr>
              <w:lastRenderedPageBreak/>
              <w:t>Iebildums nav ņemts vērā</w:t>
            </w:r>
          </w:p>
          <w:p w14:paraId="6CF4D720" w14:textId="77777777" w:rsidR="00801E13" w:rsidRPr="00801E13" w:rsidRDefault="00801E13" w:rsidP="00801E13">
            <w:pPr>
              <w:jc w:val="both"/>
            </w:pPr>
            <w:r w:rsidRPr="00801E13">
              <w:t>Saskaņā ar MK 2020.gada 10.jūnija noteikumu Nr.360 “Epidemioloģiskās drošības pasākumi Covid-19 infekcijas izplatības ierobežošanai” 62.</w:t>
            </w:r>
            <w:r w:rsidRPr="00801E13">
              <w:rPr>
                <w:vertAlign w:val="superscript"/>
              </w:rPr>
              <w:t>15</w:t>
            </w:r>
            <w:r w:rsidRPr="00801E13">
              <w:t xml:space="preserve"> punktu, visus izdevumus, kas saistīti ar Covid-19 vakcināciju, tās organizēšanu, pārraudzību un kontroli, vakcīnu iegādi, medicīniskās dokumentācijas noformēšanu, vakcīnu ievadīšanu, kā arī ar vakcinācijas izraisīto komplikāciju (blakusparādību) ārstēšanu, finansē no valsts pamatbudžeta.</w:t>
            </w:r>
          </w:p>
          <w:p w14:paraId="07EDE1E3" w14:textId="1AF1AF15" w:rsidR="00801E13" w:rsidRPr="00801E13" w:rsidRDefault="00353071" w:rsidP="00801E13">
            <w:pPr>
              <w:jc w:val="both"/>
            </w:pPr>
            <w:r>
              <w:t>Savukārt, l</w:t>
            </w:r>
            <w:r w:rsidR="00801E13" w:rsidRPr="00801E13">
              <w:t xml:space="preserve">ikuma “Par pašvaldībām” 11. pants paredz, ka Ministru kabinets likumā paredzētajos gadījumos un Valsts pārvaldes iekārtas </w:t>
            </w:r>
            <w:r w:rsidR="00801E13" w:rsidRPr="00801E13">
              <w:lastRenderedPageBreak/>
              <w:t>likumā noteiktajā kārtībā var deleģēt pašvaldībai atsevišķu pārvaldes uzdevumu.</w:t>
            </w:r>
          </w:p>
          <w:p w14:paraId="4BFF6D4C" w14:textId="77777777" w:rsidR="00801E13" w:rsidRPr="00801E13" w:rsidRDefault="00801E13" w:rsidP="00801E13">
            <w:pPr>
              <w:jc w:val="both"/>
            </w:pPr>
            <w:r w:rsidRPr="00801E13">
              <w:t>Deleģējot pārvaldes uzdevumu, Ministru kabinets nodrošina pašvaldībai finanšu līdzekļus, kas nepieciešami šā uzdevuma izpildei.</w:t>
            </w:r>
          </w:p>
          <w:p w14:paraId="2110E06B" w14:textId="77777777" w:rsidR="00801E13" w:rsidRPr="00801E13" w:rsidRDefault="00801E13" w:rsidP="00801E13">
            <w:pPr>
              <w:jc w:val="both"/>
            </w:pPr>
            <w:r w:rsidRPr="00801E13">
              <w:t>Ja pašvaldība piekrīt, tā var veikt uzdevumu par saviem līdzekļiem.</w:t>
            </w:r>
          </w:p>
          <w:p w14:paraId="1F7E1A40" w14:textId="77777777" w:rsidR="00801E13" w:rsidRPr="00801E13" w:rsidRDefault="00801E13" w:rsidP="00801E13">
            <w:pPr>
              <w:jc w:val="both"/>
            </w:pPr>
            <w:r w:rsidRPr="00801E13">
              <w:t>Savukārt šī likuma 9. pants nosaka, ka valsts pārvaldes iestādes, ja tas paredzēts likumos vai Ministru kabineta noteikumos, var pilnvarot pašvaldības pildīt atsevišķas valsts pārvaldes iestāžu funkcijas, nosakot to izpildes kārtību un uzraugot šo funkciju izpildi.</w:t>
            </w:r>
          </w:p>
          <w:p w14:paraId="43C1D7A0" w14:textId="77777777" w:rsidR="00801E13" w:rsidRPr="00801E13" w:rsidRDefault="00801E13" w:rsidP="00801E13">
            <w:pPr>
              <w:jc w:val="both"/>
            </w:pPr>
            <w:r w:rsidRPr="00801E13">
              <w:t>Nododot valsts pārvaldes iestāžu funkciju izpildi pašvaldībām, vienlaikus tām nododami līdzekļi, kas paredzēti attiecīgo valsts pārvaldes iestāžu budžetā šo funkciju veikšanai.</w:t>
            </w:r>
          </w:p>
          <w:p w14:paraId="7E79EED0" w14:textId="77777777" w:rsidR="00801E13" w:rsidRPr="00801E13" w:rsidRDefault="00801E13" w:rsidP="00801E13">
            <w:pPr>
              <w:jc w:val="both"/>
            </w:pPr>
            <w:r w:rsidRPr="00801E13">
              <w:t>Pašvaldībām nodoto valsts pārvaldes iestāžu funkciju izpildi organizē attiecīgā pašvaldība, bet par to izpildi ir atbildīga valsts pārvaldes iestāde, kas šīs funkcijas nodevusi pašvaldībai.</w:t>
            </w:r>
          </w:p>
          <w:p w14:paraId="1501DA25" w14:textId="26CB8BAA" w:rsidR="00801E13" w:rsidRPr="00386688" w:rsidRDefault="00801E13" w:rsidP="00801E13">
            <w:pPr>
              <w:pStyle w:val="naisc"/>
              <w:spacing w:before="0" w:after="0"/>
              <w:jc w:val="both"/>
            </w:pPr>
            <w:r w:rsidRPr="00801E13">
              <w:lastRenderedPageBreak/>
              <w:t>Tādējādi, ja valsts nodot pašvaldībām jaunu funkciju vai uzdevumu – nodrošināt plašu sabiedrības vakcinācijas kompleksu izveidi un darbību, no valsts budžeta arī pilnā apmērā ir sedzami pašvaldību faktiskie izdevumi funkcijas / uzdevuma izpildē.</w:t>
            </w:r>
          </w:p>
        </w:tc>
        <w:tc>
          <w:tcPr>
            <w:tcW w:w="2693" w:type="dxa"/>
            <w:tcBorders>
              <w:top w:val="single" w:sz="4" w:space="0" w:color="auto"/>
              <w:left w:val="single" w:sz="4" w:space="0" w:color="auto"/>
              <w:bottom w:val="single" w:sz="4" w:space="0" w:color="auto"/>
              <w:right w:val="single" w:sz="4" w:space="0" w:color="auto"/>
            </w:tcBorders>
          </w:tcPr>
          <w:p w14:paraId="031A7378" w14:textId="77777777" w:rsidR="00801E13" w:rsidRPr="008A36C9" w:rsidRDefault="00801E13" w:rsidP="00801E13">
            <w:pPr>
              <w:jc w:val="center"/>
              <w:rPr>
                <w:sz w:val="20"/>
                <w:szCs w:val="20"/>
              </w:rPr>
            </w:pPr>
          </w:p>
        </w:tc>
        <w:tc>
          <w:tcPr>
            <w:tcW w:w="2693" w:type="dxa"/>
            <w:tcBorders>
              <w:top w:val="single" w:sz="4" w:space="0" w:color="auto"/>
              <w:left w:val="single" w:sz="4" w:space="0" w:color="auto"/>
              <w:bottom w:val="single" w:sz="4" w:space="0" w:color="auto"/>
            </w:tcBorders>
          </w:tcPr>
          <w:p w14:paraId="28CC74A6" w14:textId="6624189C" w:rsidR="00801E13" w:rsidRDefault="00801E13" w:rsidP="00801E13">
            <w:pPr>
              <w:jc w:val="both"/>
              <w:rPr>
                <w:color w:val="000000"/>
              </w:rPr>
            </w:pPr>
            <w:r w:rsidRPr="00801E13">
              <w:t xml:space="preserve">Saglabāta </w:t>
            </w:r>
            <w:r w:rsidRPr="00801E13">
              <w:rPr>
                <w:color w:val="000000"/>
              </w:rPr>
              <w:t xml:space="preserve">MK </w:t>
            </w:r>
            <w:proofErr w:type="spellStart"/>
            <w:r w:rsidRPr="00801E13">
              <w:rPr>
                <w:color w:val="000000"/>
              </w:rPr>
              <w:t>protokollēmuma</w:t>
            </w:r>
            <w:proofErr w:type="spellEnd"/>
            <w:r w:rsidRPr="00801E13">
              <w:rPr>
                <w:color w:val="000000"/>
              </w:rPr>
              <w:t xml:space="preserve"> projekta redakcija</w:t>
            </w:r>
          </w:p>
        </w:tc>
      </w:tr>
    </w:tbl>
    <w:p w14:paraId="6EFC7BC6" w14:textId="3F23722F" w:rsidR="00C0467D" w:rsidRDefault="00C10AE9" w:rsidP="007D42D3">
      <w:pPr>
        <w:pStyle w:val="naisf"/>
        <w:spacing w:before="0" w:after="0"/>
        <w:ind w:firstLine="0"/>
        <w:jc w:val="left"/>
        <w:rPr>
          <w:b/>
        </w:rPr>
      </w:pPr>
      <w:r>
        <w:rPr>
          <w:b/>
        </w:rPr>
        <w:lastRenderedPageBreak/>
        <w:br w:type="textWrapping" w:clear="all"/>
      </w:r>
      <w:r w:rsidR="00C0467D" w:rsidRPr="00712B66">
        <w:rPr>
          <w:b/>
        </w:rPr>
        <w:t xml:space="preserve">Informācija par </w:t>
      </w:r>
      <w:proofErr w:type="spellStart"/>
      <w:r w:rsidR="00C0467D" w:rsidRPr="00712B66">
        <w:rPr>
          <w:b/>
        </w:rPr>
        <w:t>starpministriju</w:t>
      </w:r>
      <w:proofErr w:type="spellEnd"/>
      <w:r w:rsidR="00C0467D" w:rsidRPr="00712B66">
        <w:rPr>
          <w:b/>
        </w:rPr>
        <w:t xml:space="preserve"> (starpinstitūciju) sanāks</w:t>
      </w:r>
      <w:r w:rsidR="00C0467D">
        <w:rPr>
          <w:b/>
        </w:rPr>
        <w:t>mi vai elektronisko saskaņošanu</w:t>
      </w:r>
    </w:p>
    <w:p w14:paraId="4DE04C5D" w14:textId="77777777" w:rsidR="00BE022C" w:rsidRPr="00712B66" w:rsidRDefault="00BE022C" w:rsidP="007D42D3">
      <w:pPr>
        <w:pStyle w:val="naisf"/>
        <w:spacing w:before="0" w:after="0"/>
        <w:ind w:firstLine="0"/>
        <w:rPr>
          <w:b/>
        </w:rPr>
      </w:pPr>
    </w:p>
    <w:tbl>
      <w:tblPr>
        <w:tblW w:w="15629" w:type="dxa"/>
        <w:tblLook w:val="00A0" w:firstRow="1" w:lastRow="0" w:firstColumn="1" w:lastColumn="0" w:noHBand="0" w:noVBand="0"/>
      </w:tblPr>
      <w:tblGrid>
        <w:gridCol w:w="6555"/>
        <w:gridCol w:w="108"/>
        <w:gridCol w:w="885"/>
        <w:gridCol w:w="6769"/>
        <w:gridCol w:w="1312"/>
      </w:tblGrid>
      <w:tr w:rsidR="00C0467D" w14:paraId="2B2624D5" w14:textId="77777777" w:rsidTr="00A823D8">
        <w:trPr>
          <w:gridAfter w:val="1"/>
          <w:wAfter w:w="1312" w:type="dxa"/>
        </w:trPr>
        <w:tc>
          <w:tcPr>
            <w:tcW w:w="6663" w:type="dxa"/>
            <w:gridSpan w:val="2"/>
          </w:tcPr>
          <w:p w14:paraId="67253CB6" w14:textId="77777777" w:rsidR="00C0467D" w:rsidRPr="007C3109" w:rsidRDefault="00C0467D" w:rsidP="00B03870">
            <w:pPr>
              <w:pStyle w:val="naisf"/>
              <w:spacing w:before="0" w:after="0"/>
              <w:ind w:firstLine="0"/>
            </w:pPr>
            <w:r w:rsidRPr="007C3109">
              <w:t>Datums</w:t>
            </w:r>
          </w:p>
        </w:tc>
        <w:tc>
          <w:tcPr>
            <w:tcW w:w="7654" w:type="dxa"/>
            <w:gridSpan w:val="2"/>
            <w:tcBorders>
              <w:bottom w:val="single" w:sz="4" w:space="0" w:color="auto"/>
            </w:tcBorders>
          </w:tcPr>
          <w:p w14:paraId="1A96ED9B" w14:textId="7F0049B4" w:rsidR="00FF3853" w:rsidRPr="007C3109" w:rsidRDefault="007C3109" w:rsidP="00B03870">
            <w:pPr>
              <w:pStyle w:val="NormalWeb"/>
              <w:spacing w:before="0" w:beforeAutospacing="0" w:after="0" w:afterAutospacing="0"/>
            </w:pPr>
            <w:r w:rsidRPr="007C3109">
              <w:t>0</w:t>
            </w:r>
            <w:r w:rsidR="002E10C5">
              <w:t>7</w:t>
            </w:r>
            <w:r w:rsidR="00FF3853" w:rsidRPr="007C3109">
              <w:t>.0</w:t>
            </w:r>
            <w:r w:rsidRPr="007C3109">
              <w:t>4</w:t>
            </w:r>
            <w:r w:rsidR="00FF3853" w:rsidRPr="007C3109">
              <w:t>.2021</w:t>
            </w:r>
          </w:p>
        </w:tc>
      </w:tr>
      <w:tr w:rsidR="00C0467D" w14:paraId="116D06FD" w14:textId="77777777" w:rsidTr="00A823D8">
        <w:trPr>
          <w:gridAfter w:val="1"/>
          <w:wAfter w:w="1312" w:type="dxa"/>
        </w:trPr>
        <w:tc>
          <w:tcPr>
            <w:tcW w:w="6663" w:type="dxa"/>
            <w:gridSpan w:val="2"/>
          </w:tcPr>
          <w:p w14:paraId="715FCAD4" w14:textId="77777777" w:rsidR="00C0467D" w:rsidRPr="00712B66" w:rsidRDefault="00C0467D" w:rsidP="00B03870">
            <w:pPr>
              <w:pStyle w:val="naisf"/>
              <w:spacing w:before="0" w:after="0"/>
              <w:ind w:firstLine="0"/>
            </w:pPr>
          </w:p>
        </w:tc>
        <w:tc>
          <w:tcPr>
            <w:tcW w:w="7654"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A823D8">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8966" w:type="dxa"/>
            <w:gridSpan w:val="3"/>
          </w:tcPr>
          <w:p w14:paraId="26E5915B" w14:textId="61B56AAA" w:rsidR="00C0467D" w:rsidRPr="00712B66" w:rsidRDefault="00C0467D" w:rsidP="00B03870">
            <w:pPr>
              <w:pStyle w:val="NormalWeb"/>
              <w:spacing w:before="0" w:beforeAutospacing="0" w:after="0" w:afterAutospacing="0"/>
              <w:jc w:val="both"/>
            </w:pPr>
            <w:r>
              <w:t>Finanšu ministrija</w:t>
            </w:r>
          </w:p>
        </w:tc>
      </w:tr>
      <w:tr w:rsidR="00C0467D" w14:paraId="0A710E0E" w14:textId="77777777" w:rsidTr="00A823D8">
        <w:trPr>
          <w:gridAfter w:val="1"/>
          <w:wAfter w:w="1312" w:type="dxa"/>
        </w:trPr>
        <w:tc>
          <w:tcPr>
            <w:tcW w:w="6663" w:type="dxa"/>
            <w:gridSpan w:val="2"/>
          </w:tcPr>
          <w:p w14:paraId="14E74C3C" w14:textId="77777777" w:rsidR="00C0467D" w:rsidRPr="00712B66" w:rsidRDefault="00C0467D" w:rsidP="00B03870">
            <w:pPr>
              <w:pStyle w:val="naiskr"/>
              <w:spacing w:before="0" w:after="0"/>
            </w:pPr>
            <w:r w:rsidRPr="00712B66">
              <w:t>  </w:t>
            </w:r>
          </w:p>
        </w:tc>
        <w:tc>
          <w:tcPr>
            <w:tcW w:w="7654" w:type="dxa"/>
            <w:gridSpan w:val="2"/>
            <w:tcBorders>
              <w:top w:val="single" w:sz="6" w:space="0" w:color="000000"/>
              <w:bottom w:val="single" w:sz="6" w:space="0" w:color="000000"/>
            </w:tcBorders>
          </w:tcPr>
          <w:p w14:paraId="086449D4" w14:textId="431F1A58" w:rsidR="00C0467D" w:rsidRPr="00712B66" w:rsidRDefault="00C0467D" w:rsidP="00B03870">
            <w:pPr>
              <w:pStyle w:val="naiskr"/>
              <w:spacing w:before="0" w:after="0"/>
              <w:jc w:val="both"/>
            </w:pPr>
          </w:p>
        </w:tc>
      </w:tr>
      <w:tr w:rsidR="00C0467D" w14:paraId="4F1E51F8" w14:textId="77777777" w:rsidTr="00A823D8">
        <w:trPr>
          <w:gridAfter w:val="1"/>
          <w:wAfter w:w="1312" w:type="dxa"/>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6769" w:type="dxa"/>
          </w:tcPr>
          <w:p w14:paraId="5A321A0D" w14:textId="77777777" w:rsidR="00C0467D" w:rsidRPr="00712B66" w:rsidRDefault="00C0467D" w:rsidP="00B03870">
            <w:pPr>
              <w:pStyle w:val="naiskr"/>
              <w:spacing w:before="0" w:after="0"/>
            </w:pPr>
          </w:p>
        </w:tc>
      </w:tr>
      <w:tr w:rsidR="00C0467D" w14:paraId="31EB36D5" w14:textId="77777777" w:rsidTr="00A823D8">
        <w:trPr>
          <w:gridAfter w:val="1"/>
          <w:wAfter w:w="1312" w:type="dxa"/>
          <w:trHeight w:val="762"/>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62" w:type="dxa"/>
            <w:gridSpan w:val="3"/>
          </w:tcPr>
          <w:p w14:paraId="298A18EE" w14:textId="22A5F5B4" w:rsidR="00C0467D" w:rsidRPr="00712B66" w:rsidRDefault="004327D8" w:rsidP="006A0292">
            <w:pPr>
              <w:pStyle w:val="NormalWeb"/>
              <w:jc w:val="both"/>
            </w:pPr>
            <w:r>
              <w:t>Finanšu ministrija</w:t>
            </w:r>
          </w:p>
        </w:tc>
      </w:tr>
      <w:tr w:rsidR="00C0467D" w14:paraId="0AE61AA1" w14:textId="77777777" w:rsidTr="00A823D8">
        <w:trPr>
          <w:gridAfter w:val="1"/>
          <w:wAfter w:w="1312" w:type="dxa"/>
        </w:trPr>
        <w:tc>
          <w:tcPr>
            <w:tcW w:w="6555" w:type="dxa"/>
          </w:tcPr>
          <w:p w14:paraId="3F6A8C50" w14:textId="77777777" w:rsidR="00C0467D" w:rsidRPr="00712B66" w:rsidRDefault="00C0467D" w:rsidP="00B03870">
            <w:pPr>
              <w:pStyle w:val="naiskr"/>
              <w:spacing w:before="0" w:after="0"/>
            </w:pPr>
            <w:r w:rsidRPr="00712B66">
              <w:t>Ministrijas (citas institūcijas), kuras nav ieradušās uz sanāksmi vai kuras nav atbildējušas uz uzaicinājumu piedalīties elektroniskajā saskaņošanā</w:t>
            </w:r>
          </w:p>
        </w:tc>
        <w:tc>
          <w:tcPr>
            <w:tcW w:w="7762" w:type="dxa"/>
            <w:gridSpan w:val="3"/>
          </w:tcPr>
          <w:p w14:paraId="7595B24D" w14:textId="77777777" w:rsidR="00C0467D" w:rsidRPr="00712B66" w:rsidRDefault="00C0467D" w:rsidP="00B03870">
            <w:pPr>
              <w:pStyle w:val="naiskr"/>
              <w:spacing w:before="0" w:after="0"/>
            </w:pPr>
          </w:p>
        </w:tc>
      </w:tr>
      <w:tr w:rsidR="00C0467D" w14:paraId="7A6C671D" w14:textId="77777777" w:rsidTr="00A823D8">
        <w:trPr>
          <w:gridAfter w:val="1"/>
          <w:wAfter w:w="1312" w:type="dxa"/>
        </w:trPr>
        <w:tc>
          <w:tcPr>
            <w:tcW w:w="6555" w:type="dxa"/>
          </w:tcPr>
          <w:p w14:paraId="38984045" w14:textId="77777777" w:rsidR="00C0467D" w:rsidRPr="00712B66" w:rsidRDefault="00C0467D" w:rsidP="00B03870">
            <w:pPr>
              <w:pStyle w:val="naiskr"/>
              <w:spacing w:before="0" w:after="0"/>
            </w:pPr>
          </w:p>
        </w:tc>
        <w:tc>
          <w:tcPr>
            <w:tcW w:w="7762" w:type="dxa"/>
            <w:gridSpan w:val="3"/>
            <w:tcBorders>
              <w:top w:val="single" w:sz="6" w:space="0" w:color="000000"/>
              <w:bottom w:val="single" w:sz="6" w:space="0" w:color="000000"/>
            </w:tcBorders>
          </w:tcPr>
          <w:p w14:paraId="43E6703B"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6BC7D0E1" w:rsidR="007B4C0F" w:rsidRDefault="007B4C0F" w:rsidP="00783E18">
      <w:pPr>
        <w:jc w:val="center"/>
        <w:rPr>
          <w:b/>
        </w:rPr>
      </w:pPr>
      <w:r w:rsidRPr="00712B66">
        <w:rPr>
          <w:b/>
        </w:rPr>
        <w:t>I</w:t>
      </w:r>
      <w:r w:rsidR="007D42D3">
        <w:rPr>
          <w:b/>
        </w:rPr>
        <w:t>I</w:t>
      </w:r>
      <w:r w:rsidRPr="00712B66">
        <w:rPr>
          <w:b/>
        </w:rPr>
        <w:t>.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32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577"/>
        <w:gridCol w:w="41"/>
        <w:gridCol w:w="4070"/>
        <w:gridCol w:w="3685"/>
        <w:gridCol w:w="78"/>
        <w:gridCol w:w="1667"/>
        <w:gridCol w:w="2508"/>
      </w:tblGrid>
      <w:tr w:rsidR="00134188" w:rsidRPr="00712B66" w14:paraId="639725FC" w14:textId="77777777" w:rsidTr="00BE022C">
        <w:tc>
          <w:tcPr>
            <w:tcW w:w="701"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4253" w:type="dxa"/>
            <w:gridSpan w:val="3"/>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BE022C">
        <w:tc>
          <w:tcPr>
            <w:tcW w:w="701"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0443D4">
            <w:pPr>
              <w:pStyle w:val="naisc"/>
              <w:spacing w:before="0" w:after="0"/>
            </w:pPr>
            <w:r w:rsidRPr="000443D4">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5C7FB0" w:rsidRDefault="00F34AAB" w:rsidP="001A0BBF">
            <w:pPr>
              <w:pStyle w:val="naisc"/>
              <w:spacing w:before="0" w:after="0"/>
            </w:pPr>
            <w:r w:rsidRPr="005C7FB0">
              <w:t>2</w:t>
            </w:r>
          </w:p>
        </w:tc>
        <w:tc>
          <w:tcPr>
            <w:tcW w:w="4111"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1A0BBF">
            <w:pPr>
              <w:pStyle w:val="naisc"/>
              <w:spacing w:before="0" w:after="0"/>
              <w:rPr>
                <w:sz w:val="20"/>
                <w:szCs w:val="20"/>
              </w:rPr>
            </w:pPr>
            <w:r w:rsidRPr="006D159F">
              <w:rPr>
                <w:sz w:val="20"/>
                <w:szCs w:val="20"/>
              </w:rPr>
              <w:t>3</w:t>
            </w:r>
          </w:p>
        </w:tc>
        <w:tc>
          <w:tcPr>
            <w:tcW w:w="3685" w:type="dxa"/>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1A0BBF">
            <w:pPr>
              <w:pStyle w:val="naisc"/>
              <w:spacing w:before="0" w:after="0"/>
              <w:rPr>
                <w:sz w:val="20"/>
                <w:szCs w:val="20"/>
              </w:rPr>
            </w:pPr>
            <w:r w:rsidRPr="003B71E0">
              <w:rPr>
                <w:sz w:val="20"/>
                <w:szCs w:val="20"/>
              </w:rPr>
              <w:t>4</w:t>
            </w:r>
          </w:p>
        </w:tc>
        <w:tc>
          <w:tcPr>
            <w:tcW w:w="4253" w:type="dxa"/>
            <w:gridSpan w:val="3"/>
            <w:tcBorders>
              <w:top w:val="single" w:sz="4" w:space="0" w:color="auto"/>
              <w:left w:val="single" w:sz="4" w:space="0" w:color="auto"/>
              <w:bottom w:val="single" w:sz="4" w:space="0" w:color="auto"/>
            </w:tcBorders>
          </w:tcPr>
          <w:p w14:paraId="614A60E5" w14:textId="77777777" w:rsidR="00134188" w:rsidRPr="003B71E0" w:rsidRDefault="003B71E0" w:rsidP="001A0BBF">
            <w:pPr>
              <w:jc w:val="center"/>
              <w:rPr>
                <w:sz w:val="20"/>
                <w:szCs w:val="20"/>
              </w:rPr>
            </w:pPr>
            <w:r w:rsidRPr="003B71E0">
              <w:rPr>
                <w:sz w:val="20"/>
                <w:szCs w:val="20"/>
              </w:rPr>
              <w:t>5</w:t>
            </w:r>
          </w:p>
        </w:tc>
      </w:tr>
      <w:tr w:rsidR="00A136C7" w:rsidRPr="00801E13" w14:paraId="0764965A"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6C52EFFA" w14:textId="0CC40C17" w:rsidR="00A136C7" w:rsidRPr="004703B9" w:rsidRDefault="00A136C7" w:rsidP="00A136C7">
            <w:pPr>
              <w:pStyle w:val="naisc"/>
              <w:spacing w:before="0" w:after="0"/>
            </w:pPr>
          </w:p>
        </w:tc>
        <w:tc>
          <w:tcPr>
            <w:tcW w:w="2577" w:type="dxa"/>
            <w:tcBorders>
              <w:top w:val="single" w:sz="6" w:space="0" w:color="000000"/>
              <w:left w:val="single" w:sz="6" w:space="0" w:color="000000"/>
              <w:bottom w:val="single" w:sz="6" w:space="0" w:color="000000"/>
              <w:right w:val="single" w:sz="6" w:space="0" w:color="000000"/>
            </w:tcBorders>
          </w:tcPr>
          <w:p w14:paraId="0D9B939C" w14:textId="29CEDC13" w:rsidR="00A136C7" w:rsidRPr="00B53B7C" w:rsidRDefault="00A136C7" w:rsidP="00A136C7">
            <w:pPr>
              <w:spacing w:after="120"/>
              <w:jc w:val="both"/>
            </w:pPr>
          </w:p>
        </w:tc>
        <w:tc>
          <w:tcPr>
            <w:tcW w:w="4111" w:type="dxa"/>
            <w:gridSpan w:val="2"/>
            <w:tcBorders>
              <w:top w:val="single" w:sz="6" w:space="0" w:color="000000"/>
              <w:left w:val="single" w:sz="6" w:space="0" w:color="000000"/>
              <w:bottom w:val="single" w:sz="6" w:space="0" w:color="000000"/>
              <w:right w:val="single" w:sz="6" w:space="0" w:color="000000"/>
            </w:tcBorders>
          </w:tcPr>
          <w:p w14:paraId="0A490D2E" w14:textId="1FBC1123" w:rsidR="00A136C7" w:rsidRPr="00BE022C" w:rsidRDefault="00A136C7" w:rsidP="00A136C7">
            <w:pPr>
              <w:pStyle w:val="naisc"/>
              <w:spacing w:before="0" w:after="0"/>
              <w:jc w:val="both"/>
              <w:rPr>
                <w:bCs/>
              </w:rPr>
            </w:pPr>
          </w:p>
        </w:tc>
        <w:tc>
          <w:tcPr>
            <w:tcW w:w="3685" w:type="dxa"/>
            <w:tcBorders>
              <w:top w:val="single" w:sz="6" w:space="0" w:color="000000"/>
              <w:left w:val="single" w:sz="6" w:space="0" w:color="000000"/>
              <w:bottom w:val="single" w:sz="6" w:space="0" w:color="000000"/>
              <w:right w:val="single" w:sz="6" w:space="0" w:color="000000"/>
            </w:tcBorders>
          </w:tcPr>
          <w:p w14:paraId="0C522BA9" w14:textId="0AB01256" w:rsidR="00A136C7" w:rsidRPr="00801E13" w:rsidRDefault="00A136C7" w:rsidP="002E10C5">
            <w:pPr>
              <w:pStyle w:val="naisc"/>
              <w:spacing w:before="0" w:after="0"/>
              <w:jc w:val="both"/>
            </w:pPr>
          </w:p>
        </w:tc>
        <w:tc>
          <w:tcPr>
            <w:tcW w:w="4253" w:type="dxa"/>
            <w:gridSpan w:val="3"/>
            <w:tcBorders>
              <w:top w:val="single" w:sz="4" w:space="0" w:color="auto"/>
              <w:left w:val="single" w:sz="4" w:space="0" w:color="auto"/>
              <w:bottom w:val="single" w:sz="4" w:space="0" w:color="auto"/>
            </w:tcBorders>
          </w:tcPr>
          <w:p w14:paraId="4761A0DA" w14:textId="143C3E06" w:rsidR="00A136C7" w:rsidRPr="00801E13" w:rsidRDefault="00A136C7" w:rsidP="00A136C7">
            <w:pPr>
              <w:jc w:val="both"/>
            </w:pPr>
          </w:p>
        </w:tc>
      </w:tr>
      <w:tr w:rsidR="00A136C7" w14:paraId="48959D57"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2A81B6E0" w14:textId="77777777" w:rsidR="00A136C7" w:rsidRDefault="00A136C7" w:rsidP="00A136C7">
            <w:pPr>
              <w:pStyle w:val="naiskr"/>
              <w:spacing w:before="0" w:after="0"/>
            </w:pPr>
          </w:p>
          <w:p w14:paraId="64FAB51D" w14:textId="77777777" w:rsidR="00A136C7" w:rsidRDefault="00A136C7" w:rsidP="00A136C7">
            <w:pPr>
              <w:pStyle w:val="naiskr"/>
              <w:spacing w:before="0" w:after="0"/>
            </w:pPr>
          </w:p>
          <w:p w14:paraId="7B7F9627" w14:textId="1BAA07D2" w:rsidR="00A136C7" w:rsidRPr="00712B66" w:rsidRDefault="00A136C7" w:rsidP="00A136C7">
            <w:pPr>
              <w:pStyle w:val="naiskr"/>
              <w:spacing w:before="0" w:after="0"/>
            </w:pPr>
            <w:r w:rsidRPr="00712B66">
              <w:t>Atbildīgā amatpersona</w:t>
            </w:r>
          </w:p>
        </w:tc>
        <w:tc>
          <w:tcPr>
            <w:tcW w:w="7833" w:type="dxa"/>
            <w:gridSpan w:val="3"/>
          </w:tcPr>
          <w:p w14:paraId="5E5815D6" w14:textId="4E6FC656" w:rsidR="00A136C7" w:rsidRDefault="00A136C7" w:rsidP="00A136C7">
            <w:pPr>
              <w:pStyle w:val="naiskr"/>
              <w:spacing w:before="0" w:after="0"/>
              <w:jc w:val="center"/>
            </w:pPr>
          </w:p>
          <w:p w14:paraId="3118B379" w14:textId="77777777" w:rsidR="00A136C7" w:rsidRDefault="00A136C7" w:rsidP="00A136C7">
            <w:pPr>
              <w:pStyle w:val="naiskr"/>
              <w:spacing w:before="0" w:after="0"/>
              <w:jc w:val="center"/>
            </w:pPr>
          </w:p>
          <w:p w14:paraId="744AA0CF" w14:textId="487C3AAD" w:rsidR="00A136C7" w:rsidRPr="00712B66" w:rsidRDefault="00A136C7" w:rsidP="00A136C7">
            <w:pPr>
              <w:pStyle w:val="naiskr"/>
              <w:spacing w:before="0" w:after="0"/>
              <w:jc w:val="center"/>
            </w:pPr>
            <w:r>
              <w:t>Nozares budžeta plānošanas departamenta vecākais eksperts Igors Belovs</w:t>
            </w:r>
          </w:p>
        </w:tc>
        <w:tc>
          <w:tcPr>
            <w:tcW w:w="1667" w:type="dxa"/>
          </w:tcPr>
          <w:p w14:paraId="6E081EE1" w14:textId="77777777" w:rsidR="00A136C7" w:rsidRDefault="00A136C7" w:rsidP="00A136C7">
            <w:pPr>
              <w:pStyle w:val="naiskr"/>
              <w:spacing w:before="0" w:after="0"/>
            </w:pPr>
          </w:p>
        </w:tc>
      </w:tr>
      <w:tr w:rsidR="00A136C7" w14:paraId="31EBCCB4"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2EC1F955" w14:textId="77777777" w:rsidR="00A136C7" w:rsidRPr="00712B66" w:rsidRDefault="00A136C7" w:rsidP="00A136C7">
            <w:pPr>
              <w:pStyle w:val="naiskr"/>
              <w:spacing w:before="0" w:after="0"/>
              <w:ind w:firstLine="720"/>
            </w:pPr>
          </w:p>
        </w:tc>
        <w:tc>
          <w:tcPr>
            <w:tcW w:w="7833" w:type="dxa"/>
            <w:gridSpan w:val="3"/>
            <w:tcBorders>
              <w:top w:val="single" w:sz="6" w:space="0" w:color="000000"/>
              <w:bottom w:val="single" w:sz="6" w:space="0" w:color="000000"/>
            </w:tcBorders>
          </w:tcPr>
          <w:p w14:paraId="62870CD7" w14:textId="77777777" w:rsidR="00A136C7" w:rsidRPr="00712B66" w:rsidRDefault="00A136C7" w:rsidP="00A136C7">
            <w:pPr>
              <w:pStyle w:val="naisc"/>
              <w:spacing w:before="0" w:after="0"/>
              <w:ind w:firstLine="720"/>
            </w:pPr>
            <w:r w:rsidRPr="00712B66">
              <w:t>(paraksts*)</w:t>
            </w:r>
          </w:p>
        </w:tc>
        <w:tc>
          <w:tcPr>
            <w:tcW w:w="1667" w:type="dxa"/>
            <w:tcBorders>
              <w:top w:val="single" w:sz="6" w:space="0" w:color="000000"/>
              <w:bottom w:val="single" w:sz="6" w:space="0" w:color="000000"/>
            </w:tcBorders>
          </w:tcPr>
          <w:p w14:paraId="72048193" w14:textId="77777777" w:rsidR="00A136C7" w:rsidRPr="00712B66" w:rsidRDefault="00A136C7" w:rsidP="00A136C7">
            <w:pPr>
              <w:pStyle w:val="naisc"/>
              <w:spacing w:before="0" w:after="0"/>
              <w:ind w:firstLine="720"/>
            </w:pPr>
          </w:p>
        </w:tc>
      </w:tr>
      <w:tr w:rsidR="00A136C7" w14:paraId="7157EF87"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3E18E93C" w14:textId="77777777" w:rsidR="00A136C7" w:rsidRPr="00712B66" w:rsidRDefault="00A136C7" w:rsidP="00A136C7">
            <w:pPr>
              <w:pStyle w:val="naiskr"/>
              <w:spacing w:before="0" w:after="0"/>
              <w:ind w:firstLine="720"/>
            </w:pPr>
          </w:p>
        </w:tc>
        <w:tc>
          <w:tcPr>
            <w:tcW w:w="7833" w:type="dxa"/>
            <w:gridSpan w:val="3"/>
            <w:tcBorders>
              <w:top w:val="single" w:sz="6" w:space="0" w:color="000000"/>
            </w:tcBorders>
          </w:tcPr>
          <w:p w14:paraId="5CB88673" w14:textId="77777777" w:rsidR="00A136C7" w:rsidRPr="00712B66" w:rsidRDefault="00A136C7" w:rsidP="00A136C7">
            <w:pPr>
              <w:pStyle w:val="naisc"/>
              <w:spacing w:before="0" w:after="0"/>
              <w:ind w:firstLine="720"/>
            </w:pPr>
          </w:p>
        </w:tc>
        <w:tc>
          <w:tcPr>
            <w:tcW w:w="1667" w:type="dxa"/>
            <w:tcBorders>
              <w:top w:val="single" w:sz="6" w:space="0" w:color="000000"/>
            </w:tcBorders>
          </w:tcPr>
          <w:p w14:paraId="2E0AD9F2" w14:textId="77777777" w:rsidR="00A136C7" w:rsidRPr="00712B66" w:rsidRDefault="00A136C7" w:rsidP="00A136C7">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6A02A1FC" w:rsidR="00864543" w:rsidRPr="00712B66" w:rsidRDefault="00D51DA8" w:rsidP="00864543">
      <w:pPr>
        <w:pStyle w:val="naisf"/>
        <w:spacing w:before="0" w:after="0"/>
        <w:ind w:firstLine="0"/>
        <w:jc w:val="center"/>
      </w:pPr>
      <w:r>
        <w:t>Igors Belovs</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71BC9405" w:rsidR="00864543" w:rsidRPr="00712B66" w:rsidRDefault="00763978" w:rsidP="00B03870">
            <w:pPr>
              <w:jc w:val="center"/>
            </w:pPr>
            <w:r>
              <w:t xml:space="preserve">Nozares budžeta plānošanas departamenta </w:t>
            </w:r>
            <w:r w:rsidR="00D51DA8">
              <w:t>vecākais eksperts</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4F62705D" w:rsidR="00864543" w:rsidRPr="00712B66" w:rsidRDefault="00763978" w:rsidP="00B03870">
            <w:pPr>
              <w:jc w:val="center"/>
            </w:pPr>
            <w:r w:rsidRPr="00763978">
              <w:t>678760</w:t>
            </w:r>
            <w:r w:rsidR="00D51DA8">
              <w:t>05</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26FE302D" w:rsidR="00864543" w:rsidRPr="00712B66" w:rsidRDefault="00D51DA8" w:rsidP="00B03870">
            <w:pPr>
              <w:jc w:val="center"/>
            </w:pPr>
            <w:r>
              <w:t>Igors.belovs</w:t>
            </w:r>
            <w:r w:rsidR="00864543">
              <w:t>@vm.gov.lv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D37E" w14:textId="77777777" w:rsidR="00D771AA" w:rsidRDefault="00D771AA">
      <w:r>
        <w:separator/>
      </w:r>
    </w:p>
  </w:endnote>
  <w:endnote w:type="continuationSeparator" w:id="0">
    <w:p w14:paraId="2472F2EA" w14:textId="77777777" w:rsidR="00D771AA" w:rsidRDefault="00D771AA">
      <w:r>
        <w:continuationSeparator/>
      </w:r>
    </w:p>
  </w:endnote>
  <w:endnote w:type="continuationNotice" w:id="1">
    <w:p w14:paraId="6F5ED0F5" w14:textId="77777777" w:rsidR="00DC202F" w:rsidRDefault="00DC2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43B4" w14:textId="77777777" w:rsidR="00D771AA" w:rsidRDefault="00D771AA" w:rsidP="00B326F4">
    <w:pPr>
      <w:pStyle w:val="Footer"/>
      <w:rPr>
        <w:sz w:val="20"/>
        <w:szCs w:val="20"/>
      </w:rPr>
    </w:pPr>
  </w:p>
  <w:p w14:paraId="34092DE7" w14:textId="4A069BAF" w:rsidR="00D771AA" w:rsidRPr="00B326F4" w:rsidRDefault="00D51DA8" w:rsidP="00D51DA8">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VMizz_070421_grozMK360_prot</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88D7" w14:textId="3FDF3710" w:rsidR="00D771AA" w:rsidRPr="00D51DA8" w:rsidRDefault="00D51DA8" w:rsidP="00D51DA8">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VMizz_070421_grozMK360_prot</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517A" w14:textId="77777777" w:rsidR="00D771AA" w:rsidRDefault="00D771AA">
      <w:r>
        <w:separator/>
      </w:r>
    </w:p>
  </w:footnote>
  <w:footnote w:type="continuationSeparator" w:id="0">
    <w:p w14:paraId="7EA03B69" w14:textId="77777777" w:rsidR="00D771AA" w:rsidRDefault="00D771AA">
      <w:r>
        <w:continuationSeparator/>
      </w:r>
    </w:p>
  </w:footnote>
  <w:footnote w:type="continuationNotice" w:id="1">
    <w:p w14:paraId="2A83182E" w14:textId="77777777" w:rsidR="00DC202F" w:rsidRDefault="00DC2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1297" w14:textId="77777777"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D771AA" w:rsidRDefault="00D7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D66A" w14:textId="562159D4"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D771AA" w:rsidRDefault="00D7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7B1"/>
    <w:rsid w:val="00002E86"/>
    <w:rsid w:val="00003C53"/>
    <w:rsid w:val="0000456E"/>
    <w:rsid w:val="000055C1"/>
    <w:rsid w:val="000055EA"/>
    <w:rsid w:val="00005B74"/>
    <w:rsid w:val="0000635E"/>
    <w:rsid w:val="00006BF1"/>
    <w:rsid w:val="0001118D"/>
    <w:rsid w:val="0001131F"/>
    <w:rsid w:val="00011663"/>
    <w:rsid w:val="00011F48"/>
    <w:rsid w:val="000123FC"/>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008"/>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57BF"/>
    <w:rsid w:val="000A64D3"/>
    <w:rsid w:val="000A77B9"/>
    <w:rsid w:val="000A7EA7"/>
    <w:rsid w:val="000B0403"/>
    <w:rsid w:val="000B057B"/>
    <w:rsid w:val="000B06E7"/>
    <w:rsid w:val="000B0C52"/>
    <w:rsid w:val="000B0C94"/>
    <w:rsid w:val="000B15E5"/>
    <w:rsid w:val="000B2382"/>
    <w:rsid w:val="000B3171"/>
    <w:rsid w:val="000B34A5"/>
    <w:rsid w:val="000B4746"/>
    <w:rsid w:val="000B6B71"/>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67F"/>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2949"/>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0FB2"/>
    <w:rsid w:val="00151FB3"/>
    <w:rsid w:val="00152718"/>
    <w:rsid w:val="001530CF"/>
    <w:rsid w:val="00153F12"/>
    <w:rsid w:val="001543DB"/>
    <w:rsid w:val="00155473"/>
    <w:rsid w:val="00155A7D"/>
    <w:rsid w:val="00155DC2"/>
    <w:rsid w:val="00156D90"/>
    <w:rsid w:val="00156DEB"/>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0C79"/>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0C5"/>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02B"/>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071"/>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3EBF"/>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4662"/>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27D8"/>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1"/>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04E"/>
    <w:rsid w:val="004A52F5"/>
    <w:rsid w:val="004A5D3A"/>
    <w:rsid w:val="004A6897"/>
    <w:rsid w:val="004A692B"/>
    <w:rsid w:val="004A6EB6"/>
    <w:rsid w:val="004A794C"/>
    <w:rsid w:val="004B0D25"/>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8F5"/>
    <w:rsid w:val="005029F7"/>
    <w:rsid w:val="00503D4C"/>
    <w:rsid w:val="00503E0B"/>
    <w:rsid w:val="00504C0C"/>
    <w:rsid w:val="00504E48"/>
    <w:rsid w:val="005070FF"/>
    <w:rsid w:val="00507799"/>
    <w:rsid w:val="005115CB"/>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09CF"/>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68D"/>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29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978"/>
    <w:rsid w:val="00763AE2"/>
    <w:rsid w:val="00763D64"/>
    <w:rsid w:val="0076467D"/>
    <w:rsid w:val="00764BD7"/>
    <w:rsid w:val="00765CED"/>
    <w:rsid w:val="007662CE"/>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285A"/>
    <w:rsid w:val="00782D32"/>
    <w:rsid w:val="00782D40"/>
    <w:rsid w:val="0078385F"/>
    <w:rsid w:val="00783C7B"/>
    <w:rsid w:val="00783CB6"/>
    <w:rsid w:val="00783D64"/>
    <w:rsid w:val="00783E18"/>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1597"/>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494"/>
    <w:rsid w:val="007B4638"/>
    <w:rsid w:val="007B4C0F"/>
    <w:rsid w:val="007B5E25"/>
    <w:rsid w:val="007B66AC"/>
    <w:rsid w:val="007B68C3"/>
    <w:rsid w:val="007B6E0E"/>
    <w:rsid w:val="007C27FB"/>
    <w:rsid w:val="007C2CBB"/>
    <w:rsid w:val="007C309C"/>
    <w:rsid w:val="007C3109"/>
    <w:rsid w:val="007C38D2"/>
    <w:rsid w:val="007C4209"/>
    <w:rsid w:val="007C5EB9"/>
    <w:rsid w:val="007C7449"/>
    <w:rsid w:val="007C75D7"/>
    <w:rsid w:val="007C7EA5"/>
    <w:rsid w:val="007D06EE"/>
    <w:rsid w:val="007D0C38"/>
    <w:rsid w:val="007D1A95"/>
    <w:rsid w:val="007D245E"/>
    <w:rsid w:val="007D3764"/>
    <w:rsid w:val="007D3CA8"/>
    <w:rsid w:val="007D42D3"/>
    <w:rsid w:val="007D485A"/>
    <w:rsid w:val="007D51A6"/>
    <w:rsid w:val="007D54FF"/>
    <w:rsid w:val="007D57D4"/>
    <w:rsid w:val="007D6315"/>
    <w:rsid w:val="007D70DE"/>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E7CB7"/>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1E13"/>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AC9"/>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1F0E"/>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CEF"/>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2F5"/>
    <w:rsid w:val="0093375E"/>
    <w:rsid w:val="00933BEF"/>
    <w:rsid w:val="009340EF"/>
    <w:rsid w:val="0093787E"/>
    <w:rsid w:val="0094014B"/>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209B"/>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B76F0"/>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36C7"/>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6FC8"/>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94B"/>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1EA"/>
    <w:rsid w:val="00B872E1"/>
    <w:rsid w:val="00B872F0"/>
    <w:rsid w:val="00B90331"/>
    <w:rsid w:val="00B903ED"/>
    <w:rsid w:val="00B9095B"/>
    <w:rsid w:val="00B90B2D"/>
    <w:rsid w:val="00B90F62"/>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550"/>
    <w:rsid w:val="00BD2EFC"/>
    <w:rsid w:val="00BD340E"/>
    <w:rsid w:val="00BD60AD"/>
    <w:rsid w:val="00BD61C8"/>
    <w:rsid w:val="00BD6C02"/>
    <w:rsid w:val="00BE022C"/>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3F"/>
    <w:rsid w:val="00C5448D"/>
    <w:rsid w:val="00C5477F"/>
    <w:rsid w:val="00C547B7"/>
    <w:rsid w:val="00C5503B"/>
    <w:rsid w:val="00C558D3"/>
    <w:rsid w:val="00C55A32"/>
    <w:rsid w:val="00C564F2"/>
    <w:rsid w:val="00C56F11"/>
    <w:rsid w:val="00C57431"/>
    <w:rsid w:val="00C57C2F"/>
    <w:rsid w:val="00C61372"/>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71"/>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ED6"/>
    <w:rsid w:val="00D0667B"/>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1DA8"/>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98E"/>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254C"/>
    <w:rsid w:val="00D7416F"/>
    <w:rsid w:val="00D755F2"/>
    <w:rsid w:val="00D75C69"/>
    <w:rsid w:val="00D762AC"/>
    <w:rsid w:val="00D771AA"/>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75F"/>
    <w:rsid w:val="00E34BC4"/>
    <w:rsid w:val="00E34D8D"/>
    <w:rsid w:val="00E3540C"/>
    <w:rsid w:val="00E36187"/>
    <w:rsid w:val="00E36332"/>
    <w:rsid w:val="00E36C9B"/>
    <w:rsid w:val="00E36D6A"/>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9E6"/>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074DD"/>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0FA4"/>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10"/>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891"/>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6F5A"/>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7CC"/>
    <w:rsid w:val="00FF1925"/>
    <w:rsid w:val="00FF2237"/>
    <w:rsid w:val="00FF3853"/>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5E58-5EE0-4270-9873-0D12C2EA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641</Words>
  <Characters>4786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5417</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Lāsma Zandberga</dc:creator>
  <cp:keywords/>
  <dc:description/>
  <cp:lastModifiedBy>Svetlana Batare</cp:lastModifiedBy>
  <cp:revision>12</cp:revision>
  <cp:lastPrinted>2019-11-26T09:42:00Z</cp:lastPrinted>
  <dcterms:created xsi:type="dcterms:W3CDTF">2021-04-07T14:52:00Z</dcterms:created>
  <dcterms:modified xsi:type="dcterms:W3CDTF">2021-04-07T16:02:00Z</dcterms:modified>
</cp:coreProperties>
</file>