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A770E" w14:textId="52E92974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>Nr.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</w:t>
      </w:r>
      <w:r w:rsidR="004C6618">
        <w:rPr>
          <w:sz w:val="28"/>
          <w:szCs w:val="28"/>
        </w:rPr>
        <w:t>2</w:t>
      </w:r>
      <w:r w:rsidR="00BE7C80">
        <w:rPr>
          <w:sz w:val="28"/>
          <w:szCs w:val="28"/>
        </w:rPr>
        <w:t>1</w:t>
      </w:r>
      <w:r w:rsidRPr="00B75D41">
        <w:rPr>
          <w:sz w:val="28"/>
          <w:szCs w:val="28"/>
        </w:rPr>
        <w:t>. gada _____________</w:t>
      </w:r>
    </w:p>
    <w:p w14:paraId="62E641A1" w14:textId="77777777" w:rsidR="008024C6" w:rsidRPr="00B75D41" w:rsidRDefault="008024C6" w:rsidP="008024C6">
      <w:pPr>
        <w:keepNext/>
        <w:jc w:val="center"/>
        <w:outlineLvl w:val="1"/>
        <w:rPr>
          <w:b/>
          <w:sz w:val="28"/>
          <w:szCs w:val="28"/>
        </w:rPr>
      </w:pPr>
    </w:p>
    <w:p w14:paraId="3670ACC2" w14:textId="77777777" w:rsidR="008024C6" w:rsidRPr="00B75D41" w:rsidRDefault="008024C6" w:rsidP="008024C6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14:paraId="1BA05E34" w14:textId="77777777" w:rsidR="008024C6" w:rsidRDefault="008024C6" w:rsidP="008024C6">
      <w:pPr>
        <w:ind w:left="2880" w:firstLine="720"/>
      </w:pPr>
    </w:p>
    <w:p w14:paraId="724AAE8E" w14:textId="77777777" w:rsidR="0062605A" w:rsidRPr="004C330B" w:rsidRDefault="0062605A" w:rsidP="008024C6">
      <w:pPr>
        <w:ind w:left="2880" w:firstLine="720"/>
      </w:pPr>
    </w:p>
    <w:p w14:paraId="36176A3C" w14:textId="4ED6E26A" w:rsidR="008024C6" w:rsidRPr="00E96521" w:rsidRDefault="008024C6" w:rsidP="008024C6">
      <w:pPr>
        <w:jc w:val="center"/>
        <w:rPr>
          <w:b/>
          <w:bCs/>
          <w:sz w:val="28"/>
          <w:szCs w:val="28"/>
        </w:rPr>
      </w:pPr>
      <w:bookmarkStart w:id="0" w:name="OLE_LINK6"/>
      <w:bookmarkStart w:id="1" w:name="OLE_LINK7"/>
      <w:bookmarkStart w:id="2" w:name="OLE_LINK8"/>
      <w:bookmarkStart w:id="3" w:name="OLE_LINK1"/>
      <w:bookmarkStart w:id="4" w:name="OLE_LINK2"/>
      <w:bookmarkStart w:id="5" w:name="OLE_LINK3"/>
      <w:bookmarkStart w:id="6" w:name="OLE_LINK4"/>
      <w:bookmarkStart w:id="7" w:name="OLE_LINK5"/>
      <w:r w:rsidRPr="00C60BDF">
        <w:rPr>
          <w:b/>
          <w:sz w:val="28"/>
          <w:szCs w:val="28"/>
        </w:rPr>
        <w:t xml:space="preserve">Informatīvais ziņojums </w:t>
      </w:r>
      <w:r>
        <w:rPr>
          <w:b/>
          <w:sz w:val="28"/>
          <w:szCs w:val="28"/>
        </w:rPr>
        <w:t xml:space="preserve">par </w:t>
      </w:r>
      <w:r w:rsidRPr="00C60BDF">
        <w:rPr>
          <w:b/>
          <w:sz w:val="28"/>
          <w:szCs w:val="28"/>
        </w:rPr>
        <w:t>Eiropas Komisijas trešās Savienības rīcības programmas veselības jomā (2014. – 2020.</w:t>
      </w:r>
      <w:r w:rsidR="004E34F5">
        <w:rPr>
          <w:b/>
          <w:sz w:val="28"/>
          <w:szCs w:val="28"/>
        </w:rPr>
        <w:t> </w:t>
      </w:r>
      <w:r w:rsidRPr="00C60BDF">
        <w:rPr>
          <w:b/>
          <w:sz w:val="28"/>
          <w:szCs w:val="28"/>
        </w:rPr>
        <w:t>gadam)</w:t>
      </w:r>
      <w:r>
        <w:rPr>
          <w:b/>
          <w:sz w:val="28"/>
          <w:szCs w:val="28"/>
        </w:rPr>
        <w:t xml:space="preserve"> 20</w:t>
      </w:r>
      <w:r w:rsidR="00762FD7">
        <w:rPr>
          <w:b/>
          <w:sz w:val="28"/>
          <w:szCs w:val="28"/>
        </w:rPr>
        <w:t>20</w:t>
      </w:r>
      <w:r w:rsidRPr="00C60BDF">
        <w:rPr>
          <w:b/>
          <w:sz w:val="28"/>
          <w:szCs w:val="28"/>
        </w:rPr>
        <w:t>.</w:t>
      </w:r>
      <w:r w:rsidRPr="001A0D11">
        <w:rPr>
          <w:b/>
          <w:sz w:val="28"/>
          <w:szCs w:val="28"/>
        </w:rPr>
        <w:t xml:space="preserve">gada Darba plānā </w:t>
      </w:r>
      <w:bookmarkEnd w:id="0"/>
      <w:bookmarkEnd w:id="1"/>
      <w:bookmarkEnd w:id="2"/>
      <w:bookmarkEnd w:id="3"/>
      <w:bookmarkEnd w:id="4"/>
      <w:r w:rsidR="00E96521" w:rsidRPr="00E96521">
        <w:rPr>
          <w:b/>
          <w:bCs/>
          <w:sz w:val="28"/>
          <w:szCs w:val="28"/>
        </w:rPr>
        <w:t>ietvert</w:t>
      </w:r>
      <w:r w:rsidR="0021790C">
        <w:rPr>
          <w:b/>
          <w:bCs/>
          <w:sz w:val="28"/>
          <w:szCs w:val="28"/>
        </w:rPr>
        <w:t>o</w:t>
      </w:r>
      <w:r w:rsidR="00E96521" w:rsidRPr="00E96521">
        <w:rPr>
          <w:b/>
          <w:bCs/>
          <w:sz w:val="28"/>
          <w:szCs w:val="28"/>
        </w:rPr>
        <w:t xml:space="preserve"> projekt</w:t>
      </w:r>
      <w:r w:rsidR="000D761B">
        <w:rPr>
          <w:b/>
          <w:bCs/>
          <w:sz w:val="28"/>
          <w:szCs w:val="28"/>
        </w:rPr>
        <w:t>u</w:t>
      </w:r>
      <w:r w:rsidR="00E96521" w:rsidRPr="00E96521">
        <w:rPr>
          <w:b/>
          <w:bCs/>
          <w:sz w:val="28"/>
          <w:szCs w:val="28"/>
        </w:rPr>
        <w:t xml:space="preserve"> “Sadarbības uzlabošana imunizācijas jomā Eiropas Savienībā”</w:t>
      </w:r>
    </w:p>
    <w:bookmarkEnd w:id="5"/>
    <w:bookmarkEnd w:id="6"/>
    <w:bookmarkEnd w:id="7"/>
    <w:p w14:paraId="3B5341F6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________________________________________________________</w:t>
      </w:r>
    </w:p>
    <w:p w14:paraId="04163CC2" w14:textId="77777777" w:rsidR="008024C6" w:rsidRPr="001A0D11" w:rsidRDefault="008024C6" w:rsidP="008024C6">
      <w:pPr>
        <w:jc w:val="center"/>
        <w:rPr>
          <w:sz w:val="28"/>
          <w:szCs w:val="28"/>
        </w:rPr>
      </w:pPr>
      <w:r w:rsidRPr="001A0D11">
        <w:rPr>
          <w:sz w:val="28"/>
          <w:szCs w:val="28"/>
        </w:rPr>
        <w:t>(</w:t>
      </w:r>
      <w:r w:rsidR="001A12AD" w:rsidRPr="001A0D11">
        <w:rPr>
          <w:sz w:val="28"/>
          <w:szCs w:val="28"/>
        </w:rPr>
        <w:t>…</w:t>
      </w:r>
      <w:r w:rsidRPr="001A0D11">
        <w:rPr>
          <w:sz w:val="28"/>
          <w:szCs w:val="28"/>
        </w:rPr>
        <w:t>)</w:t>
      </w:r>
    </w:p>
    <w:p w14:paraId="64258F67" w14:textId="77777777" w:rsidR="008024C6" w:rsidRPr="001A0D11" w:rsidRDefault="008024C6" w:rsidP="008024C6">
      <w:pPr>
        <w:pStyle w:val="ListParagraph"/>
        <w:rPr>
          <w:sz w:val="18"/>
          <w:szCs w:val="18"/>
        </w:rPr>
      </w:pPr>
    </w:p>
    <w:p w14:paraId="0FFB53B6" w14:textId="77777777" w:rsidR="008024C6" w:rsidRPr="001A0D11" w:rsidRDefault="007D3E1B" w:rsidP="005E0410">
      <w:pPr>
        <w:pStyle w:val="ListParagraph"/>
        <w:numPr>
          <w:ilvl w:val="0"/>
          <w:numId w:val="1"/>
        </w:numPr>
        <w:spacing w:after="120"/>
        <w:ind w:left="1004" w:hanging="284"/>
        <w:jc w:val="both"/>
        <w:rPr>
          <w:sz w:val="28"/>
          <w:szCs w:val="28"/>
        </w:rPr>
      </w:pPr>
      <w:r w:rsidRPr="001A0D11">
        <w:rPr>
          <w:sz w:val="28"/>
          <w:szCs w:val="28"/>
        </w:rPr>
        <w:t xml:space="preserve">      </w:t>
      </w:r>
      <w:r w:rsidR="008024C6" w:rsidRPr="001A0D11">
        <w:rPr>
          <w:sz w:val="28"/>
          <w:szCs w:val="28"/>
        </w:rPr>
        <w:t>Pieņemt zināšanai iesniegto Informatīvo ziņojumu.</w:t>
      </w:r>
    </w:p>
    <w:p w14:paraId="37C7392C" w14:textId="463096AD" w:rsidR="00050CEF" w:rsidRPr="00BE7C80" w:rsidRDefault="00050CEF" w:rsidP="00F823A8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A0D11">
        <w:rPr>
          <w:sz w:val="28"/>
          <w:szCs w:val="28"/>
        </w:rPr>
        <w:t>Atļaut Veselības ministrijai</w:t>
      </w:r>
      <w:r w:rsidR="001E2260">
        <w:rPr>
          <w:sz w:val="28"/>
          <w:szCs w:val="28"/>
        </w:rPr>
        <w:t xml:space="preserve"> (Slimību profilakses un kontroles centram)</w:t>
      </w:r>
      <w:r w:rsidRPr="001A0D11">
        <w:rPr>
          <w:sz w:val="28"/>
          <w:szCs w:val="28"/>
        </w:rPr>
        <w:t xml:space="preserve"> uzņemties valsts budžeta ilgtermiņa saistības Eiropas Komisijas trešās </w:t>
      </w:r>
      <w:r w:rsidRPr="00BE7C80">
        <w:rPr>
          <w:sz w:val="28"/>
          <w:szCs w:val="28"/>
        </w:rPr>
        <w:t>Savienības rīcības programmas veselības jomā (2014. – 2020. gadam) 20</w:t>
      </w:r>
      <w:r w:rsidR="00762FD7" w:rsidRPr="00BE7C80">
        <w:rPr>
          <w:sz w:val="28"/>
          <w:szCs w:val="28"/>
        </w:rPr>
        <w:t>20</w:t>
      </w:r>
      <w:r w:rsidRPr="00BE7C80">
        <w:rPr>
          <w:sz w:val="28"/>
          <w:szCs w:val="28"/>
        </w:rPr>
        <w:t xml:space="preserve">. gada Darba </w:t>
      </w:r>
      <w:r w:rsidR="00F823A8" w:rsidRPr="00BE7C80">
        <w:rPr>
          <w:sz w:val="28"/>
          <w:szCs w:val="28"/>
        </w:rPr>
        <w:t>plānā ietvert</w:t>
      </w:r>
      <w:r w:rsidR="001C09AA" w:rsidRPr="00BE7C80">
        <w:rPr>
          <w:sz w:val="28"/>
          <w:szCs w:val="28"/>
        </w:rPr>
        <w:t>ā</w:t>
      </w:r>
      <w:r w:rsidR="00BE7C80" w:rsidRPr="00BE7C80">
        <w:rPr>
          <w:sz w:val="28"/>
          <w:szCs w:val="28"/>
        </w:rPr>
        <w:t xml:space="preserve"> projekta “Sadarbības uzlabošana imunizācijas jomā Eiropas Savienībā”</w:t>
      </w:r>
      <w:r w:rsidR="006F00A4" w:rsidRPr="00BE7C80">
        <w:rPr>
          <w:sz w:val="28"/>
          <w:szCs w:val="28"/>
        </w:rPr>
        <w:t xml:space="preserve"> īstenošanai</w:t>
      </w:r>
      <w:r w:rsidRPr="00BE7C80">
        <w:rPr>
          <w:sz w:val="28"/>
          <w:szCs w:val="28"/>
        </w:rPr>
        <w:t>.</w:t>
      </w:r>
    </w:p>
    <w:p w14:paraId="70E90E78" w14:textId="3AF42ED8" w:rsidR="00C9525B" w:rsidRPr="001B5E21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1B5E21">
        <w:rPr>
          <w:sz w:val="28"/>
          <w:szCs w:val="28"/>
        </w:rPr>
        <w:t xml:space="preserve">Papildus nepieciešamo finansējumu Eiropas Komisijas trešās Savienības rīcības programmas veselības jomā (2014.–2020. gadam) </w:t>
      </w:r>
      <w:r w:rsidRPr="0015740C">
        <w:rPr>
          <w:sz w:val="28"/>
          <w:szCs w:val="28"/>
        </w:rPr>
        <w:t>20</w:t>
      </w:r>
      <w:r w:rsidR="00C532C0" w:rsidRPr="0015740C">
        <w:rPr>
          <w:sz w:val="28"/>
          <w:szCs w:val="28"/>
        </w:rPr>
        <w:t>20</w:t>
      </w:r>
      <w:r w:rsidRPr="0015740C">
        <w:rPr>
          <w:sz w:val="28"/>
          <w:szCs w:val="28"/>
        </w:rPr>
        <w:t>.gada Darba plānā ie</w:t>
      </w:r>
      <w:r w:rsidR="00460700" w:rsidRPr="0015740C">
        <w:rPr>
          <w:sz w:val="28"/>
          <w:szCs w:val="28"/>
        </w:rPr>
        <w:t>kļaut</w:t>
      </w:r>
      <w:r w:rsidR="000E58E3">
        <w:rPr>
          <w:sz w:val="28"/>
          <w:szCs w:val="28"/>
        </w:rPr>
        <w:t>ā</w:t>
      </w:r>
      <w:r w:rsidR="00900E39">
        <w:rPr>
          <w:sz w:val="28"/>
          <w:szCs w:val="28"/>
        </w:rPr>
        <w:t xml:space="preserve"> </w:t>
      </w:r>
      <w:r w:rsidR="00460700" w:rsidRPr="0015740C">
        <w:rPr>
          <w:sz w:val="28"/>
          <w:szCs w:val="28"/>
        </w:rPr>
        <w:t xml:space="preserve"> </w:t>
      </w:r>
      <w:r w:rsidR="00900E39" w:rsidRPr="00900E39">
        <w:rPr>
          <w:sz w:val="28"/>
          <w:szCs w:val="28"/>
        </w:rPr>
        <w:t xml:space="preserve">projekta “Sadarbības uzlabošana imunizācijas jomā </w:t>
      </w:r>
      <w:r w:rsidR="00900E39" w:rsidRPr="00865B46">
        <w:rPr>
          <w:sz w:val="28"/>
          <w:szCs w:val="28"/>
        </w:rPr>
        <w:t>Eiropas Savienībā”</w:t>
      </w:r>
      <w:r w:rsidRPr="00865B46">
        <w:rPr>
          <w:sz w:val="28"/>
          <w:szCs w:val="28"/>
        </w:rPr>
        <w:t xml:space="preserve"> īstenošanai </w:t>
      </w:r>
      <w:r w:rsidR="00045A27">
        <w:rPr>
          <w:noProof/>
          <w:sz w:val="28"/>
          <w:szCs w:val="28"/>
        </w:rPr>
        <w:t>2021</w:t>
      </w:r>
      <w:r w:rsidR="00045A27">
        <w:rPr>
          <w:sz w:val="28"/>
          <w:szCs w:val="28"/>
        </w:rPr>
        <w:t>., 2022. un 2023. gadā</w:t>
      </w:r>
      <w:r w:rsidR="008E5DCE">
        <w:rPr>
          <w:sz w:val="28"/>
          <w:szCs w:val="28"/>
        </w:rPr>
        <w:t xml:space="preserve"> </w:t>
      </w:r>
      <w:r w:rsidRPr="00865B46">
        <w:rPr>
          <w:sz w:val="28"/>
          <w:szCs w:val="28"/>
        </w:rPr>
        <w:t>ne vairāk kā</w:t>
      </w:r>
      <w:r w:rsidR="004D11AE" w:rsidRPr="00865B46">
        <w:rPr>
          <w:sz w:val="28"/>
          <w:szCs w:val="28"/>
        </w:rPr>
        <w:t xml:space="preserve"> 11 690</w:t>
      </w:r>
      <w:r w:rsidRPr="00865B46">
        <w:rPr>
          <w:sz w:val="28"/>
          <w:szCs w:val="28"/>
        </w:rPr>
        <w:t xml:space="preserve"> </w:t>
      </w:r>
      <w:proofErr w:type="spellStart"/>
      <w:r w:rsidRPr="00865B46">
        <w:rPr>
          <w:sz w:val="28"/>
          <w:szCs w:val="28"/>
        </w:rPr>
        <w:t>euro</w:t>
      </w:r>
      <w:proofErr w:type="spellEnd"/>
      <w:r w:rsidRPr="00865B46">
        <w:rPr>
          <w:sz w:val="28"/>
          <w:szCs w:val="28"/>
        </w:rPr>
        <w:t xml:space="preserve"> apmērā  valsts budžeta līdzfinansējuma nodrošināšanai un kopumā ne vairāk kā</w:t>
      </w:r>
      <w:r w:rsidR="009160A9" w:rsidRPr="00865B46">
        <w:rPr>
          <w:sz w:val="28"/>
          <w:szCs w:val="28"/>
        </w:rPr>
        <w:t xml:space="preserve"> </w:t>
      </w:r>
      <w:r w:rsidR="00865B46" w:rsidRPr="00865B46">
        <w:rPr>
          <w:sz w:val="28"/>
          <w:szCs w:val="28"/>
        </w:rPr>
        <w:t>20</w:t>
      </w:r>
      <w:r w:rsidR="009620AE" w:rsidRPr="00865B46">
        <w:rPr>
          <w:sz w:val="28"/>
          <w:szCs w:val="28"/>
        </w:rPr>
        <w:t xml:space="preserve"> </w:t>
      </w:r>
      <w:r w:rsidR="00E30475" w:rsidRPr="00865B46">
        <w:rPr>
          <w:sz w:val="28"/>
          <w:szCs w:val="28"/>
        </w:rPr>
        <w:t>000</w:t>
      </w:r>
      <w:r w:rsidRPr="00865B46">
        <w:rPr>
          <w:sz w:val="28"/>
          <w:szCs w:val="28"/>
        </w:rPr>
        <w:t xml:space="preserve"> </w:t>
      </w:r>
      <w:proofErr w:type="spellStart"/>
      <w:r w:rsidRPr="00865B46">
        <w:rPr>
          <w:sz w:val="28"/>
          <w:szCs w:val="28"/>
        </w:rPr>
        <w:t>euro</w:t>
      </w:r>
      <w:proofErr w:type="spellEnd"/>
      <w:r w:rsidRPr="00865B46">
        <w:rPr>
          <w:sz w:val="28"/>
          <w:szCs w:val="28"/>
        </w:rPr>
        <w:t xml:space="preserve"> </w:t>
      </w:r>
      <w:proofErr w:type="spellStart"/>
      <w:r w:rsidRPr="00865B46">
        <w:rPr>
          <w:sz w:val="28"/>
          <w:szCs w:val="28"/>
        </w:rPr>
        <w:t>priekšfinansējuma</w:t>
      </w:r>
      <w:proofErr w:type="spellEnd"/>
      <w:r w:rsidRPr="00865B46">
        <w:rPr>
          <w:sz w:val="28"/>
          <w:szCs w:val="28"/>
        </w:rPr>
        <w:t xml:space="preserve"> nodrošināšanai pārdalīt no 74. resora "Gadskārtējā valsts</w:t>
      </w:r>
      <w:r w:rsidRPr="0029368F">
        <w:rPr>
          <w:sz w:val="28"/>
          <w:szCs w:val="28"/>
        </w:rPr>
        <w:t xml:space="preserve"> budžeta izpildes procesā pārdalāmais finansējums"</w:t>
      </w:r>
      <w:r w:rsidRPr="001B5E21">
        <w:rPr>
          <w:sz w:val="28"/>
          <w:szCs w:val="28"/>
        </w:rPr>
        <w:t xml:space="preserve"> programmas</w:t>
      </w:r>
      <w:r w:rsidRPr="001B5E21">
        <w:rPr>
          <w:noProof/>
          <w:sz w:val="28"/>
          <w:szCs w:val="28"/>
        </w:rPr>
        <w:t xml:space="preserve"> 80.00.00 "Nesadalītais finansējums Eiropas Savienības politiku instrumentu un pārējās ārvalstu finanšu palīdzības līdzfinansēto projektu un pasākumu īstenošanai"</w:t>
      </w:r>
      <w:r w:rsidRPr="001B5E21">
        <w:rPr>
          <w:sz w:val="28"/>
          <w:szCs w:val="28"/>
        </w:rPr>
        <w:t>.</w:t>
      </w:r>
    </w:p>
    <w:p w14:paraId="37DD085B" w14:textId="77777777" w:rsidR="00C9525B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 xml:space="preserve">Veselības ministrijai nodrošināt, ka </w:t>
      </w:r>
      <w:r>
        <w:rPr>
          <w:sz w:val="28"/>
          <w:szCs w:val="28"/>
        </w:rPr>
        <w:t>neno</w:t>
      </w:r>
      <w:r w:rsidRPr="008A6CE6">
        <w:rPr>
          <w:sz w:val="28"/>
          <w:szCs w:val="28"/>
        </w:rPr>
        <w:t xml:space="preserve">tiek </w:t>
      </w:r>
      <w:r>
        <w:rPr>
          <w:sz w:val="28"/>
          <w:szCs w:val="28"/>
        </w:rPr>
        <w:t>pārklāšanās</w:t>
      </w:r>
      <w:r w:rsidRPr="008A6CE6">
        <w:rPr>
          <w:sz w:val="28"/>
          <w:szCs w:val="28"/>
        </w:rPr>
        <w:t xml:space="preserve"> ar Eiropas Savienības Kohēzijas politikas fondu 2014.–2020.gada plānošanas perioda darbības programmas ietvaros plānotajiem pasākumiem.</w:t>
      </w:r>
    </w:p>
    <w:p w14:paraId="35966127" w14:textId="6F1A2AE6" w:rsidR="00C9525B" w:rsidRPr="00495C0E" w:rsidRDefault="00C9525B" w:rsidP="00C9525B">
      <w:pPr>
        <w:pStyle w:val="ListParagraph"/>
        <w:numPr>
          <w:ilvl w:val="0"/>
          <w:numId w:val="1"/>
        </w:numPr>
        <w:spacing w:after="120"/>
        <w:ind w:left="0" w:firstLine="720"/>
        <w:jc w:val="both"/>
        <w:rPr>
          <w:sz w:val="28"/>
          <w:szCs w:val="28"/>
        </w:rPr>
      </w:pPr>
      <w:r w:rsidRPr="008A6CE6">
        <w:rPr>
          <w:sz w:val="28"/>
          <w:szCs w:val="28"/>
        </w:rPr>
        <w:t>Veselības ministrijai</w:t>
      </w:r>
      <w:r w:rsidR="001E2260">
        <w:rPr>
          <w:sz w:val="28"/>
          <w:szCs w:val="28"/>
        </w:rPr>
        <w:t xml:space="preserve"> (Slimību profilakses un kontroles centram)</w:t>
      </w:r>
      <w:r w:rsidRPr="008A6CE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495C0E">
        <w:rPr>
          <w:sz w:val="28"/>
          <w:szCs w:val="28"/>
        </w:rPr>
        <w:t>ēc gala maksājuma saņemšanas no Eiropas Komisijas nodrošinā</w:t>
      </w:r>
      <w:r>
        <w:rPr>
          <w:sz w:val="28"/>
          <w:szCs w:val="28"/>
        </w:rPr>
        <w:t>t</w:t>
      </w:r>
      <w:r w:rsidRPr="00495C0E">
        <w:rPr>
          <w:sz w:val="28"/>
          <w:szCs w:val="28"/>
        </w:rPr>
        <w:t xml:space="preserve"> saņemto līdzekļu (valsts budžeta veiktā </w:t>
      </w:r>
      <w:proofErr w:type="spellStart"/>
      <w:r w:rsidRPr="00495C0E">
        <w:rPr>
          <w:sz w:val="28"/>
          <w:szCs w:val="28"/>
        </w:rPr>
        <w:t>priekšfinansējuma</w:t>
      </w:r>
      <w:proofErr w:type="spellEnd"/>
      <w:r w:rsidRPr="00495C0E">
        <w:rPr>
          <w:sz w:val="28"/>
          <w:szCs w:val="28"/>
        </w:rPr>
        <w:t xml:space="preserve"> apmērā) ieskaitīšanu valsts pamatbudžeta ieņēmumos.</w:t>
      </w:r>
    </w:p>
    <w:p w14:paraId="6519E3B1" w14:textId="77777777" w:rsidR="008024C6" w:rsidRDefault="008024C6" w:rsidP="008024C6">
      <w:pPr>
        <w:pStyle w:val="ListParagraph"/>
        <w:ind w:left="284"/>
        <w:jc w:val="both"/>
        <w:rPr>
          <w:sz w:val="22"/>
          <w:szCs w:val="22"/>
        </w:rPr>
      </w:pPr>
    </w:p>
    <w:p w14:paraId="2D40E4EE" w14:textId="77777777" w:rsidR="00E90CCE" w:rsidRPr="004C330B" w:rsidRDefault="00E90CCE" w:rsidP="008024C6">
      <w:pPr>
        <w:pStyle w:val="ListParagraph"/>
        <w:ind w:left="284"/>
        <w:jc w:val="both"/>
        <w:rPr>
          <w:sz w:val="22"/>
          <w:szCs w:val="22"/>
        </w:rPr>
      </w:pPr>
    </w:p>
    <w:p w14:paraId="2D9B39F5" w14:textId="77777777" w:rsidR="008024C6" w:rsidRPr="00B75D41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  <w:r w:rsidRPr="00B75D41">
        <w:rPr>
          <w:rFonts w:eastAsia="Calibri"/>
          <w:sz w:val="28"/>
          <w:szCs w:val="28"/>
          <w:lang w:eastAsia="lv-LV"/>
        </w:rPr>
        <w:t>Min</w:t>
      </w:r>
      <w:r w:rsidR="00476EB4">
        <w:rPr>
          <w:rFonts w:eastAsia="Calibri"/>
          <w:sz w:val="28"/>
          <w:szCs w:val="28"/>
          <w:lang w:eastAsia="lv-LV"/>
        </w:rPr>
        <w:t>istru prezidents</w:t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</w:r>
      <w:r w:rsidR="00476EB4">
        <w:rPr>
          <w:rFonts w:eastAsia="Calibri"/>
          <w:sz w:val="28"/>
          <w:szCs w:val="28"/>
          <w:lang w:eastAsia="lv-LV"/>
        </w:rPr>
        <w:tab/>
        <w:t xml:space="preserve"> </w:t>
      </w:r>
      <w:r w:rsidR="00476EB4">
        <w:rPr>
          <w:rFonts w:eastAsia="Calibri"/>
          <w:sz w:val="28"/>
          <w:szCs w:val="28"/>
          <w:lang w:eastAsia="lv-LV"/>
        </w:rPr>
        <w:tab/>
        <w:t xml:space="preserve">  </w:t>
      </w:r>
      <w:r w:rsidR="00F7204C">
        <w:rPr>
          <w:rFonts w:eastAsia="Calibri"/>
          <w:sz w:val="28"/>
          <w:szCs w:val="28"/>
          <w:lang w:eastAsia="lv-LV"/>
        </w:rPr>
        <w:t>A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Kariņš</w:t>
      </w:r>
    </w:p>
    <w:p w14:paraId="370B2806" w14:textId="77777777" w:rsidR="008024C6" w:rsidRDefault="008024C6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420B349D" w14:textId="77777777" w:rsidR="00E90CCE" w:rsidRPr="00B75D41" w:rsidRDefault="00E90CCE" w:rsidP="008024C6">
      <w:pPr>
        <w:ind w:right="-766"/>
        <w:rPr>
          <w:rFonts w:eastAsia="Calibri"/>
          <w:sz w:val="28"/>
          <w:szCs w:val="28"/>
          <w:lang w:eastAsia="lv-LV"/>
        </w:rPr>
      </w:pPr>
    </w:p>
    <w:p w14:paraId="42EE3AFC" w14:textId="77777777" w:rsidR="008024C6" w:rsidRPr="00B75D41" w:rsidRDefault="008024C6" w:rsidP="008024C6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Valsts k</w:t>
      </w:r>
      <w:r w:rsidR="00476EB4">
        <w:rPr>
          <w:sz w:val="28"/>
          <w:szCs w:val="28"/>
        </w:rPr>
        <w:t>ancelejas direktors</w:t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</w:r>
      <w:r w:rsidR="00476EB4">
        <w:rPr>
          <w:sz w:val="28"/>
          <w:szCs w:val="28"/>
        </w:rPr>
        <w:tab/>
        <w:t xml:space="preserve">  </w:t>
      </w:r>
      <w:r w:rsidR="006E4CD6">
        <w:rPr>
          <w:sz w:val="28"/>
          <w:szCs w:val="28"/>
        </w:rPr>
        <w:t>J</w:t>
      </w:r>
      <w:r w:rsidR="004B283D">
        <w:rPr>
          <w:sz w:val="28"/>
          <w:szCs w:val="28"/>
        </w:rPr>
        <w:t>.</w:t>
      </w:r>
      <w:r w:rsidR="006E4CD6">
        <w:rPr>
          <w:sz w:val="28"/>
          <w:szCs w:val="28"/>
        </w:rPr>
        <w:t xml:space="preserve"> </w:t>
      </w:r>
      <w:proofErr w:type="spellStart"/>
      <w:r w:rsidR="006E4CD6">
        <w:rPr>
          <w:sz w:val="28"/>
          <w:szCs w:val="28"/>
        </w:rPr>
        <w:t>Citskovskis</w:t>
      </w:r>
      <w:proofErr w:type="spellEnd"/>
    </w:p>
    <w:p w14:paraId="4859A81E" w14:textId="77777777" w:rsidR="008024C6" w:rsidRDefault="008024C6" w:rsidP="008024C6">
      <w:pPr>
        <w:keepNext/>
        <w:jc w:val="both"/>
        <w:outlineLvl w:val="1"/>
        <w:rPr>
          <w:sz w:val="28"/>
          <w:szCs w:val="28"/>
        </w:rPr>
      </w:pPr>
    </w:p>
    <w:p w14:paraId="3293672F" w14:textId="77777777" w:rsidR="00E90CCE" w:rsidRPr="00B75D41" w:rsidRDefault="00E90CCE" w:rsidP="008024C6">
      <w:pPr>
        <w:keepNext/>
        <w:jc w:val="both"/>
        <w:outlineLvl w:val="1"/>
        <w:rPr>
          <w:sz w:val="28"/>
          <w:szCs w:val="28"/>
        </w:rPr>
      </w:pPr>
    </w:p>
    <w:p w14:paraId="5BEA3935" w14:textId="33B268F2" w:rsidR="008024C6" w:rsidRPr="00B75D41" w:rsidRDefault="00476EB4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  <w:r>
        <w:rPr>
          <w:rFonts w:eastAsia="Calibri"/>
          <w:sz w:val="28"/>
          <w:szCs w:val="28"/>
          <w:lang w:eastAsia="lv-LV"/>
        </w:rPr>
        <w:t xml:space="preserve">Iesniedzējs: Veselības ministrs                                             </w:t>
      </w:r>
      <w:r w:rsidR="00D36011">
        <w:rPr>
          <w:rFonts w:eastAsia="Calibri"/>
          <w:sz w:val="28"/>
          <w:szCs w:val="28"/>
          <w:lang w:eastAsia="lv-LV"/>
        </w:rPr>
        <w:t>D</w:t>
      </w:r>
      <w:r w:rsidR="004B283D">
        <w:rPr>
          <w:rFonts w:eastAsia="Calibri"/>
          <w:sz w:val="28"/>
          <w:szCs w:val="28"/>
          <w:lang w:eastAsia="lv-LV"/>
        </w:rPr>
        <w:t>.</w:t>
      </w:r>
      <w:r w:rsidR="00F7204C">
        <w:rPr>
          <w:rFonts w:eastAsia="Calibri"/>
          <w:sz w:val="28"/>
          <w:szCs w:val="28"/>
          <w:lang w:eastAsia="lv-LV"/>
        </w:rPr>
        <w:t xml:space="preserve"> </w:t>
      </w:r>
      <w:r w:rsidR="00D36011">
        <w:rPr>
          <w:rFonts w:eastAsia="Calibri"/>
          <w:sz w:val="28"/>
          <w:szCs w:val="28"/>
          <w:lang w:eastAsia="lv-LV"/>
        </w:rPr>
        <w:t>Pavļuts</w:t>
      </w:r>
    </w:p>
    <w:p w14:paraId="43A19CDE" w14:textId="77777777" w:rsidR="008024C6" w:rsidRDefault="008024C6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2A0BB8BB" w14:textId="77777777" w:rsidR="0038737D" w:rsidRDefault="0038737D" w:rsidP="008024C6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eastAsia="lv-LV"/>
        </w:rPr>
      </w:pPr>
    </w:p>
    <w:p w14:paraId="1EBAADBC" w14:textId="2F13B33E" w:rsidR="0062605A" w:rsidRDefault="008024C6" w:rsidP="0039286E">
      <w:pPr>
        <w:tabs>
          <w:tab w:val="left" w:pos="7088"/>
          <w:tab w:val="right" w:pos="9072"/>
        </w:tabs>
        <w:ind w:right="-766"/>
      </w:pPr>
      <w:r w:rsidRPr="00B75D41">
        <w:rPr>
          <w:rFonts w:eastAsia="Calibri"/>
          <w:sz w:val="28"/>
          <w:szCs w:val="28"/>
          <w:lang w:eastAsia="lv-LV"/>
        </w:rPr>
        <w:t xml:space="preserve">Vīza: Valsts </w:t>
      </w:r>
      <w:r w:rsidRPr="00F56654">
        <w:rPr>
          <w:rFonts w:eastAsia="Calibri"/>
          <w:sz w:val="28"/>
          <w:szCs w:val="28"/>
          <w:lang w:eastAsia="lv-LV"/>
        </w:rPr>
        <w:t>sekretār</w:t>
      </w:r>
      <w:r w:rsidR="00F7204C" w:rsidRPr="00F56654">
        <w:rPr>
          <w:rFonts w:eastAsia="Calibri"/>
          <w:sz w:val="28"/>
          <w:szCs w:val="28"/>
          <w:lang w:eastAsia="lv-LV"/>
        </w:rPr>
        <w:t>e</w:t>
      </w:r>
      <w:r w:rsidR="00476EB4" w:rsidRPr="00F56654">
        <w:rPr>
          <w:rFonts w:eastAsia="Calibri"/>
          <w:sz w:val="28"/>
          <w:szCs w:val="28"/>
          <w:lang w:eastAsia="lv-LV"/>
        </w:rPr>
        <w:t xml:space="preserve">                                 </w:t>
      </w:r>
      <w:r w:rsidR="00F57E26" w:rsidRPr="00F56654">
        <w:rPr>
          <w:rFonts w:eastAsia="Calibri"/>
          <w:sz w:val="28"/>
          <w:szCs w:val="28"/>
          <w:lang w:eastAsia="lv-LV"/>
        </w:rPr>
        <w:t xml:space="preserve">  </w:t>
      </w:r>
      <w:r w:rsidR="0032636A" w:rsidRPr="00F56654">
        <w:rPr>
          <w:rFonts w:eastAsia="Calibri"/>
          <w:sz w:val="28"/>
          <w:szCs w:val="28"/>
          <w:lang w:eastAsia="lv-LV"/>
        </w:rPr>
        <w:t xml:space="preserve">  </w:t>
      </w:r>
      <w:r w:rsidR="007D3E1B" w:rsidRPr="00F56654">
        <w:rPr>
          <w:rFonts w:eastAsia="Calibri"/>
          <w:sz w:val="28"/>
          <w:szCs w:val="28"/>
          <w:lang w:eastAsia="lv-LV"/>
        </w:rPr>
        <w:t xml:space="preserve">        </w:t>
      </w:r>
      <w:r w:rsidR="0032636A" w:rsidRPr="00F56654">
        <w:rPr>
          <w:rFonts w:eastAsia="Calibri"/>
          <w:sz w:val="28"/>
          <w:szCs w:val="28"/>
          <w:lang w:eastAsia="lv-LV"/>
        </w:rPr>
        <w:t xml:space="preserve">  </w:t>
      </w:r>
      <w:r w:rsidR="0039286E" w:rsidRPr="00F56654">
        <w:rPr>
          <w:rFonts w:eastAsia="Calibri"/>
          <w:sz w:val="28"/>
          <w:szCs w:val="28"/>
          <w:lang w:eastAsia="lv-LV"/>
        </w:rPr>
        <w:t xml:space="preserve">      </w:t>
      </w:r>
      <w:r w:rsidR="00B51AC2" w:rsidRPr="00F56654">
        <w:rPr>
          <w:rFonts w:eastAsia="Calibri"/>
          <w:sz w:val="28"/>
          <w:szCs w:val="28"/>
          <w:lang w:eastAsia="lv-LV"/>
        </w:rPr>
        <w:t>I</w:t>
      </w:r>
      <w:r w:rsidR="004B283D" w:rsidRPr="00F56654">
        <w:rPr>
          <w:rFonts w:eastAsia="Calibri"/>
          <w:sz w:val="28"/>
          <w:szCs w:val="28"/>
          <w:lang w:eastAsia="lv-LV"/>
        </w:rPr>
        <w:t>.</w:t>
      </w:r>
      <w:r w:rsidR="004A2A18" w:rsidRPr="00F56654">
        <w:rPr>
          <w:rFonts w:eastAsia="Calibri"/>
          <w:sz w:val="28"/>
          <w:szCs w:val="28"/>
          <w:lang w:eastAsia="lv-LV"/>
        </w:rPr>
        <w:t xml:space="preserve"> </w:t>
      </w:r>
      <w:r w:rsidR="00B51AC2" w:rsidRPr="00F56654">
        <w:rPr>
          <w:rFonts w:eastAsia="Calibri"/>
          <w:sz w:val="28"/>
          <w:szCs w:val="28"/>
          <w:lang w:eastAsia="lv-LV"/>
        </w:rPr>
        <w:t>Dreika</w:t>
      </w:r>
      <w:r w:rsidR="000A3CC1">
        <w:rPr>
          <w:rFonts w:eastAsia="Calibri"/>
          <w:sz w:val="28"/>
          <w:szCs w:val="28"/>
          <w:lang w:eastAsia="lv-LV"/>
        </w:rPr>
        <w:t xml:space="preserve"> </w:t>
      </w:r>
    </w:p>
    <w:sectPr w:rsidR="0062605A" w:rsidSect="003873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709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E3BD" w14:textId="77777777" w:rsidR="008F09DD" w:rsidRDefault="008F09DD" w:rsidP="008F09DD">
      <w:r>
        <w:separator/>
      </w:r>
    </w:p>
  </w:endnote>
  <w:endnote w:type="continuationSeparator" w:id="0">
    <w:p w14:paraId="5363AE52" w14:textId="77777777" w:rsidR="008F09DD" w:rsidRDefault="008F09DD" w:rsidP="008F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CBAB" w14:textId="77777777" w:rsidR="00A861BB" w:rsidRDefault="00A86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C8BB2" w14:textId="28EA638C" w:rsidR="00A861BB" w:rsidRPr="00706AE1" w:rsidRDefault="00706AE1" w:rsidP="00706AE1">
    <w:pPr>
      <w:jc w:val="both"/>
    </w:pPr>
    <w:r w:rsidRPr="00F50EEF">
      <w:t>VM</w:t>
    </w:r>
    <w:r>
      <w:t>p</w:t>
    </w:r>
    <w:r w:rsidRPr="00F50EEF">
      <w:t>rot</w:t>
    </w:r>
    <w:r w:rsidRPr="00445D08">
      <w:t>_</w:t>
    </w:r>
    <w:r>
      <w:t>16</w:t>
    </w:r>
    <w:r w:rsidRPr="00445D08">
      <w:t>0421_</w:t>
    </w:r>
    <w:r w:rsidRPr="00533419">
      <w:t>HP</w:t>
    </w:r>
    <w:r>
      <w:t>_IMMunion</w:t>
    </w:r>
    <w:r w:rsidRPr="00F50EE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DA419" w14:textId="13C2B9DE" w:rsidR="00090B1D" w:rsidRPr="00F50EEF" w:rsidRDefault="0062605A" w:rsidP="00797513">
    <w:pPr>
      <w:jc w:val="both"/>
    </w:pPr>
    <w:r w:rsidRPr="00F50EEF">
      <w:t>VM</w:t>
    </w:r>
    <w:r w:rsidR="0039252B">
      <w:t>p</w:t>
    </w:r>
    <w:r w:rsidRPr="00F50EEF">
      <w:t>rot</w:t>
    </w:r>
    <w:r w:rsidRPr="00445D08">
      <w:t>_</w:t>
    </w:r>
    <w:r w:rsidR="00706AE1">
      <w:t>16</w:t>
    </w:r>
    <w:r w:rsidR="00A861BB" w:rsidRPr="00445D08">
      <w:t>04</w:t>
    </w:r>
    <w:r w:rsidR="00D36011" w:rsidRPr="00445D08">
      <w:t>21</w:t>
    </w:r>
    <w:r w:rsidR="00DE5007" w:rsidRPr="00445D08">
      <w:t>_</w:t>
    </w:r>
    <w:r w:rsidR="00DE5007" w:rsidRPr="00533419">
      <w:t>HP</w:t>
    </w:r>
    <w:r w:rsidR="00D36011">
      <w:t>_</w:t>
    </w:r>
    <w:r w:rsidR="00244A9C">
      <w:t>IMMunion</w:t>
    </w:r>
    <w:r w:rsidR="00DE5007" w:rsidRPr="00F50E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C9EE" w14:textId="77777777" w:rsidR="008F09DD" w:rsidRDefault="008F09DD" w:rsidP="008F09DD">
      <w:r>
        <w:separator/>
      </w:r>
    </w:p>
  </w:footnote>
  <w:footnote w:type="continuationSeparator" w:id="0">
    <w:p w14:paraId="55A5875F" w14:textId="77777777" w:rsidR="008F09DD" w:rsidRDefault="008F09DD" w:rsidP="008F0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593E8" w14:textId="77777777" w:rsidR="00A861BB" w:rsidRDefault="00A8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58CF" w14:textId="77777777" w:rsidR="00090B1D" w:rsidRDefault="004E6E56">
    <w:pPr>
      <w:pStyle w:val="Header"/>
      <w:jc w:val="center"/>
    </w:pPr>
    <w:r>
      <w:fldChar w:fldCharType="begin"/>
    </w:r>
    <w:r w:rsidR="0062605A">
      <w:instrText xml:space="preserve"> PAGE   \* MERGEFORMAT </w:instrText>
    </w:r>
    <w:r>
      <w:fldChar w:fldCharType="separate"/>
    </w:r>
    <w:r w:rsidR="007C3962">
      <w:rPr>
        <w:noProof/>
      </w:rPr>
      <w:t>2</w:t>
    </w:r>
    <w:r>
      <w:rPr>
        <w:noProof/>
      </w:rPr>
      <w:fldChar w:fldCharType="end"/>
    </w:r>
  </w:p>
  <w:p w14:paraId="2168B326" w14:textId="77777777" w:rsidR="00090B1D" w:rsidRDefault="00F56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411B" w14:textId="77777777" w:rsidR="00A861BB" w:rsidRDefault="00A86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C6"/>
    <w:rsid w:val="000061E5"/>
    <w:rsid w:val="000066F3"/>
    <w:rsid w:val="000138B6"/>
    <w:rsid w:val="0002307F"/>
    <w:rsid w:val="000315F1"/>
    <w:rsid w:val="00045A27"/>
    <w:rsid w:val="00046A1E"/>
    <w:rsid w:val="00050CEF"/>
    <w:rsid w:val="000760DE"/>
    <w:rsid w:val="00090806"/>
    <w:rsid w:val="000A3CC1"/>
    <w:rsid w:val="000D761B"/>
    <w:rsid w:val="000E58E3"/>
    <w:rsid w:val="00104587"/>
    <w:rsid w:val="00104EB1"/>
    <w:rsid w:val="0015740C"/>
    <w:rsid w:val="001806B2"/>
    <w:rsid w:val="001827B5"/>
    <w:rsid w:val="001A0B0C"/>
    <w:rsid w:val="001A0D11"/>
    <w:rsid w:val="001A12AD"/>
    <w:rsid w:val="001A336F"/>
    <w:rsid w:val="001A62A2"/>
    <w:rsid w:val="001B408A"/>
    <w:rsid w:val="001C09AA"/>
    <w:rsid w:val="001E2260"/>
    <w:rsid w:val="001F2D3F"/>
    <w:rsid w:val="001F37E2"/>
    <w:rsid w:val="0021790C"/>
    <w:rsid w:val="00244A9C"/>
    <w:rsid w:val="00286ECF"/>
    <w:rsid w:val="0029368F"/>
    <w:rsid w:val="002B0B06"/>
    <w:rsid w:val="002C0053"/>
    <w:rsid w:val="002C4813"/>
    <w:rsid w:val="002D4F75"/>
    <w:rsid w:val="002E11CB"/>
    <w:rsid w:val="0032636A"/>
    <w:rsid w:val="00354BB8"/>
    <w:rsid w:val="00363C5C"/>
    <w:rsid w:val="0038737D"/>
    <w:rsid w:val="0039252B"/>
    <w:rsid w:val="0039286E"/>
    <w:rsid w:val="003D23A5"/>
    <w:rsid w:val="003E4C90"/>
    <w:rsid w:val="0041095D"/>
    <w:rsid w:val="00413301"/>
    <w:rsid w:val="00413E8A"/>
    <w:rsid w:val="00414F81"/>
    <w:rsid w:val="00422B40"/>
    <w:rsid w:val="00445D08"/>
    <w:rsid w:val="0045045E"/>
    <w:rsid w:val="00460700"/>
    <w:rsid w:val="00470E1C"/>
    <w:rsid w:val="00476EB4"/>
    <w:rsid w:val="004833BE"/>
    <w:rsid w:val="00484E65"/>
    <w:rsid w:val="00495C0E"/>
    <w:rsid w:val="0049745C"/>
    <w:rsid w:val="004A2A18"/>
    <w:rsid w:val="004B2805"/>
    <w:rsid w:val="004B283D"/>
    <w:rsid w:val="004C25E8"/>
    <w:rsid w:val="004C51CE"/>
    <w:rsid w:val="004C6618"/>
    <w:rsid w:val="004D11AE"/>
    <w:rsid w:val="004E34F5"/>
    <w:rsid w:val="004E6E56"/>
    <w:rsid w:val="00533419"/>
    <w:rsid w:val="005418D4"/>
    <w:rsid w:val="00582992"/>
    <w:rsid w:val="00587273"/>
    <w:rsid w:val="005A5E41"/>
    <w:rsid w:val="005B3785"/>
    <w:rsid w:val="005C3446"/>
    <w:rsid w:val="005C71CF"/>
    <w:rsid w:val="005E0410"/>
    <w:rsid w:val="005E1F2B"/>
    <w:rsid w:val="005F3EFC"/>
    <w:rsid w:val="00610D24"/>
    <w:rsid w:val="00624A3A"/>
    <w:rsid w:val="0062605A"/>
    <w:rsid w:val="00627549"/>
    <w:rsid w:val="006C0B44"/>
    <w:rsid w:val="006E4CD6"/>
    <w:rsid w:val="006E4D11"/>
    <w:rsid w:val="006F00A4"/>
    <w:rsid w:val="006F196B"/>
    <w:rsid w:val="00706AE1"/>
    <w:rsid w:val="00735212"/>
    <w:rsid w:val="00740256"/>
    <w:rsid w:val="00745730"/>
    <w:rsid w:val="007549B4"/>
    <w:rsid w:val="00761B05"/>
    <w:rsid w:val="00762FD7"/>
    <w:rsid w:val="0078686D"/>
    <w:rsid w:val="00797513"/>
    <w:rsid w:val="007B28F6"/>
    <w:rsid w:val="007C36FA"/>
    <w:rsid w:val="007C3962"/>
    <w:rsid w:val="007C4A3B"/>
    <w:rsid w:val="007D3E1B"/>
    <w:rsid w:val="008024C6"/>
    <w:rsid w:val="008111FC"/>
    <w:rsid w:val="00862538"/>
    <w:rsid w:val="00865B46"/>
    <w:rsid w:val="008A3940"/>
    <w:rsid w:val="008A6CE6"/>
    <w:rsid w:val="008E0F44"/>
    <w:rsid w:val="008E5DCE"/>
    <w:rsid w:val="008F09DD"/>
    <w:rsid w:val="008F3469"/>
    <w:rsid w:val="0090092E"/>
    <w:rsid w:val="00900E39"/>
    <w:rsid w:val="00912D54"/>
    <w:rsid w:val="009160A9"/>
    <w:rsid w:val="009620AE"/>
    <w:rsid w:val="00994660"/>
    <w:rsid w:val="00A21B44"/>
    <w:rsid w:val="00A22457"/>
    <w:rsid w:val="00A273F4"/>
    <w:rsid w:val="00A3306C"/>
    <w:rsid w:val="00A36713"/>
    <w:rsid w:val="00A40EBE"/>
    <w:rsid w:val="00A861BB"/>
    <w:rsid w:val="00A86B0D"/>
    <w:rsid w:val="00A91244"/>
    <w:rsid w:val="00AA7128"/>
    <w:rsid w:val="00AF0DE8"/>
    <w:rsid w:val="00B0242A"/>
    <w:rsid w:val="00B22D30"/>
    <w:rsid w:val="00B26532"/>
    <w:rsid w:val="00B33A06"/>
    <w:rsid w:val="00B40D26"/>
    <w:rsid w:val="00B51AC2"/>
    <w:rsid w:val="00B55FEC"/>
    <w:rsid w:val="00B77B7A"/>
    <w:rsid w:val="00BD0A70"/>
    <w:rsid w:val="00BD37C4"/>
    <w:rsid w:val="00BE7C80"/>
    <w:rsid w:val="00C04672"/>
    <w:rsid w:val="00C30A40"/>
    <w:rsid w:val="00C532C0"/>
    <w:rsid w:val="00C53DD1"/>
    <w:rsid w:val="00C6032D"/>
    <w:rsid w:val="00C73D7D"/>
    <w:rsid w:val="00C904BE"/>
    <w:rsid w:val="00C9525B"/>
    <w:rsid w:val="00CA053A"/>
    <w:rsid w:val="00CA5D46"/>
    <w:rsid w:val="00CC1F73"/>
    <w:rsid w:val="00D11BE6"/>
    <w:rsid w:val="00D124C2"/>
    <w:rsid w:val="00D1343D"/>
    <w:rsid w:val="00D16CD3"/>
    <w:rsid w:val="00D36011"/>
    <w:rsid w:val="00D4644F"/>
    <w:rsid w:val="00D52D5E"/>
    <w:rsid w:val="00D6426C"/>
    <w:rsid w:val="00D65042"/>
    <w:rsid w:val="00D65D3D"/>
    <w:rsid w:val="00D76E11"/>
    <w:rsid w:val="00DA0A94"/>
    <w:rsid w:val="00DC2A86"/>
    <w:rsid w:val="00DD05BA"/>
    <w:rsid w:val="00DE1679"/>
    <w:rsid w:val="00DE5007"/>
    <w:rsid w:val="00E30475"/>
    <w:rsid w:val="00E31341"/>
    <w:rsid w:val="00E409AE"/>
    <w:rsid w:val="00E43B12"/>
    <w:rsid w:val="00E73DAA"/>
    <w:rsid w:val="00E90CCE"/>
    <w:rsid w:val="00E96521"/>
    <w:rsid w:val="00EB2C32"/>
    <w:rsid w:val="00ED3719"/>
    <w:rsid w:val="00F301A3"/>
    <w:rsid w:val="00F35BA2"/>
    <w:rsid w:val="00F50EEF"/>
    <w:rsid w:val="00F56654"/>
    <w:rsid w:val="00F57E26"/>
    <w:rsid w:val="00F7204C"/>
    <w:rsid w:val="00F76551"/>
    <w:rsid w:val="00F823A8"/>
    <w:rsid w:val="00F84103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9E3E"/>
  <w15:docId w15:val="{8527274D-F3E2-4BAE-9FC1-3BBA6A27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4C6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C6"/>
    <w:pPr>
      <w:keepNext/>
      <w:ind w:firstLine="72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8024C6"/>
    <w:rPr>
      <w:rFonts w:eastAsia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4C6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4C6"/>
    <w:pPr>
      <w:ind w:left="720"/>
    </w:pPr>
  </w:style>
  <w:style w:type="paragraph" w:styleId="Footer">
    <w:name w:val="footer"/>
    <w:basedOn w:val="Normal"/>
    <w:link w:val="FooterChar"/>
    <w:uiPriority w:val="99"/>
    <w:rsid w:val="008024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4C6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24C6"/>
    <w:rPr>
      <w:color w:val="0563C1" w:themeColor="hyperlink"/>
      <w:u w:val="single"/>
    </w:rPr>
  </w:style>
  <w:style w:type="paragraph" w:styleId="NormalWeb">
    <w:name w:val="Normal (Web)"/>
    <w:basedOn w:val="Normal"/>
    <w:rsid w:val="008024C6"/>
    <w:pPr>
      <w:spacing w:before="100" w:beforeAutospacing="1" w:after="119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7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72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Eiropas Komisijas trešās Savienības rīcības programmas veselības jomā (2014. – 2020. gadam) 2017.gada Darba plānā ietvertajām aktivitātēm </vt:lpstr>
    </vt:vector>
  </TitlesOfParts>
  <Company>Veselības ministrija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Eiropas Komisijas trešās Savienības rīcības programmas veselības jomā (2014. – 2020. gadam) 2017.gada Darba plānā ietvertajām aktivitātēm</dc:title>
  <dc:subject>Protokollēmums</dc:subject>
  <dc:creator>Agnija Barona</dc:creator>
  <dc:description>Kapitālsabiedrību un nozares finanšu sektora un investīciju uzraudzības nodaļas vecākā referente Agnija Barona_x000d_
Agnija.Barona@vm.gov.lv_x000d_
67876158</dc:description>
  <cp:lastModifiedBy>Agnija Barona</cp:lastModifiedBy>
  <cp:revision>6</cp:revision>
  <cp:lastPrinted>2016-05-17T09:21:00Z</cp:lastPrinted>
  <dcterms:created xsi:type="dcterms:W3CDTF">2021-04-15T20:00:00Z</dcterms:created>
  <dcterms:modified xsi:type="dcterms:W3CDTF">2021-04-20T17:08:00Z</dcterms:modified>
</cp:coreProperties>
</file>