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73C4" w14:textId="043B1CF8" w:rsidR="0051595D" w:rsidRDefault="0051595D" w:rsidP="00EC1B09">
      <w:pPr>
        <w:tabs>
          <w:tab w:val="left" w:pos="6663"/>
        </w:tabs>
        <w:rPr>
          <w:sz w:val="28"/>
          <w:szCs w:val="28"/>
        </w:rPr>
      </w:pPr>
    </w:p>
    <w:p w14:paraId="6AD305D2" w14:textId="77777777" w:rsidR="0051595D" w:rsidRDefault="0051595D" w:rsidP="00EC1B09">
      <w:pPr>
        <w:tabs>
          <w:tab w:val="left" w:pos="6663"/>
        </w:tabs>
        <w:rPr>
          <w:sz w:val="28"/>
          <w:szCs w:val="28"/>
        </w:rPr>
      </w:pPr>
    </w:p>
    <w:p w14:paraId="6DB96F5F" w14:textId="0EB4A320" w:rsidR="00844BA3" w:rsidRPr="007779EA" w:rsidRDefault="00844BA3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464FDF">
        <w:rPr>
          <w:sz w:val="28"/>
          <w:szCs w:val="28"/>
        </w:rPr>
        <w:t>21. aprīlī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464FDF">
        <w:rPr>
          <w:sz w:val="28"/>
          <w:szCs w:val="28"/>
        </w:rPr>
        <w:t> 266</w:t>
      </w:r>
    </w:p>
    <w:p w14:paraId="7DF2714A" w14:textId="6E92A3C5" w:rsidR="00844BA3" w:rsidRPr="007779EA" w:rsidRDefault="00844BA3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64FDF">
        <w:rPr>
          <w:sz w:val="28"/>
          <w:szCs w:val="28"/>
        </w:rPr>
        <w:t> 34 47</w:t>
      </w:r>
      <w:r w:rsidRPr="007779EA">
        <w:rPr>
          <w:sz w:val="28"/>
          <w:szCs w:val="28"/>
        </w:rPr>
        <w:t>. §)</w:t>
      </w:r>
    </w:p>
    <w:p w14:paraId="0758139D" w14:textId="77777777" w:rsidR="00205847" w:rsidRPr="007D5BB3" w:rsidRDefault="00205847" w:rsidP="00BB00C7">
      <w:pPr>
        <w:rPr>
          <w:bCs/>
          <w:sz w:val="28"/>
          <w:szCs w:val="28"/>
        </w:rPr>
      </w:pPr>
    </w:p>
    <w:p w14:paraId="657C0E48" w14:textId="77777777" w:rsidR="00276CBE" w:rsidRDefault="002B7BBD" w:rsidP="002B7BB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7D5BB3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7D5BB3">
        <w:rPr>
          <w:b/>
          <w:sz w:val="28"/>
          <w:szCs w:val="28"/>
        </w:rPr>
        <w:t xml:space="preserve"> </w:t>
      </w:r>
    </w:p>
    <w:p w14:paraId="4E97D5D2" w14:textId="1561D6D9" w:rsidR="002B7BBD" w:rsidRPr="007D5BB3" w:rsidRDefault="00844BA3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7D5BB3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7D5BB3" w:rsidRDefault="002B7BBD" w:rsidP="002B7BBD">
      <w:pPr>
        <w:jc w:val="both"/>
        <w:rPr>
          <w:sz w:val="28"/>
          <w:szCs w:val="28"/>
        </w:rPr>
      </w:pPr>
    </w:p>
    <w:p w14:paraId="08802A6C" w14:textId="1CDBD2BA" w:rsidR="00385271" w:rsidRPr="00385271" w:rsidRDefault="00253B77" w:rsidP="009E440B">
      <w:pPr>
        <w:ind w:firstLine="720"/>
        <w:jc w:val="both"/>
        <w:rPr>
          <w:iCs/>
          <w:sz w:val="28"/>
          <w:szCs w:val="28"/>
        </w:rPr>
      </w:pPr>
      <w:r w:rsidRPr="007D5BB3">
        <w:rPr>
          <w:sz w:val="28"/>
          <w:szCs w:val="28"/>
        </w:rPr>
        <w:t>1.</w:t>
      </w:r>
      <w:r w:rsidR="00D02EFC" w:rsidRPr="007D5BB3">
        <w:rPr>
          <w:iCs/>
          <w:sz w:val="28"/>
          <w:szCs w:val="28"/>
        </w:rPr>
        <w:t> </w:t>
      </w:r>
      <w:r w:rsidR="004F1841" w:rsidRPr="007D5BB3">
        <w:rPr>
          <w:iCs/>
          <w:sz w:val="28"/>
          <w:szCs w:val="28"/>
        </w:rPr>
        <w:t xml:space="preserve">Finanšu ministrijai no valsts budžeta programmas 02.00.00 </w:t>
      </w:r>
      <w:r w:rsidR="00844BA3">
        <w:rPr>
          <w:iCs/>
          <w:sz w:val="28"/>
          <w:szCs w:val="28"/>
        </w:rPr>
        <w:t>"</w:t>
      </w:r>
      <w:r w:rsidR="004F1841" w:rsidRPr="007D5BB3">
        <w:rPr>
          <w:iCs/>
          <w:sz w:val="28"/>
          <w:szCs w:val="28"/>
        </w:rPr>
        <w:t>Līdzekļi neparedzētiem gadījumiem</w:t>
      </w:r>
      <w:r w:rsidR="00844BA3">
        <w:rPr>
          <w:iCs/>
          <w:sz w:val="28"/>
          <w:szCs w:val="28"/>
        </w:rPr>
        <w:t>"</w:t>
      </w:r>
      <w:r w:rsidR="004F1841" w:rsidRPr="007D5BB3">
        <w:rPr>
          <w:iCs/>
          <w:sz w:val="28"/>
          <w:szCs w:val="28"/>
        </w:rPr>
        <w:t xml:space="preserve"> piešķirt </w:t>
      </w:r>
      <w:r w:rsidR="009E440B" w:rsidRPr="007D5BB3">
        <w:rPr>
          <w:iCs/>
          <w:sz w:val="28"/>
          <w:szCs w:val="28"/>
        </w:rPr>
        <w:t>Veselības ministrijai finansējumu</w:t>
      </w:r>
      <w:r w:rsidR="003F1C07">
        <w:rPr>
          <w:iCs/>
          <w:sz w:val="28"/>
          <w:szCs w:val="28"/>
        </w:rPr>
        <w:t>, kas nepārsniedz</w:t>
      </w:r>
      <w:r w:rsidR="009E440B" w:rsidRPr="007D5BB3">
        <w:rPr>
          <w:iCs/>
          <w:sz w:val="28"/>
          <w:szCs w:val="28"/>
        </w:rPr>
        <w:t xml:space="preserve"> </w:t>
      </w:r>
      <w:r w:rsidR="008F7BE6">
        <w:rPr>
          <w:iCs/>
          <w:sz w:val="28"/>
          <w:szCs w:val="28"/>
        </w:rPr>
        <w:t>52</w:t>
      </w:r>
      <w:r w:rsidR="00872CC7">
        <w:rPr>
          <w:iCs/>
          <w:sz w:val="28"/>
          <w:szCs w:val="28"/>
        </w:rPr>
        <w:t> 247</w:t>
      </w:r>
      <w:r w:rsidR="004B722E">
        <w:rPr>
          <w:iCs/>
          <w:sz w:val="28"/>
          <w:szCs w:val="28"/>
        </w:rPr>
        <w:t> </w:t>
      </w:r>
      <w:r w:rsidR="00872CC7">
        <w:rPr>
          <w:iCs/>
          <w:sz w:val="28"/>
          <w:szCs w:val="28"/>
        </w:rPr>
        <w:t>703</w:t>
      </w:r>
      <w:r w:rsidR="004B722E">
        <w:rPr>
          <w:iCs/>
          <w:sz w:val="28"/>
          <w:szCs w:val="28"/>
        </w:rPr>
        <w:t> </w:t>
      </w:r>
      <w:r w:rsidR="00385271">
        <w:rPr>
          <w:i/>
          <w:sz w:val="28"/>
          <w:szCs w:val="28"/>
        </w:rPr>
        <w:t>euro</w:t>
      </w:r>
      <w:r w:rsidR="00385271">
        <w:rPr>
          <w:iCs/>
          <w:sz w:val="28"/>
          <w:szCs w:val="28"/>
        </w:rPr>
        <w:t xml:space="preserve">, lai </w:t>
      </w:r>
      <w:r w:rsidR="00385271" w:rsidRPr="00385271">
        <w:rPr>
          <w:iCs/>
          <w:sz w:val="28"/>
          <w:szCs w:val="28"/>
        </w:rPr>
        <w:t>stiprinātu veselības nozares kapacitāti un noturību</w:t>
      </w:r>
      <w:r w:rsidR="00385271">
        <w:rPr>
          <w:iCs/>
          <w:sz w:val="28"/>
          <w:szCs w:val="28"/>
        </w:rPr>
        <w:t xml:space="preserve">, </w:t>
      </w:r>
      <w:r w:rsidR="004B722E">
        <w:rPr>
          <w:iCs/>
          <w:sz w:val="28"/>
          <w:szCs w:val="28"/>
        </w:rPr>
        <w:t>tai skaitā</w:t>
      </w:r>
      <w:r w:rsidR="00385271">
        <w:rPr>
          <w:iCs/>
          <w:sz w:val="28"/>
          <w:szCs w:val="28"/>
        </w:rPr>
        <w:t>:</w:t>
      </w:r>
    </w:p>
    <w:p w14:paraId="0389BEA3" w14:textId="6C0FDBED" w:rsidR="00591DCF" w:rsidRDefault="00385271" w:rsidP="00C62683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1.1. </w:t>
      </w:r>
      <w:r w:rsidR="00591DCF">
        <w:rPr>
          <w:iCs/>
          <w:sz w:val="28"/>
          <w:szCs w:val="28"/>
        </w:rPr>
        <w:t>Nacionālajam veselības dienestam</w:t>
      </w:r>
      <w:r w:rsidR="004B722E">
        <w:rPr>
          <w:iCs/>
          <w:sz w:val="28"/>
          <w:szCs w:val="28"/>
        </w:rPr>
        <w:t xml:space="preserve"> –</w:t>
      </w:r>
      <w:r w:rsidR="00591DCF">
        <w:rPr>
          <w:iCs/>
          <w:sz w:val="28"/>
          <w:szCs w:val="28"/>
        </w:rPr>
        <w:t xml:space="preserve"> </w:t>
      </w:r>
      <w:r w:rsidR="00D71227" w:rsidRPr="00D71227">
        <w:rPr>
          <w:iCs/>
          <w:sz w:val="28"/>
          <w:szCs w:val="28"/>
        </w:rPr>
        <w:t xml:space="preserve">finansējumu, kas nepārsniedz </w:t>
      </w:r>
      <w:r w:rsidR="008F7BE6">
        <w:rPr>
          <w:iCs/>
          <w:sz w:val="28"/>
          <w:szCs w:val="28"/>
        </w:rPr>
        <w:t>52</w:t>
      </w:r>
      <w:r w:rsidR="00872CC7">
        <w:rPr>
          <w:iCs/>
          <w:sz w:val="28"/>
          <w:szCs w:val="28"/>
        </w:rPr>
        <w:t> 087 557</w:t>
      </w:r>
      <w:r w:rsidR="00C62683">
        <w:rPr>
          <w:iCs/>
          <w:sz w:val="28"/>
          <w:szCs w:val="28"/>
        </w:rPr>
        <w:t xml:space="preserve"> </w:t>
      </w:r>
      <w:r w:rsidR="00591DCF" w:rsidRPr="00591DCF">
        <w:rPr>
          <w:i/>
          <w:sz w:val="28"/>
          <w:szCs w:val="28"/>
        </w:rPr>
        <w:t>euro</w:t>
      </w:r>
      <w:r w:rsidR="00591DCF">
        <w:rPr>
          <w:iCs/>
          <w:sz w:val="28"/>
          <w:szCs w:val="28"/>
        </w:rPr>
        <w:t>,</w:t>
      </w:r>
      <w:r w:rsidR="00591DCF">
        <w:rPr>
          <w:i/>
          <w:sz w:val="28"/>
          <w:szCs w:val="28"/>
        </w:rPr>
        <w:t xml:space="preserve"> </w:t>
      </w:r>
      <w:r w:rsidR="00591DCF">
        <w:rPr>
          <w:iCs/>
          <w:sz w:val="28"/>
          <w:szCs w:val="28"/>
        </w:rPr>
        <w:t>no tiem:</w:t>
      </w:r>
    </w:p>
    <w:p w14:paraId="5D5ECAF6" w14:textId="1CB160EE" w:rsidR="004F1841" w:rsidRDefault="00591DCF" w:rsidP="009E440B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1.1.1.</w:t>
      </w:r>
      <w:r w:rsidR="00450C49">
        <w:rPr>
          <w:iCs/>
          <w:sz w:val="28"/>
          <w:szCs w:val="28"/>
        </w:rPr>
        <w:t xml:space="preserve"> </w:t>
      </w:r>
      <w:r w:rsidR="00385271" w:rsidRPr="00591DCF">
        <w:rPr>
          <w:iCs/>
          <w:sz w:val="28"/>
          <w:szCs w:val="28"/>
        </w:rPr>
        <w:t>finansējumu</w:t>
      </w:r>
      <w:r w:rsidR="00385271">
        <w:rPr>
          <w:iCs/>
          <w:sz w:val="28"/>
          <w:szCs w:val="28"/>
        </w:rPr>
        <w:t xml:space="preserve">, kas nepārsniedz </w:t>
      </w:r>
      <w:r w:rsidR="00872CC7">
        <w:rPr>
          <w:iCs/>
          <w:sz w:val="28"/>
          <w:szCs w:val="28"/>
        </w:rPr>
        <w:t>51 027</w:t>
      </w:r>
      <w:r w:rsidR="004B722E">
        <w:rPr>
          <w:iCs/>
          <w:sz w:val="28"/>
          <w:szCs w:val="28"/>
        </w:rPr>
        <w:t> </w:t>
      </w:r>
      <w:r w:rsidR="00872CC7">
        <w:rPr>
          <w:iCs/>
          <w:sz w:val="28"/>
          <w:szCs w:val="28"/>
        </w:rPr>
        <w:t>000</w:t>
      </w:r>
      <w:r w:rsidR="004B722E">
        <w:rPr>
          <w:iCs/>
          <w:sz w:val="28"/>
          <w:szCs w:val="28"/>
        </w:rPr>
        <w:t> </w:t>
      </w:r>
      <w:r w:rsidR="009E440B" w:rsidRPr="007D5BB3">
        <w:rPr>
          <w:i/>
          <w:sz w:val="28"/>
          <w:szCs w:val="28"/>
        </w:rPr>
        <w:t>euro</w:t>
      </w:r>
      <w:r w:rsidR="009E440B" w:rsidRPr="007D5BB3">
        <w:rPr>
          <w:iCs/>
          <w:sz w:val="28"/>
          <w:szCs w:val="28"/>
        </w:rPr>
        <w:t xml:space="preserve">, </w:t>
      </w:r>
      <w:r w:rsidR="003F1C07">
        <w:rPr>
          <w:iCs/>
          <w:sz w:val="28"/>
          <w:szCs w:val="28"/>
        </w:rPr>
        <w:t>vakcīn</w:t>
      </w:r>
      <w:r w:rsidR="009E0410">
        <w:rPr>
          <w:iCs/>
          <w:sz w:val="28"/>
          <w:szCs w:val="28"/>
        </w:rPr>
        <w:t>u</w:t>
      </w:r>
      <w:r w:rsidR="003F1C07">
        <w:rPr>
          <w:iCs/>
          <w:sz w:val="28"/>
          <w:szCs w:val="28"/>
        </w:rPr>
        <w:t xml:space="preserve"> iegād</w:t>
      </w:r>
      <w:r w:rsidR="004B722E">
        <w:rPr>
          <w:iCs/>
          <w:sz w:val="28"/>
          <w:szCs w:val="28"/>
        </w:rPr>
        <w:t>e</w:t>
      </w:r>
      <w:r w:rsidR="003F1C07">
        <w:rPr>
          <w:iCs/>
          <w:sz w:val="28"/>
          <w:szCs w:val="28"/>
        </w:rPr>
        <w:t>i, loģistik</w:t>
      </w:r>
      <w:r w:rsidR="004B722E">
        <w:rPr>
          <w:iCs/>
          <w:sz w:val="28"/>
          <w:szCs w:val="28"/>
        </w:rPr>
        <w:t>ai</w:t>
      </w:r>
      <w:r w:rsidR="003F1C07">
        <w:rPr>
          <w:iCs/>
          <w:sz w:val="28"/>
          <w:szCs w:val="28"/>
        </w:rPr>
        <w:t xml:space="preserve"> un </w:t>
      </w:r>
      <w:r w:rsidR="004B722E">
        <w:rPr>
          <w:iCs/>
          <w:sz w:val="28"/>
          <w:szCs w:val="28"/>
        </w:rPr>
        <w:t>vakcinēšanai</w:t>
      </w:r>
      <w:r w:rsidR="000E2C8E" w:rsidRPr="000E2C8E">
        <w:rPr>
          <w:iCs/>
          <w:sz w:val="28"/>
          <w:szCs w:val="28"/>
        </w:rPr>
        <w:t xml:space="preserve"> </w:t>
      </w:r>
      <w:r w:rsidR="000E2C8E">
        <w:rPr>
          <w:iCs/>
          <w:sz w:val="28"/>
          <w:szCs w:val="28"/>
        </w:rPr>
        <w:t>pret Covid-19 infekciju</w:t>
      </w:r>
      <w:r w:rsidR="00385271">
        <w:rPr>
          <w:iCs/>
          <w:sz w:val="28"/>
          <w:szCs w:val="28"/>
        </w:rPr>
        <w:t>;</w:t>
      </w:r>
    </w:p>
    <w:p w14:paraId="7823A1F9" w14:textId="01326A0B" w:rsidR="00385271" w:rsidRDefault="00385271" w:rsidP="009E440B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591DCF">
        <w:rPr>
          <w:iCs/>
          <w:sz w:val="28"/>
          <w:szCs w:val="28"/>
        </w:rPr>
        <w:t>1.2</w:t>
      </w:r>
      <w:r>
        <w:rPr>
          <w:iCs/>
          <w:sz w:val="28"/>
          <w:szCs w:val="28"/>
        </w:rPr>
        <w:t xml:space="preserve">. finansējumu, kas nepārsniedz </w:t>
      </w:r>
      <w:r w:rsidR="00DE70A7">
        <w:rPr>
          <w:iCs/>
          <w:sz w:val="28"/>
          <w:szCs w:val="28"/>
        </w:rPr>
        <w:t>640 000</w:t>
      </w:r>
      <w:r>
        <w:rPr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euro</w:t>
      </w:r>
      <w:r w:rsidR="004B722E" w:rsidRPr="004B722E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AF4B6B" w:rsidRPr="00AF4B6B">
        <w:rPr>
          <w:iCs/>
          <w:sz w:val="28"/>
          <w:szCs w:val="28"/>
        </w:rPr>
        <w:t xml:space="preserve">piemaksai ģimenes ārstiem par sasniegtajiem vakcinācijas rādītājiem </w:t>
      </w:r>
      <w:r w:rsidR="0027529E">
        <w:rPr>
          <w:iCs/>
          <w:sz w:val="28"/>
          <w:szCs w:val="28"/>
        </w:rPr>
        <w:t>pret Covid-19 infekciju</w:t>
      </w:r>
      <w:r w:rsidR="0027529E" w:rsidRPr="00AF4B6B">
        <w:rPr>
          <w:iCs/>
          <w:sz w:val="28"/>
          <w:szCs w:val="28"/>
        </w:rPr>
        <w:t xml:space="preserve"> </w:t>
      </w:r>
      <w:r w:rsidR="00AF4B6B" w:rsidRPr="00AF4B6B">
        <w:rPr>
          <w:iCs/>
          <w:sz w:val="28"/>
          <w:szCs w:val="28"/>
        </w:rPr>
        <w:t>senioru un hronisko pacientu grupā</w:t>
      </w:r>
      <w:r w:rsidR="004138D1">
        <w:rPr>
          <w:iCs/>
          <w:sz w:val="28"/>
          <w:szCs w:val="28"/>
        </w:rPr>
        <w:t>;</w:t>
      </w:r>
    </w:p>
    <w:p w14:paraId="4C8E59E5" w14:textId="46D7D148" w:rsidR="004138D1" w:rsidRDefault="004138D1" w:rsidP="009E440B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591DCF">
        <w:rPr>
          <w:iCs/>
          <w:sz w:val="28"/>
          <w:szCs w:val="28"/>
        </w:rPr>
        <w:t>1.3</w:t>
      </w:r>
      <w:r>
        <w:rPr>
          <w:iCs/>
          <w:sz w:val="28"/>
          <w:szCs w:val="28"/>
        </w:rPr>
        <w:t xml:space="preserve">. finansējumu, kas nepārsniedz 2 057 </w:t>
      </w:r>
      <w:r>
        <w:rPr>
          <w:i/>
          <w:sz w:val="28"/>
          <w:szCs w:val="28"/>
        </w:rPr>
        <w:t>euro</w:t>
      </w:r>
      <w:r>
        <w:rPr>
          <w:iCs/>
          <w:sz w:val="28"/>
          <w:szCs w:val="28"/>
        </w:rPr>
        <w:t>, lai nodrošinātu adrenalīna injekcijas;</w:t>
      </w:r>
    </w:p>
    <w:p w14:paraId="7ACBECE7" w14:textId="2F45B853" w:rsidR="004138D1" w:rsidRDefault="004138D1" w:rsidP="009E440B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591DCF">
        <w:rPr>
          <w:iCs/>
          <w:sz w:val="28"/>
          <w:szCs w:val="28"/>
        </w:rPr>
        <w:t>1.4</w:t>
      </w:r>
      <w:r>
        <w:rPr>
          <w:iCs/>
          <w:sz w:val="28"/>
          <w:szCs w:val="28"/>
        </w:rPr>
        <w:t xml:space="preserve">. finansējumu, kas nepārsniedz 418 500 </w:t>
      </w:r>
      <w:r>
        <w:rPr>
          <w:i/>
          <w:sz w:val="28"/>
          <w:szCs w:val="28"/>
        </w:rPr>
        <w:t>euro</w:t>
      </w:r>
      <w:r>
        <w:rPr>
          <w:iCs/>
          <w:sz w:val="28"/>
          <w:szCs w:val="28"/>
        </w:rPr>
        <w:t>, lai nodrošinātu komunikācijas pasākumus saistībā ar vakcinēšanos</w:t>
      </w:r>
      <w:r w:rsidR="004B722E">
        <w:rPr>
          <w:iCs/>
          <w:sz w:val="28"/>
          <w:szCs w:val="28"/>
        </w:rPr>
        <w:t>;</w:t>
      </w:r>
    </w:p>
    <w:p w14:paraId="0CBCFD07" w14:textId="64A82F04" w:rsidR="00591DCF" w:rsidRPr="00591DCF" w:rsidRDefault="00591DCF" w:rsidP="009E440B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Pr="00591DCF">
        <w:rPr>
          <w:iCs/>
          <w:sz w:val="28"/>
          <w:szCs w:val="28"/>
        </w:rPr>
        <w:t>Neatliekamās medicīniskās palīdzības dienestam</w:t>
      </w:r>
      <w:r w:rsidR="004B722E">
        <w:rPr>
          <w:iCs/>
          <w:sz w:val="28"/>
          <w:szCs w:val="28"/>
        </w:rPr>
        <w:t xml:space="preserve"> –</w:t>
      </w:r>
      <w:r>
        <w:rPr>
          <w:iCs/>
          <w:sz w:val="28"/>
          <w:szCs w:val="28"/>
        </w:rPr>
        <w:t xml:space="preserve"> </w:t>
      </w:r>
      <w:r w:rsidR="00D71227" w:rsidRPr="00D71227">
        <w:rPr>
          <w:iCs/>
          <w:sz w:val="28"/>
          <w:szCs w:val="28"/>
        </w:rPr>
        <w:t xml:space="preserve">finansējumu, kas nepārsniedz </w:t>
      </w:r>
      <w:r>
        <w:rPr>
          <w:iCs/>
          <w:sz w:val="28"/>
          <w:szCs w:val="28"/>
        </w:rPr>
        <w:t>160</w:t>
      </w:r>
      <w:r w:rsidR="0027529E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146</w:t>
      </w:r>
      <w:r w:rsidR="0027529E">
        <w:rPr>
          <w:iCs/>
          <w:sz w:val="28"/>
          <w:szCs w:val="28"/>
        </w:rPr>
        <w:t> </w:t>
      </w:r>
      <w:r>
        <w:rPr>
          <w:i/>
          <w:sz w:val="28"/>
          <w:szCs w:val="28"/>
        </w:rPr>
        <w:t>euro</w:t>
      </w:r>
      <w:r>
        <w:rPr>
          <w:iCs/>
          <w:sz w:val="28"/>
          <w:szCs w:val="28"/>
        </w:rPr>
        <w:t xml:space="preserve">, lai sniegtu </w:t>
      </w:r>
      <w:r w:rsidRPr="00591DCF">
        <w:rPr>
          <w:iCs/>
          <w:sz w:val="28"/>
          <w:szCs w:val="28"/>
        </w:rPr>
        <w:t>neatliekamo medicīnisko palīdzību personām</w:t>
      </w:r>
      <w:r w:rsidR="0027529E">
        <w:rPr>
          <w:iCs/>
          <w:sz w:val="28"/>
          <w:szCs w:val="28"/>
        </w:rPr>
        <w:t>, kurām</w:t>
      </w:r>
      <w:r w:rsidRPr="00591DCF">
        <w:rPr>
          <w:iCs/>
          <w:sz w:val="28"/>
          <w:szCs w:val="28"/>
        </w:rPr>
        <w:t xml:space="preserve"> vakcinācija </w:t>
      </w:r>
      <w:r w:rsidR="0027529E">
        <w:rPr>
          <w:iCs/>
          <w:sz w:val="28"/>
          <w:szCs w:val="28"/>
        </w:rPr>
        <w:t>pret Covid-19 infekciju</w:t>
      </w:r>
      <w:r w:rsidR="0027529E" w:rsidRPr="00AF4B6B">
        <w:rPr>
          <w:iCs/>
          <w:sz w:val="28"/>
          <w:szCs w:val="28"/>
        </w:rPr>
        <w:t xml:space="preserve"> </w:t>
      </w:r>
      <w:r w:rsidRPr="00591DCF">
        <w:rPr>
          <w:iCs/>
          <w:sz w:val="28"/>
          <w:szCs w:val="28"/>
        </w:rPr>
        <w:t>izraisī</w:t>
      </w:r>
      <w:r w:rsidR="0027529E">
        <w:rPr>
          <w:iCs/>
          <w:sz w:val="28"/>
          <w:szCs w:val="28"/>
        </w:rPr>
        <w:t>jusi</w:t>
      </w:r>
      <w:r w:rsidRPr="00591DCF">
        <w:rPr>
          <w:iCs/>
          <w:sz w:val="28"/>
          <w:szCs w:val="28"/>
        </w:rPr>
        <w:t xml:space="preserve"> komplikācij</w:t>
      </w:r>
      <w:r w:rsidR="0027529E">
        <w:rPr>
          <w:iCs/>
          <w:sz w:val="28"/>
          <w:szCs w:val="28"/>
        </w:rPr>
        <w:t>as</w:t>
      </w:r>
      <w:r w:rsidRPr="00591DCF">
        <w:rPr>
          <w:iCs/>
          <w:sz w:val="28"/>
          <w:szCs w:val="28"/>
        </w:rPr>
        <w:t xml:space="preserve"> (blakusparādīb</w:t>
      </w:r>
      <w:r w:rsidR="0027529E">
        <w:rPr>
          <w:iCs/>
          <w:sz w:val="28"/>
          <w:szCs w:val="28"/>
        </w:rPr>
        <w:t>as</w:t>
      </w:r>
      <w:r w:rsidRPr="00591DCF">
        <w:rPr>
          <w:iCs/>
          <w:sz w:val="28"/>
          <w:szCs w:val="28"/>
        </w:rPr>
        <w:t>).</w:t>
      </w:r>
    </w:p>
    <w:p w14:paraId="108159AF" w14:textId="77777777" w:rsidR="004F1841" w:rsidRPr="007D5BB3" w:rsidRDefault="004F1841" w:rsidP="004F1841">
      <w:pPr>
        <w:ind w:firstLine="720"/>
        <w:jc w:val="both"/>
        <w:rPr>
          <w:iCs/>
          <w:sz w:val="28"/>
          <w:szCs w:val="28"/>
        </w:rPr>
      </w:pPr>
    </w:p>
    <w:p w14:paraId="189D3130" w14:textId="41288C71" w:rsidR="004F1841" w:rsidRPr="007D5BB3" w:rsidRDefault="004F1841" w:rsidP="004F1841">
      <w:pPr>
        <w:ind w:firstLine="720"/>
        <w:jc w:val="both"/>
        <w:rPr>
          <w:iCs/>
          <w:sz w:val="28"/>
          <w:szCs w:val="28"/>
        </w:rPr>
      </w:pPr>
      <w:r w:rsidRPr="007D5BB3">
        <w:rPr>
          <w:iCs/>
          <w:sz w:val="28"/>
          <w:szCs w:val="28"/>
        </w:rPr>
        <w:t xml:space="preserve">2. Veselības ministrijai normatīvajos aktos noteiktajā kārtībā sagatavot un iesniegt Finanšu ministrijā pieprasījumu par šā rīkojuma </w:t>
      </w:r>
      <w:r w:rsidR="00D27DD2" w:rsidRPr="007D5BB3">
        <w:rPr>
          <w:iCs/>
          <w:sz w:val="28"/>
          <w:szCs w:val="28"/>
        </w:rPr>
        <w:t>1</w:t>
      </w:r>
      <w:r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Pr="007D5BB3">
        <w:rPr>
          <w:iCs/>
          <w:sz w:val="28"/>
          <w:szCs w:val="28"/>
        </w:rPr>
        <w:t xml:space="preserve">punktā minēto līdzekļu piešķiršanu no valsts budžeta programmas 02.00.00 </w:t>
      </w:r>
      <w:r w:rsidR="00844BA3">
        <w:rPr>
          <w:iCs/>
          <w:sz w:val="28"/>
          <w:szCs w:val="28"/>
        </w:rPr>
        <w:t>"</w:t>
      </w:r>
      <w:r w:rsidRPr="007D5BB3">
        <w:rPr>
          <w:iCs/>
          <w:sz w:val="28"/>
          <w:szCs w:val="28"/>
        </w:rPr>
        <w:t>Līdzekļi neparedzētiem gadījumiem</w:t>
      </w:r>
      <w:r w:rsidR="00844BA3">
        <w:rPr>
          <w:iCs/>
          <w:sz w:val="28"/>
          <w:szCs w:val="28"/>
        </w:rPr>
        <w:t>"</w:t>
      </w:r>
      <w:r w:rsidR="003F1C07">
        <w:rPr>
          <w:iCs/>
          <w:sz w:val="28"/>
          <w:szCs w:val="28"/>
        </w:rPr>
        <w:t xml:space="preserve"> </w:t>
      </w:r>
      <w:r w:rsidR="003F1C07" w:rsidRPr="003F1C07">
        <w:rPr>
          <w:iCs/>
          <w:sz w:val="28"/>
          <w:szCs w:val="28"/>
        </w:rPr>
        <w:t>atbilstoši faktiski nepieciešamajam apmēram.</w:t>
      </w:r>
    </w:p>
    <w:p w14:paraId="19B34943" w14:textId="77777777" w:rsidR="004F1841" w:rsidRPr="007D5BB3" w:rsidRDefault="004F1841" w:rsidP="004F1841">
      <w:pPr>
        <w:ind w:firstLine="720"/>
        <w:jc w:val="both"/>
        <w:rPr>
          <w:iCs/>
          <w:sz w:val="28"/>
          <w:szCs w:val="28"/>
        </w:rPr>
      </w:pPr>
    </w:p>
    <w:p w14:paraId="6174AE8A" w14:textId="02AE0FD0" w:rsidR="004F1841" w:rsidRDefault="004F1841" w:rsidP="004F1841">
      <w:pPr>
        <w:ind w:firstLine="720"/>
        <w:jc w:val="both"/>
        <w:rPr>
          <w:iCs/>
          <w:sz w:val="28"/>
          <w:szCs w:val="28"/>
        </w:rPr>
      </w:pPr>
      <w:r w:rsidRPr="007D5BB3">
        <w:rPr>
          <w:iCs/>
          <w:sz w:val="28"/>
          <w:szCs w:val="28"/>
        </w:rPr>
        <w:t xml:space="preserve">3. Finanšu ministram normatīvajos aktos noteiktajā kārtībā informēt Saeimas Budžeta un finanšu (nodokļu) komisiju par šā rīkojuma </w:t>
      </w:r>
      <w:r w:rsidR="00D27DD2" w:rsidRPr="007D5BB3">
        <w:rPr>
          <w:iCs/>
          <w:sz w:val="28"/>
          <w:szCs w:val="28"/>
        </w:rPr>
        <w:t>1</w:t>
      </w:r>
      <w:r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Pr="007D5BB3">
        <w:rPr>
          <w:iCs/>
          <w:sz w:val="28"/>
          <w:szCs w:val="28"/>
        </w:rPr>
        <w:t xml:space="preserve">punktā minētajām apropriācijas izmaiņām un, ja Saeimas Budžeta un finanšu (nodokļu) komisija piecu darbdienu laikā no attiecīgās informācijas saņemšanas dienas nav </w:t>
      </w:r>
      <w:r w:rsidR="004B722E">
        <w:rPr>
          <w:iCs/>
          <w:sz w:val="28"/>
          <w:szCs w:val="28"/>
        </w:rPr>
        <w:t>izteikusi iebildumus</w:t>
      </w:r>
      <w:r w:rsidRPr="007D5BB3">
        <w:rPr>
          <w:iCs/>
          <w:sz w:val="28"/>
          <w:szCs w:val="28"/>
        </w:rPr>
        <w:t>, veikt apropriācijas izmaiņas.</w:t>
      </w:r>
    </w:p>
    <w:p w14:paraId="484E5E4D" w14:textId="562EB0A5" w:rsidR="00AF4B6B" w:rsidRDefault="00AF4B6B" w:rsidP="004F1841">
      <w:pPr>
        <w:ind w:firstLine="720"/>
        <w:jc w:val="both"/>
        <w:rPr>
          <w:sz w:val="28"/>
          <w:szCs w:val="28"/>
        </w:rPr>
      </w:pPr>
    </w:p>
    <w:p w14:paraId="006913B5" w14:textId="6D1EEDC8" w:rsidR="00AF4B6B" w:rsidRPr="00D7343A" w:rsidRDefault="00AF4B6B" w:rsidP="00AF4B6B">
      <w:pPr>
        <w:ind w:firstLine="851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Pr="00D7343A">
        <w:rPr>
          <w:color w:val="000000"/>
          <w:sz w:val="28"/>
          <w:szCs w:val="28"/>
          <w:shd w:val="clear" w:color="auto" w:fill="FFFFFF"/>
        </w:rPr>
        <w:t>. Šā rīkojuma 1.</w:t>
      </w:r>
      <w:r w:rsidR="00D71227">
        <w:rPr>
          <w:color w:val="000000"/>
          <w:sz w:val="28"/>
          <w:szCs w:val="28"/>
          <w:shd w:val="clear" w:color="auto" w:fill="FFFFFF"/>
        </w:rPr>
        <w:t>1.</w:t>
      </w:r>
      <w:r w:rsidR="00153A91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51595D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apakš</w:t>
      </w:r>
      <w:r w:rsidRPr="00D7343A">
        <w:rPr>
          <w:color w:val="000000"/>
          <w:sz w:val="28"/>
          <w:szCs w:val="28"/>
          <w:shd w:val="clear" w:color="auto" w:fill="FFFFFF"/>
        </w:rPr>
        <w:t xml:space="preserve">punktā minēto finansējumu piešķir ģimenes ārstu valsts apmaksāto veselības aprūpes pakalpojumu sniegšanai atbilstoši Eiropas Komisijas 2011. gada 20. decembra lēmuma </w:t>
      </w:r>
      <w:r w:rsidR="00844BA3">
        <w:rPr>
          <w:color w:val="000000"/>
          <w:sz w:val="28"/>
          <w:szCs w:val="28"/>
          <w:shd w:val="clear" w:color="auto" w:fill="FFFFFF"/>
        </w:rPr>
        <w:t>"</w:t>
      </w:r>
      <w:r w:rsidRPr="00D7343A">
        <w:rPr>
          <w:color w:val="000000"/>
          <w:sz w:val="28"/>
          <w:szCs w:val="28"/>
          <w:shd w:val="clear" w:color="auto" w:fill="FFFFFF"/>
        </w:rPr>
        <w:t>Par Līguma par Eiropas Savienības darbību 106. panta 2. punkta piemērošanu valsts atbalstam attiecībā uz kompensāciju par sabiedriskajiem pakalpojumiem dažiem uzņēmumiem, kuriem uzticēts sniegt pakalpojumus ar vispārēju tautsaimniecisku nozīmi</w:t>
      </w:r>
      <w:r w:rsidR="00844BA3">
        <w:rPr>
          <w:color w:val="000000"/>
          <w:sz w:val="28"/>
          <w:szCs w:val="28"/>
          <w:shd w:val="clear" w:color="auto" w:fill="FFFFFF"/>
        </w:rPr>
        <w:t>"</w:t>
      </w:r>
      <w:r w:rsidRPr="00D7343A">
        <w:rPr>
          <w:color w:val="000000"/>
          <w:sz w:val="28"/>
          <w:szCs w:val="28"/>
          <w:shd w:val="clear" w:color="auto" w:fill="FFFFFF"/>
        </w:rPr>
        <w:t xml:space="preserve"> (2012/21/ES) nosacījumiem.</w:t>
      </w:r>
    </w:p>
    <w:p w14:paraId="7CEB3501" w14:textId="0FA8CE43" w:rsidR="00BF1723" w:rsidRPr="007D5BB3" w:rsidRDefault="00BF1723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9FDA7AC" w14:textId="77777777" w:rsidR="001D1F4E" w:rsidRPr="007D5BB3" w:rsidRDefault="001D1F4E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7907779" w14:textId="77777777" w:rsidR="002B7BBD" w:rsidRPr="007D5BB3" w:rsidRDefault="002B7BBD" w:rsidP="002B7BBD">
      <w:pPr>
        <w:jc w:val="both"/>
        <w:rPr>
          <w:sz w:val="28"/>
          <w:szCs w:val="28"/>
        </w:rPr>
      </w:pPr>
    </w:p>
    <w:p w14:paraId="199DBAF2" w14:textId="77777777" w:rsidR="001D1F4E" w:rsidRPr="007D5BB3" w:rsidRDefault="001D1F4E" w:rsidP="00844BA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>Ministru prezidents</w:t>
      </w:r>
      <w:r w:rsidRPr="007D5BB3">
        <w:rPr>
          <w:rFonts w:ascii="Times New Roman" w:hAnsi="Times New Roman"/>
          <w:color w:val="auto"/>
          <w:sz w:val="28"/>
        </w:rPr>
        <w:tab/>
      </w:r>
      <w:r w:rsidRPr="007D5BB3">
        <w:rPr>
          <w:rFonts w:ascii="Times New Roman" w:eastAsia="Calibri" w:hAnsi="Times New Roman"/>
          <w:sz w:val="28"/>
        </w:rPr>
        <w:t>A. </w:t>
      </w:r>
      <w:r w:rsidRPr="007D5BB3">
        <w:rPr>
          <w:rFonts w:ascii="Times New Roman" w:hAnsi="Times New Roman"/>
          <w:color w:val="auto"/>
          <w:sz w:val="28"/>
        </w:rPr>
        <w:t>K. Kariņš</w:t>
      </w:r>
    </w:p>
    <w:p w14:paraId="531993BB" w14:textId="77777777" w:rsidR="001D1F4E" w:rsidRPr="007D5BB3" w:rsidRDefault="001D1F4E" w:rsidP="00D02E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7454128" w14:textId="77777777" w:rsidR="001D1F4E" w:rsidRPr="007D5BB3" w:rsidRDefault="001D1F4E" w:rsidP="00D02E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6E1554D" w14:textId="77777777" w:rsidR="001D1F4E" w:rsidRPr="007D5BB3" w:rsidRDefault="001D1F4E" w:rsidP="00D02E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D92468A" w14:textId="7DBD08AE" w:rsidR="001D1F4E" w:rsidRPr="007D5BB3" w:rsidRDefault="007D5BB3" w:rsidP="00844BA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>Veselības ministrs</w:t>
      </w:r>
      <w:r w:rsidRPr="007D5BB3">
        <w:rPr>
          <w:rFonts w:ascii="Times New Roman" w:hAnsi="Times New Roman"/>
          <w:color w:val="auto"/>
          <w:sz w:val="28"/>
        </w:rPr>
        <w:tab/>
      </w:r>
      <w:r w:rsidR="00A32092">
        <w:rPr>
          <w:rFonts w:ascii="Times New Roman" w:hAnsi="Times New Roman"/>
          <w:color w:val="auto"/>
          <w:sz w:val="28"/>
        </w:rPr>
        <w:t>D.</w:t>
      </w:r>
      <w:r w:rsidR="00844BA3">
        <w:rPr>
          <w:rFonts w:ascii="Times New Roman" w:hAnsi="Times New Roman"/>
          <w:color w:val="auto"/>
          <w:sz w:val="28"/>
        </w:rPr>
        <w:t> </w:t>
      </w:r>
      <w:r w:rsidR="00A32092">
        <w:rPr>
          <w:rFonts w:ascii="Times New Roman" w:hAnsi="Times New Roman"/>
          <w:color w:val="auto"/>
          <w:sz w:val="28"/>
        </w:rPr>
        <w:t>Pavļuts</w:t>
      </w:r>
    </w:p>
    <w:sectPr w:rsidR="001D1F4E" w:rsidRPr="007D5BB3" w:rsidSect="00844B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EB30" w14:textId="77777777" w:rsidR="00733612" w:rsidRDefault="00733612">
      <w:r>
        <w:separator/>
      </w:r>
    </w:p>
  </w:endnote>
  <w:endnote w:type="continuationSeparator" w:id="0">
    <w:p w14:paraId="0325327F" w14:textId="77777777" w:rsidR="00733612" w:rsidRDefault="0073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34FB" w14:textId="77777777" w:rsidR="00C9050F" w:rsidRPr="00844BA3" w:rsidRDefault="00C9050F" w:rsidP="00C9050F">
    <w:pPr>
      <w:pStyle w:val="Footer"/>
      <w:rPr>
        <w:sz w:val="16"/>
        <w:szCs w:val="16"/>
      </w:rPr>
    </w:pPr>
    <w:r>
      <w:rPr>
        <w:sz w:val="16"/>
        <w:szCs w:val="16"/>
      </w:rPr>
      <w:t>R0912_1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C561" w14:textId="3C3B88CE" w:rsidR="002831B0" w:rsidRPr="00844BA3" w:rsidRDefault="00844BA3" w:rsidP="009E440B">
    <w:pPr>
      <w:pStyle w:val="Footer"/>
      <w:rPr>
        <w:sz w:val="16"/>
        <w:szCs w:val="16"/>
      </w:rPr>
    </w:pPr>
    <w:r>
      <w:rPr>
        <w:sz w:val="16"/>
        <w:szCs w:val="16"/>
      </w:rPr>
      <w:t>R09</w:t>
    </w:r>
    <w:r w:rsidR="00C9050F">
      <w:rPr>
        <w:sz w:val="16"/>
        <w:szCs w:val="16"/>
      </w:rPr>
      <w:t>12</w:t>
    </w:r>
    <w:r>
      <w:rPr>
        <w:sz w:val="16"/>
        <w:szCs w:val="16"/>
      </w:rPr>
      <w:t>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175B" w14:textId="77777777" w:rsidR="00733612" w:rsidRDefault="00733612">
      <w:r>
        <w:separator/>
      </w:r>
    </w:p>
  </w:footnote>
  <w:footnote w:type="continuationSeparator" w:id="0">
    <w:p w14:paraId="77EB9B00" w14:textId="77777777" w:rsidR="00733612" w:rsidRDefault="0073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DD42" w14:textId="77777777" w:rsidR="001D1F4E" w:rsidRPr="003629D6" w:rsidRDefault="001D1F4E">
    <w:pPr>
      <w:pStyle w:val="Header"/>
    </w:pPr>
  </w:p>
  <w:p w14:paraId="6D9BB69A" w14:textId="77777777" w:rsidR="00844BA3" w:rsidRDefault="00844BA3">
    <w:pPr>
      <w:pStyle w:val="Header"/>
    </w:pPr>
    <w:r>
      <w:rPr>
        <w:noProof/>
      </w:rPr>
      <w:drawing>
        <wp:inline distT="0" distB="0" distL="0" distR="0" wp14:anchorId="09B93081" wp14:editId="2086706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25955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5346"/>
    <w:rsid w:val="000C6C32"/>
    <w:rsid w:val="000C7C1C"/>
    <w:rsid w:val="000D0B6D"/>
    <w:rsid w:val="000D2BBC"/>
    <w:rsid w:val="000D3945"/>
    <w:rsid w:val="000D50E5"/>
    <w:rsid w:val="000E0A62"/>
    <w:rsid w:val="000E2C8E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91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A69B9"/>
    <w:rsid w:val="001C2268"/>
    <w:rsid w:val="001C3198"/>
    <w:rsid w:val="001C4B51"/>
    <w:rsid w:val="001C71B8"/>
    <w:rsid w:val="001D1F4E"/>
    <w:rsid w:val="001D72D8"/>
    <w:rsid w:val="001E0785"/>
    <w:rsid w:val="001E37CE"/>
    <w:rsid w:val="001E7118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13F0C"/>
    <w:rsid w:val="00222B73"/>
    <w:rsid w:val="00226760"/>
    <w:rsid w:val="002370EA"/>
    <w:rsid w:val="00241428"/>
    <w:rsid w:val="002423ED"/>
    <w:rsid w:val="00246E72"/>
    <w:rsid w:val="00250A85"/>
    <w:rsid w:val="00251847"/>
    <w:rsid w:val="002539F2"/>
    <w:rsid w:val="00253B77"/>
    <w:rsid w:val="00256373"/>
    <w:rsid w:val="00260F8A"/>
    <w:rsid w:val="0026444D"/>
    <w:rsid w:val="00270917"/>
    <w:rsid w:val="002731E6"/>
    <w:rsid w:val="0027529E"/>
    <w:rsid w:val="00276CBE"/>
    <w:rsid w:val="00281DFE"/>
    <w:rsid w:val="002820CF"/>
    <w:rsid w:val="00282ACF"/>
    <w:rsid w:val="002831B0"/>
    <w:rsid w:val="00283729"/>
    <w:rsid w:val="00283B57"/>
    <w:rsid w:val="0028579E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171D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271"/>
    <w:rsid w:val="00385897"/>
    <w:rsid w:val="00386807"/>
    <w:rsid w:val="00387FA0"/>
    <w:rsid w:val="00394CF0"/>
    <w:rsid w:val="003A1DEB"/>
    <w:rsid w:val="003A79B6"/>
    <w:rsid w:val="003B1CC7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1C07"/>
    <w:rsid w:val="003F2075"/>
    <w:rsid w:val="003F40C8"/>
    <w:rsid w:val="003F46C6"/>
    <w:rsid w:val="00401833"/>
    <w:rsid w:val="00402700"/>
    <w:rsid w:val="00403F1F"/>
    <w:rsid w:val="00410A9A"/>
    <w:rsid w:val="00410B4B"/>
    <w:rsid w:val="004138D1"/>
    <w:rsid w:val="00414314"/>
    <w:rsid w:val="00424481"/>
    <w:rsid w:val="00431E5C"/>
    <w:rsid w:val="00432A82"/>
    <w:rsid w:val="00435813"/>
    <w:rsid w:val="00445AB7"/>
    <w:rsid w:val="00450C49"/>
    <w:rsid w:val="00451375"/>
    <w:rsid w:val="00451619"/>
    <w:rsid w:val="00453EDD"/>
    <w:rsid w:val="00454CDD"/>
    <w:rsid w:val="00462640"/>
    <w:rsid w:val="00464BDC"/>
    <w:rsid w:val="00464FDF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B722E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12FCF"/>
    <w:rsid w:val="00514A01"/>
    <w:rsid w:val="0051595D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1DCF"/>
    <w:rsid w:val="00594408"/>
    <w:rsid w:val="005B6DEF"/>
    <w:rsid w:val="005C371C"/>
    <w:rsid w:val="005D3897"/>
    <w:rsid w:val="005E351B"/>
    <w:rsid w:val="005F0A58"/>
    <w:rsid w:val="005F7ADA"/>
    <w:rsid w:val="00604EC5"/>
    <w:rsid w:val="0060581A"/>
    <w:rsid w:val="00610377"/>
    <w:rsid w:val="006119F2"/>
    <w:rsid w:val="00624BEE"/>
    <w:rsid w:val="00630992"/>
    <w:rsid w:val="00637AC3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4A58"/>
    <w:rsid w:val="006D79B0"/>
    <w:rsid w:val="006D7E3F"/>
    <w:rsid w:val="006E1B14"/>
    <w:rsid w:val="006E2297"/>
    <w:rsid w:val="006E2FC5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3612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4BA3"/>
    <w:rsid w:val="0084540F"/>
    <w:rsid w:val="00853B53"/>
    <w:rsid w:val="00853DB5"/>
    <w:rsid w:val="00855A39"/>
    <w:rsid w:val="00860D24"/>
    <w:rsid w:val="00864D4C"/>
    <w:rsid w:val="008662D8"/>
    <w:rsid w:val="00872CC7"/>
    <w:rsid w:val="00882CA9"/>
    <w:rsid w:val="008865B9"/>
    <w:rsid w:val="008B2E3D"/>
    <w:rsid w:val="008B5A9F"/>
    <w:rsid w:val="008B7EDE"/>
    <w:rsid w:val="008F7BE6"/>
    <w:rsid w:val="00905589"/>
    <w:rsid w:val="00913BF7"/>
    <w:rsid w:val="00914AE2"/>
    <w:rsid w:val="0091590D"/>
    <w:rsid w:val="0091623F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410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3B63"/>
    <w:rsid w:val="00A24396"/>
    <w:rsid w:val="00A260F4"/>
    <w:rsid w:val="00A32092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4B6B"/>
    <w:rsid w:val="00AF5DCE"/>
    <w:rsid w:val="00B0159C"/>
    <w:rsid w:val="00B02753"/>
    <w:rsid w:val="00B05452"/>
    <w:rsid w:val="00B05F31"/>
    <w:rsid w:val="00B1010C"/>
    <w:rsid w:val="00B220E3"/>
    <w:rsid w:val="00B260F2"/>
    <w:rsid w:val="00B32DC0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B6325"/>
    <w:rsid w:val="00BC61F4"/>
    <w:rsid w:val="00BD2ABE"/>
    <w:rsid w:val="00BD30B3"/>
    <w:rsid w:val="00BD54E0"/>
    <w:rsid w:val="00BD6CC2"/>
    <w:rsid w:val="00BE1D2D"/>
    <w:rsid w:val="00BE4956"/>
    <w:rsid w:val="00BE4B2B"/>
    <w:rsid w:val="00BE536F"/>
    <w:rsid w:val="00BE5E82"/>
    <w:rsid w:val="00BE60F8"/>
    <w:rsid w:val="00BF166E"/>
    <w:rsid w:val="00BF1723"/>
    <w:rsid w:val="00BF3361"/>
    <w:rsid w:val="00C02CB6"/>
    <w:rsid w:val="00C05220"/>
    <w:rsid w:val="00C13827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62683"/>
    <w:rsid w:val="00C7477A"/>
    <w:rsid w:val="00C75B0A"/>
    <w:rsid w:val="00C75D82"/>
    <w:rsid w:val="00C8215D"/>
    <w:rsid w:val="00C843CC"/>
    <w:rsid w:val="00C84C79"/>
    <w:rsid w:val="00C85467"/>
    <w:rsid w:val="00C85CEF"/>
    <w:rsid w:val="00C86F54"/>
    <w:rsid w:val="00C9050F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227"/>
    <w:rsid w:val="00D71710"/>
    <w:rsid w:val="00D71760"/>
    <w:rsid w:val="00D82283"/>
    <w:rsid w:val="00D82C1E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DE70A7"/>
    <w:rsid w:val="00E0014E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137A"/>
    <w:rsid w:val="00EA5230"/>
    <w:rsid w:val="00EA67A6"/>
    <w:rsid w:val="00EA6AFB"/>
    <w:rsid w:val="00EA7A67"/>
    <w:rsid w:val="00EB125A"/>
    <w:rsid w:val="00EB342B"/>
    <w:rsid w:val="00EC494F"/>
    <w:rsid w:val="00EC7C2F"/>
    <w:rsid w:val="00ED4400"/>
    <w:rsid w:val="00EE08CD"/>
    <w:rsid w:val="00EE1A25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0FED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367D-263F-408D-8214-D576FFB9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2422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Leontīne Babkina</cp:lastModifiedBy>
  <cp:revision>13</cp:revision>
  <cp:lastPrinted>2021-04-20T10:43:00Z</cp:lastPrinted>
  <dcterms:created xsi:type="dcterms:W3CDTF">2021-04-14T08:42:00Z</dcterms:created>
  <dcterms:modified xsi:type="dcterms:W3CDTF">2021-04-21T14:16:00Z</dcterms:modified>
</cp:coreProperties>
</file>