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EB5B" w14:textId="09C71589" w:rsidR="00B349FB" w:rsidRPr="00D23106" w:rsidRDefault="00BC65C7" w:rsidP="00D23106">
      <w:pPr>
        <w:pStyle w:val="Bezatstarpm"/>
        <w:jc w:val="center"/>
        <w:rPr>
          <w:b/>
          <w:bCs/>
        </w:rPr>
      </w:pPr>
      <w:r w:rsidRPr="00D23106">
        <w:rPr>
          <w:b/>
          <w:bCs/>
        </w:rPr>
        <w:t>Izziņa par atzinumos sniegtajiem iebildumiem par</w:t>
      </w:r>
      <w:r w:rsidR="00B349FB" w:rsidRPr="00D23106">
        <w:rPr>
          <w:b/>
          <w:bCs/>
        </w:rPr>
        <w:t xml:space="preserve"> </w:t>
      </w:r>
      <w:r w:rsidR="00D23106" w:rsidRPr="00D23106">
        <w:rPr>
          <w:b/>
          <w:bCs/>
        </w:rPr>
        <w:t>Ministru kabineta noteikumu projektu "Grozījumi Ministru kabineta 2009.</w:t>
      </w:r>
      <w:r w:rsidR="006C36EF">
        <w:rPr>
          <w:b/>
          <w:bCs/>
        </w:rPr>
        <w:t> </w:t>
      </w:r>
      <w:r w:rsidR="00D23106" w:rsidRPr="00D23106">
        <w:rPr>
          <w:b/>
          <w:bCs/>
        </w:rPr>
        <w:t>gada 26.</w:t>
      </w:r>
      <w:r w:rsidR="006C36EF">
        <w:rPr>
          <w:b/>
          <w:bCs/>
        </w:rPr>
        <w:t> </w:t>
      </w:r>
      <w:r w:rsidR="00D23106" w:rsidRPr="00D23106">
        <w:rPr>
          <w:b/>
          <w:bCs/>
        </w:rPr>
        <w:t>maija noteikumos Nr.</w:t>
      </w:r>
      <w:r w:rsidR="006C36EF">
        <w:rPr>
          <w:b/>
          <w:bCs/>
        </w:rPr>
        <w:t> </w:t>
      </w:r>
      <w:r w:rsidR="00D23106" w:rsidRPr="00D23106">
        <w:rPr>
          <w:b/>
          <w:bCs/>
        </w:rPr>
        <w:t xml:space="preserve">457 "Noteikumi par ģenētiski modificēto organismu apzinātu izplatīšanu"" </w:t>
      </w:r>
      <w:r w:rsidRPr="00D23106">
        <w:rPr>
          <w:b/>
          <w:bCs/>
        </w:rPr>
        <w:t>(anotācija)</w:t>
      </w:r>
      <w:r w:rsidR="00117144" w:rsidRPr="00D23106">
        <w:rPr>
          <w:b/>
          <w:bCs/>
        </w:rPr>
        <w:t xml:space="preserve"> (VSS-</w:t>
      </w:r>
      <w:r w:rsidR="00D23106">
        <w:rPr>
          <w:b/>
          <w:bCs/>
        </w:rPr>
        <w:t>1068</w:t>
      </w:r>
      <w:r w:rsidR="00117144" w:rsidRPr="00D23106">
        <w:rPr>
          <w:b/>
          <w:bCs/>
        </w:rPr>
        <w:t>)</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bookmarkStart w:id="0" w:name="_GoBack"/>
      <w:bookmarkEnd w:id="0"/>
    </w:p>
    <w:p w14:paraId="02B53355" w14:textId="325F5C50" w:rsidR="009638EA" w:rsidRPr="003A316E" w:rsidRDefault="0094597F" w:rsidP="005E2B44">
      <w:pPr>
        <w:pStyle w:val="naisf"/>
        <w:shd w:val="clear" w:color="auto" w:fill="FFFFFF"/>
        <w:spacing w:before="0" w:after="0"/>
        <w:ind w:left="360" w:firstLine="0"/>
        <w:jc w:val="center"/>
        <w:rPr>
          <w:b/>
        </w:rPr>
      </w:pPr>
      <w:r>
        <w:rPr>
          <w:b/>
        </w:rPr>
        <w:t xml:space="preserve">I. </w:t>
      </w:r>
      <w:r w:rsidR="009638EA" w:rsidRPr="0052064D">
        <w:rPr>
          <w:b/>
        </w:rPr>
        <w:t xml:space="preserve">Jautājumi, par kuriem saskaņošanā vienošanās </w:t>
      </w:r>
      <w:r w:rsidR="00FD75C9">
        <w:rPr>
          <w:b/>
        </w:rPr>
        <w:t>nav</w:t>
      </w:r>
      <w:r w:rsidR="009638EA"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EF0BE4">
            <w:pPr>
              <w:shd w:val="clear" w:color="auto" w:fill="FFFFFF"/>
              <w:jc w:val="center"/>
              <w:rPr>
                <w:b/>
              </w:rPr>
            </w:pPr>
            <w:r w:rsidRPr="0052064D">
              <w:rPr>
                <w:b/>
              </w:rPr>
              <w:t>Nr. p.k.</w:t>
            </w:r>
          </w:p>
          <w:p w14:paraId="2E5A0A6F" w14:textId="77777777" w:rsidR="009638EA" w:rsidRPr="0052064D" w:rsidRDefault="009638EA" w:rsidP="00EF0BE4">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EF0BE4">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EF0BE4">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EF0BE4">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EF0BE4">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E2B44">
            <w:pPr>
              <w:shd w:val="clear" w:color="auto" w:fill="FFFFFF"/>
              <w:jc w:val="center"/>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E2B44">
            <w:pPr>
              <w:shd w:val="clear" w:color="auto" w:fill="FFFFFF"/>
              <w:jc w:val="center"/>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E2B44">
            <w:pPr>
              <w:shd w:val="clear" w:color="auto" w:fill="FFFFFF"/>
              <w:jc w:val="center"/>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E2B44">
            <w:pPr>
              <w:shd w:val="clear" w:color="auto" w:fill="FFFFFF"/>
              <w:jc w:val="center"/>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E2B44">
            <w:pPr>
              <w:shd w:val="clear" w:color="auto" w:fill="FFFFFF"/>
              <w:jc w:val="center"/>
            </w:pPr>
            <w:r w:rsidRPr="00593425">
              <w:t>5</w:t>
            </w:r>
          </w:p>
        </w:tc>
      </w:tr>
    </w:tbl>
    <w:p w14:paraId="3C26C24F" w14:textId="77777777" w:rsidR="00D7667F" w:rsidRPr="009F5AFE" w:rsidRDefault="00D7667F" w:rsidP="00D7667F">
      <w:pPr>
        <w:jc w:val="center"/>
      </w:pPr>
    </w:p>
    <w:p w14:paraId="35F92CA3" w14:textId="77777777" w:rsidR="00D56974" w:rsidRPr="00D56974" w:rsidRDefault="00D56974" w:rsidP="00D56974">
      <w:pPr>
        <w:ind w:firstLine="375"/>
        <w:jc w:val="both"/>
        <w:rPr>
          <w:b/>
        </w:rPr>
      </w:pPr>
    </w:p>
    <w:p w14:paraId="33323E2F" w14:textId="77777777" w:rsidR="00D56974" w:rsidRPr="00D56974" w:rsidRDefault="00D56974" w:rsidP="00D56974">
      <w:pPr>
        <w:ind w:firstLine="375"/>
        <w:jc w:val="center"/>
        <w:rPr>
          <w:b/>
        </w:rPr>
      </w:pPr>
      <w:r w:rsidRPr="00D56974">
        <w:rPr>
          <w:b/>
        </w:rPr>
        <w:t>Informācija par starpministriju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0C504F35" w:rsidR="00D56974" w:rsidRPr="001E1404" w:rsidRDefault="00457D84" w:rsidP="003A316E">
            <w:pPr>
              <w:rPr>
                <w:color w:val="000000" w:themeColor="text1"/>
              </w:rPr>
            </w:pPr>
            <w:r w:rsidRPr="001E1404">
              <w:rPr>
                <w:color w:val="000000" w:themeColor="text1"/>
              </w:rPr>
              <w:t>202</w:t>
            </w:r>
            <w:r w:rsidR="00D23106">
              <w:rPr>
                <w:color w:val="000000" w:themeColor="text1"/>
              </w:rPr>
              <w:t>1</w:t>
            </w:r>
            <w:r w:rsidRPr="001E1404">
              <w:rPr>
                <w:color w:val="000000" w:themeColor="text1"/>
              </w:rPr>
              <w:t>. gada</w:t>
            </w:r>
            <w:r w:rsidR="005F114A">
              <w:rPr>
                <w:color w:val="000000" w:themeColor="text1"/>
              </w:rPr>
              <w:t xml:space="preserve"> 9.</w:t>
            </w:r>
            <w:r w:rsidR="00C75DA9">
              <w:rPr>
                <w:color w:val="000000" w:themeColor="text1"/>
              </w:rPr>
              <w:t xml:space="preserve"> </w:t>
            </w:r>
            <w:r w:rsidR="005F114A">
              <w:rPr>
                <w:color w:val="000000" w:themeColor="text1"/>
              </w:rPr>
              <w:t xml:space="preserve">februārī </w:t>
            </w:r>
            <w:r w:rsidR="00C10D29" w:rsidRPr="001E1404">
              <w:rPr>
                <w:color w:val="000000" w:themeColor="text1"/>
              </w:rPr>
              <w:t>izsūtīts elektroniskai saskaņošanai.</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45FF6A7D" w:rsidR="00D56974" w:rsidRPr="00D56974" w:rsidRDefault="00457D84" w:rsidP="00A72807">
            <w:pPr>
              <w:jc w:val="both"/>
            </w:pPr>
            <w:r>
              <w:t>Tieslietu ministrija</w:t>
            </w:r>
            <w:r w:rsidRPr="00457D84">
              <w:t xml:space="preserve">, </w:t>
            </w:r>
            <w:r w:rsidR="002712BA">
              <w:t>Vides un reģionālās aizsardzības ministrija, V</w:t>
            </w:r>
            <w:r w:rsidR="00D23106">
              <w:t>eselības ministrija un Finanšu ministrija</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70B5A6F5" w:rsidR="00D56974" w:rsidRPr="00D56974" w:rsidRDefault="002712BA" w:rsidP="00E43B52">
            <w:pPr>
              <w:autoSpaceDE w:val="0"/>
              <w:autoSpaceDN w:val="0"/>
              <w:adjustRightInd w:val="0"/>
              <w:jc w:val="both"/>
              <w:rPr>
                <w:color w:val="000000"/>
              </w:rPr>
            </w:pPr>
            <w:r w:rsidRPr="002712BA">
              <w:rPr>
                <w:color w:val="000000"/>
              </w:rPr>
              <w:t>Tieslietu ministrija</w:t>
            </w:r>
            <w:r>
              <w:rPr>
                <w:color w:val="000000"/>
              </w:rPr>
              <w:t>s</w:t>
            </w:r>
            <w:r w:rsidR="00D23106">
              <w:rPr>
                <w:color w:val="000000"/>
              </w:rPr>
              <w:t xml:space="preserve"> un</w:t>
            </w:r>
            <w:r w:rsidRPr="002712BA">
              <w:rPr>
                <w:color w:val="000000"/>
              </w:rPr>
              <w:t xml:space="preserve"> Vides un reģionālās aizsardzības ministrija</w:t>
            </w:r>
            <w:r>
              <w:rPr>
                <w:color w:val="000000"/>
              </w:rPr>
              <w:t>s</w:t>
            </w:r>
            <w:r w:rsidR="00804DD3">
              <w:rPr>
                <w:color w:val="000000"/>
              </w:rPr>
              <w:t xml:space="preserve"> </w:t>
            </w: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54D40203" w:rsidR="00D56974" w:rsidRPr="003055E0" w:rsidRDefault="00D56974" w:rsidP="00D56974">
            <w:pPr>
              <w:autoSpaceDE w:val="0"/>
              <w:autoSpaceDN w:val="0"/>
              <w:adjustRightInd w:val="0"/>
              <w:jc w:val="both"/>
              <w:rPr>
                <w:u w:val="single"/>
              </w:rPr>
            </w:pPr>
          </w:p>
        </w:tc>
      </w:tr>
    </w:tbl>
    <w:p w14:paraId="389F92EA" w14:textId="10EF3DA4" w:rsidR="004A3DE9" w:rsidRDefault="004A3DE9" w:rsidP="007B1230">
      <w:pPr>
        <w:pStyle w:val="naisf"/>
        <w:shd w:val="clear" w:color="auto" w:fill="FFFFFF"/>
        <w:spacing w:before="0" w:after="0"/>
        <w:ind w:firstLine="0"/>
        <w:rPr>
          <w:b/>
        </w:rPr>
      </w:pPr>
    </w:p>
    <w:p w14:paraId="451C68DC" w14:textId="6DEFA72C" w:rsidR="002712BA" w:rsidRDefault="002712BA" w:rsidP="007B1230">
      <w:pPr>
        <w:pStyle w:val="naisf"/>
        <w:shd w:val="clear" w:color="auto" w:fill="FFFFFF"/>
        <w:spacing w:before="0" w:after="0"/>
        <w:ind w:firstLine="0"/>
        <w:rPr>
          <w:b/>
        </w:rPr>
      </w:pPr>
    </w:p>
    <w:p w14:paraId="1DED285D" w14:textId="77777777" w:rsidR="002712BA" w:rsidRDefault="002712BA"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558A8E24" w14:textId="77777777" w:rsidR="0094597F" w:rsidRDefault="0094597F" w:rsidP="0094597F">
      <w:pPr>
        <w:pStyle w:val="naisf"/>
        <w:shd w:val="clear" w:color="auto" w:fill="FFFFFF"/>
        <w:spacing w:before="0" w:after="0"/>
        <w:ind w:left="360" w:firstLine="0"/>
        <w:jc w:val="center"/>
        <w:rPr>
          <w:b/>
        </w:rPr>
      </w:pPr>
    </w:p>
    <w:p w14:paraId="0D36A673" w14:textId="77777777" w:rsidR="0094597F" w:rsidRDefault="0094597F" w:rsidP="0094597F">
      <w:pPr>
        <w:pStyle w:val="naisf"/>
        <w:shd w:val="clear" w:color="auto" w:fill="FFFFFF"/>
        <w:spacing w:before="0" w:after="0"/>
        <w:ind w:left="360" w:firstLine="0"/>
        <w:jc w:val="center"/>
        <w:rPr>
          <w:b/>
        </w:rPr>
      </w:pPr>
    </w:p>
    <w:p w14:paraId="7BD4F687" w14:textId="77777777" w:rsidR="0094597F" w:rsidRDefault="0094597F" w:rsidP="0094597F">
      <w:pPr>
        <w:pStyle w:val="naisf"/>
        <w:shd w:val="clear" w:color="auto" w:fill="FFFFFF"/>
        <w:spacing w:before="0" w:after="0"/>
        <w:ind w:left="360" w:firstLine="0"/>
        <w:jc w:val="center"/>
        <w:rPr>
          <w:b/>
        </w:rPr>
      </w:pPr>
    </w:p>
    <w:p w14:paraId="6275FAF1" w14:textId="77777777" w:rsidR="0094597F" w:rsidRDefault="0094597F" w:rsidP="0094597F">
      <w:pPr>
        <w:pStyle w:val="naisf"/>
        <w:shd w:val="clear" w:color="auto" w:fill="FFFFFF"/>
        <w:spacing w:before="0" w:after="0"/>
        <w:ind w:left="360" w:firstLine="0"/>
        <w:jc w:val="center"/>
        <w:rPr>
          <w:b/>
        </w:rPr>
      </w:pPr>
    </w:p>
    <w:p w14:paraId="4B2B5194" w14:textId="34029760" w:rsidR="00C052AE" w:rsidRPr="0052064D" w:rsidRDefault="0094597F" w:rsidP="005E2B44">
      <w:pPr>
        <w:pStyle w:val="naisf"/>
        <w:shd w:val="clear" w:color="auto" w:fill="FFFFFF"/>
        <w:spacing w:before="0" w:after="0"/>
        <w:ind w:left="360" w:firstLine="0"/>
        <w:jc w:val="center"/>
        <w:rPr>
          <w:b/>
        </w:rPr>
      </w:pPr>
      <w:r>
        <w:rPr>
          <w:b/>
        </w:rPr>
        <w:lastRenderedPageBreak/>
        <w:t xml:space="preserve">II. </w:t>
      </w:r>
      <w:r w:rsidR="00C052AE" w:rsidRPr="0052064D">
        <w:rPr>
          <w:b/>
        </w:rPr>
        <w:t xml:space="preserve">Jautājumi, par kuriem saskaņošanā vienošanās </w:t>
      </w:r>
      <w:r w:rsidR="00C052AE">
        <w:rPr>
          <w:b/>
        </w:rPr>
        <w:t xml:space="preserve">ir </w:t>
      </w:r>
      <w:r w:rsidR="00C052AE"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185" w:tblpY="1"/>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3827"/>
        <w:gridCol w:w="3261"/>
        <w:gridCol w:w="3260"/>
      </w:tblGrid>
      <w:tr w:rsidR="00C052AE" w:rsidRPr="0052064D" w14:paraId="5ADBAB37" w14:textId="77777777" w:rsidTr="005E2B44">
        <w:trPr>
          <w:trHeight w:val="648"/>
        </w:trPr>
        <w:tc>
          <w:tcPr>
            <w:tcW w:w="704"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830F2D">
            <w:pPr>
              <w:shd w:val="clear" w:color="auto" w:fill="FFFFFF"/>
              <w:jc w:val="center"/>
              <w:rPr>
                <w:b/>
              </w:rPr>
            </w:pPr>
            <w:r w:rsidRPr="0052064D">
              <w:rPr>
                <w:b/>
              </w:rPr>
              <w:t>Nr. p.k.</w:t>
            </w:r>
          </w:p>
          <w:p w14:paraId="59DC8F51" w14:textId="77777777" w:rsidR="00C052AE" w:rsidRPr="0052064D" w:rsidRDefault="00C052AE" w:rsidP="00830F2D">
            <w:pPr>
              <w:shd w:val="clear" w:color="auto" w:fill="FFFFFF"/>
              <w:jc w:val="center"/>
              <w:rPr>
                <w:b/>
              </w:rPr>
            </w:pPr>
          </w:p>
        </w:tc>
        <w:tc>
          <w:tcPr>
            <w:tcW w:w="3402"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830F2D">
            <w:pPr>
              <w:shd w:val="clear" w:color="auto" w:fill="FFFFFF"/>
              <w:jc w:val="center"/>
              <w:rPr>
                <w:b/>
              </w:rPr>
            </w:pPr>
            <w:r w:rsidRPr="0052064D">
              <w:rPr>
                <w:b/>
              </w:rPr>
              <w:t>Saskaņošanai nosūtītā projekta redakcija (konkrēta punkta (panta) redakcija)</w:t>
            </w:r>
          </w:p>
        </w:tc>
        <w:tc>
          <w:tcPr>
            <w:tcW w:w="3827"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830F2D">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261"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830F2D">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260"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830F2D">
            <w:pPr>
              <w:shd w:val="clear" w:color="auto" w:fill="FFFFFF"/>
              <w:jc w:val="center"/>
              <w:rPr>
                <w:b/>
              </w:rPr>
            </w:pPr>
            <w:r w:rsidRPr="0052064D">
              <w:rPr>
                <w:b/>
              </w:rPr>
              <w:t>Projekta attiecīgā punkta (panta) galīgā redakcija</w:t>
            </w:r>
          </w:p>
        </w:tc>
      </w:tr>
      <w:tr w:rsidR="00C052AE" w:rsidRPr="0052064D" w14:paraId="3353F803" w14:textId="77777777" w:rsidTr="005E2B44">
        <w:trPr>
          <w:trHeight w:val="300"/>
        </w:trPr>
        <w:tc>
          <w:tcPr>
            <w:tcW w:w="704"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830F2D">
            <w:pPr>
              <w:shd w:val="clear" w:color="auto" w:fill="FFFFFF"/>
              <w:jc w:val="center"/>
            </w:pPr>
            <w:r w:rsidRPr="009638EA">
              <w:t>1</w:t>
            </w:r>
          </w:p>
        </w:tc>
        <w:tc>
          <w:tcPr>
            <w:tcW w:w="3402"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830F2D">
            <w:pPr>
              <w:shd w:val="clear" w:color="auto" w:fill="FFFFFF"/>
              <w:jc w:val="center"/>
            </w:pPr>
            <w:r w:rsidRPr="009638EA">
              <w:t>2</w:t>
            </w:r>
          </w:p>
        </w:tc>
        <w:tc>
          <w:tcPr>
            <w:tcW w:w="3827"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830F2D">
            <w:pPr>
              <w:shd w:val="clear" w:color="auto" w:fill="FFFFFF"/>
              <w:jc w:val="center"/>
            </w:pPr>
            <w:r w:rsidRPr="009638EA">
              <w:t>3</w:t>
            </w:r>
          </w:p>
        </w:tc>
        <w:tc>
          <w:tcPr>
            <w:tcW w:w="3261"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830F2D">
            <w:pPr>
              <w:shd w:val="clear" w:color="auto" w:fill="FFFFFF"/>
              <w:jc w:val="center"/>
            </w:pPr>
            <w:r w:rsidRPr="009638EA">
              <w:t>4</w:t>
            </w:r>
          </w:p>
        </w:tc>
        <w:tc>
          <w:tcPr>
            <w:tcW w:w="3260"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830F2D">
            <w:pPr>
              <w:shd w:val="clear" w:color="auto" w:fill="FFFFFF"/>
              <w:jc w:val="center"/>
            </w:pPr>
            <w:r w:rsidRPr="009638EA">
              <w:t>5</w:t>
            </w:r>
          </w:p>
        </w:tc>
      </w:tr>
    </w:tbl>
    <w:p w14:paraId="375E61EF" w14:textId="3C01B1D6" w:rsidR="00E826D7" w:rsidRPr="00D85559" w:rsidRDefault="00D85559" w:rsidP="00E826D7">
      <w:pPr>
        <w:jc w:val="center"/>
        <w:rPr>
          <w:b/>
        </w:rPr>
      </w:pPr>
      <w:r w:rsidRPr="00D85559">
        <w:rPr>
          <w:b/>
        </w:rPr>
        <w:t>Tieslietu ministrija</w:t>
      </w: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3827"/>
        <w:gridCol w:w="3261"/>
        <w:gridCol w:w="3260"/>
      </w:tblGrid>
      <w:tr w:rsidR="008D1463" w:rsidRPr="0052064D" w14:paraId="4EA74BE5"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ADFD54E" w14:textId="77777777" w:rsidR="008D1463" w:rsidRPr="00275555" w:rsidRDefault="00CF624B" w:rsidP="008D1463">
            <w:pPr>
              <w:shd w:val="clear" w:color="auto" w:fill="FFFFFF"/>
              <w:jc w:val="center"/>
              <w:rPr>
                <w:bCs/>
              </w:rPr>
            </w:pPr>
            <w:r w:rsidRPr="00275555">
              <w:rPr>
                <w:bCs/>
              </w:rPr>
              <w:t>1.</w:t>
            </w:r>
          </w:p>
        </w:tc>
        <w:tc>
          <w:tcPr>
            <w:tcW w:w="3431" w:type="dxa"/>
            <w:tcBorders>
              <w:top w:val="single" w:sz="4" w:space="0" w:color="000000"/>
              <w:left w:val="single" w:sz="4" w:space="0" w:color="000000"/>
              <w:bottom w:val="single" w:sz="4" w:space="0" w:color="000000"/>
              <w:right w:val="single" w:sz="4" w:space="0" w:color="000000"/>
            </w:tcBorders>
          </w:tcPr>
          <w:p w14:paraId="0198A7CB" w14:textId="77777777" w:rsidR="002D3C93" w:rsidRPr="002D3C93" w:rsidRDefault="002D3C93" w:rsidP="002D3C93">
            <w:pPr>
              <w:pStyle w:val="tv213"/>
              <w:jc w:val="both"/>
              <w:rPr>
                <w:lang w:val="lv-LV"/>
              </w:rPr>
            </w:pPr>
            <w:r w:rsidRPr="002D3C93">
              <w:rPr>
                <w:lang w:val="lv-LV"/>
              </w:rPr>
              <w:t>1.1. papildināt noteikumus ar 6.</w:t>
            </w:r>
            <w:r w:rsidRPr="00F253D5">
              <w:rPr>
                <w:vertAlign w:val="superscript"/>
                <w:lang w:val="lv-LV"/>
              </w:rPr>
              <w:t>1</w:t>
            </w:r>
            <w:r w:rsidRPr="002D3C93">
              <w:rPr>
                <w:lang w:val="lv-LV"/>
              </w:rPr>
              <w:t xml:space="preserve"> punktu šādā redakcijā:</w:t>
            </w:r>
          </w:p>
          <w:p w14:paraId="3806F61E" w14:textId="5869DAEE" w:rsidR="008D1463" w:rsidRPr="00C6205E" w:rsidRDefault="002D3C93" w:rsidP="002D3C93">
            <w:pPr>
              <w:pStyle w:val="tv213"/>
              <w:spacing w:before="0" w:beforeAutospacing="0" w:after="0" w:afterAutospacing="0"/>
              <w:jc w:val="both"/>
              <w:rPr>
                <w:lang w:val="lv-LV"/>
              </w:rPr>
            </w:pPr>
            <w:r w:rsidRPr="002D3C93">
              <w:rPr>
                <w:lang w:val="lv-LV"/>
              </w:rPr>
              <w:t>"6.</w:t>
            </w:r>
            <w:r w:rsidRPr="00F253D5">
              <w:rPr>
                <w:vertAlign w:val="superscript"/>
                <w:lang w:val="lv-LV"/>
              </w:rPr>
              <w:t>1</w:t>
            </w:r>
            <w:r w:rsidRPr="002D3C93">
              <w:rPr>
                <w:lang w:val="lv-LV"/>
              </w:rPr>
              <w:t xml:space="preserve"> Persona, norādot attiecīgu pamatojumu saskaņā ar šo noteikumu 8. punktu, ir tiesīga institūtu lūgt konkrētai iesniegumā ietvertai informācijai piešķirt ierobežotas pieejamības statusu.";</w:t>
            </w:r>
          </w:p>
        </w:tc>
        <w:tc>
          <w:tcPr>
            <w:tcW w:w="3827" w:type="dxa"/>
            <w:tcBorders>
              <w:top w:val="single" w:sz="4" w:space="0" w:color="000000"/>
              <w:left w:val="single" w:sz="4" w:space="0" w:color="000000"/>
              <w:bottom w:val="single" w:sz="4" w:space="0" w:color="000000"/>
              <w:right w:val="single" w:sz="4" w:space="0" w:color="000000"/>
            </w:tcBorders>
          </w:tcPr>
          <w:p w14:paraId="33501890" w14:textId="6672CF9B" w:rsidR="00D23106" w:rsidRDefault="00D23106" w:rsidP="00D23106">
            <w:pPr>
              <w:shd w:val="clear" w:color="auto" w:fill="FFFFFF"/>
              <w:jc w:val="both"/>
            </w:pPr>
            <w:r>
              <w:t>Projekta 1.1. apakšpunktā izteiktais 6.</w:t>
            </w:r>
            <w:r w:rsidRPr="00F253D5">
              <w:rPr>
                <w:vertAlign w:val="superscript"/>
              </w:rPr>
              <w:t>1</w:t>
            </w:r>
            <w:r>
              <w:t xml:space="preserve"> punkts paredz, ka “persona, norādot attiecīgu pamatojumu saskaņā ar šo noteikumu 8. punktu, ir tiesīga institūtu lūgt konkrētai iesniegumā ietvertai informācijai piešķirt ierobežotas pieejamības statusu".</w:t>
            </w:r>
          </w:p>
          <w:p w14:paraId="22CB2CF9" w14:textId="77777777" w:rsidR="00D23106" w:rsidRDefault="00D23106" w:rsidP="00D23106">
            <w:pPr>
              <w:shd w:val="clear" w:color="auto" w:fill="FFFFFF"/>
              <w:jc w:val="both"/>
            </w:pPr>
            <w:r>
              <w:t>Vēršam uzmanību, ka projekta 1.1. apakšpunktā izteiktais 6.</w:t>
            </w:r>
            <w:r w:rsidRPr="00F253D5">
              <w:rPr>
                <w:vertAlign w:val="superscript"/>
              </w:rPr>
              <w:t>1</w:t>
            </w:r>
            <w:r>
              <w:t xml:space="preserve"> punkts projektā nav nepieciešams, jo pēc būtības dublējas ar projekta 1.2. apakšpunktā izteikto 8. punktu, kā arī spēkā esošo noteikumu 7. punktu. </w:t>
            </w:r>
          </w:p>
          <w:p w14:paraId="7E1C9C22" w14:textId="67890C12" w:rsidR="008D1463" w:rsidRPr="002712BA" w:rsidRDefault="00D23106" w:rsidP="00D23106">
            <w:pPr>
              <w:shd w:val="clear" w:color="auto" w:fill="FFFFFF"/>
              <w:jc w:val="both"/>
            </w:pPr>
            <w:r>
              <w:t>Vienlaikus vēršam arī uzmanību, ka attiecībā uz personas pamatojumu ir piemērojams arī Direktīvas 2001/18/EK 25. panta 6. punkts, kas nosaka: “</w:t>
            </w:r>
            <w:bookmarkStart w:id="1" w:name="_Hlk62031398"/>
            <w:proofErr w:type="spellStart"/>
            <w:r>
              <w:t>Mutatis</w:t>
            </w:r>
            <w:proofErr w:type="spellEnd"/>
            <w:r>
              <w:t xml:space="preserve"> </w:t>
            </w:r>
            <w:proofErr w:type="spellStart"/>
            <w:r>
              <w:t>mutandis</w:t>
            </w:r>
            <w:proofErr w:type="spellEnd"/>
            <w:r>
              <w:t xml:space="preserve"> piemēro attiecīgos Regulas (EK) Nr. 178/2002 39.e un 41. panta noteikumus</w:t>
            </w:r>
            <w:bookmarkEnd w:id="1"/>
            <w:r>
              <w:t xml:space="preserve">.” Lūdzam atkārtoti izvērtēt, vai projektā tiek pārņemtas arī Direktīvas </w:t>
            </w:r>
            <w:r>
              <w:lastRenderedPageBreak/>
              <w:t>2001/18/EK 25.panta 6. punkta prasības.</w:t>
            </w:r>
          </w:p>
        </w:tc>
        <w:tc>
          <w:tcPr>
            <w:tcW w:w="3261" w:type="dxa"/>
            <w:tcBorders>
              <w:top w:val="single" w:sz="4" w:space="0" w:color="000000"/>
              <w:left w:val="single" w:sz="4" w:space="0" w:color="000000"/>
              <w:bottom w:val="single" w:sz="4" w:space="0" w:color="000000"/>
              <w:right w:val="single" w:sz="4" w:space="0" w:color="000000"/>
            </w:tcBorders>
          </w:tcPr>
          <w:p w14:paraId="1A55D104" w14:textId="679577B3" w:rsidR="00D85559" w:rsidRDefault="002D3C93" w:rsidP="005E2B44">
            <w:pPr>
              <w:shd w:val="clear" w:color="auto" w:fill="FFFFFF"/>
              <w:jc w:val="both"/>
            </w:pPr>
            <w:r>
              <w:lastRenderedPageBreak/>
              <w:t>Ņemts vērā.</w:t>
            </w:r>
            <w:r w:rsidR="00624DB3">
              <w:t xml:space="preserve"> </w:t>
            </w:r>
          </w:p>
          <w:p w14:paraId="6C1E0BAE" w14:textId="5B5CC13F" w:rsidR="00624DB3" w:rsidRDefault="00624DB3" w:rsidP="005E2B44">
            <w:pPr>
              <w:shd w:val="clear" w:color="auto" w:fill="FFFFFF"/>
              <w:jc w:val="both"/>
            </w:pPr>
            <w:r w:rsidRPr="00624DB3">
              <w:t>Noteikumu projekta 1.1.</w:t>
            </w:r>
            <w:r w:rsidR="00C75DA9">
              <w:t> </w:t>
            </w:r>
            <w:r w:rsidRPr="00624DB3">
              <w:t>apakšp</w:t>
            </w:r>
            <w:r w:rsidR="00C75DA9">
              <w:t>unkts</w:t>
            </w:r>
            <w:r w:rsidRPr="00624DB3">
              <w:t xml:space="preserve"> </w:t>
            </w:r>
            <w:r>
              <w:t>(noteikumu 6.</w:t>
            </w:r>
            <w:r w:rsidRPr="00F253D5">
              <w:rPr>
                <w:vertAlign w:val="superscript"/>
              </w:rPr>
              <w:t>1</w:t>
            </w:r>
            <w:r>
              <w:t xml:space="preserve"> p.) </w:t>
            </w:r>
            <w:r w:rsidRPr="00624DB3">
              <w:t>svītrots</w:t>
            </w:r>
            <w:r w:rsidR="00C75DA9">
              <w:t>, ievērojot</w:t>
            </w:r>
            <w:r w:rsidRPr="00624DB3">
              <w:t xml:space="preserve"> TM iebildum</w:t>
            </w:r>
            <w:r w:rsidR="00C75DA9">
              <w:t>u</w:t>
            </w:r>
            <w:r w:rsidRPr="00624DB3">
              <w:t>.</w:t>
            </w:r>
          </w:p>
          <w:p w14:paraId="2A9ED03F" w14:textId="11F5B60D" w:rsidR="00624DB3" w:rsidRPr="002712BA" w:rsidRDefault="00624DB3" w:rsidP="005E2B44">
            <w:pPr>
              <w:shd w:val="clear" w:color="auto" w:fill="FFFFFF"/>
              <w:jc w:val="both"/>
            </w:pPr>
          </w:p>
        </w:tc>
        <w:tc>
          <w:tcPr>
            <w:tcW w:w="3260" w:type="dxa"/>
            <w:tcBorders>
              <w:top w:val="single" w:sz="4" w:space="0" w:color="000000"/>
              <w:left w:val="single" w:sz="4" w:space="0" w:color="000000"/>
              <w:bottom w:val="single" w:sz="4" w:space="0" w:color="000000"/>
              <w:right w:val="single" w:sz="4" w:space="0" w:color="000000"/>
            </w:tcBorders>
          </w:tcPr>
          <w:p w14:paraId="17630127" w14:textId="77777777" w:rsidR="00A21D71" w:rsidRPr="00A21D71" w:rsidRDefault="00A21D71" w:rsidP="00A21D71">
            <w:pPr>
              <w:jc w:val="both"/>
            </w:pPr>
            <w:r w:rsidRPr="00A21D71">
              <w:t>1.1. izteikt 7. punktu šādā redakcijā:</w:t>
            </w:r>
          </w:p>
          <w:p w14:paraId="4C2FED24" w14:textId="5908D45A" w:rsidR="00A21D71" w:rsidRPr="00A21D71" w:rsidRDefault="00A21D71" w:rsidP="00A21D71">
            <w:pPr>
              <w:jc w:val="both"/>
            </w:pPr>
            <w:r w:rsidRPr="00A21D71">
              <w:t xml:space="preserve">“7. </w:t>
            </w:r>
            <w:r w:rsidR="00C75DA9">
              <w:t>P</w:t>
            </w:r>
            <w:r w:rsidR="00C75DA9" w:rsidRPr="00A21D71">
              <w:t>amatojoties uz Informācijas atklātības likumu</w:t>
            </w:r>
            <w:r w:rsidR="00C75DA9">
              <w:t>,</w:t>
            </w:r>
            <w:r w:rsidR="00C75DA9" w:rsidRPr="00A21D71">
              <w:t xml:space="preserve"> </w:t>
            </w:r>
            <w:r w:rsidR="00C75DA9">
              <w:t>i</w:t>
            </w:r>
            <w:r w:rsidRPr="00A21D71">
              <w:t xml:space="preserve">nstitūts, </w:t>
            </w:r>
            <w:r w:rsidR="00C75DA9">
              <w:t>ie</w:t>
            </w:r>
            <w:r w:rsidRPr="00A21D71">
              <w:t>vēr</w:t>
            </w:r>
            <w:r w:rsidR="00C75DA9">
              <w:t>ojot</w:t>
            </w:r>
            <w:r w:rsidRPr="00A21D71">
              <w:t xml:space="preserve"> personas iesniegtu pamatojumu un konsultējoties ar personu, lemj par ierobežotas pieejamības statusa piešķiršanu šādai iesniegumā ietvertai informācijai, ja persona pierāda, ka informācijas izpaušana varētu būtiski kaitēt tās interesēm:</w:t>
            </w:r>
          </w:p>
          <w:p w14:paraId="65A94BDA" w14:textId="23AE1A14" w:rsidR="00A21D71" w:rsidRPr="00A21D71" w:rsidRDefault="00A21D71" w:rsidP="00A21D71">
            <w:pPr>
              <w:jc w:val="both"/>
            </w:pPr>
            <w:r w:rsidRPr="00A21D71">
              <w:t>7.1. Eiropas Parlamenta un Padomes 2002.</w:t>
            </w:r>
            <w:r w:rsidR="007B5C2A">
              <w:t> </w:t>
            </w:r>
            <w:r w:rsidRPr="00A21D71">
              <w:t>gada 28.</w:t>
            </w:r>
            <w:r w:rsidR="007B5C2A">
              <w:t> </w:t>
            </w:r>
            <w:r w:rsidRPr="00A21D71">
              <w:t>janvāra Regulas (EK) Nr.</w:t>
            </w:r>
            <w:r w:rsidR="007B5C2A">
              <w:t> </w:t>
            </w:r>
            <w:r w:rsidRPr="00A21D71">
              <w:t xml:space="preserve">178/2002, ar ko paredz pārtikas aprites tiesību aktu vispārīgus principus un prasības, izveido Eiropas Pārtikas nekaitīguma iestādi un paredz procedūras saistībā ar pārtikas nekaitīgumu, (turpmāk </w:t>
            </w:r>
            <w:r w:rsidRPr="00A21D71">
              <w:lastRenderedPageBreak/>
              <w:t>– Regula Nr. 178/2002) 39. panta 2. punkta "a", "b" un "c" apakšpunktā minētajai informācijai;</w:t>
            </w:r>
          </w:p>
          <w:p w14:paraId="2ACFD8DE" w14:textId="77777777" w:rsidR="00A21D71" w:rsidRPr="00A21D71" w:rsidRDefault="00A21D71" w:rsidP="00A21D71">
            <w:pPr>
              <w:jc w:val="both"/>
            </w:pPr>
            <w:r w:rsidRPr="00A21D71">
              <w:t xml:space="preserve">7.2. informācijai par DNS sekvenci, izņemot sekvenci, ko izmanto transformācijas notikuma atklāšanai, identificēšanai un kvantitatīvai noteikšanai; </w:t>
            </w:r>
          </w:p>
          <w:p w14:paraId="02BF7AFE" w14:textId="77777777" w:rsidR="00A21D71" w:rsidRPr="00A21D71" w:rsidRDefault="00A21D71" w:rsidP="00A21D71">
            <w:pPr>
              <w:jc w:val="both"/>
            </w:pPr>
            <w:r w:rsidRPr="00A21D71">
              <w:t>7.3. informācijai par audzēšanas modeli un stratēģiju.";</w:t>
            </w:r>
          </w:p>
          <w:p w14:paraId="5997F9EF" w14:textId="77777777" w:rsidR="00F92293" w:rsidRDefault="00F92293" w:rsidP="002D3C93">
            <w:pPr>
              <w:jc w:val="both"/>
            </w:pPr>
          </w:p>
          <w:p w14:paraId="18130CAB" w14:textId="77777777" w:rsidR="006C105C" w:rsidRPr="006C105C" w:rsidRDefault="006C105C" w:rsidP="006C105C">
            <w:pPr>
              <w:jc w:val="both"/>
            </w:pPr>
            <w:r w:rsidRPr="006C105C">
              <w:t>1.2. izteikt 8. punktu šādā redakcijā:</w:t>
            </w:r>
          </w:p>
          <w:p w14:paraId="22771D2F" w14:textId="692B4868" w:rsidR="00F92293" w:rsidRPr="002712BA" w:rsidRDefault="006C105C" w:rsidP="00F92293">
            <w:pPr>
              <w:jc w:val="both"/>
            </w:pPr>
            <w:r w:rsidRPr="006C105C">
              <w:t>“8. Piemērojot šo noteikumu 7.</w:t>
            </w:r>
            <w:r w:rsidR="00C75DA9">
              <w:t> </w:t>
            </w:r>
            <w:r w:rsidRPr="006C105C">
              <w:t xml:space="preserve">punktu, institūts </w:t>
            </w:r>
            <w:proofErr w:type="spellStart"/>
            <w:r w:rsidRPr="006C105C">
              <w:rPr>
                <w:i/>
                <w:iCs/>
              </w:rPr>
              <w:t>mutatis</w:t>
            </w:r>
            <w:proofErr w:type="spellEnd"/>
            <w:r w:rsidRPr="006C105C">
              <w:rPr>
                <w:i/>
                <w:iCs/>
              </w:rPr>
              <w:t xml:space="preserve"> </w:t>
            </w:r>
            <w:proofErr w:type="spellStart"/>
            <w:r w:rsidRPr="006C105C">
              <w:rPr>
                <w:i/>
                <w:iCs/>
              </w:rPr>
              <w:t>mutandis</w:t>
            </w:r>
            <w:proofErr w:type="spellEnd"/>
            <w:r w:rsidRPr="006C105C">
              <w:t xml:space="preserve"> piemēro attiecīgos Regulas Nr. 178/2002 39.e un 41. panta noteikumus.”;</w:t>
            </w:r>
          </w:p>
        </w:tc>
      </w:tr>
      <w:tr w:rsidR="002712BA" w:rsidRPr="0052064D" w14:paraId="03491283"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8249CBF" w14:textId="75A8E6AF" w:rsidR="002712BA" w:rsidRPr="00275555" w:rsidRDefault="00275555" w:rsidP="008D1463">
            <w:pPr>
              <w:shd w:val="clear" w:color="auto" w:fill="FFFFFF"/>
              <w:jc w:val="center"/>
              <w:rPr>
                <w:bCs/>
              </w:rPr>
            </w:pPr>
            <w:r w:rsidRPr="00275555">
              <w:rPr>
                <w:bCs/>
              </w:rPr>
              <w:lastRenderedPageBreak/>
              <w:t>2.</w:t>
            </w:r>
          </w:p>
        </w:tc>
        <w:tc>
          <w:tcPr>
            <w:tcW w:w="3431" w:type="dxa"/>
            <w:tcBorders>
              <w:top w:val="single" w:sz="4" w:space="0" w:color="000000"/>
              <w:left w:val="single" w:sz="4" w:space="0" w:color="000000"/>
              <w:bottom w:val="single" w:sz="4" w:space="0" w:color="000000"/>
              <w:right w:val="single" w:sz="4" w:space="0" w:color="000000"/>
            </w:tcBorders>
          </w:tcPr>
          <w:p w14:paraId="488D83D4" w14:textId="77777777" w:rsidR="00F92293" w:rsidRPr="00F92293" w:rsidRDefault="00F92293" w:rsidP="00F92293">
            <w:pPr>
              <w:shd w:val="clear" w:color="auto" w:fill="FFFFFF"/>
              <w:jc w:val="both"/>
              <w:rPr>
                <w:bCs/>
              </w:rPr>
            </w:pPr>
            <w:r w:rsidRPr="00F92293">
              <w:rPr>
                <w:bCs/>
              </w:rPr>
              <w:t>1.3. papildināt noteikumus ar 8.</w:t>
            </w:r>
            <w:r w:rsidRPr="00F253D5">
              <w:rPr>
                <w:bCs/>
                <w:vertAlign w:val="superscript"/>
              </w:rPr>
              <w:t>1</w:t>
            </w:r>
            <w:r w:rsidRPr="00F92293">
              <w:rPr>
                <w:bCs/>
              </w:rPr>
              <w:t xml:space="preserve"> punktu šādā redakcijā:</w:t>
            </w:r>
          </w:p>
          <w:p w14:paraId="78073E18" w14:textId="77777777" w:rsidR="00F92293" w:rsidRPr="00F92293" w:rsidRDefault="00F92293" w:rsidP="00F92293">
            <w:pPr>
              <w:shd w:val="clear" w:color="auto" w:fill="FFFFFF"/>
              <w:jc w:val="both"/>
              <w:rPr>
                <w:bCs/>
              </w:rPr>
            </w:pPr>
            <w:r w:rsidRPr="00F92293">
              <w:rPr>
                <w:bCs/>
              </w:rPr>
              <w:t>"8.</w:t>
            </w:r>
            <w:r w:rsidRPr="00F253D5">
              <w:rPr>
                <w:bCs/>
                <w:vertAlign w:val="superscript"/>
              </w:rPr>
              <w:t>1</w:t>
            </w:r>
            <w:r w:rsidRPr="00F92293">
              <w:rPr>
                <w:bCs/>
              </w:rPr>
              <w:t xml:space="preserve"> Institūts ir tiesīgs:</w:t>
            </w:r>
          </w:p>
          <w:p w14:paraId="48E61601" w14:textId="77777777" w:rsidR="00F92293" w:rsidRPr="00F92293" w:rsidRDefault="00F92293" w:rsidP="00F92293">
            <w:pPr>
              <w:shd w:val="clear" w:color="auto" w:fill="FFFFFF"/>
              <w:jc w:val="both"/>
              <w:rPr>
                <w:bCs/>
              </w:rPr>
            </w:pPr>
            <w:r w:rsidRPr="00F92293">
              <w:rPr>
                <w:bCs/>
              </w:rPr>
              <w:t>8.</w:t>
            </w:r>
            <w:r w:rsidRPr="00F253D5">
              <w:rPr>
                <w:bCs/>
                <w:vertAlign w:val="superscript"/>
              </w:rPr>
              <w:t>1</w:t>
            </w:r>
            <w:r w:rsidRPr="00F92293">
              <w:rPr>
                <w:bCs/>
              </w:rPr>
              <w:t>1. izpaust šo noteikumu 8. punktā minēto informāciju, ja rodas draudi cilvēku un dzīvnieku veselībai vai videi un ir nepieciešama steidzama rīcība, piemēram, ārkārtējās situācijas gadījumā;</w:t>
            </w:r>
          </w:p>
          <w:p w14:paraId="0F9E3EB4" w14:textId="3DE704CC" w:rsidR="002712BA" w:rsidRPr="00275555" w:rsidRDefault="00F92293" w:rsidP="00F92293">
            <w:pPr>
              <w:shd w:val="clear" w:color="auto" w:fill="FFFFFF"/>
              <w:jc w:val="both"/>
              <w:rPr>
                <w:bCs/>
              </w:rPr>
            </w:pPr>
            <w:r w:rsidRPr="00F92293">
              <w:rPr>
                <w:bCs/>
              </w:rPr>
              <w:t>8.</w:t>
            </w:r>
            <w:r w:rsidRPr="00F253D5">
              <w:rPr>
                <w:bCs/>
                <w:vertAlign w:val="superscript"/>
              </w:rPr>
              <w:t>1</w:t>
            </w:r>
            <w:r w:rsidRPr="00F92293">
              <w:rPr>
                <w:bCs/>
              </w:rPr>
              <w:t xml:space="preserve">2. publiskot tādu informāciju, kas ir daļa no zinātniskās ekspertu </w:t>
            </w:r>
            <w:r w:rsidRPr="00F92293">
              <w:rPr>
                <w:bCs/>
              </w:rPr>
              <w:lastRenderedPageBreak/>
              <w:t>komisijas sniegto zinātnisko rezultātu vai novērtējuma ziņojuma secinājumiem, kuri ir saistīti ar iespējamo ietekmi uz cilvēku un dzīvnieku veselību vai vidi atbilstoši Regulas Nr. 178/2002 39.c pantam.";</w:t>
            </w:r>
          </w:p>
        </w:tc>
        <w:tc>
          <w:tcPr>
            <w:tcW w:w="3827" w:type="dxa"/>
            <w:tcBorders>
              <w:top w:val="single" w:sz="4" w:space="0" w:color="000000"/>
              <w:left w:val="single" w:sz="4" w:space="0" w:color="000000"/>
              <w:bottom w:val="single" w:sz="4" w:space="0" w:color="000000"/>
              <w:right w:val="single" w:sz="4" w:space="0" w:color="000000"/>
            </w:tcBorders>
          </w:tcPr>
          <w:p w14:paraId="7638CFD9" w14:textId="04F1051D" w:rsidR="00D23106" w:rsidRPr="00D23106" w:rsidRDefault="00D23106" w:rsidP="00D23106">
            <w:pPr>
              <w:pStyle w:val="Paraststmeklis"/>
              <w:tabs>
                <w:tab w:val="left" w:pos="993"/>
              </w:tabs>
              <w:ind w:right="11" w:firstLine="27"/>
              <w:jc w:val="both"/>
              <w:rPr>
                <w:bCs/>
                <w:iCs/>
              </w:rPr>
            </w:pPr>
            <w:r w:rsidRPr="00D23106">
              <w:rPr>
                <w:bCs/>
                <w:iCs/>
              </w:rPr>
              <w:lastRenderedPageBreak/>
              <w:t>Lūdzam atkārtoti izvērtēt projekta 1.3. apakšpunktā izteiktā 8.</w:t>
            </w:r>
            <w:r w:rsidRPr="00F253D5">
              <w:rPr>
                <w:bCs/>
                <w:iCs/>
                <w:vertAlign w:val="superscript"/>
              </w:rPr>
              <w:t>1</w:t>
            </w:r>
            <w:r w:rsidRPr="00D23106">
              <w:rPr>
                <w:bCs/>
                <w:iCs/>
              </w:rPr>
              <w:t xml:space="preserve">2. apakšpunkta atbilstību Direktīvas 2001/18/EK 25. panta 7. punkta “b” apakšpunktam, kas nosaka  pienākumu kompetentajai iestādei publiskot tādu informāciju, kas ir daļa no attiecīgās(-o) zinātniskās(-o) komitejas(-u) sniegto zinātnisko rezultātu secinājumiem vai novērtējuma ziņojuma secinājumiem un kas ir saistīta ar paredzamu </w:t>
            </w:r>
            <w:r w:rsidRPr="00D23106">
              <w:rPr>
                <w:bCs/>
                <w:iCs/>
              </w:rPr>
              <w:lastRenderedPageBreak/>
              <w:t xml:space="preserve">ietekmi uz cilvēku veselību, dzīvnieku veselību vai vidi. Šādā gadījumā piemēro Regulas (EK) Nr. 178/2002 39.c pantu (angļu val.  </w:t>
            </w:r>
          </w:p>
          <w:p w14:paraId="44D847C5" w14:textId="6328E4C6" w:rsidR="00B870ED" w:rsidRPr="00D23106" w:rsidRDefault="00D23106" w:rsidP="00D23106">
            <w:pPr>
              <w:pStyle w:val="Paraststmeklis"/>
              <w:tabs>
                <w:tab w:val="left" w:pos="993"/>
              </w:tabs>
              <w:spacing w:before="0" w:after="0"/>
              <w:ind w:right="11" w:firstLine="27"/>
              <w:jc w:val="both"/>
              <w:rPr>
                <w:bCs/>
                <w:iCs/>
              </w:rPr>
            </w:pPr>
            <w:proofErr w:type="spellStart"/>
            <w:r w:rsidRPr="00D23106">
              <w:rPr>
                <w:bCs/>
                <w:iCs/>
              </w:rPr>
              <w:t>information</w:t>
            </w:r>
            <w:proofErr w:type="spellEnd"/>
            <w:r w:rsidRPr="00D23106">
              <w:rPr>
                <w:bCs/>
                <w:iCs/>
              </w:rPr>
              <w:t xml:space="preserve"> </w:t>
            </w:r>
            <w:proofErr w:type="spellStart"/>
            <w:r w:rsidRPr="00D23106">
              <w:rPr>
                <w:bCs/>
                <w:iCs/>
              </w:rPr>
              <w:t>which</w:t>
            </w:r>
            <w:proofErr w:type="spellEnd"/>
            <w:r w:rsidRPr="00D23106">
              <w:rPr>
                <w:bCs/>
                <w:iCs/>
              </w:rPr>
              <w:t xml:space="preserve"> </w:t>
            </w:r>
            <w:proofErr w:type="spellStart"/>
            <w:r w:rsidRPr="00D23106">
              <w:rPr>
                <w:bCs/>
                <w:iCs/>
              </w:rPr>
              <w:t>forms</w:t>
            </w:r>
            <w:proofErr w:type="spellEnd"/>
            <w:r w:rsidRPr="00D23106">
              <w:rPr>
                <w:bCs/>
                <w:iCs/>
              </w:rPr>
              <w:t xml:space="preserve"> </w:t>
            </w:r>
            <w:proofErr w:type="spellStart"/>
            <w:r w:rsidRPr="00D23106">
              <w:rPr>
                <w:bCs/>
                <w:iCs/>
              </w:rPr>
              <w:t>part</w:t>
            </w:r>
            <w:proofErr w:type="spellEnd"/>
            <w:r w:rsidRPr="00D23106">
              <w:rPr>
                <w:bCs/>
                <w:iCs/>
              </w:rPr>
              <w:t xml:space="preserve"> of the </w:t>
            </w:r>
            <w:proofErr w:type="spellStart"/>
            <w:r w:rsidRPr="00D23106">
              <w:rPr>
                <w:bCs/>
                <w:iCs/>
              </w:rPr>
              <w:t>conclusions</w:t>
            </w:r>
            <w:proofErr w:type="spellEnd"/>
            <w:r w:rsidRPr="00D23106">
              <w:rPr>
                <w:bCs/>
                <w:iCs/>
              </w:rPr>
              <w:t xml:space="preserve"> of the </w:t>
            </w:r>
            <w:proofErr w:type="spellStart"/>
            <w:r w:rsidRPr="00D23106">
              <w:rPr>
                <w:bCs/>
                <w:iCs/>
              </w:rPr>
              <w:t>scientific</w:t>
            </w:r>
            <w:proofErr w:type="spellEnd"/>
            <w:r w:rsidRPr="00D23106">
              <w:rPr>
                <w:bCs/>
                <w:iCs/>
              </w:rPr>
              <w:t xml:space="preserve"> </w:t>
            </w:r>
            <w:proofErr w:type="spellStart"/>
            <w:r w:rsidRPr="00D23106">
              <w:rPr>
                <w:bCs/>
                <w:iCs/>
              </w:rPr>
              <w:t>outputs</w:t>
            </w:r>
            <w:proofErr w:type="spellEnd"/>
            <w:r w:rsidRPr="00D23106">
              <w:rPr>
                <w:bCs/>
                <w:iCs/>
              </w:rPr>
              <w:t xml:space="preserve"> </w:t>
            </w:r>
            <w:proofErr w:type="spellStart"/>
            <w:r w:rsidRPr="00D23106">
              <w:rPr>
                <w:bCs/>
                <w:iCs/>
              </w:rPr>
              <w:t>delivered</w:t>
            </w:r>
            <w:proofErr w:type="spellEnd"/>
            <w:r w:rsidRPr="00D23106">
              <w:rPr>
                <w:bCs/>
                <w:iCs/>
              </w:rPr>
              <w:t xml:space="preserve"> </w:t>
            </w:r>
            <w:proofErr w:type="spellStart"/>
            <w:r w:rsidRPr="00D23106">
              <w:rPr>
                <w:bCs/>
                <w:iCs/>
              </w:rPr>
              <w:t>by</w:t>
            </w:r>
            <w:proofErr w:type="spellEnd"/>
            <w:r w:rsidRPr="00D23106">
              <w:rPr>
                <w:bCs/>
                <w:iCs/>
              </w:rPr>
              <w:t xml:space="preserve"> the </w:t>
            </w:r>
            <w:proofErr w:type="spellStart"/>
            <w:r w:rsidRPr="00D23106">
              <w:rPr>
                <w:bCs/>
                <w:iCs/>
              </w:rPr>
              <w:t>relevant</w:t>
            </w:r>
            <w:proofErr w:type="spellEnd"/>
            <w:r w:rsidRPr="00D23106">
              <w:rPr>
                <w:bCs/>
                <w:iCs/>
              </w:rPr>
              <w:t xml:space="preserve"> </w:t>
            </w:r>
            <w:proofErr w:type="spellStart"/>
            <w:r w:rsidRPr="00D23106">
              <w:rPr>
                <w:bCs/>
                <w:iCs/>
              </w:rPr>
              <w:t>Scientific</w:t>
            </w:r>
            <w:proofErr w:type="spellEnd"/>
            <w:r w:rsidRPr="00D23106">
              <w:rPr>
                <w:bCs/>
                <w:iCs/>
              </w:rPr>
              <w:t xml:space="preserve"> </w:t>
            </w:r>
            <w:proofErr w:type="spellStart"/>
            <w:r w:rsidRPr="00D23106">
              <w:rPr>
                <w:bCs/>
                <w:iCs/>
              </w:rPr>
              <w:t>Committee(s</w:t>
            </w:r>
            <w:proofErr w:type="spellEnd"/>
            <w:r w:rsidRPr="00D23106">
              <w:rPr>
                <w:bCs/>
                <w:iCs/>
              </w:rPr>
              <w:t xml:space="preserve">) </w:t>
            </w:r>
            <w:proofErr w:type="spellStart"/>
            <w:r w:rsidRPr="00D23106">
              <w:rPr>
                <w:bCs/>
                <w:iCs/>
              </w:rPr>
              <w:t>or</w:t>
            </w:r>
            <w:proofErr w:type="spellEnd"/>
            <w:r w:rsidRPr="00D23106">
              <w:rPr>
                <w:bCs/>
                <w:iCs/>
              </w:rPr>
              <w:t xml:space="preserve"> the </w:t>
            </w:r>
            <w:proofErr w:type="spellStart"/>
            <w:r w:rsidRPr="00D23106">
              <w:rPr>
                <w:bCs/>
                <w:iCs/>
              </w:rPr>
              <w:t>conclusions</w:t>
            </w:r>
            <w:proofErr w:type="spellEnd"/>
            <w:r w:rsidRPr="00D23106">
              <w:rPr>
                <w:bCs/>
                <w:iCs/>
              </w:rPr>
              <w:t xml:space="preserve"> of the </w:t>
            </w:r>
            <w:proofErr w:type="spellStart"/>
            <w:r w:rsidRPr="00D23106">
              <w:rPr>
                <w:bCs/>
                <w:iCs/>
              </w:rPr>
              <w:t>assessment</w:t>
            </w:r>
            <w:proofErr w:type="spellEnd"/>
            <w:r w:rsidRPr="00D23106">
              <w:rPr>
                <w:bCs/>
                <w:iCs/>
              </w:rPr>
              <w:t xml:space="preserve"> </w:t>
            </w:r>
            <w:proofErr w:type="spellStart"/>
            <w:r w:rsidRPr="00D23106">
              <w:rPr>
                <w:bCs/>
                <w:iCs/>
              </w:rPr>
              <w:t>reports</w:t>
            </w:r>
            <w:proofErr w:type="spellEnd"/>
            <w:r w:rsidRPr="00D23106">
              <w:rPr>
                <w:bCs/>
                <w:iCs/>
              </w:rPr>
              <w:t xml:space="preserve"> </w:t>
            </w:r>
            <w:proofErr w:type="spellStart"/>
            <w:r w:rsidRPr="00D23106">
              <w:rPr>
                <w:bCs/>
                <w:iCs/>
              </w:rPr>
              <w:t>and</w:t>
            </w:r>
            <w:proofErr w:type="spellEnd"/>
            <w:r w:rsidRPr="00D23106">
              <w:rPr>
                <w:bCs/>
                <w:iCs/>
              </w:rPr>
              <w:t xml:space="preserve"> </w:t>
            </w:r>
            <w:proofErr w:type="spellStart"/>
            <w:r w:rsidRPr="00D23106">
              <w:rPr>
                <w:bCs/>
                <w:iCs/>
              </w:rPr>
              <w:t>which</w:t>
            </w:r>
            <w:proofErr w:type="spellEnd"/>
            <w:r w:rsidRPr="00D23106">
              <w:rPr>
                <w:bCs/>
                <w:iCs/>
              </w:rPr>
              <w:t xml:space="preserve"> </w:t>
            </w:r>
            <w:proofErr w:type="spellStart"/>
            <w:r w:rsidRPr="00D23106">
              <w:rPr>
                <w:bCs/>
                <w:iCs/>
              </w:rPr>
              <w:t>relate</w:t>
            </w:r>
            <w:proofErr w:type="spellEnd"/>
            <w:r w:rsidRPr="00D23106">
              <w:rPr>
                <w:bCs/>
                <w:iCs/>
              </w:rPr>
              <w:t xml:space="preserve"> to </w:t>
            </w:r>
            <w:proofErr w:type="spellStart"/>
            <w:r w:rsidRPr="00D23106">
              <w:rPr>
                <w:bCs/>
                <w:iCs/>
              </w:rPr>
              <w:t>foreseeable</w:t>
            </w:r>
            <w:proofErr w:type="spellEnd"/>
            <w:r w:rsidRPr="00D23106">
              <w:rPr>
                <w:bCs/>
                <w:iCs/>
              </w:rPr>
              <w:t xml:space="preserve"> </w:t>
            </w:r>
            <w:proofErr w:type="spellStart"/>
            <w:r w:rsidRPr="00D23106">
              <w:rPr>
                <w:bCs/>
                <w:iCs/>
              </w:rPr>
              <w:t>effects</w:t>
            </w:r>
            <w:proofErr w:type="spellEnd"/>
            <w:r w:rsidRPr="00D23106">
              <w:rPr>
                <w:bCs/>
                <w:iCs/>
              </w:rPr>
              <w:t xml:space="preserve"> </w:t>
            </w:r>
            <w:proofErr w:type="spellStart"/>
            <w:r w:rsidRPr="00D23106">
              <w:rPr>
                <w:bCs/>
                <w:iCs/>
              </w:rPr>
              <w:t>on</w:t>
            </w:r>
            <w:proofErr w:type="spellEnd"/>
            <w:r w:rsidRPr="00D23106">
              <w:rPr>
                <w:bCs/>
                <w:iCs/>
              </w:rPr>
              <w:t xml:space="preserve"> </w:t>
            </w:r>
            <w:proofErr w:type="spellStart"/>
            <w:r w:rsidRPr="00D23106">
              <w:rPr>
                <w:bCs/>
                <w:iCs/>
              </w:rPr>
              <w:t>human</w:t>
            </w:r>
            <w:proofErr w:type="spellEnd"/>
            <w:r w:rsidRPr="00D23106">
              <w:rPr>
                <w:bCs/>
                <w:iCs/>
              </w:rPr>
              <w:t xml:space="preserve"> </w:t>
            </w:r>
            <w:proofErr w:type="spellStart"/>
            <w:r w:rsidRPr="00D23106">
              <w:rPr>
                <w:bCs/>
                <w:iCs/>
              </w:rPr>
              <w:t>health</w:t>
            </w:r>
            <w:proofErr w:type="spellEnd"/>
            <w:r w:rsidRPr="00D23106">
              <w:rPr>
                <w:bCs/>
                <w:iCs/>
              </w:rPr>
              <w:t xml:space="preserve">, </w:t>
            </w:r>
            <w:proofErr w:type="spellStart"/>
            <w:r w:rsidRPr="00D23106">
              <w:rPr>
                <w:bCs/>
                <w:iCs/>
              </w:rPr>
              <w:t>animal</w:t>
            </w:r>
            <w:proofErr w:type="spellEnd"/>
            <w:r w:rsidRPr="00D23106">
              <w:rPr>
                <w:bCs/>
                <w:iCs/>
              </w:rPr>
              <w:t xml:space="preserve"> </w:t>
            </w:r>
            <w:proofErr w:type="spellStart"/>
            <w:r w:rsidRPr="00D23106">
              <w:rPr>
                <w:bCs/>
                <w:iCs/>
              </w:rPr>
              <w:t>health</w:t>
            </w:r>
            <w:proofErr w:type="spellEnd"/>
            <w:r w:rsidRPr="00D23106">
              <w:rPr>
                <w:bCs/>
                <w:iCs/>
              </w:rPr>
              <w:t xml:space="preserve"> </w:t>
            </w:r>
            <w:proofErr w:type="spellStart"/>
            <w:r w:rsidRPr="00D23106">
              <w:rPr>
                <w:bCs/>
                <w:iCs/>
              </w:rPr>
              <w:t>or</w:t>
            </w:r>
            <w:proofErr w:type="spellEnd"/>
            <w:r w:rsidRPr="00D23106">
              <w:rPr>
                <w:bCs/>
                <w:iCs/>
              </w:rPr>
              <w:t xml:space="preserve"> the </w:t>
            </w:r>
            <w:proofErr w:type="spellStart"/>
            <w:r w:rsidRPr="00D23106">
              <w:rPr>
                <w:bCs/>
                <w:iCs/>
              </w:rPr>
              <w:t>environment</w:t>
            </w:r>
            <w:proofErr w:type="spellEnd"/>
            <w:r w:rsidRPr="00D23106">
              <w:rPr>
                <w:bCs/>
                <w:iCs/>
              </w:rPr>
              <w:t xml:space="preserve"> </w:t>
            </w:r>
            <w:proofErr w:type="spellStart"/>
            <w:r w:rsidRPr="00D23106">
              <w:rPr>
                <w:bCs/>
                <w:iCs/>
              </w:rPr>
              <w:t>shall</w:t>
            </w:r>
            <w:proofErr w:type="spellEnd"/>
            <w:r w:rsidRPr="00D23106">
              <w:rPr>
                <w:bCs/>
                <w:iCs/>
              </w:rPr>
              <w:t xml:space="preserve"> </w:t>
            </w:r>
            <w:proofErr w:type="spellStart"/>
            <w:r w:rsidRPr="00D23106">
              <w:rPr>
                <w:bCs/>
                <w:iCs/>
              </w:rPr>
              <w:t>nevertheless</w:t>
            </w:r>
            <w:proofErr w:type="spellEnd"/>
            <w:r w:rsidRPr="00D23106">
              <w:rPr>
                <w:bCs/>
                <w:iCs/>
              </w:rPr>
              <w:t xml:space="preserve"> </w:t>
            </w:r>
            <w:proofErr w:type="spellStart"/>
            <w:r w:rsidRPr="00D23106">
              <w:rPr>
                <w:bCs/>
                <w:iCs/>
              </w:rPr>
              <w:t>be</w:t>
            </w:r>
            <w:proofErr w:type="spellEnd"/>
            <w:r w:rsidRPr="00D23106">
              <w:rPr>
                <w:bCs/>
                <w:iCs/>
              </w:rPr>
              <w:t xml:space="preserve"> </w:t>
            </w:r>
            <w:proofErr w:type="spellStart"/>
            <w:r w:rsidRPr="00D23106">
              <w:rPr>
                <w:bCs/>
                <w:iCs/>
              </w:rPr>
              <w:t>made</w:t>
            </w:r>
            <w:proofErr w:type="spellEnd"/>
            <w:r w:rsidRPr="00D23106">
              <w:rPr>
                <w:bCs/>
                <w:iCs/>
              </w:rPr>
              <w:t xml:space="preserve"> </w:t>
            </w:r>
            <w:proofErr w:type="spellStart"/>
            <w:r w:rsidRPr="00D23106">
              <w:rPr>
                <w:bCs/>
                <w:iCs/>
              </w:rPr>
              <w:t>public</w:t>
            </w:r>
            <w:proofErr w:type="spellEnd"/>
            <w:r w:rsidRPr="00D23106">
              <w:rPr>
                <w:bCs/>
                <w:iCs/>
              </w:rPr>
              <w:t xml:space="preserve">. In </w:t>
            </w:r>
            <w:proofErr w:type="spellStart"/>
            <w:r w:rsidRPr="00D23106">
              <w:rPr>
                <w:bCs/>
                <w:iCs/>
              </w:rPr>
              <w:t>that</w:t>
            </w:r>
            <w:proofErr w:type="spellEnd"/>
            <w:r w:rsidRPr="00D23106">
              <w:rPr>
                <w:bCs/>
                <w:iCs/>
              </w:rPr>
              <w:t xml:space="preserve"> </w:t>
            </w:r>
            <w:proofErr w:type="spellStart"/>
            <w:r w:rsidRPr="00D23106">
              <w:rPr>
                <w:bCs/>
                <w:iCs/>
              </w:rPr>
              <w:t>case</w:t>
            </w:r>
            <w:proofErr w:type="spellEnd"/>
            <w:r w:rsidRPr="00D23106">
              <w:rPr>
                <w:bCs/>
                <w:iCs/>
              </w:rPr>
              <w:t xml:space="preserve">, </w:t>
            </w:r>
            <w:proofErr w:type="spellStart"/>
            <w:r w:rsidRPr="00D23106">
              <w:rPr>
                <w:bCs/>
                <w:iCs/>
              </w:rPr>
              <w:t>Article</w:t>
            </w:r>
            <w:proofErr w:type="spellEnd"/>
            <w:r w:rsidRPr="00D23106">
              <w:rPr>
                <w:bCs/>
                <w:iCs/>
              </w:rPr>
              <w:t xml:space="preserve"> 39c of </w:t>
            </w:r>
            <w:proofErr w:type="spellStart"/>
            <w:r w:rsidRPr="00D23106">
              <w:rPr>
                <w:bCs/>
                <w:iCs/>
              </w:rPr>
              <w:t>Regulation</w:t>
            </w:r>
            <w:proofErr w:type="spellEnd"/>
            <w:r w:rsidRPr="00D23106">
              <w:rPr>
                <w:bCs/>
                <w:iCs/>
              </w:rPr>
              <w:t xml:space="preserve"> (EC) No 178/2002 </w:t>
            </w:r>
            <w:proofErr w:type="spellStart"/>
            <w:r w:rsidRPr="00D23106">
              <w:rPr>
                <w:bCs/>
                <w:iCs/>
              </w:rPr>
              <w:t>shall</w:t>
            </w:r>
            <w:proofErr w:type="spellEnd"/>
            <w:r w:rsidRPr="00D23106">
              <w:rPr>
                <w:bCs/>
                <w:iCs/>
              </w:rPr>
              <w:t xml:space="preserve"> </w:t>
            </w:r>
            <w:proofErr w:type="spellStart"/>
            <w:r w:rsidRPr="00D23106">
              <w:rPr>
                <w:bCs/>
                <w:iCs/>
              </w:rPr>
              <w:t>apply</w:t>
            </w:r>
            <w:proofErr w:type="spellEnd"/>
            <w:r w:rsidRPr="00D23106">
              <w:rPr>
                <w:bCs/>
                <w:iCs/>
              </w:rPr>
              <w:t>). Vēršam uzmanību, ka minētais 8.</w:t>
            </w:r>
            <w:r w:rsidR="00F92293">
              <w:rPr>
                <w:bCs/>
                <w:iCs/>
                <w:vertAlign w:val="superscript"/>
              </w:rPr>
              <w:t xml:space="preserve">1 </w:t>
            </w:r>
            <w:r w:rsidRPr="00D23106">
              <w:rPr>
                <w:bCs/>
                <w:iCs/>
              </w:rPr>
              <w:t>2. apakšpunkts paredz, ka institūts ir tiesīgs publiskot, nevis tam ir ienākums publiskot, tādu informāciju, kas ir daļa no zinātniskās ekspertu komisijas sniegto zinātnisko rezultātu vai novērtējuma ziņojuma secinājumiem, kuri ir saistīti ar iespējamo ietekmi uz cilvēku un dzīvnieku veselību vai vidi atbilstoši Regulas Nr. 178/2002 39.c pantam.</w:t>
            </w:r>
          </w:p>
        </w:tc>
        <w:tc>
          <w:tcPr>
            <w:tcW w:w="3261" w:type="dxa"/>
            <w:tcBorders>
              <w:top w:val="single" w:sz="4" w:space="0" w:color="000000"/>
              <w:left w:val="single" w:sz="4" w:space="0" w:color="000000"/>
              <w:bottom w:val="single" w:sz="4" w:space="0" w:color="000000"/>
              <w:right w:val="single" w:sz="4" w:space="0" w:color="000000"/>
            </w:tcBorders>
          </w:tcPr>
          <w:p w14:paraId="38463C3D" w14:textId="466ECE3E" w:rsidR="00C6205E" w:rsidRPr="002712BA" w:rsidRDefault="00F92293" w:rsidP="00CA2D8B">
            <w:pPr>
              <w:shd w:val="clear" w:color="auto" w:fill="FFFFFF"/>
              <w:jc w:val="both"/>
            </w:pPr>
            <w:r>
              <w:lastRenderedPageBreak/>
              <w:t>Ņemts vērā.</w:t>
            </w:r>
          </w:p>
        </w:tc>
        <w:tc>
          <w:tcPr>
            <w:tcW w:w="3260" w:type="dxa"/>
            <w:tcBorders>
              <w:top w:val="single" w:sz="4" w:space="0" w:color="000000"/>
              <w:left w:val="single" w:sz="4" w:space="0" w:color="000000"/>
              <w:bottom w:val="single" w:sz="4" w:space="0" w:color="000000"/>
              <w:right w:val="single" w:sz="4" w:space="0" w:color="000000"/>
            </w:tcBorders>
          </w:tcPr>
          <w:p w14:paraId="248081F5" w14:textId="77777777" w:rsidR="006C105C" w:rsidRPr="006C105C" w:rsidRDefault="006C105C" w:rsidP="006C105C">
            <w:pPr>
              <w:jc w:val="both"/>
            </w:pPr>
            <w:r w:rsidRPr="006C105C">
              <w:t>1.3. papildināt noteikumus ar 8.</w:t>
            </w:r>
            <w:r w:rsidRPr="006C105C">
              <w:rPr>
                <w:vertAlign w:val="superscript"/>
              </w:rPr>
              <w:t>1</w:t>
            </w:r>
            <w:r w:rsidRPr="006C105C">
              <w:t> punktu šādā redakcijā:</w:t>
            </w:r>
          </w:p>
          <w:p w14:paraId="71065A95" w14:textId="77777777" w:rsidR="006C105C" w:rsidRPr="006C105C" w:rsidRDefault="006C105C" w:rsidP="006C105C">
            <w:pPr>
              <w:jc w:val="both"/>
            </w:pPr>
            <w:r w:rsidRPr="006C105C">
              <w:rPr>
                <w:bCs/>
              </w:rPr>
              <w:t>"</w:t>
            </w:r>
            <w:r w:rsidRPr="006C105C">
              <w:t>8.</w:t>
            </w:r>
            <w:r w:rsidRPr="006C105C">
              <w:rPr>
                <w:vertAlign w:val="superscript"/>
              </w:rPr>
              <w:t>1</w:t>
            </w:r>
            <w:r w:rsidRPr="006C105C">
              <w:t xml:space="preserve"> Institūts:</w:t>
            </w:r>
          </w:p>
          <w:p w14:paraId="1BCE0A61" w14:textId="77777777" w:rsidR="006C105C" w:rsidRPr="006C105C" w:rsidRDefault="006C105C" w:rsidP="006C105C">
            <w:pPr>
              <w:jc w:val="both"/>
            </w:pPr>
            <w:r w:rsidRPr="006C105C">
              <w:t>8.</w:t>
            </w:r>
            <w:r w:rsidRPr="006C105C">
              <w:rPr>
                <w:vertAlign w:val="superscript"/>
              </w:rPr>
              <w:t>1</w:t>
            </w:r>
            <w:r w:rsidRPr="006C105C">
              <w:t>1. var izpaust šo noteikumu 7. punktā minēto informāciju, ja rodas draudi cilvēku un dzīvnieku veselībai vai videi un ir nepieciešama steidzama rīcība, piemēram, ārkārtējās situācijas gadījumā;</w:t>
            </w:r>
          </w:p>
          <w:p w14:paraId="4A70F5A4" w14:textId="3C85A123" w:rsidR="006C105C" w:rsidRPr="006C105C" w:rsidRDefault="006C105C" w:rsidP="006C105C">
            <w:pPr>
              <w:jc w:val="both"/>
            </w:pPr>
            <w:r w:rsidRPr="006C105C">
              <w:t>8.</w:t>
            </w:r>
            <w:r w:rsidRPr="006C105C">
              <w:rPr>
                <w:vertAlign w:val="superscript"/>
              </w:rPr>
              <w:t>1</w:t>
            </w:r>
            <w:r w:rsidRPr="006C105C">
              <w:t xml:space="preserve">2. publisko tādu informāciju, kas ir daļa no zinātniskās </w:t>
            </w:r>
            <w:r w:rsidRPr="006C105C">
              <w:lastRenderedPageBreak/>
              <w:t>ekspertu komisijas sniegto zinātnisko rezultātu vai novērtējuma ziņojuma secinājumiem un kas ir saistīta ar iespējamo ietekmi uz cilvēku un dzīvnieku veselību vai vidi, atbilstoši Regulas Nr. 178/2002 39.c pantam.</w:t>
            </w:r>
            <w:r w:rsidRPr="006C105C">
              <w:rPr>
                <w:bCs/>
              </w:rPr>
              <w:t>"</w:t>
            </w:r>
            <w:r w:rsidRPr="006C105C">
              <w:t>;</w:t>
            </w:r>
          </w:p>
          <w:p w14:paraId="7981CAAC" w14:textId="1C20A03A" w:rsidR="00E67BDE" w:rsidRPr="002712BA" w:rsidRDefault="00E67BDE" w:rsidP="00F92293">
            <w:pPr>
              <w:jc w:val="both"/>
            </w:pPr>
          </w:p>
        </w:tc>
      </w:tr>
      <w:tr w:rsidR="00275555" w:rsidRPr="0052064D" w14:paraId="3D3FCA7D"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7ADC69F6" w14:textId="32D22A53" w:rsidR="00275555" w:rsidRPr="00275555" w:rsidRDefault="00841822" w:rsidP="008D1463">
            <w:pPr>
              <w:shd w:val="clear" w:color="auto" w:fill="FFFFFF"/>
              <w:jc w:val="center"/>
              <w:rPr>
                <w:bCs/>
              </w:rPr>
            </w:pPr>
            <w:r>
              <w:rPr>
                <w:bCs/>
              </w:rPr>
              <w:lastRenderedPageBreak/>
              <w:t>3.</w:t>
            </w:r>
          </w:p>
        </w:tc>
        <w:tc>
          <w:tcPr>
            <w:tcW w:w="3431" w:type="dxa"/>
            <w:tcBorders>
              <w:top w:val="single" w:sz="4" w:space="0" w:color="000000"/>
              <w:left w:val="single" w:sz="4" w:space="0" w:color="000000"/>
              <w:bottom w:val="single" w:sz="4" w:space="0" w:color="000000"/>
              <w:right w:val="single" w:sz="4" w:space="0" w:color="000000"/>
            </w:tcBorders>
          </w:tcPr>
          <w:p w14:paraId="358FF548" w14:textId="661A645B" w:rsidR="00D23164" w:rsidRPr="00D23164" w:rsidRDefault="00D23164" w:rsidP="00D23164">
            <w:pPr>
              <w:shd w:val="clear" w:color="auto" w:fill="FFFFFF"/>
              <w:jc w:val="both"/>
              <w:rPr>
                <w:bCs/>
              </w:rPr>
            </w:pPr>
            <w:r w:rsidRPr="00D23164">
              <w:rPr>
                <w:bCs/>
              </w:rPr>
              <w:t>1.4. papildināt noteikumus ar 54.</w:t>
            </w:r>
            <w:r>
              <w:rPr>
                <w:bCs/>
                <w:vertAlign w:val="superscript"/>
              </w:rPr>
              <w:t>1</w:t>
            </w:r>
            <w:r w:rsidRPr="00D23164">
              <w:rPr>
                <w:bCs/>
              </w:rPr>
              <w:t xml:space="preserve"> punktu šādā redakcijā:</w:t>
            </w:r>
          </w:p>
          <w:p w14:paraId="74DA0065" w14:textId="29EA3DDE" w:rsidR="00275555" w:rsidRPr="00275555" w:rsidRDefault="00D23164" w:rsidP="00D23164">
            <w:pPr>
              <w:shd w:val="clear" w:color="auto" w:fill="FFFFFF"/>
              <w:jc w:val="both"/>
              <w:rPr>
                <w:bCs/>
              </w:rPr>
            </w:pPr>
            <w:r w:rsidRPr="00D23164">
              <w:rPr>
                <w:bCs/>
              </w:rPr>
              <w:t>"54.</w:t>
            </w:r>
            <w:r>
              <w:rPr>
                <w:bCs/>
                <w:vertAlign w:val="superscript"/>
              </w:rPr>
              <w:t>1</w:t>
            </w:r>
            <w:r w:rsidRPr="00D23164">
              <w:rPr>
                <w:bCs/>
              </w:rPr>
              <w:t xml:space="preserve"> Šo noteikumu 54. punktā minēto iesniegumu persona noformē saskaņā ar standartizētiem datu formātiem, ja tādi ir spēkā saskaņā ar Regulas Nr. 178/2002 39.f pantu."</w:t>
            </w:r>
          </w:p>
        </w:tc>
        <w:tc>
          <w:tcPr>
            <w:tcW w:w="3827" w:type="dxa"/>
            <w:tcBorders>
              <w:top w:val="single" w:sz="4" w:space="0" w:color="000000"/>
              <w:left w:val="single" w:sz="4" w:space="0" w:color="000000"/>
              <w:bottom w:val="single" w:sz="4" w:space="0" w:color="000000"/>
              <w:right w:val="single" w:sz="4" w:space="0" w:color="000000"/>
            </w:tcBorders>
          </w:tcPr>
          <w:p w14:paraId="43A5C5A6" w14:textId="3DE74E5D" w:rsidR="00D23106" w:rsidRDefault="00D23106" w:rsidP="00D23106">
            <w:pPr>
              <w:shd w:val="clear" w:color="auto" w:fill="FFFFFF"/>
              <w:jc w:val="both"/>
            </w:pPr>
            <w:r>
              <w:t xml:space="preserve">Projekta 1.4. apakšpunktā izteiktais 54.1 punkts paredz: “Šo noteikumu 54. punktā minēto iesniegumu persona noformē saskaņā ar standartizētiem datu formātiem, ja tādi ir spēkā saskaņā ar Regulas Nr. 178/2002 39.f pantu." Norādām, ka tiesību normai jābūt skaidrai un </w:t>
            </w:r>
            <w:r>
              <w:lastRenderedPageBreak/>
              <w:t xml:space="preserve">saprotamai, kā arī paredzamai, tas ir, formulētai ar pietiekamu precizitāti, lai indivīds, nepieciešamības gadījumā varētu regulēt savu uzvedību. Minētais izriet no personas pamattiesībām zināt savas tiesības, kas ir nostiprinātas Satversmes 90. pantā. Vēršam uzmanību, ka minētais 54.1 punkts nav formulēts skaidri, saprotami un paredzami. Pienākums noformēt iesniegumu saskaņā ar standartizētiem datu formātiem var tikt attiecināts uz personu tikai, tad, ja šie formāti ir jau pieņemti un spēkā saskaņā ar </w:t>
            </w:r>
            <w:proofErr w:type="spellStart"/>
            <w:r>
              <w:t>ar</w:t>
            </w:r>
            <w:proofErr w:type="spellEnd"/>
            <w:r>
              <w:t xml:space="preserve"> Regulas Nr. 178/2002 39.f pantu. Turklāt vēršam arī uzmanību, ka atbilstoši Regulas Nr. 178/2002 39.f panta 2. punkta “c” apakšpunktam pieņemtos standartizētos datu formātus Iestāde dara pieejamus savā tīmekļvietnē.</w:t>
            </w:r>
          </w:p>
          <w:p w14:paraId="6A4E109C" w14:textId="499C4C44" w:rsidR="00275555" w:rsidRDefault="00D23106" w:rsidP="00D23106">
            <w:pPr>
              <w:shd w:val="clear" w:color="auto" w:fill="FFFFFF"/>
              <w:jc w:val="both"/>
            </w:pPr>
            <w:r>
              <w:t>Tādējādi projekta 1.4. apakšpunkts tā pašreizējā redakcijā nav atbalstāms. Vienlaikus lūdzam skaidrot, vai Regulas Nr. 178/2002 39.f panta prasības ir izpildītas, ņemot arī vērā, ka tās nav attiecināmas uz privātpersonu.</w:t>
            </w:r>
          </w:p>
        </w:tc>
        <w:tc>
          <w:tcPr>
            <w:tcW w:w="3261" w:type="dxa"/>
            <w:tcBorders>
              <w:top w:val="single" w:sz="4" w:space="0" w:color="000000"/>
              <w:left w:val="single" w:sz="4" w:space="0" w:color="000000"/>
              <w:bottom w:val="single" w:sz="4" w:space="0" w:color="000000"/>
              <w:right w:val="single" w:sz="4" w:space="0" w:color="000000"/>
            </w:tcBorders>
          </w:tcPr>
          <w:p w14:paraId="3EC1DF01" w14:textId="77777777" w:rsidR="00275555" w:rsidRDefault="00F253D5" w:rsidP="00D85559">
            <w:pPr>
              <w:shd w:val="clear" w:color="auto" w:fill="FFFFFF"/>
              <w:jc w:val="both"/>
            </w:pPr>
            <w:r>
              <w:lastRenderedPageBreak/>
              <w:t>Ņemts vērā.</w:t>
            </w:r>
          </w:p>
          <w:p w14:paraId="64678519" w14:textId="72263374" w:rsidR="00095A2C" w:rsidRDefault="00095A2C" w:rsidP="00D85559">
            <w:pPr>
              <w:shd w:val="clear" w:color="auto" w:fill="FFFFFF"/>
              <w:jc w:val="both"/>
            </w:pPr>
            <w:r>
              <w:t>Komisija pa</w:t>
            </w:r>
            <w:r w:rsidR="00C75DA9">
              <w:t>šlaik</w:t>
            </w:r>
            <w:r>
              <w:t xml:space="preserve"> strādā pie Komisijas paziņojuma</w:t>
            </w:r>
            <w:r w:rsidR="00F72529">
              <w:t xml:space="preserve"> projekta</w:t>
            </w:r>
            <w:r>
              <w:t xml:space="preserve"> “</w:t>
            </w:r>
            <w:proofErr w:type="spellStart"/>
            <w:r w:rsidRPr="00095A2C">
              <w:t>Commission</w:t>
            </w:r>
            <w:proofErr w:type="spellEnd"/>
            <w:r w:rsidRPr="00095A2C">
              <w:t xml:space="preserve"> </w:t>
            </w:r>
            <w:proofErr w:type="spellStart"/>
            <w:r w:rsidRPr="00095A2C">
              <w:t>Notice</w:t>
            </w:r>
            <w:proofErr w:type="spellEnd"/>
            <w:r w:rsidRPr="00095A2C">
              <w:t xml:space="preserve"> </w:t>
            </w:r>
            <w:proofErr w:type="spellStart"/>
            <w:r w:rsidRPr="00095A2C">
              <w:t>on</w:t>
            </w:r>
            <w:proofErr w:type="spellEnd"/>
            <w:r w:rsidRPr="00095A2C">
              <w:t xml:space="preserve"> the </w:t>
            </w:r>
            <w:proofErr w:type="spellStart"/>
            <w:r w:rsidRPr="00095A2C">
              <w:t>submission</w:t>
            </w:r>
            <w:proofErr w:type="spellEnd"/>
            <w:r w:rsidRPr="00095A2C">
              <w:t xml:space="preserve"> of </w:t>
            </w:r>
            <w:proofErr w:type="spellStart"/>
            <w:r w:rsidRPr="00095A2C">
              <w:t>notifications</w:t>
            </w:r>
            <w:proofErr w:type="spellEnd"/>
            <w:r w:rsidRPr="00095A2C">
              <w:t xml:space="preserve"> </w:t>
            </w:r>
            <w:proofErr w:type="spellStart"/>
            <w:r w:rsidRPr="00095A2C">
              <w:t>under</w:t>
            </w:r>
            <w:proofErr w:type="spellEnd"/>
            <w:r w:rsidRPr="00095A2C">
              <w:t xml:space="preserve"> </w:t>
            </w:r>
            <w:proofErr w:type="spellStart"/>
            <w:r w:rsidRPr="00095A2C">
              <w:t>Articles</w:t>
            </w:r>
            <w:proofErr w:type="spellEnd"/>
            <w:r w:rsidRPr="00095A2C">
              <w:t xml:space="preserve"> 13 </w:t>
            </w:r>
            <w:proofErr w:type="spellStart"/>
            <w:r w:rsidRPr="00095A2C">
              <w:t>and</w:t>
            </w:r>
            <w:proofErr w:type="spellEnd"/>
            <w:r w:rsidRPr="00095A2C">
              <w:t xml:space="preserve"> 17 of </w:t>
            </w:r>
            <w:proofErr w:type="spellStart"/>
            <w:r w:rsidRPr="00095A2C">
              <w:t>Directive</w:t>
            </w:r>
            <w:proofErr w:type="spellEnd"/>
            <w:r w:rsidRPr="00095A2C">
              <w:t xml:space="preserve"> 2001/18/EC of the </w:t>
            </w:r>
            <w:proofErr w:type="spellStart"/>
            <w:r w:rsidRPr="00095A2C">
              <w:t>European</w:t>
            </w:r>
            <w:proofErr w:type="spellEnd"/>
            <w:r w:rsidRPr="00095A2C">
              <w:t xml:space="preserve"> </w:t>
            </w:r>
            <w:proofErr w:type="spellStart"/>
            <w:r w:rsidRPr="00095A2C">
              <w:t>Parliament</w:t>
            </w:r>
            <w:proofErr w:type="spellEnd"/>
            <w:r w:rsidRPr="00095A2C">
              <w:t xml:space="preserve"> </w:t>
            </w:r>
            <w:proofErr w:type="spellStart"/>
            <w:r w:rsidRPr="00095A2C">
              <w:t>and</w:t>
            </w:r>
            <w:proofErr w:type="spellEnd"/>
            <w:r w:rsidRPr="00095A2C">
              <w:t xml:space="preserve"> of the </w:t>
            </w:r>
            <w:proofErr w:type="spellStart"/>
            <w:r w:rsidRPr="00095A2C">
              <w:lastRenderedPageBreak/>
              <w:t>Council</w:t>
            </w:r>
            <w:proofErr w:type="spellEnd"/>
            <w:r w:rsidRPr="00095A2C">
              <w:t xml:space="preserve"> </w:t>
            </w:r>
            <w:proofErr w:type="spellStart"/>
            <w:r w:rsidRPr="00095A2C">
              <w:t>on</w:t>
            </w:r>
            <w:proofErr w:type="spellEnd"/>
            <w:r w:rsidRPr="00095A2C">
              <w:t xml:space="preserve"> the </w:t>
            </w:r>
            <w:proofErr w:type="spellStart"/>
            <w:r w:rsidRPr="00095A2C">
              <w:t>deliberate</w:t>
            </w:r>
            <w:proofErr w:type="spellEnd"/>
            <w:r w:rsidRPr="00095A2C">
              <w:t xml:space="preserve"> </w:t>
            </w:r>
            <w:proofErr w:type="spellStart"/>
            <w:r w:rsidRPr="00095A2C">
              <w:t>release</w:t>
            </w:r>
            <w:proofErr w:type="spellEnd"/>
            <w:r w:rsidRPr="00095A2C">
              <w:t xml:space="preserve"> </w:t>
            </w:r>
            <w:proofErr w:type="spellStart"/>
            <w:r w:rsidRPr="00095A2C">
              <w:t>into</w:t>
            </w:r>
            <w:proofErr w:type="spellEnd"/>
            <w:r w:rsidRPr="00095A2C">
              <w:t xml:space="preserve"> the </w:t>
            </w:r>
            <w:proofErr w:type="spellStart"/>
            <w:r w:rsidRPr="00095A2C">
              <w:t>environment</w:t>
            </w:r>
            <w:proofErr w:type="spellEnd"/>
            <w:r w:rsidRPr="00095A2C">
              <w:t xml:space="preserve"> of </w:t>
            </w:r>
            <w:proofErr w:type="spellStart"/>
            <w:r w:rsidRPr="00095A2C">
              <w:t>genetically</w:t>
            </w:r>
            <w:proofErr w:type="spellEnd"/>
            <w:r w:rsidRPr="00095A2C">
              <w:t xml:space="preserve"> </w:t>
            </w:r>
            <w:proofErr w:type="spellStart"/>
            <w:r w:rsidRPr="00095A2C">
              <w:t>modified</w:t>
            </w:r>
            <w:proofErr w:type="spellEnd"/>
            <w:r w:rsidRPr="00095A2C">
              <w:t xml:space="preserve"> organisms </w:t>
            </w:r>
            <w:proofErr w:type="spellStart"/>
            <w:r w:rsidRPr="00095A2C">
              <w:t>and</w:t>
            </w:r>
            <w:proofErr w:type="spellEnd"/>
            <w:r w:rsidRPr="00095A2C">
              <w:t xml:space="preserve"> </w:t>
            </w:r>
            <w:proofErr w:type="spellStart"/>
            <w:r w:rsidRPr="00095A2C">
              <w:t>repealing</w:t>
            </w:r>
            <w:proofErr w:type="spellEnd"/>
            <w:r w:rsidRPr="00095A2C">
              <w:t xml:space="preserve"> </w:t>
            </w:r>
            <w:proofErr w:type="spellStart"/>
            <w:r w:rsidRPr="00095A2C">
              <w:t>Council</w:t>
            </w:r>
            <w:proofErr w:type="spellEnd"/>
            <w:r w:rsidRPr="00095A2C">
              <w:t xml:space="preserve"> </w:t>
            </w:r>
            <w:proofErr w:type="spellStart"/>
            <w:r w:rsidRPr="00095A2C">
              <w:t>Directive</w:t>
            </w:r>
            <w:proofErr w:type="spellEnd"/>
            <w:r w:rsidRPr="00095A2C">
              <w:t xml:space="preserve"> 90/220/EEC </w:t>
            </w:r>
            <w:proofErr w:type="spellStart"/>
            <w:r w:rsidRPr="00095A2C">
              <w:t>and</w:t>
            </w:r>
            <w:proofErr w:type="spellEnd"/>
            <w:r w:rsidRPr="00095A2C">
              <w:t xml:space="preserve"> </w:t>
            </w:r>
            <w:proofErr w:type="spellStart"/>
            <w:r w:rsidRPr="00095A2C">
              <w:t>under</w:t>
            </w:r>
            <w:proofErr w:type="spellEnd"/>
            <w:r w:rsidRPr="00095A2C">
              <w:t xml:space="preserve"> the </w:t>
            </w:r>
            <w:proofErr w:type="spellStart"/>
            <w:r w:rsidRPr="00095A2C">
              <w:t>relevant</w:t>
            </w:r>
            <w:proofErr w:type="spellEnd"/>
            <w:r w:rsidRPr="00095A2C">
              <w:t xml:space="preserve"> </w:t>
            </w:r>
            <w:proofErr w:type="spellStart"/>
            <w:r w:rsidRPr="00095A2C">
              <w:t>provisions</w:t>
            </w:r>
            <w:proofErr w:type="spellEnd"/>
            <w:r w:rsidRPr="00095A2C">
              <w:t xml:space="preserve"> of </w:t>
            </w:r>
            <w:proofErr w:type="spellStart"/>
            <w:r w:rsidRPr="00095A2C">
              <w:t>Regulation</w:t>
            </w:r>
            <w:proofErr w:type="spellEnd"/>
            <w:r w:rsidRPr="00095A2C">
              <w:t xml:space="preserve"> (EC) 178/2002, as </w:t>
            </w:r>
            <w:proofErr w:type="spellStart"/>
            <w:r w:rsidRPr="00095A2C">
              <w:t>amended</w:t>
            </w:r>
            <w:proofErr w:type="spellEnd"/>
            <w:r w:rsidRPr="00095A2C">
              <w:t xml:space="preserve"> </w:t>
            </w:r>
            <w:proofErr w:type="spellStart"/>
            <w:r w:rsidRPr="00095A2C">
              <w:t>by</w:t>
            </w:r>
            <w:proofErr w:type="spellEnd"/>
            <w:r w:rsidRPr="00095A2C">
              <w:t xml:space="preserve"> </w:t>
            </w:r>
            <w:proofErr w:type="spellStart"/>
            <w:r w:rsidRPr="00095A2C">
              <w:t>Regulation</w:t>
            </w:r>
            <w:proofErr w:type="spellEnd"/>
            <w:r w:rsidRPr="00095A2C">
              <w:t xml:space="preserve"> (EU) 2019/1381</w:t>
            </w:r>
            <w:r>
              <w:t>”, kas tiek regulāri skatīts Pastāvīgajā komitejā</w:t>
            </w:r>
            <w:r w:rsidR="00C75DA9">
              <w:t xml:space="preserve"> saistībā ar</w:t>
            </w:r>
            <w:r>
              <w:t xml:space="preserve"> direktīv</w:t>
            </w:r>
            <w:r w:rsidR="00C75DA9">
              <w:t>u</w:t>
            </w:r>
            <w:r>
              <w:t xml:space="preserve"> 2001/18.</w:t>
            </w:r>
          </w:p>
          <w:p w14:paraId="17FA0350" w14:textId="63B692E4" w:rsidR="00095A2C" w:rsidRDefault="00095A2C" w:rsidP="00D85559">
            <w:pPr>
              <w:shd w:val="clear" w:color="auto" w:fill="FFFFFF"/>
              <w:jc w:val="both"/>
            </w:pPr>
            <w:r>
              <w:t>Paziņojum</w:t>
            </w:r>
            <w:r w:rsidR="003B6E13">
              <w:t>ā</w:t>
            </w:r>
            <w:r>
              <w:t xml:space="preserve"> skaidro</w:t>
            </w:r>
            <w:r w:rsidR="003B6E13">
              <w:t>ts</w:t>
            </w:r>
            <w:r>
              <w:t>, kā regula 2019/1381 ietekmēs ĢMO pieteikuma iesniegšanas procesu pēc 2021. gada 27.</w:t>
            </w:r>
            <w:r w:rsidR="003B6E13">
              <w:t> </w:t>
            </w:r>
            <w:r>
              <w:t>marta</w:t>
            </w:r>
            <w:r w:rsidR="00AF2172">
              <w:t xml:space="preserve">, </w:t>
            </w:r>
            <w:r w:rsidR="003B6E13">
              <w:t xml:space="preserve">un </w:t>
            </w:r>
            <w:r w:rsidR="00AF2172">
              <w:t xml:space="preserve">tā mērķis ir </w:t>
            </w:r>
            <w:r w:rsidR="00AF2172" w:rsidRPr="00AF2172">
              <w:t>atvieglot direktīvas saskaņotu īstenošanu saistībā ar regulā</w:t>
            </w:r>
            <w:r w:rsidR="00AF2172">
              <w:t xml:space="preserve"> </w:t>
            </w:r>
            <w:r w:rsidR="00AF2172" w:rsidRPr="00AF2172">
              <w:t xml:space="preserve">2019/1381 ieviestajiem grozījumiem un konkrētāk sniegt interpretāciju </w:t>
            </w:r>
            <w:r w:rsidR="003B6E13">
              <w:t>vai</w:t>
            </w:r>
            <w:r w:rsidR="00AF2172" w:rsidRPr="00AF2172">
              <w:t xml:space="preserve"> norādījumus gan uzņēmējiem, kuri plāno iesniegt paziņojumus saskaņā ar direktīvas</w:t>
            </w:r>
            <w:r w:rsidR="00AF2172">
              <w:t xml:space="preserve"> 2001/18</w:t>
            </w:r>
            <w:r w:rsidR="00AF2172" w:rsidRPr="00AF2172">
              <w:t xml:space="preserve"> C</w:t>
            </w:r>
            <w:r w:rsidR="003B6E13">
              <w:t> </w:t>
            </w:r>
            <w:r w:rsidR="00AF2172" w:rsidRPr="00AF2172">
              <w:t xml:space="preserve">daļu (ĢMO </w:t>
            </w:r>
            <w:r w:rsidR="00AF2172">
              <w:t>un ĢM</w:t>
            </w:r>
            <w:r w:rsidR="00AF2172" w:rsidRPr="00AF2172">
              <w:t xml:space="preserve"> produktu laišan</w:t>
            </w:r>
            <w:r w:rsidR="00AF2172">
              <w:t>a</w:t>
            </w:r>
            <w:r w:rsidR="00AF2172" w:rsidRPr="00AF2172">
              <w:t xml:space="preserve"> tirgū)</w:t>
            </w:r>
            <w:r w:rsidR="003B6E13">
              <w:t>, gan</w:t>
            </w:r>
            <w:r w:rsidR="00AF2172" w:rsidRPr="00AF2172">
              <w:t xml:space="preserve"> to dalībvalstu kompetentajām iestādēm, kuras saņem šādus paziņojumus.</w:t>
            </w:r>
          </w:p>
          <w:p w14:paraId="4FE01C7E" w14:textId="5043D4BD" w:rsidR="00AF2172" w:rsidRPr="002712BA" w:rsidRDefault="00F12542" w:rsidP="00D85559">
            <w:pPr>
              <w:shd w:val="clear" w:color="auto" w:fill="FFFFFF"/>
              <w:jc w:val="both"/>
            </w:pPr>
            <w:r>
              <w:t>No 2021.gada 27. marta spēkā stāsies arī EFSA lēmums “</w:t>
            </w:r>
            <w:proofErr w:type="spellStart"/>
            <w:r>
              <w:t>Decision</w:t>
            </w:r>
            <w:proofErr w:type="spellEnd"/>
            <w:r>
              <w:t xml:space="preserve"> of the </w:t>
            </w:r>
            <w:proofErr w:type="spellStart"/>
            <w:r>
              <w:t>Executive</w:t>
            </w:r>
            <w:proofErr w:type="spellEnd"/>
            <w:r>
              <w:t xml:space="preserve"> </w:t>
            </w:r>
            <w:proofErr w:type="spellStart"/>
            <w:r>
              <w:t>Director</w:t>
            </w:r>
            <w:proofErr w:type="spellEnd"/>
            <w:r>
              <w:t xml:space="preserve"> of the </w:t>
            </w:r>
            <w:proofErr w:type="spellStart"/>
            <w:r>
              <w:t>European</w:t>
            </w:r>
            <w:proofErr w:type="spellEnd"/>
            <w:r>
              <w:t xml:space="preserve"> </w:t>
            </w:r>
            <w:proofErr w:type="spellStart"/>
            <w:r>
              <w:t>Food</w:t>
            </w:r>
            <w:proofErr w:type="spellEnd"/>
            <w:r>
              <w:t xml:space="preserve"> </w:t>
            </w:r>
            <w:proofErr w:type="spellStart"/>
            <w:r>
              <w:t>Safety</w:t>
            </w:r>
            <w:proofErr w:type="spellEnd"/>
            <w:r>
              <w:t xml:space="preserve"> </w:t>
            </w:r>
            <w:proofErr w:type="spellStart"/>
            <w:r>
              <w:t>Authority</w:t>
            </w:r>
            <w:proofErr w:type="spellEnd"/>
            <w:r>
              <w:t xml:space="preserve"> </w:t>
            </w:r>
            <w:proofErr w:type="spellStart"/>
            <w:r>
              <w:t>Laying</w:t>
            </w:r>
            <w:proofErr w:type="spellEnd"/>
            <w:r>
              <w:t xml:space="preserve"> </w:t>
            </w:r>
            <w:proofErr w:type="spellStart"/>
            <w:r>
              <w:t>down</w:t>
            </w:r>
            <w:proofErr w:type="spellEnd"/>
            <w:r>
              <w:t xml:space="preserve"> </w:t>
            </w:r>
            <w:proofErr w:type="spellStart"/>
            <w:r>
              <w:lastRenderedPageBreak/>
              <w:t>practical</w:t>
            </w:r>
            <w:proofErr w:type="spellEnd"/>
            <w:r>
              <w:t xml:space="preserve"> </w:t>
            </w:r>
            <w:proofErr w:type="spellStart"/>
            <w:r>
              <w:t>arrangements</w:t>
            </w:r>
            <w:proofErr w:type="spellEnd"/>
            <w:r>
              <w:t xml:space="preserve"> </w:t>
            </w:r>
            <w:proofErr w:type="spellStart"/>
            <w:r>
              <w:t>concerning</w:t>
            </w:r>
            <w:proofErr w:type="spellEnd"/>
            <w:r>
              <w:t xml:space="preserve"> </w:t>
            </w:r>
            <w:proofErr w:type="spellStart"/>
            <w:r>
              <w:t>transparency</w:t>
            </w:r>
            <w:proofErr w:type="spellEnd"/>
            <w:r>
              <w:t xml:space="preserve"> </w:t>
            </w:r>
            <w:proofErr w:type="spellStart"/>
            <w:r>
              <w:t>and</w:t>
            </w:r>
            <w:proofErr w:type="spellEnd"/>
            <w:r>
              <w:t xml:space="preserve"> </w:t>
            </w:r>
            <w:proofErr w:type="spellStart"/>
            <w:r>
              <w:t>confidentiality</w:t>
            </w:r>
            <w:proofErr w:type="spellEnd"/>
            <w:r>
              <w:t xml:space="preserve">”, </w:t>
            </w:r>
            <w:r w:rsidR="00F72529">
              <w:t xml:space="preserve">kurā </w:t>
            </w:r>
            <w:r w:rsidR="00F72529" w:rsidRPr="00F72529">
              <w:t>izklāstīti standarti un procedūra, kas piemērojama</w:t>
            </w:r>
            <w:r w:rsidR="003B6E13">
              <w:t>,</w:t>
            </w:r>
            <w:r w:rsidR="00F72529" w:rsidRPr="00F72529">
              <w:t xml:space="preserve"> </w:t>
            </w:r>
            <w:r w:rsidR="00F72529">
              <w:t>iesniedzot pieteikumu un publicējot informāciju, t</w:t>
            </w:r>
            <w:r w:rsidR="003B6E13">
              <w:t>ostarp</w:t>
            </w:r>
            <w:r w:rsidR="00F72529">
              <w:t xml:space="preserve"> atbilstoši regulas </w:t>
            </w:r>
            <w:r w:rsidR="003B6E13">
              <w:t>Nr. </w:t>
            </w:r>
            <w:r w:rsidR="00F72529">
              <w:t>178/2002 39</w:t>
            </w:r>
            <w:r w:rsidR="003B6E13">
              <w:t>.</w:t>
            </w:r>
            <w:r w:rsidR="00F72529">
              <w:t>f</w:t>
            </w:r>
            <w:r w:rsidR="003B6E13">
              <w:t> </w:t>
            </w:r>
            <w:r w:rsidR="00F72529">
              <w:t>pantam.</w:t>
            </w:r>
          </w:p>
        </w:tc>
        <w:tc>
          <w:tcPr>
            <w:tcW w:w="3260" w:type="dxa"/>
            <w:tcBorders>
              <w:top w:val="single" w:sz="4" w:space="0" w:color="000000"/>
              <w:left w:val="single" w:sz="4" w:space="0" w:color="000000"/>
              <w:bottom w:val="single" w:sz="4" w:space="0" w:color="000000"/>
              <w:right w:val="single" w:sz="4" w:space="0" w:color="000000"/>
            </w:tcBorders>
          </w:tcPr>
          <w:p w14:paraId="0D318A66" w14:textId="77777777" w:rsidR="006C105C" w:rsidRPr="006C105C" w:rsidRDefault="006C105C" w:rsidP="006C105C">
            <w:pPr>
              <w:shd w:val="clear" w:color="auto" w:fill="FFFFFF"/>
              <w:jc w:val="both"/>
            </w:pPr>
            <w:r w:rsidRPr="006C105C">
              <w:lastRenderedPageBreak/>
              <w:t>1.4. papildināt noteikumus ar 54.</w:t>
            </w:r>
            <w:r w:rsidRPr="006C105C">
              <w:rPr>
                <w:vertAlign w:val="superscript"/>
              </w:rPr>
              <w:t>1</w:t>
            </w:r>
            <w:r w:rsidRPr="006C105C">
              <w:t> punktu šādā redakcijā:</w:t>
            </w:r>
          </w:p>
          <w:p w14:paraId="40971B02" w14:textId="07C17530" w:rsidR="006C105C" w:rsidRPr="006C105C" w:rsidRDefault="006C105C" w:rsidP="006C105C">
            <w:pPr>
              <w:shd w:val="clear" w:color="auto" w:fill="FFFFFF"/>
              <w:jc w:val="both"/>
            </w:pPr>
            <w:r w:rsidRPr="006C105C">
              <w:rPr>
                <w:bCs/>
              </w:rPr>
              <w:t>"</w:t>
            </w:r>
            <w:r w:rsidRPr="006C105C">
              <w:t>54.</w:t>
            </w:r>
            <w:r w:rsidRPr="006C105C">
              <w:rPr>
                <w:vertAlign w:val="superscript"/>
              </w:rPr>
              <w:t>1</w:t>
            </w:r>
            <w:r w:rsidRPr="006C105C">
              <w:t xml:space="preserve"> Šo noteikumu 54. punktā minēto iesniegumu persona noformē saskaņā ar Regulas Nr. 178/2002 </w:t>
            </w:r>
            <w:r w:rsidRPr="003B6E13">
              <w:t>39.f </w:t>
            </w:r>
            <w:r w:rsidRPr="006C105C">
              <w:t xml:space="preserve">atbilstoši standartizētiem datu formātiem, kas pieejami Eiropas Pārtikas </w:t>
            </w:r>
            <w:r w:rsidRPr="006C105C">
              <w:lastRenderedPageBreak/>
              <w:t>nekaitīguma iestādes tīmekļvietnē: https://www.efsa.europa.eu.</w:t>
            </w:r>
            <w:r w:rsidRPr="006C105C">
              <w:rPr>
                <w:bCs/>
              </w:rPr>
              <w:t>"</w:t>
            </w:r>
          </w:p>
          <w:p w14:paraId="63B1F639" w14:textId="05D16940" w:rsidR="008F3B8C" w:rsidRPr="00C6205E" w:rsidRDefault="008F3B8C" w:rsidP="00D23164">
            <w:pPr>
              <w:shd w:val="clear" w:color="auto" w:fill="FFFFFF"/>
              <w:jc w:val="both"/>
            </w:pPr>
          </w:p>
        </w:tc>
      </w:tr>
      <w:tr w:rsidR="006372B1" w:rsidRPr="0052064D" w14:paraId="5FE6AAB8" w14:textId="77777777" w:rsidTr="00EF0BE4">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1C220356" w14:textId="0510AE94" w:rsidR="006372B1" w:rsidRPr="00275555" w:rsidRDefault="00275555" w:rsidP="006372B1">
            <w:pPr>
              <w:jc w:val="center"/>
              <w:rPr>
                <w:b/>
                <w:bCs/>
              </w:rPr>
            </w:pPr>
            <w:r w:rsidRPr="00275555">
              <w:rPr>
                <w:b/>
                <w:bCs/>
                <w:color w:val="000000"/>
              </w:rPr>
              <w:lastRenderedPageBreak/>
              <w:t>Vides un reģionālās aizsardzības ministrija</w:t>
            </w:r>
          </w:p>
        </w:tc>
      </w:tr>
      <w:tr w:rsidR="006C105C" w:rsidRPr="0052064D" w14:paraId="28E42E7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BD9790A" w14:textId="0AEC3813" w:rsidR="006C105C" w:rsidRPr="00841822" w:rsidRDefault="006C105C" w:rsidP="006C105C">
            <w:pPr>
              <w:shd w:val="clear" w:color="auto" w:fill="FFFFFF"/>
              <w:jc w:val="center"/>
              <w:rPr>
                <w:bCs/>
              </w:rPr>
            </w:pPr>
            <w:r>
              <w:rPr>
                <w:bCs/>
              </w:rPr>
              <w:t>4.</w:t>
            </w:r>
          </w:p>
        </w:tc>
        <w:tc>
          <w:tcPr>
            <w:tcW w:w="3431" w:type="dxa"/>
            <w:tcBorders>
              <w:top w:val="single" w:sz="4" w:space="0" w:color="000000"/>
              <w:left w:val="single" w:sz="4" w:space="0" w:color="000000"/>
              <w:bottom w:val="single" w:sz="4" w:space="0" w:color="000000"/>
              <w:right w:val="single" w:sz="4" w:space="0" w:color="000000"/>
            </w:tcBorders>
          </w:tcPr>
          <w:p w14:paraId="3366BDB9" w14:textId="77777777" w:rsidR="006C105C" w:rsidRPr="008F3B8C" w:rsidRDefault="006C105C" w:rsidP="006C105C">
            <w:pPr>
              <w:shd w:val="clear" w:color="auto" w:fill="FFFFFF"/>
              <w:jc w:val="both"/>
              <w:rPr>
                <w:bCs/>
              </w:rPr>
            </w:pPr>
            <w:r w:rsidRPr="008F3B8C">
              <w:rPr>
                <w:bCs/>
              </w:rPr>
              <w:t>1.1. papildināt noteikumus ar 6.1 punktu šādā redakcijā:</w:t>
            </w:r>
          </w:p>
          <w:p w14:paraId="01053094" w14:textId="0789409F" w:rsidR="006C105C" w:rsidRPr="00275555" w:rsidRDefault="006C105C" w:rsidP="006C105C">
            <w:pPr>
              <w:shd w:val="clear" w:color="auto" w:fill="FFFFFF"/>
              <w:jc w:val="both"/>
              <w:rPr>
                <w:bCs/>
              </w:rPr>
            </w:pPr>
            <w:r w:rsidRPr="008F3B8C">
              <w:rPr>
                <w:bCs/>
              </w:rPr>
              <w:t>"6.1 Persona, norādot attiecīgu pamatojumu saskaņā ar šo noteikumu 8. punktu, ir tiesīga institūtu lūgt konkrētai iesniegumā ietvertai informācijai piešķirt ierobežotas pieejamības statusu.";</w:t>
            </w:r>
          </w:p>
        </w:tc>
        <w:tc>
          <w:tcPr>
            <w:tcW w:w="3827" w:type="dxa"/>
            <w:tcBorders>
              <w:top w:val="single" w:sz="4" w:space="0" w:color="000000"/>
              <w:left w:val="single" w:sz="4" w:space="0" w:color="000000"/>
              <w:bottom w:val="single" w:sz="4" w:space="0" w:color="000000"/>
              <w:right w:val="single" w:sz="4" w:space="0" w:color="000000"/>
            </w:tcBorders>
          </w:tcPr>
          <w:p w14:paraId="3F255D3B" w14:textId="666EE22D" w:rsidR="006C105C" w:rsidRPr="002712BA" w:rsidRDefault="006C105C" w:rsidP="006C105C">
            <w:pPr>
              <w:shd w:val="clear" w:color="auto" w:fill="FFFFFF"/>
              <w:jc w:val="both"/>
            </w:pPr>
            <w:r w:rsidRPr="00D23106">
              <w:t>Lūdzam precizēt Noteikumu projekta 1.1. apakšpunktu saistībā ar norādi “attiecīgo pamatojumu” atbilstoši Ministru kabineta 2009. gada 15. decembra instrukcijas Nr. 19 “Tiesību akta projekta sākotnējās ietekmes izvērtēšanas kārtība” (turpmāk – Instrukcija) 14. punktam, kā arī lūdzam ietvert vispusīgu un pamatotu skaidrojumu tam, kāpēc nepieciešami ar Noteikumu projektu ieviestie grozījumi.</w:t>
            </w:r>
          </w:p>
        </w:tc>
        <w:tc>
          <w:tcPr>
            <w:tcW w:w="3261" w:type="dxa"/>
            <w:tcBorders>
              <w:top w:val="single" w:sz="4" w:space="0" w:color="000000"/>
              <w:left w:val="single" w:sz="4" w:space="0" w:color="000000"/>
              <w:bottom w:val="single" w:sz="4" w:space="0" w:color="000000"/>
              <w:right w:val="single" w:sz="4" w:space="0" w:color="000000"/>
            </w:tcBorders>
          </w:tcPr>
          <w:p w14:paraId="3604EFD2" w14:textId="77777777" w:rsidR="006C105C" w:rsidRDefault="006C105C" w:rsidP="006C105C">
            <w:pPr>
              <w:shd w:val="clear" w:color="auto" w:fill="FFFFFF"/>
              <w:jc w:val="both"/>
            </w:pPr>
            <w:r>
              <w:t>Ņemts vērā.</w:t>
            </w:r>
          </w:p>
          <w:p w14:paraId="17767482" w14:textId="18798B59" w:rsidR="006C105C" w:rsidRPr="002712BA" w:rsidRDefault="006C105C" w:rsidP="006C105C">
            <w:pPr>
              <w:shd w:val="clear" w:color="auto" w:fill="FFFFFF"/>
              <w:jc w:val="both"/>
            </w:pPr>
            <w:r>
              <w:t>Noteikumu projekta 1.1.apakšp</w:t>
            </w:r>
            <w:r w:rsidR="003B6E13">
              <w:t>unkts</w:t>
            </w:r>
            <w:r>
              <w:t xml:space="preserve"> (noteikumu 6.</w:t>
            </w:r>
            <w:r w:rsidRPr="00F253D5">
              <w:rPr>
                <w:vertAlign w:val="superscript"/>
              </w:rPr>
              <w:t>1</w:t>
            </w:r>
            <w:r w:rsidR="003B6E13">
              <w:t> </w:t>
            </w:r>
            <w:r>
              <w:t>p.) svītrots atbilstoši TM iebildumam.</w:t>
            </w:r>
          </w:p>
        </w:tc>
        <w:tc>
          <w:tcPr>
            <w:tcW w:w="3260" w:type="dxa"/>
            <w:tcBorders>
              <w:top w:val="single" w:sz="4" w:space="0" w:color="000000"/>
              <w:left w:val="single" w:sz="4" w:space="0" w:color="000000"/>
              <w:bottom w:val="single" w:sz="4" w:space="0" w:color="000000"/>
              <w:right w:val="single" w:sz="4" w:space="0" w:color="000000"/>
            </w:tcBorders>
          </w:tcPr>
          <w:p w14:paraId="2D9C737C" w14:textId="77777777" w:rsidR="006C105C" w:rsidRPr="00A21D71" w:rsidRDefault="006C105C" w:rsidP="006C105C">
            <w:pPr>
              <w:jc w:val="both"/>
            </w:pPr>
            <w:r w:rsidRPr="00A21D71">
              <w:t>1.1. izteikt 7. punktu šādā redakcijā:</w:t>
            </w:r>
          </w:p>
          <w:p w14:paraId="66071823" w14:textId="3A78BFD5" w:rsidR="006C105C" w:rsidRPr="00A21D71" w:rsidRDefault="006C105C" w:rsidP="006C105C">
            <w:pPr>
              <w:jc w:val="both"/>
            </w:pPr>
            <w:r w:rsidRPr="00A21D71">
              <w:t xml:space="preserve">“7. </w:t>
            </w:r>
            <w:r w:rsidR="00C75DA9">
              <w:t>P</w:t>
            </w:r>
            <w:r w:rsidR="00C75DA9" w:rsidRPr="00A21D71">
              <w:t>amatojoties uz Informācijas atklātības likumu</w:t>
            </w:r>
            <w:r w:rsidR="00C75DA9">
              <w:t>,</w:t>
            </w:r>
            <w:r w:rsidR="00C75DA9" w:rsidRPr="00A21D71">
              <w:t xml:space="preserve"> </w:t>
            </w:r>
            <w:r w:rsidR="00C75DA9">
              <w:t>i</w:t>
            </w:r>
            <w:r w:rsidR="00C75DA9" w:rsidRPr="00A21D71">
              <w:t xml:space="preserve">nstitūts, </w:t>
            </w:r>
            <w:r w:rsidR="00C75DA9">
              <w:t>ie</w:t>
            </w:r>
            <w:r w:rsidR="00C75DA9" w:rsidRPr="00A21D71">
              <w:t>vēr</w:t>
            </w:r>
            <w:r w:rsidR="00C75DA9">
              <w:t>ojot</w:t>
            </w:r>
            <w:r w:rsidR="00C75DA9" w:rsidRPr="00A21D71">
              <w:t xml:space="preserve"> personas iesniegtu pamatojumu un konsultējoties ar personu, lemj par ierobežotas pieejamības statusa piešķiršanu šādai iesniegumā ietvertai informācijai, ja persona pierāda, ka informācijas izpaušana varētu būtiski kaitēt tās interesēm:</w:t>
            </w:r>
          </w:p>
          <w:p w14:paraId="3935EA7B" w14:textId="77777777" w:rsidR="006C105C" w:rsidRPr="00A21D71" w:rsidRDefault="006C105C" w:rsidP="006C105C">
            <w:pPr>
              <w:jc w:val="both"/>
            </w:pPr>
            <w:r w:rsidRPr="00A21D71">
              <w:t xml:space="preserve">7.1. Eiropas Parlamenta un Padomes 2002. gada 28. janvāra Regulas (EK) Nr. 178/2002, ar ko paredz pārtikas aprites tiesību aktu vispārīgus principus un prasības, izveido Eiropas Pārtikas nekaitīguma iestādi un paredz procedūras saistībā ar pārtikas </w:t>
            </w:r>
            <w:r w:rsidRPr="00A21D71">
              <w:lastRenderedPageBreak/>
              <w:t>nekaitīgumu, (turpmāk – Regula Nr. 178/2002) 39. panta 2. punkta "a", "b" un "c" apakšpunktā minētajai informācijai;</w:t>
            </w:r>
          </w:p>
          <w:p w14:paraId="64713C82" w14:textId="77777777" w:rsidR="006C105C" w:rsidRPr="00A21D71" w:rsidRDefault="006C105C" w:rsidP="006C105C">
            <w:pPr>
              <w:jc w:val="both"/>
            </w:pPr>
            <w:r w:rsidRPr="00A21D71">
              <w:t xml:space="preserve">7.2. informācijai par DNS sekvenci, izņemot sekvenci, ko izmanto transformācijas notikuma atklāšanai, identificēšanai un kvantitatīvai noteikšanai; </w:t>
            </w:r>
          </w:p>
          <w:p w14:paraId="672B4089" w14:textId="77777777" w:rsidR="006C105C" w:rsidRPr="00A21D71" w:rsidRDefault="006C105C" w:rsidP="006C105C">
            <w:pPr>
              <w:jc w:val="both"/>
            </w:pPr>
            <w:r w:rsidRPr="00A21D71">
              <w:t>7.3. informācijai par audzēšanas modeli un stratēģiju.";</w:t>
            </w:r>
          </w:p>
          <w:p w14:paraId="0157A489" w14:textId="77777777" w:rsidR="006C105C" w:rsidRDefault="006C105C" w:rsidP="006C105C">
            <w:pPr>
              <w:jc w:val="both"/>
            </w:pPr>
          </w:p>
          <w:p w14:paraId="1A4FCA4D" w14:textId="77777777" w:rsidR="006C105C" w:rsidRPr="006C105C" w:rsidRDefault="006C105C" w:rsidP="006C105C">
            <w:pPr>
              <w:jc w:val="both"/>
            </w:pPr>
            <w:r w:rsidRPr="006C105C">
              <w:t>1.2. izteikt 8. punktu šādā redakcijā:</w:t>
            </w:r>
          </w:p>
          <w:p w14:paraId="36605686" w14:textId="0210BE19" w:rsidR="006C105C" w:rsidRPr="002712BA" w:rsidRDefault="006C105C" w:rsidP="006C105C">
            <w:pPr>
              <w:jc w:val="both"/>
            </w:pPr>
            <w:r w:rsidRPr="006C105C">
              <w:t xml:space="preserve">“8. Piemērojot šo noteikumu 7. punktu, institūts </w:t>
            </w:r>
            <w:proofErr w:type="spellStart"/>
            <w:r w:rsidRPr="006C105C">
              <w:rPr>
                <w:i/>
                <w:iCs/>
              </w:rPr>
              <w:t>mutatis</w:t>
            </w:r>
            <w:proofErr w:type="spellEnd"/>
            <w:r w:rsidRPr="006C105C">
              <w:rPr>
                <w:i/>
                <w:iCs/>
              </w:rPr>
              <w:t xml:space="preserve"> </w:t>
            </w:r>
            <w:proofErr w:type="spellStart"/>
            <w:r w:rsidRPr="006C105C">
              <w:rPr>
                <w:i/>
                <w:iCs/>
              </w:rPr>
              <w:t>mutandis</w:t>
            </w:r>
            <w:proofErr w:type="spellEnd"/>
            <w:r w:rsidRPr="006C105C">
              <w:t xml:space="preserve"> piemēro attiecīgos Regulas Nr. 178/2002 39.e un 41. panta noteikumus.”;</w:t>
            </w:r>
          </w:p>
        </w:tc>
      </w:tr>
      <w:tr w:rsidR="00275555" w:rsidRPr="0052064D" w14:paraId="55FCB850"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36B2D21" w14:textId="7FD7A937" w:rsidR="00275555" w:rsidRPr="00A82C4A" w:rsidRDefault="00D23106" w:rsidP="008D1463">
            <w:pPr>
              <w:shd w:val="clear" w:color="auto" w:fill="FFFFFF"/>
              <w:jc w:val="center"/>
              <w:rPr>
                <w:bCs/>
              </w:rPr>
            </w:pPr>
            <w:r>
              <w:rPr>
                <w:bCs/>
              </w:rPr>
              <w:lastRenderedPageBreak/>
              <w:t>5.</w:t>
            </w:r>
          </w:p>
        </w:tc>
        <w:tc>
          <w:tcPr>
            <w:tcW w:w="3431" w:type="dxa"/>
            <w:tcBorders>
              <w:top w:val="single" w:sz="4" w:space="0" w:color="000000"/>
              <w:left w:val="single" w:sz="4" w:space="0" w:color="000000"/>
              <w:bottom w:val="single" w:sz="4" w:space="0" w:color="000000"/>
              <w:right w:val="single" w:sz="4" w:space="0" w:color="000000"/>
            </w:tcBorders>
          </w:tcPr>
          <w:p w14:paraId="339FEAC4" w14:textId="4CA8DFBC" w:rsidR="008F3B8C" w:rsidRPr="008F3B8C" w:rsidRDefault="008F3B8C" w:rsidP="008F3B8C">
            <w:pPr>
              <w:shd w:val="clear" w:color="auto" w:fill="FFFFFF"/>
              <w:jc w:val="both"/>
              <w:rPr>
                <w:bCs/>
              </w:rPr>
            </w:pPr>
            <w:r w:rsidRPr="008F3B8C">
              <w:rPr>
                <w:bCs/>
              </w:rPr>
              <w:t>1.2. izteikt 8. punktu šādā redakcij</w:t>
            </w:r>
            <w:r>
              <w:rPr>
                <w:bCs/>
              </w:rPr>
              <w:t>ā</w:t>
            </w:r>
            <w:r w:rsidRPr="008F3B8C">
              <w:rPr>
                <w:bCs/>
              </w:rPr>
              <w:t>:</w:t>
            </w:r>
          </w:p>
          <w:p w14:paraId="18FE3B45" w14:textId="77777777" w:rsidR="008F3B8C" w:rsidRPr="008F3B8C" w:rsidRDefault="008F3B8C" w:rsidP="008F3B8C">
            <w:pPr>
              <w:shd w:val="clear" w:color="auto" w:fill="FFFFFF"/>
              <w:jc w:val="both"/>
              <w:rPr>
                <w:bCs/>
              </w:rPr>
            </w:pPr>
            <w:r w:rsidRPr="008F3B8C">
              <w:rPr>
                <w:bCs/>
              </w:rPr>
              <w:t>"8. Ja persona pamato, ka informācijas izpaušana varētu ievērojami kaitēt tās interesēm, institūts piešķir ierobežotas pieejamības statusu:</w:t>
            </w:r>
          </w:p>
          <w:p w14:paraId="6C348647" w14:textId="77777777" w:rsidR="008F3B8C" w:rsidRPr="008F3B8C" w:rsidRDefault="008F3B8C" w:rsidP="008F3B8C">
            <w:pPr>
              <w:shd w:val="clear" w:color="auto" w:fill="FFFFFF"/>
              <w:jc w:val="both"/>
              <w:rPr>
                <w:bCs/>
              </w:rPr>
            </w:pPr>
            <w:r w:rsidRPr="008F3B8C">
              <w:rPr>
                <w:bCs/>
              </w:rPr>
              <w:t xml:space="preserve">8.1. Eiropas Parlamenta un Padomes 2002. gada 28. janvāra Regulas (EK) Nr. 178/2002, ar ko paredz pārtikas aprites tiesību </w:t>
            </w:r>
            <w:r w:rsidRPr="008F3B8C">
              <w:rPr>
                <w:bCs/>
              </w:rPr>
              <w:lastRenderedPageBreak/>
              <w:t>aktu vispārīgus principus un prasības, izveido Eiropas Pārtikas nekaitīguma iestādi un paredz procedūras saistībā ar pārtikas nekaitīgumu, (turpmāk – Regula Nr. 178/2002) 39. panta 2. punkta "a", "b" un "c" apakšpunktā minētajai informācijai;</w:t>
            </w:r>
          </w:p>
          <w:p w14:paraId="3610452F" w14:textId="77777777" w:rsidR="008F3B8C" w:rsidRPr="008F3B8C" w:rsidRDefault="008F3B8C" w:rsidP="008F3B8C">
            <w:pPr>
              <w:shd w:val="clear" w:color="auto" w:fill="FFFFFF"/>
              <w:jc w:val="both"/>
              <w:rPr>
                <w:bCs/>
              </w:rPr>
            </w:pPr>
            <w:r w:rsidRPr="008F3B8C">
              <w:rPr>
                <w:bCs/>
              </w:rPr>
              <w:t xml:space="preserve">8.2. informācijai par DNS sekvenci, izņemot sekvenci, ko izmanto transformācijas notikuma atklāšanai, identificēšanai un kvantitatīvai noteikšanai; </w:t>
            </w:r>
          </w:p>
          <w:p w14:paraId="31AF2A00" w14:textId="293AEB6D" w:rsidR="00275555" w:rsidRPr="00275555" w:rsidRDefault="008F3B8C" w:rsidP="008F3B8C">
            <w:pPr>
              <w:shd w:val="clear" w:color="auto" w:fill="FFFFFF"/>
              <w:jc w:val="both"/>
              <w:rPr>
                <w:bCs/>
              </w:rPr>
            </w:pPr>
            <w:r w:rsidRPr="008F3B8C">
              <w:rPr>
                <w:bCs/>
              </w:rPr>
              <w:t>8.3. informācijai par audzēšanas modeli un stratēģiju.";</w:t>
            </w:r>
          </w:p>
        </w:tc>
        <w:tc>
          <w:tcPr>
            <w:tcW w:w="3827" w:type="dxa"/>
            <w:tcBorders>
              <w:top w:val="single" w:sz="4" w:space="0" w:color="000000"/>
              <w:left w:val="single" w:sz="4" w:space="0" w:color="000000"/>
              <w:bottom w:val="single" w:sz="4" w:space="0" w:color="000000"/>
              <w:right w:val="single" w:sz="4" w:space="0" w:color="000000"/>
            </w:tcBorders>
          </w:tcPr>
          <w:p w14:paraId="27EB01C4" w14:textId="77E6CB89" w:rsidR="00275555" w:rsidRDefault="00D23106" w:rsidP="00275555">
            <w:pPr>
              <w:jc w:val="both"/>
            </w:pPr>
            <w:r>
              <w:lastRenderedPageBreak/>
              <w:t>L</w:t>
            </w:r>
            <w:r w:rsidRPr="00D23106">
              <w:t>ūdzam anotācijā ietvert vispusīgu skaidrojumu un juridisko pamatojumu tam, kāpēc ar Noteikumu projekta 1.2. apakšpunktu plānots svītrot spēkā esošo Ministru kabineta 2009. gada 26. maija noteikumu Nr. 457 “Noteikumi par ģenētiski modificēto organismu apzinātu izplatīšanu” 8. punktā ietverto regulējumu.</w:t>
            </w:r>
          </w:p>
        </w:tc>
        <w:tc>
          <w:tcPr>
            <w:tcW w:w="3261" w:type="dxa"/>
            <w:tcBorders>
              <w:top w:val="single" w:sz="4" w:space="0" w:color="000000"/>
              <w:left w:val="single" w:sz="4" w:space="0" w:color="000000"/>
              <w:bottom w:val="single" w:sz="4" w:space="0" w:color="000000"/>
              <w:right w:val="single" w:sz="4" w:space="0" w:color="000000"/>
            </w:tcBorders>
          </w:tcPr>
          <w:p w14:paraId="7DAF85C7" w14:textId="06495B9E" w:rsidR="00275555" w:rsidRPr="002712BA" w:rsidRDefault="008F3B8C" w:rsidP="005E2B44">
            <w:pPr>
              <w:shd w:val="clear" w:color="auto" w:fill="FFFFFF"/>
              <w:jc w:val="both"/>
            </w:pPr>
            <w:r>
              <w:t>Noteikumu 8. punkts tiek izteikts citā redakcijā atbilstoši grozījumiem direktīvas 2001/18/EK 25. pantā.</w:t>
            </w:r>
          </w:p>
        </w:tc>
        <w:tc>
          <w:tcPr>
            <w:tcW w:w="3260" w:type="dxa"/>
            <w:tcBorders>
              <w:top w:val="single" w:sz="4" w:space="0" w:color="000000"/>
              <w:left w:val="single" w:sz="4" w:space="0" w:color="000000"/>
              <w:bottom w:val="single" w:sz="4" w:space="0" w:color="000000"/>
              <w:right w:val="single" w:sz="4" w:space="0" w:color="000000"/>
            </w:tcBorders>
          </w:tcPr>
          <w:p w14:paraId="5C4EFF94" w14:textId="79127B47" w:rsidR="006C105C" w:rsidRPr="006C105C" w:rsidRDefault="006C105C" w:rsidP="006C105C">
            <w:pPr>
              <w:jc w:val="both"/>
            </w:pPr>
            <w:r w:rsidRPr="006C105C">
              <w:t>1.2. izteikt 8. punktu šādā redakcijā:</w:t>
            </w:r>
          </w:p>
          <w:p w14:paraId="51AC31BB" w14:textId="456422AC" w:rsidR="00275555" w:rsidRPr="002712BA" w:rsidRDefault="006C105C" w:rsidP="006C105C">
            <w:pPr>
              <w:jc w:val="both"/>
            </w:pPr>
            <w:r w:rsidRPr="006C105C">
              <w:t>“8. Piemērojot šo noteikumu 7.</w:t>
            </w:r>
            <w:r w:rsidR="003B6E13">
              <w:t> </w:t>
            </w:r>
            <w:r w:rsidRPr="006C105C">
              <w:t xml:space="preserve">punktu, institūts </w:t>
            </w:r>
            <w:proofErr w:type="spellStart"/>
            <w:r w:rsidRPr="006C105C">
              <w:rPr>
                <w:i/>
                <w:iCs/>
              </w:rPr>
              <w:t>mutatis</w:t>
            </w:r>
            <w:proofErr w:type="spellEnd"/>
            <w:r w:rsidRPr="006C105C">
              <w:rPr>
                <w:i/>
                <w:iCs/>
              </w:rPr>
              <w:t xml:space="preserve"> </w:t>
            </w:r>
            <w:proofErr w:type="spellStart"/>
            <w:r w:rsidRPr="006C105C">
              <w:rPr>
                <w:i/>
                <w:iCs/>
              </w:rPr>
              <w:t>mutandis</w:t>
            </w:r>
            <w:proofErr w:type="spellEnd"/>
            <w:r w:rsidRPr="006C105C">
              <w:t xml:space="preserve"> piemēro attiecīgos Regulas Nr. 178/2002 </w:t>
            </w:r>
            <w:r w:rsidRPr="003B6E13">
              <w:t>39.e</w:t>
            </w:r>
            <w:r w:rsidRPr="006C105C">
              <w:t xml:space="preserve"> un 41. panta noteikumus.”;</w:t>
            </w:r>
          </w:p>
        </w:tc>
      </w:tr>
      <w:tr w:rsidR="006C105C" w:rsidRPr="0052064D" w14:paraId="77BE9ABA"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38218D7" w14:textId="4999427E" w:rsidR="006C105C" w:rsidRPr="00A82C4A" w:rsidRDefault="006C105C" w:rsidP="006C105C">
            <w:pPr>
              <w:shd w:val="clear" w:color="auto" w:fill="FFFFFF"/>
              <w:jc w:val="center"/>
              <w:rPr>
                <w:bCs/>
              </w:rPr>
            </w:pPr>
            <w:r>
              <w:rPr>
                <w:bCs/>
              </w:rPr>
              <w:t>6.</w:t>
            </w:r>
          </w:p>
        </w:tc>
        <w:tc>
          <w:tcPr>
            <w:tcW w:w="3431" w:type="dxa"/>
            <w:tcBorders>
              <w:top w:val="single" w:sz="4" w:space="0" w:color="000000"/>
              <w:left w:val="single" w:sz="4" w:space="0" w:color="000000"/>
              <w:bottom w:val="single" w:sz="4" w:space="0" w:color="000000"/>
              <w:right w:val="single" w:sz="4" w:space="0" w:color="000000"/>
            </w:tcBorders>
          </w:tcPr>
          <w:p w14:paraId="7855AC9B" w14:textId="77777777" w:rsidR="006C105C" w:rsidRPr="003C1CD9" w:rsidRDefault="006C105C" w:rsidP="006C105C">
            <w:pPr>
              <w:shd w:val="clear" w:color="auto" w:fill="FFFFFF"/>
              <w:jc w:val="both"/>
              <w:rPr>
                <w:bCs/>
              </w:rPr>
            </w:pPr>
            <w:r w:rsidRPr="003C1CD9">
              <w:rPr>
                <w:bCs/>
              </w:rPr>
              <w:t xml:space="preserve">1.2. izteikt 8. punktu šādā </w:t>
            </w:r>
            <w:proofErr w:type="spellStart"/>
            <w:r w:rsidRPr="003C1CD9">
              <w:rPr>
                <w:bCs/>
              </w:rPr>
              <w:t>redakcjā</w:t>
            </w:r>
            <w:proofErr w:type="spellEnd"/>
            <w:r w:rsidRPr="003C1CD9">
              <w:rPr>
                <w:bCs/>
              </w:rPr>
              <w:t>:</w:t>
            </w:r>
          </w:p>
          <w:p w14:paraId="09CBA3B5" w14:textId="77777777" w:rsidR="006C105C" w:rsidRPr="003C1CD9" w:rsidRDefault="006C105C" w:rsidP="006C105C">
            <w:pPr>
              <w:shd w:val="clear" w:color="auto" w:fill="FFFFFF"/>
              <w:jc w:val="both"/>
              <w:rPr>
                <w:bCs/>
              </w:rPr>
            </w:pPr>
            <w:r w:rsidRPr="003C1CD9">
              <w:rPr>
                <w:bCs/>
              </w:rPr>
              <w:t>"8. Ja persona pamato, ka informācijas izpaušana varētu ievērojami kaitēt tās interesēm, institūts piešķir ierobežotas pieejamības statusu:</w:t>
            </w:r>
          </w:p>
          <w:p w14:paraId="645411B8" w14:textId="77777777" w:rsidR="006C105C" w:rsidRPr="003C1CD9" w:rsidRDefault="006C105C" w:rsidP="006C105C">
            <w:pPr>
              <w:shd w:val="clear" w:color="auto" w:fill="FFFFFF"/>
              <w:jc w:val="both"/>
              <w:rPr>
                <w:bCs/>
              </w:rPr>
            </w:pPr>
            <w:r w:rsidRPr="003C1CD9">
              <w:rPr>
                <w:bCs/>
              </w:rPr>
              <w:t xml:space="preserve">8.1. Eiropas Parlamenta un Padomes 2002. gada 28. janvāra Regulas (EK) Nr. 178/2002, ar ko paredz pārtikas aprites tiesību aktu vispārīgus principus un prasības, izveido Eiropas Pārtikas nekaitīguma iestādi un paredz procedūras saistībā ar pārtikas nekaitīgumu, (turpmāk – Regula Nr. 178/2002) 39. panta 2. punkta </w:t>
            </w:r>
            <w:r w:rsidRPr="003C1CD9">
              <w:rPr>
                <w:bCs/>
              </w:rPr>
              <w:lastRenderedPageBreak/>
              <w:t>"a", "b" un "c" apakšpunktā minētajai informācijai;</w:t>
            </w:r>
          </w:p>
          <w:p w14:paraId="0838BE2D" w14:textId="77777777" w:rsidR="006C105C" w:rsidRPr="003C1CD9" w:rsidRDefault="006C105C" w:rsidP="006C105C">
            <w:pPr>
              <w:shd w:val="clear" w:color="auto" w:fill="FFFFFF"/>
              <w:jc w:val="both"/>
              <w:rPr>
                <w:bCs/>
              </w:rPr>
            </w:pPr>
            <w:r w:rsidRPr="003C1CD9">
              <w:rPr>
                <w:bCs/>
              </w:rPr>
              <w:t xml:space="preserve">8.2. informācijai par DNS sekvenci, izņemot sekvenci, ko izmanto transformācijas notikuma atklāšanai, identificēšanai un kvantitatīvai noteikšanai; </w:t>
            </w:r>
          </w:p>
          <w:p w14:paraId="70FFBACE" w14:textId="03E48145" w:rsidR="006C105C" w:rsidRPr="00275555" w:rsidRDefault="006C105C" w:rsidP="006C105C">
            <w:pPr>
              <w:shd w:val="clear" w:color="auto" w:fill="FFFFFF"/>
              <w:jc w:val="both"/>
              <w:rPr>
                <w:bCs/>
              </w:rPr>
            </w:pPr>
            <w:r w:rsidRPr="003C1CD9">
              <w:rPr>
                <w:bCs/>
              </w:rPr>
              <w:t>8.3. informācijai par audzēšanas modeli un stratēģiju.";</w:t>
            </w:r>
          </w:p>
        </w:tc>
        <w:tc>
          <w:tcPr>
            <w:tcW w:w="3827" w:type="dxa"/>
            <w:tcBorders>
              <w:top w:val="single" w:sz="4" w:space="0" w:color="000000"/>
              <w:left w:val="single" w:sz="4" w:space="0" w:color="000000"/>
              <w:bottom w:val="single" w:sz="4" w:space="0" w:color="000000"/>
              <w:right w:val="single" w:sz="4" w:space="0" w:color="000000"/>
            </w:tcBorders>
          </w:tcPr>
          <w:p w14:paraId="606D21CB" w14:textId="77777777" w:rsidR="006C105C" w:rsidRDefault="006C105C" w:rsidP="006C105C">
            <w:pPr>
              <w:jc w:val="both"/>
            </w:pPr>
            <w:r w:rsidRPr="00D23106">
              <w:lastRenderedPageBreak/>
              <w:t>Lūdzam precizēt un anotācijā ietvert skaidrojumu Noteikumu projekta 1.2. apakšpunktam, kā pēc būtības pārtikas drošības, dzīvnieku veselības un vides zinātniskais institūts “BIOR” (turpmāk – institūts) plāno īstenot saņemto iesniegumu par ierobežotas pieejamības informācijas statusa noteikšanu izskatīšanu, izvērtēšanu un lēmuma pieņemšanu, kā arī, vai, saņemot minēto iesniegumu, institūts ikreiz veiks iesniedzējam labvēlīgu faktisko rīcību.</w:t>
            </w:r>
          </w:p>
          <w:p w14:paraId="1DAE74B6" w14:textId="6DBE0D8A" w:rsidR="006C105C" w:rsidRDefault="006C105C" w:rsidP="006C105C">
            <w:pPr>
              <w:jc w:val="both"/>
            </w:pPr>
            <w:r w:rsidRPr="00D23106">
              <w:t xml:space="preserve">Tāpat lūdzam anotācijā skaidrot Noteikumu projekta 1.2. apakšpunkta atbilstību Eiropas Parlamenta un Padomes 2019. gada 20. jūnija </w:t>
            </w:r>
            <w:r w:rsidRPr="00D23106">
              <w:lastRenderedPageBreak/>
              <w:t>Regulas 2019/1381/ES par ES riska novērtēšanas pārredzamību un ilgtspēju pārtikas aprites ķēdē un ar ko groza Regulas (EK) Nr.  178/2002, (EK) Nr. 1829/2003, (EK) Nr. 1831/2003, (EK) Nr. 2065/2003, (EK) Nr. 1935/2004, (EK) Nr. 1331/2008, (EK) Nr. 1107/2009, (ES) 2015/2283 un Direktīvu 2001/18/EK 9. panta 3. punktam.</w:t>
            </w:r>
          </w:p>
        </w:tc>
        <w:tc>
          <w:tcPr>
            <w:tcW w:w="3261" w:type="dxa"/>
            <w:tcBorders>
              <w:top w:val="single" w:sz="4" w:space="0" w:color="000000"/>
              <w:left w:val="single" w:sz="4" w:space="0" w:color="000000"/>
              <w:bottom w:val="single" w:sz="4" w:space="0" w:color="000000"/>
              <w:right w:val="single" w:sz="4" w:space="0" w:color="000000"/>
            </w:tcBorders>
          </w:tcPr>
          <w:p w14:paraId="48C037F8" w14:textId="5BA16618" w:rsidR="006C105C" w:rsidRPr="009A7E04" w:rsidRDefault="006C105C" w:rsidP="006C105C">
            <w:pPr>
              <w:shd w:val="clear" w:color="auto" w:fill="FFFFFF"/>
              <w:jc w:val="both"/>
              <w:rPr>
                <w:highlight w:val="yellow"/>
              </w:rPr>
            </w:pPr>
            <w:r w:rsidRPr="00F72529">
              <w:lastRenderedPageBreak/>
              <w:t>Ņemts vērā. Noteikumu projekts atbilstoši precizēts.</w:t>
            </w:r>
          </w:p>
        </w:tc>
        <w:tc>
          <w:tcPr>
            <w:tcW w:w="3260" w:type="dxa"/>
            <w:tcBorders>
              <w:top w:val="single" w:sz="4" w:space="0" w:color="000000"/>
              <w:left w:val="single" w:sz="4" w:space="0" w:color="000000"/>
              <w:bottom w:val="single" w:sz="4" w:space="0" w:color="000000"/>
              <w:right w:val="single" w:sz="4" w:space="0" w:color="000000"/>
            </w:tcBorders>
          </w:tcPr>
          <w:p w14:paraId="7309F8BC" w14:textId="77777777" w:rsidR="006C105C" w:rsidRPr="00A21D71" w:rsidRDefault="006C105C" w:rsidP="006C105C">
            <w:pPr>
              <w:jc w:val="both"/>
            </w:pPr>
            <w:r w:rsidRPr="00A21D71">
              <w:t>1.1. izteikt 7. punktu šādā redakcijā:</w:t>
            </w:r>
          </w:p>
          <w:p w14:paraId="6098403A" w14:textId="54493F19" w:rsidR="006C105C" w:rsidRPr="00A21D71" w:rsidRDefault="006C105C" w:rsidP="006C105C">
            <w:pPr>
              <w:jc w:val="both"/>
            </w:pPr>
            <w:r w:rsidRPr="00A21D71">
              <w:t xml:space="preserve">“7. </w:t>
            </w:r>
            <w:r w:rsidR="00C75DA9">
              <w:t>P</w:t>
            </w:r>
            <w:r w:rsidR="00C75DA9" w:rsidRPr="00A21D71">
              <w:t>amatojoties uz Informācijas atklātības likumu</w:t>
            </w:r>
            <w:r w:rsidR="00C75DA9">
              <w:t>,</w:t>
            </w:r>
            <w:r w:rsidR="00C75DA9" w:rsidRPr="00A21D71">
              <w:t xml:space="preserve"> </w:t>
            </w:r>
            <w:r w:rsidR="00C75DA9">
              <w:t>i</w:t>
            </w:r>
            <w:r w:rsidR="00C75DA9" w:rsidRPr="00A21D71">
              <w:t xml:space="preserve">nstitūts, </w:t>
            </w:r>
            <w:r w:rsidR="00C75DA9">
              <w:t>ie</w:t>
            </w:r>
            <w:r w:rsidR="00C75DA9" w:rsidRPr="00A21D71">
              <w:t>vēr</w:t>
            </w:r>
            <w:r w:rsidR="00C75DA9">
              <w:t>ojot</w:t>
            </w:r>
            <w:r w:rsidR="00C75DA9" w:rsidRPr="00A21D71">
              <w:t xml:space="preserve"> personas iesniegtu pamatojumu un konsultējoties ar personu, lemj par ierobežotas pieejamības statusa piešķiršanu šādai iesniegumā ietvertai informācijai, ja persona pierāda, ka informācijas izpaušana varētu būtiski kaitēt tās interesēm:</w:t>
            </w:r>
          </w:p>
          <w:p w14:paraId="4BE4DBB1" w14:textId="77777777" w:rsidR="006C105C" w:rsidRPr="00A21D71" w:rsidRDefault="006C105C" w:rsidP="006C105C">
            <w:pPr>
              <w:jc w:val="both"/>
            </w:pPr>
            <w:r w:rsidRPr="00A21D71">
              <w:t xml:space="preserve">7.1. Eiropas Parlamenta un Padomes 2002. gada 28. janvāra Regulas (EK) Nr. </w:t>
            </w:r>
            <w:r w:rsidRPr="00A21D71">
              <w:lastRenderedPageBreak/>
              <w:t>178/2002, ar ko paredz pārtikas aprites tiesību aktu vispārīgus principus un prasības, izveido Eiropas Pārtikas nekaitīguma iestādi un paredz procedūras saistībā ar pārtikas nekaitīgumu, (turpmāk – Regula Nr. 178/2002) 39. panta 2. punkta "a", "b" un "c" apakšpunktā minētajai informācijai;</w:t>
            </w:r>
          </w:p>
          <w:p w14:paraId="25CD0159" w14:textId="77777777" w:rsidR="006C105C" w:rsidRPr="00A21D71" w:rsidRDefault="006C105C" w:rsidP="006C105C">
            <w:pPr>
              <w:jc w:val="both"/>
            </w:pPr>
            <w:r w:rsidRPr="00A21D71">
              <w:t xml:space="preserve">7.2. informācijai par DNS sekvenci, izņemot sekvenci, ko izmanto transformācijas notikuma atklāšanai, identificēšanai un kvantitatīvai noteikšanai; </w:t>
            </w:r>
          </w:p>
          <w:p w14:paraId="112FF45F" w14:textId="476D0BAC" w:rsidR="006C105C" w:rsidRPr="002712BA" w:rsidRDefault="006C105C" w:rsidP="006C105C">
            <w:pPr>
              <w:jc w:val="both"/>
            </w:pPr>
            <w:r w:rsidRPr="00A21D71">
              <w:t>7.3. informācijai par audzēšanas modeli un stratēģiju.";</w:t>
            </w:r>
          </w:p>
        </w:tc>
      </w:tr>
      <w:tr w:rsidR="00275555" w:rsidRPr="0052064D" w14:paraId="6D7E6C0A"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796999DA" w14:textId="57318894" w:rsidR="00275555" w:rsidRPr="00A82C4A" w:rsidRDefault="00D23106" w:rsidP="00B2380F">
            <w:pPr>
              <w:shd w:val="clear" w:color="auto" w:fill="FFFFFF"/>
              <w:jc w:val="center"/>
              <w:rPr>
                <w:bCs/>
              </w:rPr>
            </w:pPr>
            <w:r>
              <w:rPr>
                <w:bCs/>
              </w:rPr>
              <w:lastRenderedPageBreak/>
              <w:t>7.</w:t>
            </w:r>
          </w:p>
        </w:tc>
        <w:tc>
          <w:tcPr>
            <w:tcW w:w="3431" w:type="dxa"/>
            <w:tcBorders>
              <w:top w:val="single" w:sz="4" w:space="0" w:color="000000"/>
              <w:left w:val="single" w:sz="4" w:space="0" w:color="000000"/>
              <w:bottom w:val="single" w:sz="4" w:space="0" w:color="000000"/>
              <w:right w:val="single" w:sz="4" w:space="0" w:color="000000"/>
            </w:tcBorders>
          </w:tcPr>
          <w:p w14:paraId="63402F50" w14:textId="5081D945" w:rsidR="00275555" w:rsidRPr="00275555" w:rsidRDefault="00275555" w:rsidP="007323D0">
            <w:pPr>
              <w:shd w:val="clear" w:color="auto" w:fill="FFFFFF"/>
              <w:jc w:val="both"/>
              <w:rPr>
                <w:bCs/>
              </w:rPr>
            </w:pPr>
          </w:p>
        </w:tc>
        <w:tc>
          <w:tcPr>
            <w:tcW w:w="3827" w:type="dxa"/>
            <w:tcBorders>
              <w:top w:val="single" w:sz="4" w:space="0" w:color="000000"/>
              <w:left w:val="single" w:sz="4" w:space="0" w:color="000000"/>
              <w:bottom w:val="single" w:sz="4" w:space="0" w:color="000000"/>
              <w:right w:val="single" w:sz="4" w:space="0" w:color="000000"/>
            </w:tcBorders>
          </w:tcPr>
          <w:p w14:paraId="3063F84A" w14:textId="7E729DDD" w:rsidR="00275555" w:rsidRDefault="00D23106" w:rsidP="00275555">
            <w:pPr>
              <w:jc w:val="both"/>
            </w:pPr>
            <w:r w:rsidRPr="00D23106">
              <w:t>Lūdzam aizpildīt Noteikumu projekta anotācijas V. sadaļas 1. tabulu atbilstoši Instrukcijas 56. punktam.</w:t>
            </w:r>
          </w:p>
        </w:tc>
        <w:tc>
          <w:tcPr>
            <w:tcW w:w="3261" w:type="dxa"/>
            <w:tcBorders>
              <w:top w:val="single" w:sz="4" w:space="0" w:color="000000"/>
              <w:left w:val="single" w:sz="4" w:space="0" w:color="000000"/>
              <w:bottom w:val="single" w:sz="4" w:space="0" w:color="000000"/>
              <w:right w:val="single" w:sz="4" w:space="0" w:color="000000"/>
            </w:tcBorders>
          </w:tcPr>
          <w:p w14:paraId="0638FBC3" w14:textId="3E6A5912" w:rsidR="00275555" w:rsidRPr="009E45C4" w:rsidRDefault="00B9017D" w:rsidP="00C66194">
            <w:pPr>
              <w:shd w:val="clear" w:color="auto" w:fill="FFFFFF"/>
              <w:jc w:val="both"/>
            </w:pPr>
            <w:r w:rsidRPr="009E45C4">
              <w:t>Panākta vienošanās</w:t>
            </w:r>
            <w:r w:rsidR="009E45C4" w:rsidRPr="009E45C4">
              <w:t xml:space="preserve"> saskaņošanas procesā</w:t>
            </w:r>
            <w:r w:rsidRPr="009E45C4">
              <w:t xml:space="preserve">. </w:t>
            </w:r>
            <w:r w:rsidR="00C75DA9">
              <w:t>Tā kā</w:t>
            </w:r>
            <w:r w:rsidRPr="009E45C4">
              <w:t xml:space="preserve"> noteikumu projektā tiek pārņemtas normas, kas izriet no regulas 2019/1381 9.</w:t>
            </w:r>
            <w:r w:rsidR="00C75DA9">
              <w:t xml:space="preserve"> </w:t>
            </w:r>
            <w:r w:rsidRPr="009E45C4">
              <w:t xml:space="preserve">panta, </w:t>
            </w:r>
            <w:r w:rsidR="00C75DA9">
              <w:t xml:space="preserve">ar </w:t>
            </w:r>
            <w:r w:rsidRPr="009E45C4">
              <w:t>k</w:t>
            </w:r>
            <w:r w:rsidR="00C75DA9">
              <w:t>uru tiek</w:t>
            </w:r>
            <w:r w:rsidRPr="009E45C4">
              <w:t xml:space="preserve"> groz</w:t>
            </w:r>
            <w:r w:rsidR="00C75DA9">
              <w:t>īt</w:t>
            </w:r>
            <w:r w:rsidRPr="009E45C4">
              <w:t>a direktīv</w:t>
            </w:r>
            <w:r w:rsidR="00C75DA9">
              <w:t>a</w:t>
            </w:r>
            <w:r w:rsidRPr="009E45C4">
              <w:t xml:space="preserve"> 2001/18, atsauce uz regulu </w:t>
            </w:r>
            <w:r w:rsidR="00C75DA9">
              <w:t>Nr. </w:t>
            </w:r>
            <w:r w:rsidRPr="009E45C4">
              <w:t xml:space="preserve">178/2002 netiek </w:t>
            </w:r>
            <w:r w:rsidR="00C75DA9">
              <w:t>do</w:t>
            </w:r>
            <w:r w:rsidRPr="009E45C4">
              <w:t>ta.</w:t>
            </w:r>
          </w:p>
        </w:tc>
        <w:tc>
          <w:tcPr>
            <w:tcW w:w="3260" w:type="dxa"/>
            <w:tcBorders>
              <w:top w:val="single" w:sz="4" w:space="0" w:color="000000"/>
              <w:left w:val="single" w:sz="4" w:space="0" w:color="000000"/>
              <w:bottom w:val="single" w:sz="4" w:space="0" w:color="000000"/>
              <w:right w:val="single" w:sz="4" w:space="0" w:color="000000"/>
            </w:tcBorders>
          </w:tcPr>
          <w:p w14:paraId="531F2940" w14:textId="22637970" w:rsidR="00275555" w:rsidRPr="002712BA" w:rsidRDefault="00275555" w:rsidP="00804DD3">
            <w:pPr>
              <w:jc w:val="both"/>
            </w:pPr>
          </w:p>
        </w:tc>
      </w:tr>
      <w:tr w:rsidR="00D23106" w:rsidRPr="0052064D" w14:paraId="4B0E7522"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BC38550" w14:textId="7E79C4E7" w:rsidR="00D23106" w:rsidRDefault="00D23106" w:rsidP="00B2380F">
            <w:pPr>
              <w:shd w:val="clear" w:color="auto" w:fill="FFFFFF"/>
              <w:jc w:val="center"/>
              <w:rPr>
                <w:bCs/>
              </w:rPr>
            </w:pPr>
            <w:r>
              <w:rPr>
                <w:bCs/>
              </w:rPr>
              <w:t>8.</w:t>
            </w:r>
          </w:p>
        </w:tc>
        <w:tc>
          <w:tcPr>
            <w:tcW w:w="3431" w:type="dxa"/>
            <w:tcBorders>
              <w:top w:val="single" w:sz="4" w:space="0" w:color="000000"/>
              <w:left w:val="single" w:sz="4" w:space="0" w:color="000000"/>
              <w:bottom w:val="single" w:sz="4" w:space="0" w:color="000000"/>
              <w:right w:val="single" w:sz="4" w:space="0" w:color="000000"/>
            </w:tcBorders>
          </w:tcPr>
          <w:p w14:paraId="36DE0C1B" w14:textId="77777777" w:rsidR="00D23106" w:rsidRPr="00275555" w:rsidRDefault="00D23106" w:rsidP="007323D0">
            <w:pPr>
              <w:shd w:val="clear" w:color="auto" w:fill="FFFFFF"/>
              <w:jc w:val="both"/>
              <w:rPr>
                <w:bCs/>
              </w:rPr>
            </w:pPr>
          </w:p>
        </w:tc>
        <w:tc>
          <w:tcPr>
            <w:tcW w:w="3827" w:type="dxa"/>
            <w:tcBorders>
              <w:top w:val="single" w:sz="4" w:space="0" w:color="000000"/>
              <w:left w:val="single" w:sz="4" w:space="0" w:color="000000"/>
              <w:bottom w:val="single" w:sz="4" w:space="0" w:color="000000"/>
              <w:right w:val="single" w:sz="4" w:space="0" w:color="000000"/>
            </w:tcBorders>
          </w:tcPr>
          <w:p w14:paraId="7F832A91" w14:textId="272F0677" w:rsidR="00D23106" w:rsidRPr="00D23106" w:rsidRDefault="00D23106" w:rsidP="00275555">
            <w:pPr>
              <w:jc w:val="both"/>
            </w:pPr>
            <w:r w:rsidRPr="00D23106">
              <w:t xml:space="preserve">Lūdzam atbilstoši Instrukcijas VI. nodaļas prasībām papildināt anotācijas V. sadaļu par Noteikumu projekta atbilstību Apvienoto Nāciju Organizācijas 1998. gada 25. jūnija </w:t>
            </w:r>
            <w:r w:rsidRPr="00D23106">
              <w:lastRenderedPageBreak/>
              <w:t>konvencijai „Par pieeju informācijai, sabiedrības dalību lēmumu pieņemšanā un iespēju vērsties tiesu iestādēs saistībā ar vides jautājumiem”  jeb Orhūsas konvencijai, kuru Latvijas Republikas Saeima ratificējusi 2002. gada 18. aprīlī, un kas stājās spēkā Latvijā 2002. gada 26. aprīlī , it īpaši saistībā ar minētā juridiskā instrumenta 5. un 6. panta prasībām nodrošināt pēc iespējas neierobežotu sabiedrības piekļuvi vides informācijai, kā arī nodrošināt plašu un efektīvu sabiedrības līdzdalību lēmumu pieņemšanā tostarp arī par ģenētiski modificēto organismu izplatīšanu vidē.</w:t>
            </w:r>
          </w:p>
        </w:tc>
        <w:tc>
          <w:tcPr>
            <w:tcW w:w="3261" w:type="dxa"/>
            <w:tcBorders>
              <w:top w:val="single" w:sz="4" w:space="0" w:color="000000"/>
              <w:left w:val="single" w:sz="4" w:space="0" w:color="000000"/>
              <w:bottom w:val="single" w:sz="4" w:space="0" w:color="000000"/>
              <w:right w:val="single" w:sz="4" w:space="0" w:color="000000"/>
            </w:tcBorders>
          </w:tcPr>
          <w:p w14:paraId="78016C3F" w14:textId="0FDB42B4" w:rsidR="007E1D2E" w:rsidRPr="009E45C4" w:rsidRDefault="007E1D2E" w:rsidP="005E2B44">
            <w:pPr>
              <w:shd w:val="clear" w:color="auto" w:fill="FFFFFF"/>
              <w:jc w:val="both"/>
              <w:rPr>
                <w:bCs/>
              </w:rPr>
            </w:pPr>
            <w:r w:rsidRPr="009E45C4">
              <w:rPr>
                <w:bCs/>
              </w:rPr>
              <w:lastRenderedPageBreak/>
              <w:t>Panākta vienošanās saskaņošanas procesā</w:t>
            </w:r>
            <w:r w:rsidR="009E45C4" w:rsidRPr="009E45C4">
              <w:rPr>
                <w:bCs/>
              </w:rPr>
              <w:t>.</w:t>
            </w:r>
          </w:p>
          <w:p w14:paraId="1EB30CCD" w14:textId="1E4A3C17" w:rsidR="00D23106" w:rsidRDefault="003F2952" w:rsidP="005E2B44">
            <w:pPr>
              <w:shd w:val="clear" w:color="auto" w:fill="FFFFFF"/>
              <w:jc w:val="both"/>
            </w:pPr>
            <w:r w:rsidRPr="00F72529">
              <w:t xml:space="preserve">Noteikumu projekts neparedz izpildīt vai uzņemties jaunas saistības </w:t>
            </w:r>
            <w:r w:rsidR="00C75DA9">
              <w:t xml:space="preserve">attiecībā uz </w:t>
            </w:r>
            <w:r w:rsidRPr="00F72529">
              <w:t xml:space="preserve">Orhūsas </w:t>
            </w:r>
            <w:r w:rsidRPr="00F72529">
              <w:lastRenderedPageBreak/>
              <w:t>konvencij</w:t>
            </w:r>
            <w:r w:rsidR="00C75DA9">
              <w:t>u</w:t>
            </w:r>
            <w:r w:rsidRPr="00F72529">
              <w:t xml:space="preserve">, </w:t>
            </w:r>
            <w:r w:rsidR="00C75DA9">
              <w:t xml:space="preserve">un </w:t>
            </w:r>
            <w:r w:rsidRPr="00F72529">
              <w:t xml:space="preserve">plānotie grozījumi nav </w:t>
            </w:r>
            <w:r w:rsidR="00C75DA9">
              <w:t xml:space="preserve">arī </w:t>
            </w:r>
            <w:r w:rsidRPr="00F72529">
              <w:t xml:space="preserve">pretrunā ar konvencijā noteiktajām sabiedrības līdzdalības </w:t>
            </w:r>
            <w:r w:rsidR="0055212B" w:rsidRPr="00F72529">
              <w:t>iespējam</w:t>
            </w:r>
            <w:r w:rsidRPr="00F72529">
              <w:t xml:space="preserve"> un pieeju informācijai.</w:t>
            </w:r>
          </w:p>
          <w:p w14:paraId="686C423E" w14:textId="74635A4D" w:rsidR="007E1D2E" w:rsidRPr="00F72529" w:rsidRDefault="007E1D2E" w:rsidP="005E2B44">
            <w:pPr>
              <w:shd w:val="clear" w:color="auto" w:fill="FFFFFF"/>
              <w:jc w:val="both"/>
            </w:pPr>
            <w:r>
              <w:t>Vēršam uzmanīb</w:t>
            </w:r>
            <w:r w:rsidR="009E45C4">
              <w:t xml:space="preserve">u uz </w:t>
            </w:r>
            <w:r>
              <w:t>regulas 2019/138</w:t>
            </w:r>
            <w:r w:rsidR="005F114A">
              <w:t>1</w:t>
            </w:r>
            <w:r>
              <w:t xml:space="preserve"> 1. panta 9. punkt</w:t>
            </w:r>
            <w:r w:rsidR="009E45C4">
              <w:t>u</w:t>
            </w:r>
            <w:r>
              <w:t>, ar kuru regula</w:t>
            </w:r>
            <w:r w:rsidR="009E45C4">
              <w:t xml:space="preserve"> </w:t>
            </w:r>
            <w:r w:rsidR="00C75DA9">
              <w:t xml:space="preserve">Nr. </w:t>
            </w:r>
            <w:r w:rsidR="009E45C4" w:rsidRPr="009E45C4">
              <w:t xml:space="preserve">178/2002 </w:t>
            </w:r>
            <w:r>
              <w:t xml:space="preserve"> tiek papildināta ar </w:t>
            </w:r>
            <w:r w:rsidRPr="003B6E13">
              <w:t>39</w:t>
            </w:r>
            <w:r w:rsidR="003B6E13">
              <w:t>.</w:t>
            </w:r>
            <w:r w:rsidRPr="003B6E13">
              <w:t>g pantu</w:t>
            </w:r>
            <w:r w:rsidRPr="007B5C2A">
              <w:t>,</w:t>
            </w:r>
            <w:r>
              <w:t xml:space="preserve"> kas cita starpā groza regulas </w:t>
            </w:r>
            <w:r w:rsidR="006B6555">
              <w:t>Nr. </w:t>
            </w:r>
            <w:r>
              <w:t>178/2002 41.</w:t>
            </w:r>
            <w:r w:rsidR="006B6555">
              <w:t> </w:t>
            </w:r>
            <w:r>
              <w:t>pantu, k</w:t>
            </w:r>
            <w:r w:rsidR="007B5C2A">
              <w:t>urš</w:t>
            </w:r>
            <w:r>
              <w:t xml:space="preserve"> savukārt secīgi stāsies spēkā 2021. gada 27. martā.</w:t>
            </w:r>
          </w:p>
          <w:p w14:paraId="6604F6CF" w14:textId="65127339" w:rsidR="0055212B" w:rsidRPr="00F72529" w:rsidRDefault="0055212B" w:rsidP="005E2B44">
            <w:pPr>
              <w:shd w:val="clear" w:color="auto" w:fill="FFFFFF"/>
              <w:jc w:val="both"/>
            </w:pPr>
          </w:p>
        </w:tc>
        <w:tc>
          <w:tcPr>
            <w:tcW w:w="3260" w:type="dxa"/>
            <w:tcBorders>
              <w:top w:val="single" w:sz="4" w:space="0" w:color="000000"/>
              <w:left w:val="single" w:sz="4" w:space="0" w:color="000000"/>
              <w:bottom w:val="single" w:sz="4" w:space="0" w:color="000000"/>
              <w:right w:val="single" w:sz="4" w:space="0" w:color="000000"/>
            </w:tcBorders>
          </w:tcPr>
          <w:p w14:paraId="677D4009" w14:textId="562BF3B8" w:rsidR="00D23106" w:rsidRPr="002712BA" w:rsidRDefault="007E1D2E" w:rsidP="00804DD3">
            <w:pPr>
              <w:jc w:val="both"/>
            </w:pPr>
            <w:r>
              <w:lastRenderedPageBreak/>
              <w:t>Precizēta anotācijas V sadaļa.</w:t>
            </w:r>
          </w:p>
        </w:tc>
      </w:tr>
      <w:tr w:rsidR="00D23106" w:rsidRPr="0052064D" w14:paraId="305907B9"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6834B94F" w14:textId="78D6EC7B" w:rsidR="00D23106" w:rsidRDefault="00D23106" w:rsidP="00B2380F">
            <w:pPr>
              <w:shd w:val="clear" w:color="auto" w:fill="FFFFFF"/>
              <w:jc w:val="center"/>
              <w:rPr>
                <w:bCs/>
              </w:rPr>
            </w:pPr>
            <w:r>
              <w:rPr>
                <w:bCs/>
              </w:rPr>
              <w:t>9.</w:t>
            </w:r>
          </w:p>
        </w:tc>
        <w:tc>
          <w:tcPr>
            <w:tcW w:w="3431" w:type="dxa"/>
            <w:tcBorders>
              <w:top w:val="single" w:sz="4" w:space="0" w:color="000000"/>
              <w:left w:val="single" w:sz="4" w:space="0" w:color="000000"/>
              <w:bottom w:val="single" w:sz="4" w:space="0" w:color="000000"/>
              <w:right w:val="single" w:sz="4" w:space="0" w:color="000000"/>
            </w:tcBorders>
          </w:tcPr>
          <w:p w14:paraId="6D9D5C79" w14:textId="77777777" w:rsidR="0055212B" w:rsidRPr="0055212B" w:rsidRDefault="0055212B" w:rsidP="0055212B">
            <w:pPr>
              <w:shd w:val="clear" w:color="auto" w:fill="FFFFFF"/>
              <w:jc w:val="both"/>
              <w:rPr>
                <w:bCs/>
              </w:rPr>
            </w:pPr>
            <w:r w:rsidRPr="0055212B">
              <w:rPr>
                <w:bCs/>
              </w:rPr>
              <w:t>1. Personas, kas veic šādas ar ģenētiski modificēto organismu apriti saistītas darbības:</w:t>
            </w:r>
          </w:p>
          <w:p w14:paraId="48F177E8" w14:textId="77777777" w:rsidR="0055212B" w:rsidRPr="0055212B" w:rsidRDefault="0055212B" w:rsidP="0055212B">
            <w:pPr>
              <w:shd w:val="clear" w:color="auto" w:fill="FFFFFF"/>
              <w:jc w:val="both"/>
              <w:rPr>
                <w:bCs/>
              </w:rPr>
            </w:pPr>
            <w:r w:rsidRPr="0055212B">
              <w:rPr>
                <w:bCs/>
              </w:rPr>
              <w:t>a) ģenētiski modificēto organismu izplatīšanu vidē izmēģinājumiem.</w:t>
            </w:r>
          </w:p>
          <w:p w14:paraId="49B5F2B0" w14:textId="1AC3D21D" w:rsidR="00D23106" w:rsidRPr="00275555" w:rsidRDefault="0055212B" w:rsidP="0055212B">
            <w:pPr>
              <w:shd w:val="clear" w:color="auto" w:fill="FFFFFF"/>
              <w:jc w:val="both"/>
              <w:rPr>
                <w:bCs/>
              </w:rPr>
            </w:pPr>
            <w:r w:rsidRPr="0055212B">
              <w:rPr>
                <w:bCs/>
              </w:rPr>
              <w:t>Mērķgrupas lielumu nav iespējams noteikt, jo patlaban Latvijā neviens neveic ĢMO izplatīšan</w:t>
            </w:r>
            <w:r>
              <w:rPr>
                <w:bCs/>
              </w:rPr>
              <w:t>a</w:t>
            </w:r>
            <w:r w:rsidRPr="0055212B">
              <w:rPr>
                <w:bCs/>
              </w:rPr>
              <w:t xml:space="preserve"> vidē izmēģinājumiem;</w:t>
            </w:r>
          </w:p>
        </w:tc>
        <w:tc>
          <w:tcPr>
            <w:tcW w:w="3827" w:type="dxa"/>
            <w:tcBorders>
              <w:top w:val="single" w:sz="4" w:space="0" w:color="000000"/>
              <w:left w:val="single" w:sz="4" w:space="0" w:color="000000"/>
              <w:bottom w:val="single" w:sz="4" w:space="0" w:color="000000"/>
              <w:right w:val="single" w:sz="4" w:space="0" w:color="000000"/>
            </w:tcBorders>
          </w:tcPr>
          <w:p w14:paraId="642C2A25" w14:textId="05451DE5" w:rsidR="00D23106" w:rsidRPr="00D23106" w:rsidRDefault="00D23106" w:rsidP="00275555">
            <w:pPr>
              <w:jc w:val="both"/>
            </w:pPr>
            <w:r w:rsidRPr="00D23106">
              <w:t>Lūdzam anotācijas II. sadaļas 1. punktā norādīt pareizu vārdu locījumu, piedāvājam to izteikt šādā redakcijā: “Mērķgrupas lielumu nav iespējams noteikt, jo patlaban Latvijā neviens neveic ĢMO izplatīšanu vidē izmēģinājumiem.”</w:t>
            </w:r>
          </w:p>
        </w:tc>
        <w:tc>
          <w:tcPr>
            <w:tcW w:w="3261" w:type="dxa"/>
            <w:tcBorders>
              <w:top w:val="single" w:sz="4" w:space="0" w:color="000000"/>
              <w:left w:val="single" w:sz="4" w:space="0" w:color="000000"/>
              <w:bottom w:val="single" w:sz="4" w:space="0" w:color="000000"/>
              <w:right w:val="single" w:sz="4" w:space="0" w:color="000000"/>
            </w:tcBorders>
          </w:tcPr>
          <w:p w14:paraId="0D59AFFA" w14:textId="19F57091" w:rsidR="00D23106" w:rsidRPr="002712BA" w:rsidRDefault="0055212B" w:rsidP="005E2B44">
            <w:pPr>
              <w:shd w:val="clear" w:color="auto" w:fill="FFFFFF"/>
              <w:jc w:val="both"/>
            </w:pPr>
            <w:r>
              <w:t>Ņemts vērā.</w:t>
            </w:r>
          </w:p>
        </w:tc>
        <w:tc>
          <w:tcPr>
            <w:tcW w:w="3260" w:type="dxa"/>
            <w:tcBorders>
              <w:top w:val="single" w:sz="4" w:space="0" w:color="000000"/>
              <w:left w:val="single" w:sz="4" w:space="0" w:color="000000"/>
              <w:bottom w:val="single" w:sz="4" w:space="0" w:color="000000"/>
              <w:right w:val="single" w:sz="4" w:space="0" w:color="000000"/>
            </w:tcBorders>
          </w:tcPr>
          <w:p w14:paraId="781527A4" w14:textId="1ED78EFC" w:rsidR="0055212B" w:rsidRDefault="0055212B" w:rsidP="0055212B">
            <w:pPr>
              <w:jc w:val="both"/>
            </w:pPr>
            <w:r>
              <w:t>1. Personas, kas veic šādas ar ĢMO apriti saistītas darbības:</w:t>
            </w:r>
          </w:p>
          <w:p w14:paraId="5E9EC54C" w14:textId="77777777" w:rsidR="0055212B" w:rsidRDefault="0055212B" w:rsidP="0055212B">
            <w:pPr>
              <w:jc w:val="both"/>
            </w:pPr>
            <w:r>
              <w:t>a) ĢMO izplatīšanu vidē izmēģinājumiem.</w:t>
            </w:r>
          </w:p>
          <w:p w14:paraId="44C0B7D4" w14:textId="228C32A9" w:rsidR="00D23106" w:rsidRPr="002712BA" w:rsidRDefault="0055212B" w:rsidP="00C66194">
            <w:pPr>
              <w:jc w:val="both"/>
            </w:pPr>
            <w:r>
              <w:t xml:space="preserve">Mērķgrupas lielumu nav iespējams noteikt, jo patlaban Latvijā neviens </w:t>
            </w:r>
            <w:r w:rsidR="006B6555">
              <w:t xml:space="preserve">nenodarbojas ar </w:t>
            </w:r>
            <w:r>
              <w:t>ĢMO izplatīšanu vidē izmēģinājumiem;</w:t>
            </w:r>
          </w:p>
        </w:tc>
      </w:tr>
      <w:tr w:rsidR="00D23106" w:rsidRPr="0052064D" w14:paraId="544EFACC"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8555917" w14:textId="4E7483A6" w:rsidR="00D23106" w:rsidRDefault="00D23106" w:rsidP="00B2380F">
            <w:pPr>
              <w:shd w:val="clear" w:color="auto" w:fill="FFFFFF"/>
              <w:jc w:val="center"/>
              <w:rPr>
                <w:bCs/>
              </w:rPr>
            </w:pPr>
            <w:r>
              <w:rPr>
                <w:bCs/>
              </w:rPr>
              <w:t>10.</w:t>
            </w:r>
          </w:p>
        </w:tc>
        <w:tc>
          <w:tcPr>
            <w:tcW w:w="3431" w:type="dxa"/>
            <w:tcBorders>
              <w:top w:val="single" w:sz="4" w:space="0" w:color="000000"/>
              <w:left w:val="single" w:sz="4" w:space="0" w:color="000000"/>
              <w:bottom w:val="single" w:sz="4" w:space="0" w:color="000000"/>
              <w:right w:val="single" w:sz="4" w:space="0" w:color="000000"/>
            </w:tcBorders>
          </w:tcPr>
          <w:p w14:paraId="0D47AA30" w14:textId="28937843" w:rsidR="00D23106" w:rsidRPr="00275555" w:rsidRDefault="0055212B" w:rsidP="0055212B">
            <w:pPr>
              <w:shd w:val="clear" w:color="auto" w:fill="FFFFFF"/>
              <w:jc w:val="both"/>
              <w:rPr>
                <w:bCs/>
              </w:rPr>
            </w:pPr>
            <w:r w:rsidRPr="0055212B">
              <w:rPr>
                <w:bCs/>
              </w:rPr>
              <w:t xml:space="preserve">1. Nepieciešams papildināt prasības par ierobežotas pieejamības statusa noteikšanu informācijai, kas attiecas uz iesniegumā par ģenētiski </w:t>
            </w:r>
            <w:r w:rsidRPr="0055212B">
              <w:rPr>
                <w:bCs/>
              </w:rPr>
              <w:lastRenderedPageBreak/>
              <w:t>modificēto organismu izplatīšanu ietverto informāciju.</w:t>
            </w:r>
            <w:r>
              <w:rPr>
                <w:bCs/>
              </w:rPr>
              <w:t xml:space="preserve"> (Anotācijas I sadaļas 2.punkts)</w:t>
            </w:r>
          </w:p>
        </w:tc>
        <w:tc>
          <w:tcPr>
            <w:tcW w:w="3827" w:type="dxa"/>
            <w:tcBorders>
              <w:top w:val="single" w:sz="4" w:space="0" w:color="000000"/>
              <w:left w:val="single" w:sz="4" w:space="0" w:color="000000"/>
              <w:bottom w:val="single" w:sz="4" w:space="0" w:color="000000"/>
              <w:right w:val="single" w:sz="4" w:space="0" w:color="000000"/>
            </w:tcBorders>
          </w:tcPr>
          <w:p w14:paraId="1158BD52" w14:textId="6AED9501" w:rsidR="00D23106" w:rsidRPr="00D23106" w:rsidRDefault="004D06E8" w:rsidP="00275555">
            <w:pPr>
              <w:jc w:val="both"/>
            </w:pPr>
            <w:r w:rsidRPr="004D06E8">
              <w:lastRenderedPageBreak/>
              <w:t>Lūdzam anotācijā skaidrot saīsinājumu “ĢMO”.</w:t>
            </w:r>
          </w:p>
        </w:tc>
        <w:tc>
          <w:tcPr>
            <w:tcW w:w="3261" w:type="dxa"/>
            <w:tcBorders>
              <w:top w:val="single" w:sz="4" w:space="0" w:color="000000"/>
              <w:left w:val="single" w:sz="4" w:space="0" w:color="000000"/>
              <w:bottom w:val="single" w:sz="4" w:space="0" w:color="000000"/>
              <w:right w:val="single" w:sz="4" w:space="0" w:color="000000"/>
            </w:tcBorders>
          </w:tcPr>
          <w:p w14:paraId="1463AA04" w14:textId="565AB51E" w:rsidR="00D23106" w:rsidRPr="002712BA" w:rsidRDefault="0055212B" w:rsidP="005E2B44">
            <w:pPr>
              <w:shd w:val="clear" w:color="auto" w:fill="FFFFFF"/>
              <w:jc w:val="both"/>
            </w:pPr>
            <w:r>
              <w:t>Ņemts vērā.</w:t>
            </w:r>
          </w:p>
        </w:tc>
        <w:tc>
          <w:tcPr>
            <w:tcW w:w="3260" w:type="dxa"/>
            <w:tcBorders>
              <w:top w:val="single" w:sz="4" w:space="0" w:color="000000"/>
              <w:left w:val="single" w:sz="4" w:space="0" w:color="000000"/>
              <w:bottom w:val="single" w:sz="4" w:space="0" w:color="000000"/>
              <w:right w:val="single" w:sz="4" w:space="0" w:color="000000"/>
            </w:tcBorders>
          </w:tcPr>
          <w:p w14:paraId="4E7E09E8" w14:textId="10017D18" w:rsidR="00D23106" w:rsidRPr="002712BA" w:rsidRDefault="0055212B" w:rsidP="0055212B">
            <w:pPr>
              <w:jc w:val="both"/>
            </w:pPr>
            <w:r w:rsidRPr="0055212B">
              <w:t xml:space="preserve">1. Nepieciešams papildināt prasības par ierobežotas pieejamības statusa noteikšanu informācijai, kas attiecas uz iesniegumā par ģenētiski </w:t>
            </w:r>
            <w:r w:rsidRPr="0055212B">
              <w:lastRenderedPageBreak/>
              <w:t>modificēto organismu (turpmāk</w:t>
            </w:r>
            <w:r w:rsidR="003B6E13">
              <w:t> </w:t>
            </w:r>
            <w:r w:rsidRPr="0055212B">
              <w:t>– ĢMO) izplatīšanu ietverto informāciju.</w:t>
            </w:r>
            <w:r>
              <w:t xml:space="preserve"> </w:t>
            </w:r>
            <w:r w:rsidRPr="0055212B">
              <w:t>(Anotācijas I</w:t>
            </w:r>
            <w:r w:rsidR="006B6555">
              <w:t> </w:t>
            </w:r>
            <w:r w:rsidRPr="0055212B">
              <w:t>sadaļas 2.</w:t>
            </w:r>
            <w:r w:rsidR="006B6555">
              <w:t xml:space="preserve"> </w:t>
            </w:r>
            <w:r w:rsidRPr="0055212B">
              <w:t>punkts)</w:t>
            </w:r>
          </w:p>
        </w:tc>
      </w:tr>
    </w:tbl>
    <w:p w14:paraId="5522EF77" w14:textId="79FB3FDC" w:rsidR="00A6789F" w:rsidRPr="008F4C88" w:rsidRDefault="00A6789F" w:rsidP="000A605C">
      <w:pPr>
        <w:rPr>
          <w:b/>
        </w:rPr>
      </w:pPr>
    </w:p>
    <w:p w14:paraId="36CDDF05" w14:textId="77777777" w:rsidR="00D23106" w:rsidRPr="008F4C88" w:rsidRDefault="00D23106" w:rsidP="000A605C">
      <w:pPr>
        <w:rPr>
          <w:b/>
        </w:rPr>
      </w:pPr>
    </w:p>
    <w:p w14:paraId="62E15809" w14:textId="77777777" w:rsidR="00D23106" w:rsidRPr="008F4C88" w:rsidRDefault="00D23106" w:rsidP="000A605C">
      <w:pPr>
        <w:rPr>
          <w:b/>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714"/>
        <w:gridCol w:w="9572"/>
      </w:tblGrid>
      <w:tr w:rsidR="008F4C88" w:rsidRPr="008F4C88" w14:paraId="144B9772" w14:textId="77777777" w:rsidTr="008F4C88">
        <w:trPr>
          <w:trHeight w:val="450"/>
        </w:trPr>
        <w:tc>
          <w:tcPr>
            <w:tcW w:w="1650" w:type="pct"/>
            <w:tcBorders>
              <w:top w:val="nil"/>
              <w:left w:val="nil"/>
              <w:bottom w:val="nil"/>
              <w:right w:val="nil"/>
            </w:tcBorders>
            <w:shd w:val="clear" w:color="auto" w:fill="FFFFFF"/>
            <w:noWrap/>
            <w:vAlign w:val="bottom"/>
            <w:hideMark/>
          </w:tcPr>
          <w:p w14:paraId="2DD77FAE" w14:textId="77777777" w:rsidR="008F4C88" w:rsidRPr="008F4C88" w:rsidRDefault="008F4C88" w:rsidP="008F4C88">
            <w:pPr>
              <w:rPr>
                <w:color w:val="000000" w:themeColor="text1"/>
                <w:lang w:eastAsia="en-US"/>
              </w:rPr>
            </w:pPr>
            <w:r w:rsidRPr="008F4C88">
              <w:rPr>
                <w:color w:val="000000" w:themeColor="text1"/>
                <w:lang w:eastAsia="en-US"/>
              </w:rPr>
              <w:t>Atbildīgā amatpersona</w:t>
            </w:r>
          </w:p>
        </w:tc>
        <w:tc>
          <w:tcPr>
            <w:tcW w:w="3350" w:type="pct"/>
            <w:tcBorders>
              <w:top w:val="nil"/>
              <w:left w:val="nil"/>
              <w:bottom w:val="single" w:sz="6" w:space="0" w:color="414142"/>
              <w:right w:val="nil"/>
            </w:tcBorders>
            <w:shd w:val="clear" w:color="auto" w:fill="FFFFFF"/>
            <w:hideMark/>
          </w:tcPr>
          <w:p w14:paraId="3F49FBBF"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541CA750" w14:textId="77777777" w:rsidTr="008F4C88">
        <w:tc>
          <w:tcPr>
            <w:tcW w:w="1650" w:type="pct"/>
            <w:tcBorders>
              <w:top w:val="nil"/>
              <w:left w:val="nil"/>
              <w:bottom w:val="nil"/>
              <w:right w:val="nil"/>
            </w:tcBorders>
            <w:shd w:val="clear" w:color="auto" w:fill="FFFFFF"/>
            <w:hideMark/>
          </w:tcPr>
          <w:p w14:paraId="32FDA7B6" w14:textId="77777777" w:rsidR="008F4C88" w:rsidRPr="008F4C88" w:rsidRDefault="008F4C88" w:rsidP="008F4C88">
            <w:pPr>
              <w:rPr>
                <w:color w:val="000000" w:themeColor="text1"/>
                <w:lang w:eastAsia="en-US"/>
              </w:rPr>
            </w:pPr>
            <w:r w:rsidRPr="008F4C88">
              <w:rPr>
                <w:color w:val="000000" w:themeColor="text1"/>
                <w:lang w:eastAsia="en-US"/>
              </w:rPr>
              <w:t> </w:t>
            </w:r>
          </w:p>
        </w:tc>
        <w:tc>
          <w:tcPr>
            <w:tcW w:w="3350" w:type="pct"/>
            <w:tcBorders>
              <w:top w:val="single" w:sz="6" w:space="0" w:color="414142"/>
              <w:left w:val="nil"/>
              <w:bottom w:val="nil"/>
              <w:right w:val="nil"/>
            </w:tcBorders>
            <w:shd w:val="clear" w:color="auto" w:fill="FFFFFF"/>
            <w:hideMark/>
          </w:tcPr>
          <w:p w14:paraId="4817CCE7" w14:textId="77777777" w:rsidR="008F4C88" w:rsidRPr="008F4C88" w:rsidRDefault="008F4C88" w:rsidP="008F4C88">
            <w:pPr>
              <w:jc w:val="center"/>
              <w:rPr>
                <w:color w:val="000000" w:themeColor="text1"/>
                <w:lang w:eastAsia="en-US"/>
              </w:rPr>
            </w:pPr>
            <w:r w:rsidRPr="008F4C88">
              <w:rPr>
                <w:color w:val="000000" w:themeColor="text1"/>
                <w:lang w:eastAsia="en-US"/>
              </w:rPr>
              <w:t>(paraksts)*</w:t>
            </w:r>
          </w:p>
        </w:tc>
      </w:tr>
    </w:tbl>
    <w:p w14:paraId="6A4B8964" w14:textId="77777777" w:rsidR="008F4C88" w:rsidRPr="008F4C88" w:rsidRDefault="008F4C88" w:rsidP="008F4C88">
      <w:pPr>
        <w:shd w:val="clear" w:color="auto" w:fill="FFFFFF"/>
        <w:spacing w:before="100" w:beforeAutospacing="1" w:after="100" w:afterAutospacing="1" w:line="293" w:lineRule="atLeast"/>
        <w:ind w:firstLine="300"/>
        <w:rPr>
          <w:color w:val="000000" w:themeColor="text1"/>
          <w:lang w:eastAsia="en-US"/>
        </w:rPr>
      </w:pPr>
      <w:r w:rsidRPr="008F4C88">
        <w:rPr>
          <w:color w:val="000000" w:themeColor="text1"/>
          <w:lang w:eastAsia="en-US"/>
        </w:rPr>
        <w:t>Piezīme. * Dokumenta rekvizītu "paraksts" neaizpilda, ja elektroniskais dokuments ir sagatavots atbilstoši normatīvajiem aktiem par elektronisko dokumentu noformēšanu.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005"/>
        <w:gridCol w:w="1281"/>
      </w:tblGrid>
      <w:tr w:rsidR="008F4C88" w:rsidRPr="008F4C88" w14:paraId="16579177" w14:textId="77777777" w:rsidTr="008F4C88">
        <w:trPr>
          <w:trHeight w:val="300"/>
        </w:trPr>
        <w:tc>
          <w:tcPr>
            <w:tcW w:w="13005" w:type="dxa"/>
            <w:tcBorders>
              <w:top w:val="nil"/>
              <w:left w:val="nil"/>
              <w:bottom w:val="single" w:sz="6" w:space="0" w:color="414142"/>
              <w:right w:val="nil"/>
            </w:tcBorders>
            <w:shd w:val="clear" w:color="auto" w:fill="FFFFFF"/>
            <w:hideMark/>
          </w:tcPr>
          <w:p w14:paraId="6EE2BFA8" w14:textId="7019FDDC" w:rsidR="008F4C88" w:rsidRPr="008F4C88" w:rsidRDefault="00B14883" w:rsidP="00B14883">
            <w:pPr>
              <w:jc w:val="center"/>
              <w:rPr>
                <w:b/>
                <w:bCs/>
                <w:color w:val="000000" w:themeColor="text1"/>
                <w:lang w:eastAsia="en-US"/>
              </w:rPr>
            </w:pPr>
            <w:r w:rsidRPr="00B14883">
              <w:rPr>
                <w:b/>
                <w:bCs/>
                <w:color w:val="000000" w:themeColor="text1"/>
                <w:lang w:eastAsia="en-US"/>
              </w:rPr>
              <w:t>Inese Aleksejeva</w:t>
            </w:r>
          </w:p>
        </w:tc>
        <w:tc>
          <w:tcPr>
            <w:tcW w:w="0" w:type="auto"/>
            <w:tcBorders>
              <w:top w:val="nil"/>
              <w:left w:val="nil"/>
              <w:bottom w:val="nil"/>
              <w:right w:val="nil"/>
            </w:tcBorders>
            <w:shd w:val="clear" w:color="auto" w:fill="FFFFFF"/>
            <w:hideMark/>
          </w:tcPr>
          <w:p w14:paraId="0BDF7351"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0F28C775" w14:textId="77777777" w:rsidTr="008F4C88">
        <w:trPr>
          <w:trHeight w:val="300"/>
        </w:trPr>
        <w:tc>
          <w:tcPr>
            <w:tcW w:w="13005" w:type="dxa"/>
            <w:tcBorders>
              <w:top w:val="single" w:sz="6" w:space="0" w:color="414142"/>
              <w:left w:val="nil"/>
              <w:bottom w:val="nil"/>
              <w:right w:val="nil"/>
            </w:tcBorders>
            <w:shd w:val="clear" w:color="auto" w:fill="FFFFFF"/>
            <w:hideMark/>
          </w:tcPr>
          <w:p w14:paraId="38744E0F" w14:textId="77777777" w:rsidR="008F4C88" w:rsidRPr="008F4C88" w:rsidRDefault="008F4C88" w:rsidP="008F4C88">
            <w:pPr>
              <w:jc w:val="center"/>
              <w:rPr>
                <w:color w:val="000000" w:themeColor="text1"/>
                <w:lang w:eastAsia="en-US"/>
              </w:rPr>
            </w:pPr>
            <w:r w:rsidRPr="008F4C88">
              <w:rPr>
                <w:color w:val="000000" w:themeColor="text1"/>
                <w:lang w:eastAsia="en-US"/>
              </w:rPr>
              <w:t>(par projektu atbildīgās amatpersonas vārds un uzvārds)</w:t>
            </w:r>
          </w:p>
        </w:tc>
        <w:tc>
          <w:tcPr>
            <w:tcW w:w="0" w:type="auto"/>
            <w:tcBorders>
              <w:top w:val="nil"/>
              <w:left w:val="nil"/>
              <w:bottom w:val="nil"/>
              <w:right w:val="nil"/>
            </w:tcBorders>
            <w:shd w:val="clear" w:color="auto" w:fill="FFFFFF"/>
            <w:hideMark/>
          </w:tcPr>
          <w:p w14:paraId="60E36865"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583B8A2A" w14:textId="77777777" w:rsidTr="008F4C88">
        <w:trPr>
          <w:trHeight w:val="300"/>
        </w:trPr>
        <w:tc>
          <w:tcPr>
            <w:tcW w:w="13005" w:type="dxa"/>
            <w:tcBorders>
              <w:top w:val="nil"/>
              <w:left w:val="nil"/>
              <w:bottom w:val="single" w:sz="6" w:space="0" w:color="414142"/>
              <w:right w:val="nil"/>
            </w:tcBorders>
            <w:shd w:val="clear" w:color="auto" w:fill="FFFFFF"/>
            <w:hideMark/>
          </w:tcPr>
          <w:p w14:paraId="2A788209" w14:textId="1E1E2110" w:rsidR="008F4C88" w:rsidRPr="008F4C88" w:rsidRDefault="008F4C88" w:rsidP="008F4C88">
            <w:pPr>
              <w:jc w:val="center"/>
              <w:rPr>
                <w:b/>
                <w:bCs/>
                <w:color w:val="000000" w:themeColor="text1"/>
                <w:lang w:eastAsia="en-US"/>
              </w:rPr>
            </w:pPr>
            <w:r w:rsidRPr="008F4C88">
              <w:rPr>
                <w:color w:val="000000" w:themeColor="text1"/>
                <w:lang w:eastAsia="en-US"/>
              </w:rPr>
              <w:t> </w:t>
            </w:r>
            <w:r w:rsidR="00B14883" w:rsidRPr="00B14883">
              <w:rPr>
                <w:b/>
                <w:bCs/>
                <w:color w:val="000000" w:themeColor="text1"/>
                <w:lang w:eastAsia="en-US"/>
              </w:rPr>
              <w:t>Biotehnoloģijas un kvalitātes nodaļas vadītāja vietniece</w:t>
            </w:r>
          </w:p>
        </w:tc>
        <w:tc>
          <w:tcPr>
            <w:tcW w:w="0" w:type="auto"/>
            <w:tcBorders>
              <w:top w:val="nil"/>
              <w:left w:val="nil"/>
              <w:bottom w:val="nil"/>
              <w:right w:val="nil"/>
            </w:tcBorders>
            <w:shd w:val="clear" w:color="auto" w:fill="FFFFFF"/>
            <w:hideMark/>
          </w:tcPr>
          <w:p w14:paraId="6C216563"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6F946997" w14:textId="77777777" w:rsidTr="008F4C88">
        <w:trPr>
          <w:trHeight w:val="300"/>
        </w:trPr>
        <w:tc>
          <w:tcPr>
            <w:tcW w:w="13005" w:type="dxa"/>
            <w:tcBorders>
              <w:top w:val="single" w:sz="6" w:space="0" w:color="414142"/>
              <w:left w:val="nil"/>
              <w:bottom w:val="nil"/>
              <w:right w:val="nil"/>
            </w:tcBorders>
            <w:shd w:val="clear" w:color="auto" w:fill="FFFFFF"/>
            <w:hideMark/>
          </w:tcPr>
          <w:p w14:paraId="7F304931" w14:textId="77777777" w:rsidR="008F4C88" w:rsidRPr="008F4C88" w:rsidRDefault="008F4C88" w:rsidP="008F4C88">
            <w:pPr>
              <w:jc w:val="center"/>
              <w:rPr>
                <w:color w:val="000000" w:themeColor="text1"/>
                <w:lang w:eastAsia="en-US"/>
              </w:rPr>
            </w:pPr>
            <w:r w:rsidRPr="008F4C88">
              <w:rPr>
                <w:color w:val="000000" w:themeColor="text1"/>
                <w:lang w:eastAsia="en-US"/>
              </w:rPr>
              <w:t>(amats)</w:t>
            </w:r>
          </w:p>
        </w:tc>
        <w:tc>
          <w:tcPr>
            <w:tcW w:w="0" w:type="auto"/>
            <w:tcBorders>
              <w:top w:val="nil"/>
              <w:left w:val="nil"/>
              <w:bottom w:val="nil"/>
              <w:right w:val="nil"/>
            </w:tcBorders>
            <w:shd w:val="clear" w:color="auto" w:fill="FFFFFF"/>
            <w:hideMark/>
          </w:tcPr>
          <w:p w14:paraId="7A74D821"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1D535EB3" w14:textId="77777777" w:rsidTr="008F4C88">
        <w:trPr>
          <w:trHeight w:val="300"/>
        </w:trPr>
        <w:tc>
          <w:tcPr>
            <w:tcW w:w="13005" w:type="dxa"/>
            <w:tcBorders>
              <w:top w:val="nil"/>
              <w:left w:val="nil"/>
              <w:bottom w:val="single" w:sz="6" w:space="0" w:color="414142"/>
              <w:right w:val="nil"/>
            </w:tcBorders>
            <w:shd w:val="clear" w:color="auto" w:fill="FFFFFF"/>
            <w:hideMark/>
          </w:tcPr>
          <w:p w14:paraId="2BA3AC95" w14:textId="2D9DCB90" w:rsidR="008F4C88" w:rsidRPr="008F4C88" w:rsidRDefault="008F4C88" w:rsidP="008F4C88">
            <w:pPr>
              <w:jc w:val="center"/>
              <w:rPr>
                <w:b/>
                <w:bCs/>
                <w:color w:val="000000" w:themeColor="text1"/>
                <w:lang w:eastAsia="en-US"/>
              </w:rPr>
            </w:pPr>
            <w:r w:rsidRPr="008F4C88">
              <w:rPr>
                <w:color w:val="000000" w:themeColor="text1"/>
                <w:lang w:eastAsia="en-US"/>
              </w:rPr>
              <w:t> </w:t>
            </w:r>
            <w:r w:rsidR="00B14883" w:rsidRPr="00B14883">
              <w:rPr>
                <w:b/>
                <w:bCs/>
                <w:color w:val="000000" w:themeColor="text1"/>
                <w:lang w:eastAsia="en-US"/>
              </w:rPr>
              <w:t>67027069</w:t>
            </w:r>
          </w:p>
        </w:tc>
        <w:tc>
          <w:tcPr>
            <w:tcW w:w="0" w:type="auto"/>
            <w:tcBorders>
              <w:top w:val="nil"/>
              <w:left w:val="nil"/>
              <w:bottom w:val="nil"/>
              <w:right w:val="nil"/>
            </w:tcBorders>
            <w:shd w:val="clear" w:color="auto" w:fill="FFFFFF"/>
            <w:hideMark/>
          </w:tcPr>
          <w:p w14:paraId="4120AB2B"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556F5012" w14:textId="77777777" w:rsidTr="008F4C88">
        <w:trPr>
          <w:trHeight w:val="300"/>
        </w:trPr>
        <w:tc>
          <w:tcPr>
            <w:tcW w:w="13005" w:type="dxa"/>
            <w:tcBorders>
              <w:top w:val="single" w:sz="6" w:space="0" w:color="414142"/>
              <w:left w:val="nil"/>
              <w:bottom w:val="nil"/>
              <w:right w:val="nil"/>
            </w:tcBorders>
            <w:shd w:val="clear" w:color="auto" w:fill="FFFFFF"/>
            <w:hideMark/>
          </w:tcPr>
          <w:p w14:paraId="2264B6D8" w14:textId="77777777" w:rsidR="008F4C88" w:rsidRPr="008F4C88" w:rsidRDefault="008F4C88" w:rsidP="008F4C88">
            <w:pPr>
              <w:jc w:val="center"/>
              <w:rPr>
                <w:color w:val="000000" w:themeColor="text1"/>
                <w:lang w:eastAsia="en-US"/>
              </w:rPr>
            </w:pPr>
            <w:r w:rsidRPr="008F4C88">
              <w:rPr>
                <w:color w:val="000000" w:themeColor="text1"/>
                <w:lang w:eastAsia="en-US"/>
              </w:rPr>
              <w:t>(tālruņa un faksa numurs)</w:t>
            </w:r>
          </w:p>
        </w:tc>
        <w:tc>
          <w:tcPr>
            <w:tcW w:w="0" w:type="auto"/>
            <w:tcBorders>
              <w:top w:val="nil"/>
              <w:left w:val="nil"/>
              <w:bottom w:val="nil"/>
              <w:right w:val="nil"/>
            </w:tcBorders>
            <w:shd w:val="clear" w:color="auto" w:fill="FFFFFF"/>
            <w:hideMark/>
          </w:tcPr>
          <w:p w14:paraId="0CC750B1"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2B0C7585" w14:textId="77777777" w:rsidTr="008F4C88">
        <w:trPr>
          <w:trHeight w:val="300"/>
        </w:trPr>
        <w:tc>
          <w:tcPr>
            <w:tcW w:w="13005" w:type="dxa"/>
            <w:tcBorders>
              <w:top w:val="nil"/>
              <w:left w:val="nil"/>
              <w:bottom w:val="single" w:sz="6" w:space="0" w:color="414142"/>
              <w:right w:val="nil"/>
            </w:tcBorders>
            <w:shd w:val="clear" w:color="auto" w:fill="FFFFFF"/>
            <w:hideMark/>
          </w:tcPr>
          <w:p w14:paraId="2A5F9E1A" w14:textId="63160C7E" w:rsidR="008F4C88" w:rsidRPr="008F4C88" w:rsidRDefault="00B14883" w:rsidP="00B14883">
            <w:pPr>
              <w:jc w:val="center"/>
              <w:rPr>
                <w:b/>
                <w:bCs/>
                <w:color w:val="000000" w:themeColor="text1"/>
                <w:lang w:eastAsia="en-US"/>
              </w:rPr>
            </w:pPr>
            <w:r w:rsidRPr="00B14883">
              <w:rPr>
                <w:b/>
                <w:bCs/>
                <w:color w:val="000000" w:themeColor="text1"/>
                <w:lang w:eastAsia="en-US"/>
              </w:rPr>
              <w:t>inese.aleksejeva@zm.gov.lv</w:t>
            </w:r>
          </w:p>
        </w:tc>
        <w:tc>
          <w:tcPr>
            <w:tcW w:w="0" w:type="auto"/>
            <w:tcBorders>
              <w:top w:val="nil"/>
              <w:left w:val="nil"/>
              <w:bottom w:val="nil"/>
              <w:right w:val="nil"/>
            </w:tcBorders>
            <w:shd w:val="clear" w:color="auto" w:fill="FFFFFF"/>
            <w:hideMark/>
          </w:tcPr>
          <w:p w14:paraId="314123F0" w14:textId="77777777" w:rsidR="008F4C88" w:rsidRPr="008F4C88" w:rsidRDefault="008F4C88" w:rsidP="008F4C88">
            <w:pPr>
              <w:rPr>
                <w:color w:val="000000" w:themeColor="text1"/>
                <w:lang w:eastAsia="en-US"/>
              </w:rPr>
            </w:pPr>
            <w:r w:rsidRPr="008F4C88">
              <w:rPr>
                <w:color w:val="000000" w:themeColor="text1"/>
                <w:lang w:eastAsia="en-US"/>
              </w:rPr>
              <w:t> </w:t>
            </w:r>
          </w:p>
        </w:tc>
      </w:tr>
      <w:tr w:rsidR="008F4C88" w:rsidRPr="008F4C88" w14:paraId="3AD4F9A7" w14:textId="77777777" w:rsidTr="008F4C88">
        <w:trPr>
          <w:trHeight w:val="300"/>
        </w:trPr>
        <w:tc>
          <w:tcPr>
            <w:tcW w:w="13005" w:type="dxa"/>
            <w:tcBorders>
              <w:top w:val="single" w:sz="6" w:space="0" w:color="414142"/>
              <w:left w:val="nil"/>
              <w:bottom w:val="nil"/>
              <w:right w:val="nil"/>
            </w:tcBorders>
            <w:shd w:val="clear" w:color="auto" w:fill="FFFFFF"/>
            <w:hideMark/>
          </w:tcPr>
          <w:p w14:paraId="18054629" w14:textId="77777777" w:rsidR="008F4C88" w:rsidRPr="008F4C88" w:rsidRDefault="008F4C88" w:rsidP="008F4C88">
            <w:pPr>
              <w:jc w:val="center"/>
              <w:rPr>
                <w:color w:val="000000" w:themeColor="text1"/>
                <w:lang w:eastAsia="en-US"/>
              </w:rPr>
            </w:pPr>
            <w:r w:rsidRPr="008F4C88">
              <w:rPr>
                <w:color w:val="000000" w:themeColor="text1"/>
                <w:lang w:eastAsia="en-US"/>
              </w:rPr>
              <w:t>(e-pasta adrese)</w:t>
            </w:r>
          </w:p>
        </w:tc>
        <w:tc>
          <w:tcPr>
            <w:tcW w:w="0" w:type="auto"/>
            <w:shd w:val="clear" w:color="auto" w:fill="FFFFFF"/>
            <w:vAlign w:val="center"/>
            <w:hideMark/>
          </w:tcPr>
          <w:p w14:paraId="1D615A61" w14:textId="77777777" w:rsidR="008F4C88" w:rsidRPr="008F4C88" w:rsidRDefault="008F4C88" w:rsidP="008F4C88">
            <w:pPr>
              <w:rPr>
                <w:color w:val="000000" w:themeColor="text1"/>
                <w:lang w:eastAsia="en-US"/>
              </w:rPr>
            </w:pPr>
          </w:p>
        </w:tc>
      </w:tr>
    </w:tbl>
    <w:p w14:paraId="719EC907" w14:textId="77777777" w:rsidR="009B3135" w:rsidRPr="008F4C88" w:rsidRDefault="009B3135">
      <w:pPr>
        <w:rPr>
          <w:color w:val="000000" w:themeColor="text1"/>
        </w:rPr>
      </w:pPr>
    </w:p>
    <w:p w14:paraId="19970C1C" w14:textId="77777777" w:rsidR="00B14883" w:rsidRPr="00755715" w:rsidRDefault="00B14883">
      <w:pPr>
        <w:rPr>
          <w:rFonts w:asciiTheme="minorHAnsi" w:eastAsiaTheme="minorHAnsi" w:hAnsiTheme="minorHAnsi" w:cstheme="minorBidi"/>
          <w:color w:val="0000FF"/>
          <w:sz w:val="22"/>
          <w:szCs w:val="22"/>
          <w:u w:val="single"/>
          <w:lang w:eastAsia="en-US"/>
        </w:rPr>
      </w:pPr>
    </w:p>
    <w:sectPr w:rsidR="00B14883" w:rsidRPr="00755715" w:rsidSect="005E2B44">
      <w:headerReference w:type="default" r:id="rId8"/>
      <w:footerReference w:type="default" r:id="rId9"/>
      <w:footerReference w:type="first" r:id="rId10"/>
      <w:pgSz w:w="16838" w:h="11906" w:orient="landscape"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590D" w14:textId="77777777" w:rsidR="00524AC1" w:rsidRDefault="00524AC1" w:rsidP="00B67BFB">
      <w:r>
        <w:separator/>
      </w:r>
    </w:p>
  </w:endnote>
  <w:endnote w:type="continuationSeparator" w:id="0">
    <w:p w14:paraId="5AA0AEAE" w14:textId="77777777" w:rsidR="00524AC1" w:rsidRDefault="00524AC1"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8F1B" w14:textId="53B82A73" w:rsidR="00EF0BE4" w:rsidRPr="00E34A1C" w:rsidRDefault="00E34A1C" w:rsidP="00E34A1C">
    <w:pPr>
      <w:pStyle w:val="Kjene"/>
    </w:pPr>
    <w:r w:rsidRPr="00E34A1C">
      <w:rPr>
        <w:rFonts w:eastAsia="Times New Roman"/>
        <w:bCs/>
        <w:sz w:val="20"/>
        <w:szCs w:val="20"/>
        <w:lang w:eastAsia="lv-LV"/>
      </w:rPr>
      <w:t>ZMizz_050321_GMO457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FD87" w14:textId="78DAA3FD" w:rsidR="00EF0BE4" w:rsidRPr="00E34A1C" w:rsidRDefault="00E34A1C" w:rsidP="00E34A1C">
    <w:pPr>
      <w:pStyle w:val="Kjene"/>
    </w:pPr>
    <w:r w:rsidRPr="00E34A1C">
      <w:rPr>
        <w:sz w:val="20"/>
        <w:szCs w:val="20"/>
      </w:rPr>
      <w:t>ZMizz_050321_GMO457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AC76" w14:textId="77777777" w:rsidR="00524AC1" w:rsidRDefault="00524AC1" w:rsidP="00B67BFB">
      <w:r>
        <w:separator/>
      </w:r>
    </w:p>
  </w:footnote>
  <w:footnote w:type="continuationSeparator" w:id="0">
    <w:p w14:paraId="0A6B655F" w14:textId="77777777" w:rsidR="00524AC1" w:rsidRDefault="00524AC1" w:rsidP="00B6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671321"/>
      <w:docPartObj>
        <w:docPartGallery w:val="Page Numbers (Top of Page)"/>
        <w:docPartUnique/>
      </w:docPartObj>
    </w:sdtPr>
    <w:sdtEndPr>
      <w:rPr>
        <w:noProof/>
      </w:rPr>
    </w:sdtEndPr>
    <w:sdtContent>
      <w:p w14:paraId="3C76F151" w14:textId="77777777" w:rsidR="00EF0BE4" w:rsidRDefault="00EF0BE4">
        <w:pPr>
          <w:pStyle w:val="Galvene"/>
          <w:jc w:val="center"/>
        </w:pPr>
        <w:r>
          <w:fldChar w:fldCharType="begin"/>
        </w:r>
        <w:r>
          <w:instrText xml:space="preserve"> PAGE   \* MERGEFORMAT </w:instrText>
        </w:r>
        <w:r>
          <w:fldChar w:fldCharType="separate"/>
        </w:r>
        <w:r w:rsidR="003B6E13">
          <w:rPr>
            <w:noProof/>
          </w:rPr>
          <w:t>11</w:t>
        </w:r>
        <w:r>
          <w:rPr>
            <w:noProof/>
          </w:rPr>
          <w:fldChar w:fldCharType="end"/>
        </w:r>
      </w:p>
    </w:sdtContent>
  </w:sdt>
  <w:p w14:paraId="3A148851" w14:textId="77777777" w:rsidR="00EF0BE4" w:rsidRDefault="00EF0B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BD37AD0"/>
    <w:multiLevelType w:val="hybridMultilevel"/>
    <w:tmpl w:val="2D1E355C"/>
    <w:lvl w:ilvl="0" w:tplc="99B89AB2">
      <w:start w:val="1"/>
      <w:numFmt w:val="decimal"/>
      <w:lvlText w:val="%1."/>
      <w:lvlJc w:val="left"/>
      <w:pPr>
        <w:ind w:left="1720" w:hanging="100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6B4E9F"/>
    <w:multiLevelType w:val="hybridMultilevel"/>
    <w:tmpl w:val="BFDA8BE8"/>
    <w:lvl w:ilvl="0" w:tplc="BE5A22D0">
      <w:start w:val="1"/>
      <w:numFmt w:val="decimal"/>
      <w:lvlText w:val="%1."/>
      <w:lvlJc w:val="left"/>
      <w:pPr>
        <w:ind w:left="785" w:hanging="360"/>
      </w:pPr>
      <w:rPr>
        <w:rFonts w:hint="default"/>
      </w:rPr>
    </w:lvl>
    <w:lvl w:ilvl="1" w:tplc="11B6EFD8" w:tentative="1">
      <w:start w:val="1"/>
      <w:numFmt w:val="lowerLetter"/>
      <w:lvlText w:val="%2."/>
      <w:lvlJc w:val="left"/>
      <w:pPr>
        <w:ind w:left="1505" w:hanging="360"/>
      </w:pPr>
    </w:lvl>
    <w:lvl w:ilvl="2" w:tplc="DD7217F8" w:tentative="1">
      <w:start w:val="1"/>
      <w:numFmt w:val="lowerRoman"/>
      <w:lvlText w:val="%3."/>
      <w:lvlJc w:val="right"/>
      <w:pPr>
        <w:ind w:left="2225" w:hanging="180"/>
      </w:pPr>
    </w:lvl>
    <w:lvl w:ilvl="3" w:tplc="CB90E174" w:tentative="1">
      <w:start w:val="1"/>
      <w:numFmt w:val="decimal"/>
      <w:lvlText w:val="%4."/>
      <w:lvlJc w:val="left"/>
      <w:pPr>
        <w:ind w:left="2945" w:hanging="360"/>
      </w:pPr>
    </w:lvl>
    <w:lvl w:ilvl="4" w:tplc="D584B448" w:tentative="1">
      <w:start w:val="1"/>
      <w:numFmt w:val="lowerLetter"/>
      <w:lvlText w:val="%5."/>
      <w:lvlJc w:val="left"/>
      <w:pPr>
        <w:ind w:left="3665" w:hanging="360"/>
      </w:pPr>
    </w:lvl>
    <w:lvl w:ilvl="5" w:tplc="CA304AF4" w:tentative="1">
      <w:start w:val="1"/>
      <w:numFmt w:val="lowerRoman"/>
      <w:lvlText w:val="%6."/>
      <w:lvlJc w:val="right"/>
      <w:pPr>
        <w:ind w:left="4385" w:hanging="180"/>
      </w:pPr>
    </w:lvl>
    <w:lvl w:ilvl="6" w:tplc="D04CA544" w:tentative="1">
      <w:start w:val="1"/>
      <w:numFmt w:val="decimal"/>
      <w:lvlText w:val="%7."/>
      <w:lvlJc w:val="left"/>
      <w:pPr>
        <w:ind w:left="5105" w:hanging="360"/>
      </w:pPr>
    </w:lvl>
    <w:lvl w:ilvl="7" w:tplc="90E2D46C" w:tentative="1">
      <w:start w:val="1"/>
      <w:numFmt w:val="lowerLetter"/>
      <w:lvlText w:val="%8."/>
      <w:lvlJc w:val="left"/>
      <w:pPr>
        <w:ind w:left="5825" w:hanging="360"/>
      </w:pPr>
    </w:lvl>
    <w:lvl w:ilvl="8" w:tplc="D040D82A" w:tentative="1">
      <w:start w:val="1"/>
      <w:numFmt w:val="lowerRoman"/>
      <w:lvlText w:val="%9."/>
      <w:lvlJc w:val="right"/>
      <w:pPr>
        <w:ind w:left="6545" w:hanging="180"/>
      </w:pPr>
    </w:lvl>
  </w:abstractNum>
  <w:abstractNum w:abstractNumId="6"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8"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0"/>
  </w:num>
  <w:num w:numId="6">
    <w:abstractNumId w:val="10"/>
  </w:num>
  <w:num w:numId="7">
    <w:abstractNumId w:val="7"/>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FB"/>
    <w:rsid w:val="00007104"/>
    <w:rsid w:val="0001400D"/>
    <w:rsid w:val="00017BD8"/>
    <w:rsid w:val="00023E8F"/>
    <w:rsid w:val="000246C4"/>
    <w:rsid w:val="00035730"/>
    <w:rsid w:val="00036E42"/>
    <w:rsid w:val="00043D22"/>
    <w:rsid w:val="000503FA"/>
    <w:rsid w:val="00050A2B"/>
    <w:rsid w:val="000566FF"/>
    <w:rsid w:val="0006138A"/>
    <w:rsid w:val="00061890"/>
    <w:rsid w:val="00063692"/>
    <w:rsid w:val="000641E6"/>
    <w:rsid w:val="00081AAC"/>
    <w:rsid w:val="00095632"/>
    <w:rsid w:val="00095A2C"/>
    <w:rsid w:val="000A605C"/>
    <w:rsid w:val="000B57C2"/>
    <w:rsid w:val="000C23D4"/>
    <w:rsid w:val="000D0CC0"/>
    <w:rsid w:val="000D174E"/>
    <w:rsid w:val="000D7BCC"/>
    <w:rsid w:val="000E0A51"/>
    <w:rsid w:val="000E25EF"/>
    <w:rsid w:val="000E2A6B"/>
    <w:rsid w:val="000E412E"/>
    <w:rsid w:val="000F1B84"/>
    <w:rsid w:val="000F2F44"/>
    <w:rsid w:val="00101A2F"/>
    <w:rsid w:val="00104846"/>
    <w:rsid w:val="00117144"/>
    <w:rsid w:val="001247A7"/>
    <w:rsid w:val="001263C5"/>
    <w:rsid w:val="00134453"/>
    <w:rsid w:val="00136A1F"/>
    <w:rsid w:val="00140396"/>
    <w:rsid w:val="00140710"/>
    <w:rsid w:val="0014267A"/>
    <w:rsid w:val="00193287"/>
    <w:rsid w:val="001B56AB"/>
    <w:rsid w:val="001C1466"/>
    <w:rsid w:val="001C6724"/>
    <w:rsid w:val="001E04B0"/>
    <w:rsid w:val="001E1404"/>
    <w:rsid w:val="001E5681"/>
    <w:rsid w:val="001E6B04"/>
    <w:rsid w:val="001F7F42"/>
    <w:rsid w:val="00206A80"/>
    <w:rsid w:val="002102DC"/>
    <w:rsid w:val="00210349"/>
    <w:rsid w:val="00217065"/>
    <w:rsid w:val="00223E9F"/>
    <w:rsid w:val="002240AC"/>
    <w:rsid w:val="002316B7"/>
    <w:rsid w:val="00231A48"/>
    <w:rsid w:val="00241133"/>
    <w:rsid w:val="00263236"/>
    <w:rsid w:val="002712BA"/>
    <w:rsid w:val="00275555"/>
    <w:rsid w:val="002909BE"/>
    <w:rsid w:val="0029491E"/>
    <w:rsid w:val="002A454A"/>
    <w:rsid w:val="002A5C42"/>
    <w:rsid w:val="002B148C"/>
    <w:rsid w:val="002B55F9"/>
    <w:rsid w:val="002D00F5"/>
    <w:rsid w:val="002D3C93"/>
    <w:rsid w:val="002D50B3"/>
    <w:rsid w:val="002E714B"/>
    <w:rsid w:val="002E71A2"/>
    <w:rsid w:val="002F22DE"/>
    <w:rsid w:val="00303C73"/>
    <w:rsid w:val="003055E0"/>
    <w:rsid w:val="003063B6"/>
    <w:rsid w:val="00306DC4"/>
    <w:rsid w:val="00313BA7"/>
    <w:rsid w:val="00315F1C"/>
    <w:rsid w:val="003162EA"/>
    <w:rsid w:val="00332BB7"/>
    <w:rsid w:val="00333A71"/>
    <w:rsid w:val="003358F2"/>
    <w:rsid w:val="00336D73"/>
    <w:rsid w:val="00344BEF"/>
    <w:rsid w:val="003611D8"/>
    <w:rsid w:val="00361BA6"/>
    <w:rsid w:val="00371121"/>
    <w:rsid w:val="003873F4"/>
    <w:rsid w:val="00394292"/>
    <w:rsid w:val="00394EDA"/>
    <w:rsid w:val="003A316E"/>
    <w:rsid w:val="003B6E13"/>
    <w:rsid w:val="003C1CD9"/>
    <w:rsid w:val="003D2797"/>
    <w:rsid w:val="003D4EA3"/>
    <w:rsid w:val="003E08A3"/>
    <w:rsid w:val="003E71FE"/>
    <w:rsid w:val="003F2952"/>
    <w:rsid w:val="003F4681"/>
    <w:rsid w:val="00400C23"/>
    <w:rsid w:val="00410257"/>
    <w:rsid w:val="00432C47"/>
    <w:rsid w:val="00441FF4"/>
    <w:rsid w:val="00443789"/>
    <w:rsid w:val="00444286"/>
    <w:rsid w:val="0044591F"/>
    <w:rsid w:val="0045448D"/>
    <w:rsid w:val="00457D84"/>
    <w:rsid w:val="004667FF"/>
    <w:rsid w:val="0046703A"/>
    <w:rsid w:val="004802B3"/>
    <w:rsid w:val="004823AA"/>
    <w:rsid w:val="0049798D"/>
    <w:rsid w:val="00497BA3"/>
    <w:rsid w:val="004A3DE9"/>
    <w:rsid w:val="004A3F20"/>
    <w:rsid w:val="004B160E"/>
    <w:rsid w:val="004B3DF7"/>
    <w:rsid w:val="004B632D"/>
    <w:rsid w:val="004D06E8"/>
    <w:rsid w:val="004E4619"/>
    <w:rsid w:val="004E586C"/>
    <w:rsid w:val="004F071F"/>
    <w:rsid w:val="00500840"/>
    <w:rsid w:val="00511A03"/>
    <w:rsid w:val="00514AC9"/>
    <w:rsid w:val="00514D45"/>
    <w:rsid w:val="00524AC1"/>
    <w:rsid w:val="005266CC"/>
    <w:rsid w:val="005377FA"/>
    <w:rsid w:val="0055212B"/>
    <w:rsid w:val="0055416D"/>
    <w:rsid w:val="00554830"/>
    <w:rsid w:val="005607AE"/>
    <w:rsid w:val="005631B6"/>
    <w:rsid w:val="0057052D"/>
    <w:rsid w:val="005765B6"/>
    <w:rsid w:val="00593425"/>
    <w:rsid w:val="005A6E3A"/>
    <w:rsid w:val="005B5415"/>
    <w:rsid w:val="005B7F02"/>
    <w:rsid w:val="005C4DFE"/>
    <w:rsid w:val="005C7C30"/>
    <w:rsid w:val="005E068C"/>
    <w:rsid w:val="005E297A"/>
    <w:rsid w:val="005E2B44"/>
    <w:rsid w:val="005E2DF7"/>
    <w:rsid w:val="005F114A"/>
    <w:rsid w:val="005F3A45"/>
    <w:rsid w:val="006041E7"/>
    <w:rsid w:val="00616151"/>
    <w:rsid w:val="0061659C"/>
    <w:rsid w:val="00624DB3"/>
    <w:rsid w:val="006372B1"/>
    <w:rsid w:val="00637D54"/>
    <w:rsid w:val="00641F44"/>
    <w:rsid w:val="00646C73"/>
    <w:rsid w:val="0065072C"/>
    <w:rsid w:val="00650DDA"/>
    <w:rsid w:val="006561AD"/>
    <w:rsid w:val="006562BC"/>
    <w:rsid w:val="00660F9B"/>
    <w:rsid w:val="00670292"/>
    <w:rsid w:val="00680995"/>
    <w:rsid w:val="00683281"/>
    <w:rsid w:val="00692204"/>
    <w:rsid w:val="006933A9"/>
    <w:rsid w:val="00697DED"/>
    <w:rsid w:val="006A50E5"/>
    <w:rsid w:val="006A5981"/>
    <w:rsid w:val="006A7208"/>
    <w:rsid w:val="006B3852"/>
    <w:rsid w:val="006B6555"/>
    <w:rsid w:val="006C105C"/>
    <w:rsid w:val="006C36EF"/>
    <w:rsid w:val="006C586C"/>
    <w:rsid w:val="006C638F"/>
    <w:rsid w:val="006C763E"/>
    <w:rsid w:val="006D1860"/>
    <w:rsid w:val="006D6776"/>
    <w:rsid w:val="006D7562"/>
    <w:rsid w:val="006E62BE"/>
    <w:rsid w:val="006E6656"/>
    <w:rsid w:val="006E6FE0"/>
    <w:rsid w:val="006E7927"/>
    <w:rsid w:val="006F0BB3"/>
    <w:rsid w:val="006F4451"/>
    <w:rsid w:val="006F6289"/>
    <w:rsid w:val="00700393"/>
    <w:rsid w:val="00703FB2"/>
    <w:rsid w:val="00712DB6"/>
    <w:rsid w:val="007323D0"/>
    <w:rsid w:val="007345D4"/>
    <w:rsid w:val="00734787"/>
    <w:rsid w:val="007410A2"/>
    <w:rsid w:val="00741CE0"/>
    <w:rsid w:val="00755715"/>
    <w:rsid w:val="00762AB3"/>
    <w:rsid w:val="00773F54"/>
    <w:rsid w:val="00777918"/>
    <w:rsid w:val="00781485"/>
    <w:rsid w:val="00786B20"/>
    <w:rsid w:val="007A29F3"/>
    <w:rsid w:val="007A61BC"/>
    <w:rsid w:val="007A6F9C"/>
    <w:rsid w:val="007B1230"/>
    <w:rsid w:val="007B4B41"/>
    <w:rsid w:val="007B5C2A"/>
    <w:rsid w:val="007B77B6"/>
    <w:rsid w:val="007C6BFB"/>
    <w:rsid w:val="007D075E"/>
    <w:rsid w:val="007D30A3"/>
    <w:rsid w:val="007E09E5"/>
    <w:rsid w:val="007E1D2E"/>
    <w:rsid w:val="007E6BA6"/>
    <w:rsid w:val="00804DD3"/>
    <w:rsid w:val="00810098"/>
    <w:rsid w:val="008118FB"/>
    <w:rsid w:val="008142DB"/>
    <w:rsid w:val="00814882"/>
    <w:rsid w:val="00824EF9"/>
    <w:rsid w:val="0083073F"/>
    <w:rsid w:val="00830F2D"/>
    <w:rsid w:val="008337C2"/>
    <w:rsid w:val="00836B5C"/>
    <w:rsid w:val="00841822"/>
    <w:rsid w:val="008508DE"/>
    <w:rsid w:val="00850F59"/>
    <w:rsid w:val="00854F33"/>
    <w:rsid w:val="00857AAB"/>
    <w:rsid w:val="008778AC"/>
    <w:rsid w:val="00881A1E"/>
    <w:rsid w:val="00886C3C"/>
    <w:rsid w:val="00891721"/>
    <w:rsid w:val="008A47F5"/>
    <w:rsid w:val="008B3F8F"/>
    <w:rsid w:val="008B7646"/>
    <w:rsid w:val="008C0977"/>
    <w:rsid w:val="008C3ECD"/>
    <w:rsid w:val="008D1463"/>
    <w:rsid w:val="008D465E"/>
    <w:rsid w:val="008D4746"/>
    <w:rsid w:val="008E0B5C"/>
    <w:rsid w:val="008E0D81"/>
    <w:rsid w:val="008F197F"/>
    <w:rsid w:val="008F26F1"/>
    <w:rsid w:val="008F3B8C"/>
    <w:rsid w:val="008F4C88"/>
    <w:rsid w:val="00900710"/>
    <w:rsid w:val="0091101F"/>
    <w:rsid w:val="009175D2"/>
    <w:rsid w:val="00937495"/>
    <w:rsid w:val="0094597F"/>
    <w:rsid w:val="00950152"/>
    <w:rsid w:val="009553D7"/>
    <w:rsid w:val="00956F1E"/>
    <w:rsid w:val="00962735"/>
    <w:rsid w:val="009638EA"/>
    <w:rsid w:val="0097272B"/>
    <w:rsid w:val="00974951"/>
    <w:rsid w:val="009751C2"/>
    <w:rsid w:val="00984853"/>
    <w:rsid w:val="00991ABE"/>
    <w:rsid w:val="009958E3"/>
    <w:rsid w:val="009A3BC6"/>
    <w:rsid w:val="009A5B28"/>
    <w:rsid w:val="009A7E04"/>
    <w:rsid w:val="009B3135"/>
    <w:rsid w:val="009B3725"/>
    <w:rsid w:val="009B3D3A"/>
    <w:rsid w:val="009C17CE"/>
    <w:rsid w:val="009D7A95"/>
    <w:rsid w:val="009E45C4"/>
    <w:rsid w:val="009E554A"/>
    <w:rsid w:val="009E7FF4"/>
    <w:rsid w:val="009F5AFE"/>
    <w:rsid w:val="009F706A"/>
    <w:rsid w:val="00A02A58"/>
    <w:rsid w:val="00A046AC"/>
    <w:rsid w:val="00A063FC"/>
    <w:rsid w:val="00A21D71"/>
    <w:rsid w:val="00A41C8B"/>
    <w:rsid w:val="00A6789F"/>
    <w:rsid w:val="00A72807"/>
    <w:rsid w:val="00A74797"/>
    <w:rsid w:val="00A7527B"/>
    <w:rsid w:val="00A80744"/>
    <w:rsid w:val="00A80AED"/>
    <w:rsid w:val="00A82C4A"/>
    <w:rsid w:val="00A87D27"/>
    <w:rsid w:val="00A9470B"/>
    <w:rsid w:val="00A9474E"/>
    <w:rsid w:val="00A96C83"/>
    <w:rsid w:val="00AB12A0"/>
    <w:rsid w:val="00AB2360"/>
    <w:rsid w:val="00AB7271"/>
    <w:rsid w:val="00AC0769"/>
    <w:rsid w:val="00AD55D7"/>
    <w:rsid w:val="00AE2F9D"/>
    <w:rsid w:val="00AE42BA"/>
    <w:rsid w:val="00AF2172"/>
    <w:rsid w:val="00AF2B3B"/>
    <w:rsid w:val="00AF3843"/>
    <w:rsid w:val="00AF6280"/>
    <w:rsid w:val="00AF6C5F"/>
    <w:rsid w:val="00AF730F"/>
    <w:rsid w:val="00B00DB5"/>
    <w:rsid w:val="00B0321D"/>
    <w:rsid w:val="00B14883"/>
    <w:rsid w:val="00B16C9B"/>
    <w:rsid w:val="00B2380F"/>
    <w:rsid w:val="00B242CE"/>
    <w:rsid w:val="00B315A3"/>
    <w:rsid w:val="00B349FB"/>
    <w:rsid w:val="00B41C3B"/>
    <w:rsid w:val="00B42ED7"/>
    <w:rsid w:val="00B4482B"/>
    <w:rsid w:val="00B65F5B"/>
    <w:rsid w:val="00B67BFB"/>
    <w:rsid w:val="00B70F09"/>
    <w:rsid w:val="00B711D0"/>
    <w:rsid w:val="00B870ED"/>
    <w:rsid w:val="00B872AC"/>
    <w:rsid w:val="00B9017D"/>
    <w:rsid w:val="00BA05C7"/>
    <w:rsid w:val="00BA3A78"/>
    <w:rsid w:val="00BA504F"/>
    <w:rsid w:val="00BA6A32"/>
    <w:rsid w:val="00BB0B61"/>
    <w:rsid w:val="00BB2E5D"/>
    <w:rsid w:val="00BC65C7"/>
    <w:rsid w:val="00BD0E01"/>
    <w:rsid w:val="00BD5F83"/>
    <w:rsid w:val="00BD789B"/>
    <w:rsid w:val="00BF4E10"/>
    <w:rsid w:val="00C02281"/>
    <w:rsid w:val="00C052AE"/>
    <w:rsid w:val="00C10D29"/>
    <w:rsid w:val="00C13A8F"/>
    <w:rsid w:val="00C32E3E"/>
    <w:rsid w:val="00C5785E"/>
    <w:rsid w:val="00C6205E"/>
    <w:rsid w:val="00C63EAC"/>
    <w:rsid w:val="00C65740"/>
    <w:rsid w:val="00C66194"/>
    <w:rsid w:val="00C67246"/>
    <w:rsid w:val="00C67EFE"/>
    <w:rsid w:val="00C75DA9"/>
    <w:rsid w:val="00C76A0C"/>
    <w:rsid w:val="00C7796A"/>
    <w:rsid w:val="00C82457"/>
    <w:rsid w:val="00C826D8"/>
    <w:rsid w:val="00C85C75"/>
    <w:rsid w:val="00C931D0"/>
    <w:rsid w:val="00C9363B"/>
    <w:rsid w:val="00C961E2"/>
    <w:rsid w:val="00CA2D8B"/>
    <w:rsid w:val="00CA7592"/>
    <w:rsid w:val="00CA7D33"/>
    <w:rsid w:val="00CB38D9"/>
    <w:rsid w:val="00CB4B0F"/>
    <w:rsid w:val="00CB4FC8"/>
    <w:rsid w:val="00CC5672"/>
    <w:rsid w:val="00CD554C"/>
    <w:rsid w:val="00CE7C6F"/>
    <w:rsid w:val="00CF5945"/>
    <w:rsid w:val="00CF624B"/>
    <w:rsid w:val="00CF7624"/>
    <w:rsid w:val="00D23106"/>
    <w:rsid w:val="00D23164"/>
    <w:rsid w:val="00D3511A"/>
    <w:rsid w:val="00D3555E"/>
    <w:rsid w:val="00D43340"/>
    <w:rsid w:val="00D45656"/>
    <w:rsid w:val="00D46589"/>
    <w:rsid w:val="00D56974"/>
    <w:rsid w:val="00D57116"/>
    <w:rsid w:val="00D63291"/>
    <w:rsid w:val="00D73B70"/>
    <w:rsid w:val="00D75C3C"/>
    <w:rsid w:val="00D7667F"/>
    <w:rsid w:val="00D85559"/>
    <w:rsid w:val="00DA416E"/>
    <w:rsid w:val="00DA43BF"/>
    <w:rsid w:val="00DA622D"/>
    <w:rsid w:val="00DB3D00"/>
    <w:rsid w:val="00DB6C9A"/>
    <w:rsid w:val="00DC0D42"/>
    <w:rsid w:val="00DC119D"/>
    <w:rsid w:val="00DC30BD"/>
    <w:rsid w:val="00DC66D2"/>
    <w:rsid w:val="00DC76C6"/>
    <w:rsid w:val="00DD128B"/>
    <w:rsid w:val="00DD2983"/>
    <w:rsid w:val="00DD437F"/>
    <w:rsid w:val="00DD4381"/>
    <w:rsid w:val="00DD762F"/>
    <w:rsid w:val="00DE237C"/>
    <w:rsid w:val="00DE5A4C"/>
    <w:rsid w:val="00DF5B3C"/>
    <w:rsid w:val="00DF65EB"/>
    <w:rsid w:val="00E05877"/>
    <w:rsid w:val="00E0621C"/>
    <w:rsid w:val="00E123D8"/>
    <w:rsid w:val="00E16AC0"/>
    <w:rsid w:val="00E303A9"/>
    <w:rsid w:val="00E34A1C"/>
    <w:rsid w:val="00E43B52"/>
    <w:rsid w:val="00E46B7D"/>
    <w:rsid w:val="00E52DC2"/>
    <w:rsid w:val="00E54C88"/>
    <w:rsid w:val="00E55C24"/>
    <w:rsid w:val="00E568B8"/>
    <w:rsid w:val="00E67BDE"/>
    <w:rsid w:val="00E826D7"/>
    <w:rsid w:val="00E91C52"/>
    <w:rsid w:val="00E97C6E"/>
    <w:rsid w:val="00EB20F5"/>
    <w:rsid w:val="00EB3F04"/>
    <w:rsid w:val="00EB5967"/>
    <w:rsid w:val="00EB7E20"/>
    <w:rsid w:val="00EC1EB6"/>
    <w:rsid w:val="00ED065F"/>
    <w:rsid w:val="00ED07A4"/>
    <w:rsid w:val="00ED674B"/>
    <w:rsid w:val="00EE1344"/>
    <w:rsid w:val="00EE1A57"/>
    <w:rsid w:val="00EE254E"/>
    <w:rsid w:val="00EF0BE4"/>
    <w:rsid w:val="00F05ADD"/>
    <w:rsid w:val="00F10EFA"/>
    <w:rsid w:val="00F12542"/>
    <w:rsid w:val="00F146DA"/>
    <w:rsid w:val="00F253D5"/>
    <w:rsid w:val="00F360C0"/>
    <w:rsid w:val="00F40429"/>
    <w:rsid w:val="00F419E2"/>
    <w:rsid w:val="00F502EF"/>
    <w:rsid w:val="00F515DF"/>
    <w:rsid w:val="00F53CDE"/>
    <w:rsid w:val="00F569B8"/>
    <w:rsid w:val="00F65AFF"/>
    <w:rsid w:val="00F72529"/>
    <w:rsid w:val="00F74600"/>
    <w:rsid w:val="00F776E6"/>
    <w:rsid w:val="00F92293"/>
    <w:rsid w:val="00F9293C"/>
    <w:rsid w:val="00F97840"/>
    <w:rsid w:val="00FB245F"/>
    <w:rsid w:val="00FB76EA"/>
    <w:rsid w:val="00FC0071"/>
    <w:rsid w:val="00FD15E8"/>
    <w:rsid w:val="00FD20F1"/>
    <w:rsid w:val="00FD3EA2"/>
    <w:rsid w:val="00FD4237"/>
    <w:rsid w:val="00FD5D02"/>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3C273"/>
  <w15:docId w15:val="{576F40E7-D4D4-48DA-B4D7-CB3181B4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349FB"/>
    <w:pPr>
      <w:spacing w:before="75" w:after="75"/>
      <w:ind w:firstLine="375"/>
      <w:jc w:val="both"/>
    </w:pPr>
  </w:style>
  <w:style w:type="paragraph" w:customStyle="1" w:styleId="naisc">
    <w:name w:val="naisc"/>
    <w:basedOn w:val="Parasts"/>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Kjene">
    <w:name w:val="footer"/>
    <w:basedOn w:val="Parasts"/>
    <w:link w:val="KjeneRakstz"/>
    <w:uiPriority w:val="99"/>
    <w:unhideWhenUsed/>
    <w:rsid w:val="009638EA"/>
    <w:pPr>
      <w:widowControl w:val="0"/>
      <w:tabs>
        <w:tab w:val="center" w:pos="4320"/>
        <w:tab w:val="right" w:pos="8640"/>
      </w:tabs>
      <w:jc w:val="both"/>
    </w:pPr>
    <w:rPr>
      <w:rFonts w:eastAsia="Calibri"/>
      <w:szCs w:val="22"/>
      <w:lang w:eastAsia="en-US"/>
    </w:rPr>
  </w:style>
  <w:style w:type="character" w:customStyle="1" w:styleId="KjeneRakstz">
    <w:name w:val="Kājene Rakstz."/>
    <w:basedOn w:val="Noklusjumarindkopasfonts"/>
    <w:link w:val="Kjene"/>
    <w:uiPriority w:val="99"/>
    <w:rsid w:val="009638EA"/>
    <w:rPr>
      <w:rFonts w:ascii="Times New Roman" w:eastAsia="Calibri" w:hAnsi="Times New Roman" w:cs="Times New Roman"/>
      <w:sz w:val="24"/>
    </w:rPr>
  </w:style>
  <w:style w:type="paragraph" w:styleId="Sarakstarindkopa">
    <w:name w:val="List Paragraph"/>
    <w:basedOn w:val="Parasts"/>
    <w:uiPriority w:val="34"/>
    <w:qFormat/>
    <w:rsid w:val="00514AC9"/>
    <w:pPr>
      <w:widowControl w:val="0"/>
      <w:adjustRightInd w:val="0"/>
      <w:spacing w:line="360" w:lineRule="atLeast"/>
      <w:ind w:left="720"/>
      <w:contextualSpacing/>
      <w:jc w:val="both"/>
      <w:textAlignment w:val="baseline"/>
    </w:pPr>
  </w:style>
  <w:style w:type="paragraph" w:styleId="Galvene">
    <w:name w:val="header"/>
    <w:basedOn w:val="Parasts"/>
    <w:link w:val="GalveneRakstz"/>
    <w:uiPriority w:val="99"/>
    <w:unhideWhenUsed/>
    <w:rsid w:val="00B67BFB"/>
    <w:pPr>
      <w:tabs>
        <w:tab w:val="center" w:pos="4153"/>
        <w:tab w:val="right" w:pos="8306"/>
      </w:tabs>
    </w:pPr>
  </w:style>
  <w:style w:type="character" w:customStyle="1" w:styleId="GalveneRakstz">
    <w:name w:val="Galvene Rakstz."/>
    <w:basedOn w:val="Noklusjumarindkopasfonts"/>
    <w:link w:val="Galvene"/>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Parasts"/>
    <w:rsid w:val="00FD75C9"/>
    <w:pPr>
      <w:spacing w:after="567" w:line="360" w:lineRule="auto"/>
      <w:jc w:val="center"/>
    </w:pPr>
    <w:rPr>
      <w:rFonts w:ascii="Verdana" w:hAnsi="Verdana"/>
      <w:b/>
      <w:bCs/>
      <w:sz w:val="28"/>
      <w:szCs w:val="28"/>
    </w:rPr>
  </w:style>
  <w:style w:type="paragraph" w:customStyle="1" w:styleId="tv2132">
    <w:name w:val="tv2132"/>
    <w:basedOn w:val="Parasts"/>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Parasts"/>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Reatabula">
    <w:name w:val="Table Grid"/>
    <w:basedOn w:val="Parastatabula"/>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VrestekstsRakstz">
    <w:name w:val="Vēres teksts Rakstz."/>
    <w:basedOn w:val="Noklusjumarindkopasfonts"/>
    <w:link w:val="Vresteksts"/>
    <w:uiPriority w:val="99"/>
    <w:semiHidden/>
    <w:rsid w:val="009F5AFE"/>
    <w:rPr>
      <w:rFonts w:ascii="Calibri" w:eastAsia="Calibri" w:hAnsi="Calibri" w:cs="Times New Roman"/>
      <w:sz w:val="20"/>
      <w:szCs w:val="20"/>
      <w:lang w:val="en-US"/>
    </w:rPr>
  </w:style>
  <w:style w:type="character" w:styleId="Vresatsauce">
    <w:name w:val="footnote reference"/>
    <w:uiPriority w:val="99"/>
    <w:semiHidden/>
    <w:unhideWhenUsed/>
    <w:rsid w:val="009F5AFE"/>
    <w:rPr>
      <w:vertAlign w:val="superscript"/>
    </w:rPr>
  </w:style>
  <w:style w:type="character" w:styleId="Izclums">
    <w:name w:val="Emphasis"/>
    <w:basedOn w:val="Noklusjumarindkopasfonts"/>
    <w:uiPriority w:val="20"/>
    <w:qFormat/>
    <w:rsid w:val="003162EA"/>
    <w:rPr>
      <w:i/>
      <w:iCs/>
    </w:rPr>
  </w:style>
  <w:style w:type="character" w:styleId="Komentraatsauce">
    <w:name w:val="annotation reference"/>
    <w:basedOn w:val="Noklusjumarindkopasfonts"/>
    <w:uiPriority w:val="99"/>
    <w:semiHidden/>
    <w:unhideWhenUsed/>
    <w:rsid w:val="005C7C30"/>
    <w:rPr>
      <w:sz w:val="16"/>
      <w:szCs w:val="16"/>
    </w:rPr>
  </w:style>
  <w:style w:type="paragraph" w:styleId="Komentrateksts">
    <w:name w:val="annotation text"/>
    <w:basedOn w:val="Parasts"/>
    <w:link w:val="KomentratekstsRakstz"/>
    <w:uiPriority w:val="99"/>
    <w:semiHidden/>
    <w:unhideWhenUsed/>
    <w:rsid w:val="005C7C30"/>
    <w:rPr>
      <w:sz w:val="20"/>
      <w:szCs w:val="20"/>
    </w:rPr>
  </w:style>
  <w:style w:type="character" w:customStyle="1" w:styleId="KomentratekstsRakstz">
    <w:name w:val="Komentāra teksts Rakstz."/>
    <w:basedOn w:val="Noklusjumarindkopasfonts"/>
    <w:link w:val="Komentrateksts"/>
    <w:uiPriority w:val="99"/>
    <w:semiHidden/>
    <w:rsid w:val="005C7C3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C7C30"/>
    <w:rPr>
      <w:b/>
      <w:bCs/>
    </w:rPr>
  </w:style>
  <w:style w:type="character" w:customStyle="1" w:styleId="KomentratmaRakstz">
    <w:name w:val="Komentāra tēma Rakstz."/>
    <w:basedOn w:val="KomentratekstsRakstz"/>
    <w:link w:val="Komentratma"/>
    <w:uiPriority w:val="99"/>
    <w:semiHidden/>
    <w:rsid w:val="005C7C3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C7C3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7C30"/>
    <w:rPr>
      <w:rFonts w:ascii="Segoe UI" w:eastAsia="Times New Roman" w:hAnsi="Segoe UI" w:cs="Segoe UI"/>
      <w:sz w:val="18"/>
      <w:szCs w:val="18"/>
      <w:lang w:eastAsia="lv-LV"/>
    </w:rPr>
  </w:style>
  <w:style w:type="paragraph" w:styleId="Prskatjums">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712BA"/>
    <w:pPr>
      <w:spacing w:before="100" w:beforeAutospacing="1" w:after="100" w:afterAutospacing="1"/>
    </w:pPr>
    <w:rPr>
      <w:noProof/>
      <w:lang w:val="en-US" w:eastAsia="en-US"/>
    </w:rPr>
  </w:style>
  <w:style w:type="paragraph" w:styleId="Paraststmeklis">
    <w:name w:val="Normal (Web)"/>
    <w:basedOn w:val="Parasts"/>
    <w:uiPriority w:val="99"/>
    <w:rsid w:val="00B870ED"/>
    <w:pPr>
      <w:spacing w:before="75" w:after="75"/>
    </w:pPr>
  </w:style>
  <w:style w:type="character" w:styleId="Hipersaite">
    <w:name w:val="Hyperlink"/>
    <w:basedOn w:val="Noklusjumarindkopasfonts"/>
    <w:uiPriority w:val="99"/>
    <w:unhideWhenUsed/>
    <w:rsid w:val="00444286"/>
    <w:rPr>
      <w:color w:val="0563C1" w:themeColor="hyperlink"/>
      <w:u w:val="single"/>
    </w:rPr>
  </w:style>
  <w:style w:type="character" w:customStyle="1" w:styleId="Neatrisintapieminana1">
    <w:name w:val="Neatrisināta pieminēšana1"/>
    <w:basedOn w:val="Noklusjumarindkopasfonts"/>
    <w:uiPriority w:val="99"/>
    <w:semiHidden/>
    <w:unhideWhenUsed/>
    <w:rsid w:val="00444286"/>
    <w:rPr>
      <w:color w:val="605E5C"/>
      <w:shd w:val="clear" w:color="auto" w:fill="E1DFDD"/>
    </w:rPr>
  </w:style>
  <w:style w:type="paragraph" w:styleId="Bezatstarpm">
    <w:name w:val="No Spacing"/>
    <w:uiPriority w:val="1"/>
    <w:qFormat/>
    <w:rsid w:val="00D23106"/>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8F4C8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042">
      <w:bodyDiv w:val="1"/>
      <w:marLeft w:val="0"/>
      <w:marRight w:val="0"/>
      <w:marTop w:val="0"/>
      <w:marBottom w:val="0"/>
      <w:divBdr>
        <w:top w:val="none" w:sz="0" w:space="0" w:color="auto"/>
        <w:left w:val="none" w:sz="0" w:space="0" w:color="auto"/>
        <w:bottom w:val="none" w:sz="0" w:space="0" w:color="auto"/>
        <w:right w:val="none" w:sz="0" w:space="0" w:color="auto"/>
      </w:divBdr>
    </w:div>
    <w:div w:id="431125499">
      <w:bodyDiv w:val="1"/>
      <w:marLeft w:val="0"/>
      <w:marRight w:val="0"/>
      <w:marTop w:val="0"/>
      <w:marBottom w:val="0"/>
      <w:divBdr>
        <w:top w:val="none" w:sz="0" w:space="0" w:color="auto"/>
        <w:left w:val="none" w:sz="0" w:space="0" w:color="auto"/>
        <w:bottom w:val="none" w:sz="0" w:space="0" w:color="auto"/>
        <w:right w:val="none" w:sz="0" w:space="0" w:color="auto"/>
      </w:divBdr>
    </w:div>
    <w:div w:id="651524062">
      <w:bodyDiv w:val="1"/>
      <w:marLeft w:val="0"/>
      <w:marRight w:val="0"/>
      <w:marTop w:val="0"/>
      <w:marBottom w:val="0"/>
      <w:divBdr>
        <w:top w:val="none" w:sz="0" w:space="0" w:color="auto"/>
        <w:left w:val="none" w:sz="0" w:space="0" w:color="auto"/>
        <w:bottom w:val="none" w:sz="0" w:space="0" w:color="auto"/>
        <w:right w:val="none" w:sz="0" w:space="0" w:color="auto"/>
      </w:divBdr>
    </w:div>
    <w:div w:id="757747985">
      <w:bodyDiv w:val="1"/>
      <w:marLeft w:val="0"/>
      <w:marRight w:val="0"/>
      <w:marTop w:val="0"/>
      <w:marBottom w:val="0"/>
      <w:divBdr>
        <w:top w:val="none" w:sz="0" w:space="0" w:color="auto"/>
        <w:left w:val="none" w:sz="0" w:space="0" w:color="auto"/>
        <w:bottom w:val="none" w:sz="0" w:space="0" w:color="auto"/>
        <w:right w:val="none" w:sz="0" w:space="0" w:color="auto"/>
      </w:divBdr>
    </w:div>
    <w:div w:id="790441180">
      <w:bodyDiv w:val="1"/>
      <w:marLeft w:val="0"/>
      <w:marRight w:val="0"/>
      <w:marTop w:val="0"/>
      <w:marBottom w:val="0"/>
      <w:divBdr>
        <w:top w:val="none" w:sz="0" w:space="0" w:color="auto"/>
        <w:left w:val="none" w:sz="0" w:space="0" w:color="auto"/>
        <w:bottom w:val="none" w:sz="0" w:space="0" w:color="auto"/>
        <w:right w:val="none" w:sz="0" w:space="0" w:color="auto"/>
      </w:divBdr>
    </w:div>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008750973">
      <w:bodyDiv w:val="1"/>
      <w:marLeft w:val="0"/>
      <w:marRight w:val="0"/>
      <w:marTop w:val="0"/>
      <w:marBottom w:val="0"/>
      <w:divBdr>
        <w:top w:val="none" w:sz="0" w:space="0" w:color="auto"/>
        <w:left w:val="none" w:sz="0" w:space="0" w:color="auto"/>
        <w:bottom w:val="none" w:sz="0" w:space="0" w:color="auto"/>
        <w:right w:val="none" w:sz="0" w:space="0" w:color="auto"/>
      </w:divBdr>
    </w:div>
    <w:div w:id="1344287114">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638298207">
      <w:bodyDiv w:val="1"/>
      <w:marLeft w:val="0"/>
      <w:marRight w:val="0"/>
      <w:marTop w:val="0"/>
      <w:marBottom w:val="0"/>
      <w:divBdr>
        <w:top w:val="none" w:sz="0" w:space="0" w:color="auto"/>
        <w:left w:val="none" w:sz="0" w:space="0" w:color="auto"/>
        <w:bottom w:val="none" w:sz="0" w:space="0" w:color="auto"/>
        <w:right w:val="none" w:sz="0" w:space="0" w:color="auto"/>
      </w:divBdr>
    </w:div>
    <w:div w:id="1932615768">
      <w:bodyDiv w:val="1"/>
      <w:marLeft w:val="0"/>
      <w:marRight w:val="0"/>
      <w:marTop w:val="0"/>
      <w:marBottom w:val="0"/>
      <w:divBdr>
        <w:top w:val="none" w:sz="0" w:space="0" w:color="auto"/>
        <w:left w:val="none" w:sz="0" w:space="0" w:color="auto"/>
        <w:bottom w:val="none" w:sz="0" w:space="0" w:color="auto"/>
        <w:right w:val="none" w:sz="0" w:space="0" w:color="auto"/>
      </w:divBdr>
    </w:div>
    <w:div w:id="1935360714">
      <w:bodyDiv w:val="1"/>
      <w:marLeft w:val="0"/>
      <w:marRight w:val="0"/>
      <w:marTop w:val="0"/>
      <w:marBottom w:val="0"/>
      <w:divBdr>
        <w:top w:val="none" w:sz="0" w:space="0" w:color="auto"/>
        <w:left w:val="none" w:sz="0" w:space="0" w:color="auto"/>
        <w:bottom w:val="none" w:sz="0" w:space="0" w:color="auto"/>
        <w:right w:val="none" w:sz="0" w:space="0" w:color="auto"/>
      </w:divBdr>
    </w:div>
    <w:div w:id="196634763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 w:id="20803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7E9E-2C1C-400C-A8E4-B814FC2F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11972</Words>
  <Characters>6825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Modra Jansone</dc:creator>
  <cp:lastModifiedBy>Sanita Papinova</cp:lastModifiedBy>
  <cp:revision>3</cp:revision>
  <cp:lastPrinted>2019-06-10T07:01:00Z</cp:lastPrinted>
  <dcterms:created xsi:type="dcterms:W3CDTF">2021-03-09T09:37:00Z</dcterms:created>
  <dcterms:modified xsi:type="dcterms:W3CDTF">2021-03-09T12:50:00Z</dcterms:modified>
</cp:coreProperties>
</file>