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96C5" w14:textId="77777777" w:rsidR="00F24234" w:rsidRPr="00F24234" w:rsidRDefault="00F24234" w:rsidP="00F242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4DE63F" w14:textId="77777777" w:rsidR="00F24234" w:rsidRPr="00F24234" w:rsidRDefault="00F24234" w:rsidP="00F242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A4B1E" w14:textId="77777777" w:rsidR="00F24234" w:rsidRPr="00F24234" w:rsidRDefault="00F24234" w:rsidP="00F242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234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24234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F24234">
        <w:rPr>
          <w:rFonts w:ascii="Times New Roman" w:hAnsi="Times New Roman" w:cs="Times New Roman"/>
          <w:sz w:val="28"/>
          <w:szCs w:val="28"/>
        </w:rPr>
        <w:tab/>
        <w:t>Noteikumi</w:t>
      </w:r>
      <w:r w:rsidRPr="00F24234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</w:p>
    <w:p w14:paraId="1BB0A454" w14:textId="77777777" w:rsidR="00F24234" w:rsidRPr="00F24234" w:rsidRDefault="00F24234" w:rsidP="00F2423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23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24234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7BDA773E" w14:textId="77777777" w:rsidR="0070665D" w:rsidRPr="00F24234" w:rsidRDefault="0070665D" w:rsidP="00F242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1D826F" w14:textId="30AA72F5" w:rsidR="0070665D" w:rsidRPr="00F24234" w:rsidRDefault="0070665D" w:rsidP="00F24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242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</w:t>
      </w:r>
      <w:r w:rsidR="00B71BC8" w:rsidRPr="00F242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2020. gada 19. marta </w:t>
      </w:r>
      <w:r w:rsidRPr="00F242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noteikumos Nr.</w:t>
      </w:r>
      <w:r w:rsidR="00582C4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B71BC8" w:rsidRPr="00F242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150</w:t>
      </w:r>
      <w:r w:rsidRPr="00F242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F24234" w:rsidRPr="00F242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B71BC8" w:rsidRPr="00F242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garantijām saimnieciskās darbības veicējiem, kuru darbību ietekmējusi Covid-19 izplatība</w:t>
      </w:r>
      <w:r w:rsidR="00F24234" w:rsidRPr="00F2423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12218803" w14:textId="4D6838D9" w:rsidR="0070665D" w:rsidRPr="00F24234" w:rsidRDefault="0070665D" w:rsidP="00F24234">
      <w:pPr>
        <w:pStyle w:val="naislab"/>
        <w:spacing w:before="0" w:after="0"/>
        <w:jc w:val="left"/>
        <w:rPr>
          <w:sz w:val="28"/>
          <w:szCs w:val="28"/>
        </w:rPr>
      </w:pPr>
    </w:p>
    <w:p w14:paraId="72472823" w14:textId="77777777" w:rsidR="00B27DCC" w:rsidRPr="00F24234" w:rsidRDefault="00B27DCC" w:rsidP="00F24234">
      <w:pPr>
        <w:pStyle w:val="naislab"/>
        <w:spacing w:before="0" w:after="0"/>
        <w:rPr>
          <w:sz w:val="28"/>
          <w:szCs w:val="28"/>
        </w:rPr>
      </w:pPr>
      <w:r w:rsidRPr="00F24234">
        <w:rPr>
          <w:sz w:val="28"/>
          <w:szCs w:val="28"/>
        </w:rPr>
        <w:t>Izdoti saskaņā ar </w:t>
      </w:r>
    </w:p>
    <w:p w14:paraId="3811C5B0" w14:textId="77777777" w:rsidR="00C766D3" w:rsidRPr="00F24234" w:rsidRDefault="00412DF7" w:rsidP="00F24234">
      <w:pPr>
        <w:pStyle w:val="naislab"/>
        <w:spacing w:before="0" w:after="0"/>
        <w:rPr>
          <w:sz w:val="28"/>
          <w:szCs w:val="28"/>
        </w:rPr>
      </w:pPr>
      <w:hyperlink r:id="rId8" w:tgtFrame="_blank" w:history="1">
        <w:r w:rsidR="00B27DCC" w:rsidRPr="00F24234">
          <w:rPr>
            <w:sz w:val="28"/>
            <w:szCs w:val="28"/>
          </w:rPr>
          <w:t>Attīstības finanšu institūcijas likuma</w:t>
        </w:r>
      </w:hyperlink>
      <w:r w:rsidR="00B27DCC" w:rsidRPr="00F24234">
        <w:rPr>
          <w:sz w:val="28"/>
          <w:szCs w:val="28"/>
        </w:rPr>
        <w:t> </w:t>
      </w:r>
    </w:p>
    <w:p w14:paraId="719FDB8C" w14:textId="02997A23" w:rsidR="00B27DCC" w:rsidRPr="00F24234" w:rsidRDefault="00412DF7" w:rsidP="00F24234">
      <w:pPr>
        <w:pStyle w:val="naislab"/>
        <w:spacing w:before="0" w:after="0"/>
        <w:rPr>
          <w:iCs/>
          <w:color w:val="414142"/>
          <w:sz w:val="28"/>
          <w:szCs w:val="28"/>
        </w:rPr>
      </w:pPr>
      <w:hyperlink r:id="rId9" w:anchor="p12" w:tgtFrame="_blank" w:history="1">
        <w:r w:rsidR="00B27DCC" w:rsidRPr="00F24234">
          <w:rPr>
            <w:sz w:val="28"/>
            <w:szCs w:val="28"/>
          </w:rPr>
          <w:t>12.</w:t>
        </w:r>
      </w:hyperlink>
      <w:r w:rsidR="00B27DCC" w:rsidRPr="00F24234">
        <w:rPr>
          <w:sz w:val="28"/>
          <w:szCs w:val="28"/>
        </w:rPr>
        <w:t> pant</w:t>
      </w:r>
      <w:r w:rsidR="00C766D3" w:rsidRPr="00F24234">
        <w:rPr>
          <w:sz w:val="28"/>
          <w:szCs w:val="28"/>
        </w:rPr>
        <w:t>a ceturto daļu</w:t>
      </w:r>
    </w:p>
    <w:p w14:paraId="47039334" w14:textId="77777777" w:rsidR="0070665D" w:rsidRPr="00F24234" w:rsidRDefault="0070665D" w:rsidP="00F24234">
      <w:pPr>
        <w:pStyle w:val="naislab"/>
        <w:spacing w:before="0" w:after="0"/>
        <w:rPr>
          <w:sz w:val="28"/>
          <w:szCs w:val="28"/>
        </w:rPr>
      </w:pPr>
    </w:p>
    <w:p w14:paraId="5B46CA55" w14:textId="03565EEB" w:rsidR="00D0796A" w:rsidRPr="00F24234" w:rsidRDefault="00B71BC8" w:rsidP="00582C40">
      <w:pPr>
        <w:pStyle w:val="ListParagraph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Izdarīt Ministru kabineta 2020. gada 19. marta noteikumos Nr. 150 "</w:t>
      </w:r>
      <w:hyperlink r:id="rId10" w:tgtFrame="_blank" w:history="1">
        <w:r w:rsidRPr="00F24234">
          <w:rPr>
            <w:rFonts w:ascii="Times New Roman" w:hAnsi="Times New Roman" w:cs="Times New Roman"/>
            <w:sz w:val="28"/>
            <w:szCs w:val="28"/>
          </w:rPr>
          <w:t>Noteikumi par garantijām saimnieciskās darbības veicējiem, kuru darbību ietekmējusi Covid-19 izplatība</w:t>
        </w:r>
      </w:hyperlink>
      <w:r w:rsidRPr="00F24234">
        <w:rPr>
          <w:rFonts w:ascii="Times New Roman" w:hAnsi="Times New Roman" w:cs="Times New Roman"/>
          <w:sz w:val="28"/>
          <w:szCs w:val="28"/>
        </w:rPr>
        <w:t>" (Latvijas Vēstnesis, 2020</w:t>
      </w:r>
      <w:r w:rsidR="00560F00" w:rsidRPr="00F24234">
        <w:rPr>
          <w:rFonts w:ascii="Times New Roman" w:hAnsi="Times New Roman" w:cs="Times New Roman"/>
          <w:sz w:val="28"/>
          <w:szCs w:val="28"/>
        </w:rPr>
        <w:t>,</w:t>
      </w:r>
      <w:r w:rsidR="00804038" w:rsidRPr="00F24234">
        <w:rPr>
          <w:rFonts w:ascii="Times New Roman" w:hAnsi="Times New Roman" w:cs="Times New Roman"/>
          <w:sz w:val="28"/>
          <w:szCs w:val="28"/>
        </w:rPr>
        <w:t xml:space="preserve"> </w:t>
      </w:r>
      <w:r w:rsidRPr="00F24234">
        <w:rPr>
          <w:rFonts w:ascii="Times New Roman" w:hAnsi="Times New Roman" w:cs="Times New Roman"/>
          <w:sz w:val="28"/>
          <w:szCs w:val="28"/>
        </w:rPr>
        <w:t>57A</w:t>
      </w:r>
      <w:r w:rsidR="00560F00" w:rsidRPr="00F24234">
        <w:rPr>
          <w:rFonts w:ascii="Times New Roman" w:hAnsi="Times New Roman" w:cs="Times New Roman"/>
          <w:sz w:val="28"/>
          <w:szCs w:val="28"/>
        </w:rPr>
        <w:t>.</w:t>
      </w:r>
      <w:r w:rsidRPr="00F24234">
        <w:rPr>
          <w:rFonts w:ascii="Times New Roman" w:hAnsi="Times New Roman" w:cs="Times New Roman"/>
          <w:sz w:val="28"/>
          <w:szCs w:val="28"/>
        </w:rPr>
        <w:t>, 60A</w:t>
      </w:r>
      <w:r w:rsidR="00560F00" w:rsidRPr="00F24234">
        <w:rPr>
          <w:rFonts w:ascii="Times New Roman" w:hAnsi="Times New Roman" w:cs="Times New Roman"/>
          <w:sz w:val="28"/>
          <w:szCs w:val="28"/>
        </w:rPr>
        <w:t>.</w:t>
      </w:r>
      <w:r w:rsidR="00A76B9B" w:rsidRPr="00F2423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63963499"/>
      <w:r w:rsidR="00A76B9B" w:rsidRPr="00F24234">
        <w:rPr>
          <w:rFonts w:ascii="Times New Roman" w:hAnsi="Times New Roman" w:cs="Times New Roman"/>
          <w:sz w:val="28"/>
          <w:szCs w:val="28"/>
        </w:rPr>
        <w:t>248</w:t>
      </w:r>
      <w:bookmarkEnd w:id="0"/>
      <w:r w:rsidR="00560F00" w:rsidRPr="00F24234">
        <w:rPr>
          <w:rFonts w:ascii="Times New Roman" w:hAnsi="Times New Roman" w:cs="Times New Roman"/>
          <w:sz w:val="28"/>
          <w:szCs w:val="28"/>
        </w:rPr>
        <w:t>. nr.</w:t>
      </w:r>
      <w:r w:rsidRPr="00F24234">
        <w:rPr>
          <w:rFonts w:ascii="Times New Roman" w:hAnsi="Times New Roman" w:cs="Times New Roman"/>
          <w:sz w:val="28"/>
          <w:szCs w:val="28"/>
        </w:rPr>
        <w:t>)</w:t>
      </w:r>
      <w:r w:rsidR="0070665D" w:rsidRPr="00F24234">
        <w:rPr>
          <w:rFonts w:ascii="Times New Roman" w:hAnsi="Times New Roman" w:cs="Times New Roman"/>
          <w:sz w:val="28"/>
          <w:szCs w:val="28"/>
        </w:rPr>
        <w:t xml:space="preserve"> šādu</w:t>
      </w:r>
      <w:r w:rsidR="00804038" w:rsidRPr="00F24234">
        <w:rPr>
          <w:rFonts w:ascii="Times New Roman" w:hAnsi="Times New Roman" w:cs="Times New Roman"/>
          <w:sz w:val="28"/>
          <w:szCs w:val="28"/>
        </w:rPr>
        <w:t>s</w:t>
      </w:r>
      <w:r w:rsidR="0070665D" w:rsidRPr="00F24234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804038" w:rsidRPr="00F24234">
        <w:rPr>
          <w:rFonts w:ascii="Times New Roman" w:hAnsi="Times New Roman" w:cs="Times New Roman"/>
          <w:sz w:val="28"/>
          <w:szCs w:val="28"/>
        </w:rPr>
        <w:t>s</w:t>
      </w:r>
      <w:r w:rsidR="00D0796A" w:rsidRPr="00F24234">
        <w:rPr>
          <w:rFonts w:ascii="Times New Roman" w:hAnsi="Times New Roman" w:cs="Times New Roman"/>
          <w:sz w:val="28"/>
          <w:szCs w:val="28"/>
        </w:rPr>
        <w:t>:</w:t>
      </w:r>
    </w:p>
    <w:p w14:paraId="260E10D4" w14:textId="2A91FB05" w:rsidR="00DA5D93" w:rsidRPr="00F24234" w:rsidRDefault="00901147" w:rsidP="00582C40">
      <w:pPr>
        <w:pStyle w:val="ListParagraph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i</w:t>
      </w:r>
      <w:r w:rsidR="00DA5D93" w:rsidRPr="00F24234">
        <w:rPr>
          <w:rFonts w:ascii="Times New Roman" w:hAnsi="Times New Roman" w:cs="Times New Roman"/>
          <w:sz w:val="28"/>
          <w:szCs w:val="28"/>
        </w:rPr>
        <w:t>zteikt 16.</w:t>
      </w:r>
      <w:r w:rsidR="00582C40">
        <w:rPr>
          <w:rFonts w:ascii="Times New Roman" w:hAnsi="Times New Roman" w:cs="Times New Roman"/>
          <w:sz w:val="28"/>
          <w:szCs w:val="28"/>
        </w:rPr>
        <w:t> </w:t>
      </w:r>
      <w:r w:rsidR="00DA5D93" w:rsidRPr="00F2423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0A4D05D" w14:textId="77777777" w:rsidR="00DA5D93" w:rsidRPr="00F24234" w:rsidRDefault="00DA5D93" w:rsidP="00F2423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DE661D1" w14:textId="5032B848" w:rsidR="00DA5D93" w:rsidRPr="00F24234" w:rsidRDefault="00F24234" w:rsidP="00F24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423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A5D93" w:rsidRPr="00F24234">
        <w:rPr>
          <w:rFonts w:ascii="Times New Roman" w:eastAsia="Times New Roman" w:hAnsi="Times New Roman" w:cs="Times New Roman"/>
          <w:sz w:val="28"/>
          <w:szCs w:val="28"/>
          <w:lang w:eastAsia="lv-LV"/>
        </w:rPr>
        <w:t>16. Atbalstu nepiešķir:</w:t>
      </w:r>
    </w:p>
    <w:p w14:paraId="6C4A81B3" w14:textId="71CE83F9" w:rsidR="00DA5D93" w:rsidRPr="00F24234" w:rsidRDefault="00DA5D93" w:rsidP="00F24234">
      <w:pPr>
        <w:pStyle w:val="tv21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234">
        <w:rPr>
          <w:sz w:val="28"/>
          <w:szCs w:val="28"/>
        </w:rPr>
        <w:t>16.1. vidējam vai lielajam saimnieciskās darbības veicējam, kurš jau 2019. gada 31. decembrī bija un atbalsta piešķiršanas brīdī ir uzskatāms par nonākušu grūtībās atbilstoši Komisijas regulas Nr.  </w:t>
      </w:r>
      <w:hyperlink r:id="rId11" w:tgtFrame="_blank" w:history="1">
        <w:r w:rsidRPr="00F24234">
          <w:rPr>
            <w:sz w:val="28"/>
            <w:szCs w:val="28"/>
          </w:rPr>
          <w:t>651/2014</w:t>
        </w:r>
      </w:hyperlink>
      <w:r w:rsidR="00FA140F">
        <w:rPr>
          <w:sz w:val="28"/>
          <w:szCs w:val="28"/>
        </w:rPr>
        <w:t xml:space="preserve"> </w:t>
      </w:r>
      <w:r w:rsidRPr="00F24234">
        <w:rPr>
          <w:sz w:val="28"/>
          <w:szCs w:val="28"/>
        </w:rPr>
        <w:t>2. panta 18. punktā minētajai definīcijai;</w:t>
      </w:r>
      <w:bookmarkStart w:id="1" w:name="p16.1"/>
      <w:bookmarkStart w:id="2" w:name="p-769703"/>
      <w:bookmarkEnd w:id="1"/>
      <w:bookmarkEnd w:id="2"/>
    </w:p>
    <w:p w14:paraId="2BC157C9" w14:textId="77777777" w:rsidR="00DA5D93" w:rsidRPr="00F24234" w:rsidRDefault="00DA5D93" w:rsidP="00F24234">
      <w:pPr>
        <w:pStyle w:val="tv21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234">
        <w:rPr>
          <w:sz w:val="28"/>
          <w:szCs w:val="28"/>
        </w:rPr>
        <w:t>16.2. sīkajam (mikro) vai mazajam saimnieciskās darbības veicējam, ja tas vienlaikus atbilst šādām pazīmēm:</w:t>
      </w:r>
    </w:p>
    <w:p w14:paraId="43AD6E5E" w14:textId="77777777" w:rsidR="00DA5D93" w:rsidRPr="00F24234" w:rsidRDefault="00DA5D93" w:rsidP="00F24234">
      <w:pPr>
        <w:pStyle w:val="tv21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234">
        <w:rPr>
          <w:sz w:val="28"/>
          <w:szCs w:val="28"/>
        </w:rPr>
        <w:t>16.2.1. tas 2019. gada 31. decembrī jau bija nonācis grūtībās atbilstoši Komisijas regulas Nr.  </w:t>
      </w:r>
      <w:hyperlink r:id="rId12" w:tgtFrame="_blank" w:history="1">
        <w:r w:rsidRPr="00F24234">
          <w:rPr>
            <w:sz w:val="28"/>
            <w:szCs w:val="28"/>
          </w:rPr>
          <w:t>651/2014</w:t>
        </w:r>
      </w:hyperlink>
      <w:r w:rsidRPr="00F24234">
        <w:rPr>
          <w:sz w:val="28"/>
          <w:szCs w:val="28"/>
        </w:rPr>
        <w:t> 2. panta 18. punktā minētajai definīcijai;</w:t>
      </w:r>
    </w:p>
    <w:p w14:paraId="1986F65E" w14:textId="222ABDE8" w:rsidR="00DA5D93" w:rsidRPr="00F24234" w:rsidRDefault="00DA5D93" w:rsidP="00F24234">
      <w:pPr>
        <w:pStyle w:val="tv21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234">
        <w:rPr>
          <w:sz w:val="28"/>
          <w:szCs w:val="28"/>
        </w:rPr>
        <w:t>16.2.2. tam atbalsta piešķiršanas brīdī ir ierosināta tiesiskās aizsardzības procesa lieta, tiek īstenots tiesiskās aizsardzības process</w:t>
      </w:r>
      <w:r w:rsidR="00C711E8" w:rsidRPr="00F24234">
        <w:rPr>
          <w:sz w:val="28"/>
          <w:szCs w:val="28"/>
        </w:rPr>
        <w:t xml:space="preserve">, </w:t>
      </w:r>
      <w:r w:rsidRPr="00F24234">
        <w:rPr>
          <w:sz w:val="28"/>
          <w:szCs w:val="28"/>
        </w:rPr>
        <w:t xml:space="preserve">ir pasludināts maksātnespējas process </w:t>
      </w:r>
      <w:r w:rsidR="00C711E8" w:rsidRPr="00F24234">
        <w:rPr>
          <w:sz w:val="28"/>
          <w:szCs w:val="28"/>
        </w:rPr>
        <w:t xml:space="preserve">vai tas atbilst normatīvajos aktos noteiktiem kritērijiem, lai tam pēc kreditora pieprasījuma piemērotu maksātnespējas procedūru, </w:t>
      </w:r>
      <w:r w:rsidRPr="00F24234">
        <w:rPr>
          <w:sz w:val="28"/>
          <w:szCs w:val="28"/>
        </w:rPr>
        <w:t>vai tas ir saņēmis glābšanas atbalstu un nav atmaksājis aizdevumu vai atsaucis garantiju</w:t>
      </w:r>
      <w:r w:rsidR="00560F00" w:rsidRPr="00F24234">
        <w:rPr>
          <w:sz w:val="28"/>
          <w:szCs w:val="28"/>
        </w:rPr>
        <w:t>,</w:t>
      </w:r>
      <w:r w:rsidRPr="00F24234">
        <w:rPr>
          <w:sz w:val="28"/>
          <w:szCs w:val="28"/>
        </w:rPr>
        <w:t xml:space="preserve"> vai tas ir saņēmis pārstrukturēšanas atbalstu un uz to attiec</w:t>
      </w:r>
      <w:r w:rsidR="00560F00" w:rsidRPr="00F24234">
        <w:rPr>
          <w:sz w:val="28"/>
          <w:szCs w:val="28"/>
        </w:rPr>
        <w:t>as pārstrukturēšanas plāns;</w:t>
      </w:r>
    </w:p>
    <w:p w14:paraId="39D7C39A" w14:textId="6B821ADD" w:rsidR="00DE18F8" w:rsidRDefault="00DA5D93" w:rsidP="00F24234">
      <w:pPr>
        <w:pStyle w:val="tv21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234">
        <w:rPr>
          <w:sz w:val="28"/>
          <w:szCs w:val="28"/>
        </w:rPr>
        <w:t xml:space="preserve">16.3. </w:t>
      </w:r>
      <w:r w:rsidR="00412DF7" w:rsidRPr="00F24234">
        <w:rPr>
          <w:sz w:val="28"/>
          <w:szCs w:val="28"/>
        </w:rPr>
        <w:t>saimnieciskās darbības veicējam</w:t>
      </w:r>
      <w:r w:rsidR="00412DF7">
        <w:rPr>
          <w:sz w:val="28"/>
          <w:szCs w:val="28"/>
        </w:rPr>
        <w:t>, kuram</w:t>
      </w:r>
      <w:r w:rsidRPr="00F24234">
        <w:rPr>
          <w:sz w:val="28"/>
          <w:szCs w:val="28"/>
        </w:rPr>
        <w:t xml:space="preserve"> saskaņā ar Valsts ieņēmumu dienesta administrēto nodokļu (nodevu) parādnieku datubāzē pieejamo informāciju ir nodokļu vai nodevu parādi, kas kopsummā pārsniedz 1000 </w:t>
      </w:r>
      <w:r w:rsidRPr="00F24234">
        <w:rPr>
          <w:i/>
          <w:iCs/>
          <w:sz w:val="28"/>
          <w:szCs w:val="28"/>
        </w:rPr>
        <w:t>euro</w:t>
      </w:r>
      <w:r w:rsidRPr="00F24234">
        <w:rPr>
          <w:sz w:val="28"/>
          <w:szCs w:val="28"/>
        </w:rPr>
        <w:t>, un nav piešķirts samaksas termiņa pagarinājums</w:t>
      </w:r>
      <w:r w:rsidR="00272831">
        <w:rPr>
          <w:sz w:val="28"/>
          <w:szCs w:val="28"/>
        </w:rPr>
        <w:t xml:space="preserve"> </w:t>
      </w:r>
      <w:r w:rsidRPr="00F24234">
        <w:rPr>
          <w:sz w:val="28"/>
          <w:szCs w:val="28"/>
        </w:rPr>
        <w:t>vai Valsts ieņēmumu dienests nav pieņēmis lēmumu par nokavēto nodokļu maksājumu labprātīgu izpildi.</w:t>
      </w:r>
      <w:r w:rsidR="009526C7" w:rsidRPr="00F24234">
        <w:rPr>
          <w:sz w:val="28"/>
          <w:szCs w:val="28"/>
        </w:rPr>
        <w:t xml:space="preserve"> </w:t>
      </w:r>
      <w:r w:rsidR="003B6C54" w:rsidRPr="00F24234">
        <w:rPr>
          <w:sz w:val="28"/>
          <w:szCs w:val="28"/>
        </w:rPr>
        <w:lastRenderedPageBreak/>
        <w:t>Sabiedrība "Altum" pārbauda atbilstību šim n</w:t>
      </w:r>
      <w:r w:rsidR="009526C7" w:rsidRPr="00F24234">
        <w:rPr>
          <w:sz w:val="28"/>
          <w:szCs w:val="28"/>
        </w:rPr>
        <w:t>osacījum</w:t>
      </w:r>
      <w:r w:rsidR="003B6C54" w:rsidRPr="00F24234">
        <w:rPr>
          <w:sz w:val="28"/>
          <w:szCs w:val="28"/>
        </w:rPr>
        <w:t>am</w:t>
      </w:r>
      <w:r w:rsidR="009526C7" w:rsidRPr="00F24234">
        <w:rPr>
          <w:sz w:val="28"/>
          <w:szCs w:val="28"/>
        </w:rPr>
        <w:t xml:space="preserve"> līdz garantijas vēstules izsniegšanai.</w:t>
      </w:r>
      <w:r w:rsidR="00F24234" w:rsidRPr="00F24234">
        <w:rPr>
          <w:sz w:val="28"/>
          <w:szCs w:val="28"/>
        </w:rPr>
        <w:t>"</w:t>
      </w:r>
      <w:r w:rsidR="00901147" w:rsidRPr="00F24234">
        <w:rPr>
          <w:sz w:val="28"/>
          <w:szCs w:val="28"/>
        </w:rPr>
        <w:t>;</w:t>
      </w:r>
    </w:p>
    <w:p w14:paraId="7E5C3E55" w14:textId="77777777" w:rsidR="00F24234" w:rsidRPr="00F24234" w:rsidRDefault="00F24234" w:rsidP="00F24234">
      <w:pPr>
        <w:pStyle w:val="tv213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361582" w14:textId="5E8447EF" w:rsidR="00DE18F8" w:rsidRPr="00F24234" w:rsidRDefault="00901147" w:rsidP="00582C40">
      <w:pPr>
        <w:pStyle w:val="ListParagraph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s</w:t>
      </w:r>
      <w:r w:rsidR="002D4EB1" w:rsidRPr="00F24234">
        <w:rPr>
          <w:rFonts w:ascii="Times New Roman" w:hAnsi="Times New Roman" w:cs="Times New Roman"/>
          <w:sz w:val="28"/>
          <w:szCs w:val="28"/>
        </w:rPr>
        <w:t>vītrot</w:t>
      </w:r>
      <w:r w:rsidR="00DE18F8" w:rsidRPr="00F24234">
        <w:rPr>
          <w:rFonts w:ascii="Times New Roman" w:hAnsi="Times New Roman" w:cs="Times New Roman"/>
          <w:sz w:val="28"/>
          <w:szCs w:val="28"/>
        </w:rPr>
        <w:t xml:space="preserve"> 16.</w:t>
      </w:r>
      <w:r w:rsidR="00DE18F8" w:rsidRPr="00F242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24234">
        <w:rPr>
          <w:rFonts w:ascii="Times New Roman" w:hAnsi="Times New Roman" w:cs="Times New Roman"/>
          <w:sz w:val="28"/>
          <w:szCs w:val="28"/>
        </w:rPr>
        <w:t> punktu;</w:t>
      </w:r>
    </w:p>
    <w:p w14:paraId="20FECD37" w14:textId="3D57C3C9" w:rsidR="00DA5D93" w:rsidRPr="00F24234" w:rsidRDefault="00901147" w:rsidP="00582C40">
      <w:pPr>
        <w:pStyle w:val="ListParagraph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i</w:t>
      </w:r>
      <w:r w:rsidR="00DA5D93" w:rsidRPr="00F24234">
        <w:rPr>
          <w:rFonts w:ascii="Times New Roman" w:hAnsi="Times New Roman" w:cs="Times New Roman"/>
          <w:sz w:val="28"/>
          <w:szCs w:val="28"/>
        </w:rPr>
        <w:t>zteikt 21.</w:t>
      </w:r>
      <w:r w:rsidR="00582C40">
        <w:rPr>
          <w:rFonts w:ascii="Times New Roman" w:hAnsi="Times New Roman" w:cs="Times New Roman"/>
          <w:sz w:val="28"/>
          <w:szCs w:val="28"/>
        </w:rPr>
        <w:t> </w:t>
      </w:r>
      <w:r w:rsidR="00DA5D93" w:rsidRPr="00F2423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E4F56BF" w14:textId="5249D2F5" w:rsidR="00DF7907" w:rsidRPr="00F24234" w:rsidRDefault="00DF7907" w:rsidP="00F242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C43BFC" w14:textId="27BF6AA3" w:rsidR="00DA5D93" w:rsidRPr="00F24234" w:rsidRDefault="00F24234" w:rsidP="00F2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"</w:t>
      </w:r>
      <w:r w:rsidR="00DF7907" w:rsidRPr="00F24234">
        <w:rPr>
          <w:rFonts w:ascii="Times New Roman" w:hAnsi="Times New Roman" w:cs="Times New Roman"/>
          <w:sz w:val="28"/>
          <w:szCs w:val="28"/>
        </w:rPr>
        <w:t xml:space="preserve">21. Sabiedrība "Altum" nodrošina informācijas publicēšanu atbilstoši </w:t>
      </w:r>
      <w:r w:rsidR="00560F00" w:rsidRPr="00F24234">
        <w:rPr>
          <w:rFonts w:ascii="Times New Roman" w:hAnsi="Times New Roman" w:cs="Times New Roman"/>
          <w:sz w:val="28"/>
          <w:szCs w:val="28"/>
        </w:rPr>
        <w:t xml:space="preserve">Eiropas Komisijas 2020. gada 19. marta paziņojumā "Pagaidu regulējums valsts atbalsta pasākumiem, ar ko atbalsta ekonomiku pašreizējā Covid-19 uzliesmojuma situācijā" (C(2020)1863) (turpmāk – Pagaidu regulējums) </w:t>
      </w:r>
      <w:r w:rsidR="00DF7907" w:rsidRPr="00F24234">
        <w:rPr>
          <w:rFonts w:ascii="Times New Roman" w:hAnsi="Times New Roman" w:cs="Times New Roman"/>
          <w:sz w:val="28"/>
          <w:szCs w:val="28"/>
        </w:rPr>
        <w:t>noteiktajām publicitātes pasākumu prasībām saskaņā ar normatīvajiem aktiem par kārtību, kādā publicē informāciju par sniegto komercdarbības atbalstu un piešķir un anulē elektroniskās sistēmas lietošanas tiesības.</w:t>
      </w:r>
      <w:r w:rsidRPr="00F24234">
        <w:rPr>
          <w:rFonts w:ascii="Times New Roman" w:hAnsi="Times New Roman" w:cs="Times New Roman"/>
          <w:sz w:val="28"/>
          <w:szCs w:val="28"/>
        </w:rPr>
        <w:t>"</w:t>
      </w:r>
      <w:r w:rsidR="00560F00" w:rsidRPr="00F24234">
        <w:rPr>
          <w:rFonts w:ascii="Times New Roman" w:hAnsi="Times New Roman" w:cs="Times New Roman"/>
          <w:sz w:val="28"/>
          <w:szCs w:val="28"/>
        </w:rPr>
        <w:t>;</w:t>
      </w:r>
    </w:p>
    <w:p w14:paraId="4C73EEE3" w14:textId="77777777" w:rsidR="00DA5D93" w:rsidRPr="00F24234" w:rsidRDefault="00DA5D93" w:rsidP="00F24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8672CC" w14:textId="2E72220C" w:rsidR="00D0796A" w:rsidRPr="00F24234" w:rsidRDefault="00560F00" w:rsidP="00582C40">
      <w:pPr>
        <w:pStyle w:val="ListParagraph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4234">
        <w:rPr>
          <w:rFonts w:ascii="Times New Roman" w:hAnsi="Times New Roman" w:cs="Times New Roman"/>
          <w:sz w:val="28"/>
          <w:szCs w:val="28"/>
        </w:rPr>
        <w:t>i</w:t>
      </w:r>
      <w:r w:rsidR="00D0796A" w:rsidRPr="00F24234">
        <w:rPr>
          <w:rFonts w:ascii="Times New Roman" w:hAnsi="Times New Roman" w:cs="Times New Roman"/>
          <w:sz w:val="28"/>
          <w:szCs w:val="28"/>
        </w:rPr>
        <w:t xml:space="preserve">zteikt </w:t>
      </w:r>
      <w:r w:rsidR="00804038" w:rsidRPr="00F24234">
        <w:rPr>
          <w:rFonts w:ascii="Times New Roman" w:hAnsi="Times New Roman" w:cs="Times New Roman"/>
          <w:sz w:val="28"/>
          <w:szCs w:val="28"/>
        </w:rPr>
        <w:t>23.</w:t>
      </w:r>
      <w:r w:rsidR="00D0796A" w:rsidRPr="00F24234">
        <w:rPr>
          <w:rFonts w:ascii="Times New Roman" w:hAnsi="Times New Roman" w:cs="Times New Roman"/>
          <w:sz w:val="28"/>
          <w:szCs w:val="28"/>
        </w:rPr>
        <w:t xml:space="preserve"> </w:t>
      </w:r>
      <w:r w:rsidR="00A76B9B" w:rsidRPr="00F2423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3D02C9B" w14:textId="77777777" w:rsidR="00F24234" w:rsidRDefault="00F24234" w:rsidP="00F2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1044E" w14:textId="19969374" w:rsidR="00804038" w:rsidRDefault="00F24234" w:rsidP="00F2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"</w:t>
      </w:r>
      <w:r w:rsidR="00804038" w:rsidRPr="00F24234">
        <w:rPr>
          <w:rFonts w:ascii="Times New Roman" w:hAnsi="Times New Roman" w:cs="Times New Roman"/>
          <w:sz w:val="28"/>
          <w:szCs w:val="28"/>
        </w:rPr>
        <w:t>23. Finanšu ministrija, pamatojoties uz</w:t>
      </w:r>
      <w:r w:rsidR="000A7145" w:rsidRPr="00F24234">
        <w:rPr>
          <w:rFonts w:ascii="Times New Roman" w:hAnsi="Times New Roman" w:cs="Times New Roman"/>
          <w:sz w:val="28"/>
          <w:szCs w:val="28"/>
        </w:rPr>
        <w:t xml:space="preserve"> sabiedrības "Altum" iesniegto informāciju</w:t>
      </w:r>
      <w:r w:rsidR="00804038" w:rsidRPr="00F24234">
        <w:rPr>
          <w:rFonts w:ascii="Times New Roman" w:hAnsi="Times New Roman" w:cs="Times New Roman"/>
          <w:sz w:val="28"/>
          <w:szCs w:val="28"/>
        </w:rPr>
        <w:t xml:space="preserve">, līdz </w:t>
      </w:r>
      <w:r w:rsidR="00901147" w:rsidRPr="00F24234">
        <w:rPr>
          <w:rFonts w:ascii="Times New Roman" w:hAnsi="Times New Roman" w:cs="Times New Roman"/>
          <w:sz w:val="28"/>
          <w:szCs w:val="28"/>
        </w:rPr>
        <w:t xml:space="preserve">Pagaidu regulējumā </w:t>
      </w:r>
      <w:r w:rsidR="006921A2" w:rsidRPr="00F24234">
        <w:rPr>
          <w:rFonts w:ascii="Times New Roman" w:hAnsi="Times New Roman" w:cs="Times New Roman"/>
          <w:sz w:val="28"/>
          <w:szCs w:val="28"/>
        </w:rPr>
        <w:t>noteiktajam</w:t>
      </w:r>
      <w:r w:rsidR="00804038" w:rsidRPr="00F24234">
        <w:rPr>
          <w:rFonts w:ascii="Times New Roman" w:hAnsi="Times New Roman" w:cs="Times New Roman"/>
          <w:sz w:val="28"/>
          <w:szCs w:val="28"/>
        </w:rPr>
        <w:t xml:space="preserve"> termiņam informē Eiropas Komisiju par šo pasākumu, kā arī iesniedz Eiropas Komisijai ikgadējo pārskatu par sniegto atbalstu.</w:t>
      </w:r>
      <w:r w:rsidRPr="00F24234">
        <w:rPr>
          <w:rFonts w:ascii="Times New Roman" w:hAnsi="Times New Roman" w:cs="Times New Roman"/>
          <w:sz w:val="28"/>
          <w:szCs w:val="28"/>
        </w:rPr>
        <w:t>"</w:t>
      </w:r>
      <w:r w:rsidR="00560F00" w:rsidRPr="00F24234">
        <w:rPr>
          <w:rFonts w:ascii="Times New Roman" w:hAnsi="Times New Roman" w:cs="Times New Roman"/>
          <w:sz w:val="28"/>
          <w:szCs w:val="28"/>
        </w:rPr>
        <w:t>;</w:t>
      </w:r>
    </w:p>
    <w:p w14:paraId="0109820A" w14:textId="77777777" w:rsidR="00F24234" w:rsidRPr="00F24234" w:rsidRDefault="00F24234" w:rsidP="00F2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37D9D" w14:textId="6AFECF1B" w:rsidR="00560F00" w:rsidRPr="00F24234" w:rsidRDefault="00560F00" w:rsidP="00F2423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24234">
        <w:rPr>
          <w:rFonts w:ascii="Times New Roman" w:hAnsi="Times New Roman" w:cs="Times New Roman"/>
          <w:sz w:val="28"/>
          <w:szCs w:val="28"/>
        </w:rPr>
        <w:t>1.5. izteikt 24.</w:t>
      </w:r>
      <w:r w:rsidR="00582C40">
        <w:rPr>
          <w:rFonts w:ascii="Times New Roman" w:hAnsi="Times New Roman" w:cs="Times New Roman"/>
          <w:sz w:val="28"/>
          <w:szCs w:val="28"/>
        </w:rPr>
        <w:t> </w:t>
      </w:r>
      <w:r w:rsidRPr="00F2423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44BF52C" w14:textId="77777777" w:rsidR="00F24234" w:rsidRDefault="00F24234" w:rsidP="00F2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C2741B" w14:textId="3B73B914" w:rsidR="00ED368C" w:rsidRPr="00F24234" w:rsidRDefault="00F24234" w:rsidP="00F2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"</w:t>
      </w:r>
      <w:r w:rsidR="00A76B9B" w:rsidRPr="00F24234">
        <w:rPr>
          <w:rFonts w:ascii="Times New Roman" w:hAnsi="Times New Roman" w:cs="Times New Roman"/>
          <w:sz w:val="28"/>
          <w:szCs w:val="28"/>
        </w:rPr>
        <w:t>24.</w:t>
      </w:r>
      <w:r w:rsidR="00593162">
        <w:rPr>
          <w:rFonts w:ascii="Times New Roman" w:hAnsi="Times New Roman" w:cs="Times New Roman"/>
          <w:sz w:val="28"/>
          <w:szCs w:val="28"/>
        </w:rPr>
        <w:t> </w:t>
      </w:r>
      <w:r w:rsidR="00A76B9B" w:rsidRPr="00F24234">
        <w:rPr>
          <w:rFonts w:ascii="Times New Roman" w:hAnsi="Times New Roman" w:cs="Times New Roman"/>
          <w:sz w:val="28"/>
          <w:szCs w:val="28"/>
        </w:rPr>
        <w:t xml:space="preserve">Sabiedrība "Altum" garantijas sniedz līdz </w:t>
      </w:r>
      <w:r w:rsidR="00901147" w:rsidRPr="00F24234">
        <w:rPr>
          <w:rFonts w:ascii="Times New Roman" w:hAnsi="Times New Roman" w:cs="Times New Roman"/>
          <w:sz w:val="28"/>
          <w:szCs w:val="28"/>
        </w:rPr>
        <w:t xml:space="preserve">Pagaidu regulējuma </w:t>
      </w:r>
      <w:r w:rsidR="00A76B9B" w:rsidRPr="00F24234">
        <w:rPr>
          <w:rFonts w:ascii="Times New Roman" w:hAnsi="Times New Roman" w:cs="Times New Roman"/>
          <w:sz w:val="28"/>
          <w:szCs w:val="28"/>
        </w:rPr>
        <w:t>3.2.</w:t>
      </w:r>
      <w:r w:rsidR="00593162">
        <w:rPr>
          <w:rFonts w:ascii="Times New Roman" w:hAnsi="Times New Roman" w:cs="Times New Roman"/>
          <w:sz w:val="28"/>
          <w:szCs w:val="28"/>
        </w:rPr>
        <w:t> </w:t>
      </w:r>
      <w:r w:rsidR="00A76B9B" w:rsidRPr="00F24234">
        <w:rPr>
          <w:rFonts w:ascii="Times New Roman" w:hAnsi="Times New Roman" w:cs="Times New Roman"/>
          <w:sz w:val="28"/>
          <w:szCs w:val="28"/>
        </w:rPr>
        <w:t>iedaļā "Atbalsts aizdevumu garantiju veidā" noteiktajam atbalsta sniegšanas termiņam</w:t>
      </w:r>
      <w:r w:rsidR="00804038" w:rsidRPr="00F24234">
        <w:rPr>
          <w:rFonts w:ascii="Times New Roman" w:hAnsi="Times New Roman" w:cs="Times New Roman"/>
          <w:sz w:val="28"/>
          <w:szCs w:val="28"/>
        </w:rPr>
        <w:t>.</w:t>
      </w:r>
      <w:r w:rsidRPr="00F24234">
        <w:rPr>
          <w:rFonts w:ascii="Times New Roman" w:hAnsi="Times New Roman" w:cs="Times New Roman"/>
          <w:sz w:val="28"/>
          <w:szCs w:val="28"/>
        </w:rPr>
        <w:t>"</w:t>
      </w:r>
      <w:bookmarkStart w:id="3" w:name="p-741955"/>
      <w:bookmarkEnd w:id="3"/>
    </w:p>
    <w:p w14:paraId="64CE6012" w14:textId="77777777" w:rsidR="00F24234" w:rsidRDefault="00F24234" w:rsidP="00F2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BF6EE" w14:textId="4E584C7E" w:rsidR="005D6219" w:rsidRPr="00F24234" w:rsidRDefault="00901147" w:rsidP="00F2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>2. Noteikumi</w:t>
      </w:r>
      <w:r w:rsidR="005D6219" w:rsidRPr="00F24234">
        <w:rPr>
          <w:rFonts w:ascii="Times New Roman" w:hAnsi="Times New Roman" w:cs="Times New Roman"/>
          <w:sz w:val="28"/>
          <w:szCs w:val="28"/>
        </w:rPr>
        <w:t xml:space="preserve"> stājas spēkā ar dienu, kad stājas spēkā Eiropas Komisijas lēmums par komercdarbības atbalsta saderību ar Eiropas Savienības iekšējo tirgu.</w:t>
      </w:r>
    </w:p>
    <w:p w14:paraId="7C2CEDC3" w14:textId="77777777" w:rsidR="005D6219" w:rsidRPr="00F24234" w:rsidRDefault="005D6219" w:rsidP="00F2423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874697" w14:textId="625FAF5D" w:rsidR="005D6219" w:rsidRPr="00F24234" w:rsidRDefault="00901147" w:rsidP="00F2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234">
        <w:rPr>
          <w:rFonts w:ascii="Times New Roman" w:hAnsi="Times New Roman" w:cs="Times New Roman"/>
          <w:sz w:val="28"/>
          <w:szCs w:val="28"/>
        </w:rPr>
        <w:t xml:space="preserve">3. </w:t>
      </w:r>
      <w:r w:rsidR="005D6219" w:rsidRPr="00F24234">
        <w:rPr>
          <w:rFonts w:ascii="Times New Roman" w:hAnsi="Times New Roman" w:cs="Times New Roman"/>
          <w:sz w:val="28"/>
          <w:szCs w:val="28"/>
        </w:rPr>
        <w:t>Ekonomikas ministrija pēc tam, kad Eiropas Komisija pieņēmusi lēmumu par komercdarbības atbalsta saderību ar Eiropas Savienības iekšējo tirgu, nosūta attiecīgu paziņojumu publicēšanai oficiālajā izdevumā "Latvijas Vēstnesis".</w:t>
      </w:r>
    </w:p>
    <w:p w14:paraId="40D7F9C2" w14:textId="77777777" w:rsidR="00F24234" w:rsidRPr="00F24234" w:rsidRDefault="00F24234" w:rsidP="00F24234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38956BA8" w14:textId="77777777" w:rsidR="00F24234" w:rsidRPr="00F24234" w:rsidRDefault="00F24234" w:rsidP="00F24234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74FE040" w14:textId="77777777" w:rsidR="00F24234" w:rsidRPr="00F24234" w:rsidRDefault="00F24234" w:rsidP="00F24234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0278DFF8" w14:textId="31F5E17B" w:rsidR="0064266A" w:rsidRPr="00F24234" w:rsidRDefault="00F24234" w:rsidP="00F24234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4234">
        <w:rPr>
          <w:rFonts w:ascii="Times New Roman" w:hAnsi="Times New Roman" w:cs="Times New Roman"/>
          <w:bCs/>
          <w:sz w:val="28"/>
          <w:szCs w:val="28"/>
        </w:rPr>
        <w:t>Ministru prezidents</w:t>
      </w:r>
      <w:r w:rsidRPr="00F24234">
        <w:rPr>
          <w:rFonts w:ascii="Times New Roman" w:hAnsi="Times New Roman" w:cs="Times New Roman"/>
          <w:bCs/>
          <w:sz w:val="28"/>
          <w:szCs w:val="28"/>
        </w:rPr>
        <w:tab/>
        <w:t>A. </w:t>
      </w:r>
      <w:r w:rsidR="0064266A" w:rsidRPr="00F24234">
        <w:rPr>
          <w:rFonts w:ascii="Times New Roman" w:hAnsi="Times New Roman" w:cs="Times New Roman"/>
          <w:bCs/>
          <w:sz w:val="28"/>
          <w:szCs w:val="28"/>
        </w:rPr>
        <w:t>K.</w:t>
      </w:r>
      <w:r w:rsidRPr="00F24234">
        <w:rPr>
          <w:rFonts w:ascii="Times New Roman" w:hAnsi="Times New Roman" w:cs="Times New Roman"/>
          <w:bCs/>
          <w:sz w:val="28"/>
          <w:szCs w:val="28"/>
        </w:rPr>
        <w:t> </w:t>
      </w:r>
      <w:r w:rsidR="0064266A" w:rsidRPr="00F24234">
        <w:rPr>
          <w:rFonts w:ascii="Times New Roman" w:hAnsi="Times New Roman" w:cs="Times New Roman"/>
          <w:bCs/>
          <w:sz w:val="28"/>
          <w:szCs w:val="28"/>
        </w:rPr>
        <w:t>Kariņš</w:t>
      </w:r>
    </w:p>
    <w:p w14:paraId="2E5AD762" w14:textId="77777777" w:rsidR="00F24234" w:rsidRPr="00F24234" w:rsidRDefault="00F24234" w:rsidP="00F24234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E05A629" w14:textId="77777777" w:rsidR="00F24234" w:rsidRPr="00F24234" w:rsidRDefault="00F24234" w:rsidP="00F24234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69C471BF" w14:textId="77777777" w:rsidR="00F24234" w:rsidRPr="00F24234" w:rsidRDefault="00F24234" w:rsidP="00F24234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74135621" w14:textId="2ABADD32" w:rsidR="0064266A" w:rsidRPr="00F24234" w:rsidRDefault="0064266A" w:rsidP="00F24234">
      <w:pPr>
        <w:tabs>
          <w:tab w:val="left" w:pos="6804"/>
        </w:tabs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24234">
        <w:rPr>
          <w:rFonts w:ascii="Times New Roman" w:hAnsi="Times New Roman" w:cs="Times New Roman"/>
          <w:bCs/>
          <w:sz w:val="28"/>
          <w:szCs w:val="28"/>
        </w:rPr>
        <w:t>Ekonomikas ministrs</w:t>
      </w:r>
      <w:r w:rsidRPr="00F24234">
        <w:rPr>
          <w:rFonts w:ascii="Times New Roman" w:hAnsi="Times New Roman" w:cs="Times New Roman"/>
          <w:bCs/>
          <w:sz w:val="28"/>
          <w:szCs w:val="28"/>
        </w:rPr>
        <w:tab/>
        <w:t>J.</w:t>
      </w:r>
      <w:r w:rsidR="00F24234" w:rsidRPr="00F24234">
        <w:rPr>
          <w:rFonts w:ascii="Times New Roman" w:hAnsi="Times New Roman" w:cs="Times New Roman"/>
          <w:bCs/>
          <w:sz w:val="28"/>
          <w:szCs w:val="28"/>
        </w:rPr>
        <w:t> </w:t>
      </w:r>
      <w:r w:rsidRPr="00F24234">
        <w:rPr>
          <w:rFonts w:ascii="Times New Roman" w:hAnsi="Times New Roman" w:cs="Times New Roman"/>
          <w:bCs/>
          <w:sz w:val="28"/>
          <w:szCs w:val="28"/>
        </w:rPr>
        <w:t>Vitenbergs</w:t>
      </w:r>
    </w:p>
    <w:sectPr w:rsidR="0064266A" w:rsidRPr="00F24234" w:rsidSect="00F2423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CAE5" w14:textId="77777777" w:rsidR="008B6E92" w:rsidRDefault="008B6E92" w:rsidP="0070665D">
      <w:pPr>
        <w:spacing w:after="0" w:line="240" w:lineRule="auto"/>
      </w:pPr>
      <w:r>
        <w:separator/>
      </w:r>
    </w:p>
  </w:endnote>
  <w:endnote w:type="continuationSeparator" w:id="0">
    <w:p w14:paraId="3F7E6A3C" w14:textId="77777777" w:rsidR="008B6E92" w:rsidRDefault="008B6E92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677F" w14:textId="77777777" w:rsidR="00F24234" w:rsidRPr="00F24234" w:rsidRDefault="00F24234" w:rsidP="00F24234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N0981_1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F5D5" w14:textId="768E977B" w:rsidR="008B6E92" w:rsidRPr="00F24234" w:rsidRDefault="00F24234" w:rsidP="00EE5389">
    <w:pPr>
      <w:pStyle w:val="Footer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N0981_1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5CDC" w14:textId="77777777" w:rsidR="008B6E92" w:rsidRDefault="008B6E92" w:rsidP="0070665D">
      <w:pPr>
        <w:spacing w:after="0" w:line="240" w:lineRule="auto"/>
      </w:pPr>
      <w:r>
        <w:separator/>
      </w:r>
    </w:p>
  </w:footnote>
  <w:footnote w:type="continuationSeparator" w:id="0">
    <w:p w14:paraId="3A16F34F" w14:textId="77777777" w:rsidR="008B6E92" w:rsidRDefault="008B6E92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8822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845B96" w14:textId="31F48061" w:rsidR="00F24234" w:rsidRPr="00F24234" w:rsidRDefault="00F2423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42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2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42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242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B48E" w14:textId="77777777" w:rsidR="00F24234" w:rsidRDefault="00F24234">
    <w:pPr>
      <w:pStyle w:val="Header"/>
      <w:rPr>
        <w:rFonts w:ascii="Times New Roman" w:hAnsi="Times New Roman" w:cs="Times New Roman"/>
        <w:sz w:val="24"/>
        <w:szCs w:val="24"/>
      </w:rPr>
    </w:pPr>
  </w:p>
  <w:p w14:paraId="7D8C7C14" w14:textId="77777777" w:rsidR="00F24234" w:rsidRDefault="00F24234" w:rsidP="00F24234">
    <w:pPr>
      <w:pStyle w:val="Header"/>
    </w:pPr>
    <w:r>
      <w:rPr>
        <w:noProof/>
        <w:lang w:eastAsia="lv-LV"/>
      </w:rPr>
      <w:drawing>
        <wp:inline distT="0" distB="0" distL="0" distR="0" wp14:anchorId="118113F0" wp14:editId="1FE69D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294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2FE"/>
    <w:multiLevelType w:val="multilevel"/>
    <w:tmpl w:val="E6F8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645CA"/>
    <w:multiLevelType w:val="multilevel"/>
    <w:tmpl w:val="E6F87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026C15"/>
    <w:multiLevelType w:val="hybridMultilevel"/>
    <w:tmpl w:val="E64A4542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164F2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B1C0C"/>
    <w:multiLevelType w:val="hybridMultilevel"/>
    <w:tmpl w:val="FA48499A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442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3366A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4BA5"/>
    <w:multiLevelType w:val="hybridMultilevel"/>
    <w:tmpl w:val="7D0EF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1051E3"/>
    <w:multiLevelType w:val="hybridMultilevel"/>
    <w:tmpl w:val="1C0C3F50"/>
    <w:lvl w:ilvl="0" w:tplc="81D8E0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E7EE9"/>
    <w:multiLevelType w:val="hybridMultilevel"/>
    <w:tmpl w:val="02A48FCA"/>
    <w:lvl w:ilvl="0" w:tplc="E9700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B56F7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952A0"/>
    <w:multiLevelType w:val="multilevel"/>
    <w:tmpl w:val="FC3C3F40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18"/>
  </w:num>
  <w:num w:numId="5">
    <w:abstractNumId w:val="11"/>
  </w:num>
  <w:num w:numId="6">
    <w:abstractNumId w:val="15"/>
  </w:num>
  <w:num w:numId="7">
    <w:abstractNumId w:val="6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9"/>
  </w:num>
  <w:num w:numId="14">
    <w:abstractNumId w:val="7"/>
  </w:num>
  <w:num w:numId="15">
    <w:abstractNumId w:val="15"/>
  </w:num>
  <w:num w:numId="16">
    <w:abstractNumId w:val="1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009BC"/>
    <w:rsid w:val="000163A1"/>
    <w:rsid w:val="00020344"/>
    <w:rsid w:val="000235C6"/>
    <w:rsid w:val="0005767E"/>
    <w:rsid w:val="000604A7"/>
    <w:rsid w:val="00061052"/>
    <w:rsid w:val="000718AC"/>
    <w:rsid w:val="0007428C"/>
    <w:rsid w:val="00080691"/>
    <w:rsid w:val="00080B7A"/>
    <w:rsid w:val="00081136"/>
    <w:rsid w:val="00090EE2"/>
    <w:rsid w:val="00095C5C"/>
    <w:rsid w:val="000A5D72"/>
    <w:rsid w:val="000A7145"/>
    <w:rsid w:val="000B6663"/>
    <w:rsid w:val="000C4C73"/>
    <w:rsid w:val="000C5922"/>
    <w:rsid w:val="000D0B34"/>
    <w:rsid w:val="000F3B9A"/>
    <w:rsid w:val="000F3BD1"/>
    <w:rsid w:val="000F4A8F"/>
    <w:rsid w:val="00105028"/>
    <w:rsid w:val="001117BC"/>
    <w:rsid w:val="001128AB"/>
    <w:rsid w:val="00115206"/>
    <w:rsid w:val="00117643"/>
    <w:rsid w:val="00127214"/>
    <w:rsid w:val="00127C50"/>
    <w:rsid w:val="001315B6"/>
    <w:rsid w:val="001332CC"/>
    <w:rsid w:val="001343F1"/>
    <w:rsid w:val="00134F94"/>
    <w:rsid w:val="00143F46"/>
    <w:rsid w:val="00156AD6"/>
    <w:rsid w:val="00157AE5"/>
    <w:rsid w:val="00161135"/>
    <w:rsid w:val="00163FD0"/>
    <w:rsid w:val="001813A1"/>
    <w:rsid w:val="00186AF0"/>
    <w:rsid w:val="0019146C"/>
    <w:rsid w:val="00192611"/>
    <w:rsid w:val="00197D18"/>
    <w:rsid w:val="001A402C"/>
    <w:rsid w:val="001A7855"/>
    <w:rsid w:val="001B12E4"/>
    <w:rsid w:val="001F06C6"/>
    <w:rsid w:val="001F1C73"/>
    <w:rsid w:val="001F23FA"/>
    <w:rsid w:val="00200639"/>
    <w:rsid w:val="00201CFA"/>
    <w:rsid w:val="0020269E"/>
    <w:rsid w:val="002154F5"/>
    <w:rsid w:val="002228E2"/>
    <w:rsid w:val="00223143"/>
    <w:rsid w:val="00226BBC"/>
    <w:rsid w:val="00230158"/>
    <w:rsid w:val="002317CF"/>
    <w:rsid w:val="002377D6"/>
    <w:rsid w:val="002457A0"/>
    <w:rsid w:val="00246F4C"/>
    <w:rsid w:val="00252546"/>
    <w:rsid w:val="00252CB5"/>
    <w:rsid w:val="0025505C"/>
    <w:rsid w:val="002643DC"/>
    <w:rsid w:val="00272831"/>
    <w:rsid w:val="0027661E"/>
    <w:rsid w:val="0028725C"/>
    <w:rsid w:val="00295D80"/>
    <w:rsid w:val="002A018B"/>
    <w:rsid w:val="002A0AE9"/>
    <w:rsid w:val="002A6323"/>
    <w:rsid w:val="002B25D8"/>
    <w:rsid w:val="002B2DB9"/>
    <w:rsid w:val="002B4F27"/>
    <w:rsid w:val="002B7B74"/>
    <w:rsid w:val="002D05F8"/>
    <w:rsid w:val="002D1659"/>
    <w:rsid w:val="002D4EB1"/>
    <w:rsid w:val="002E6598"/>
    <w:rsid w:val="002E6B3F"/>
    <w:rsid w:val="002F0256"/>
    <w:rsid w:val="002F320D"/>
    <w:rsid w:val="0030106A"/>
    <w:rsid w:val="00315C8A"/>
    <w:rsid w:val="00323B10"/>
    <w:rsid w:val="003323CE"/>
    <w:rsid w:val="0034068A"/>
    <w:rsid w:val="00341FA5"/>
    <w:rsid w:val="003449AD"/>
    <w:rsid w:val="0036588D"/>
    <w:rsid w:val="00372F10"/>
    <w:rsid w:val="003748EC"/>
    <w:rsid w:val="003830D4"/>
    <w:rsid w:val="003836F3"/>
    <w:rsid w:val="00390161"/>
    <w:rsid w:val="00392013"/>
    <w:rsid w:val="00393845"/>
    <w:rsid w:val="003A2E34"/>
    <w:rsid w:val="003B1B3B"/>
    <w:rsid w:val="003B3D8E"/>
    <w:rsid w:val="003B6C54"/>
    <w:rsid w:val="003D313A"/>
    <w:rsid w:val="003E56D0"/>
    <w:rsid w:val="0041161E"/>
    <w:rsid w:val="00412DF7"/>
    <w:rsid w:val="00441120"/>
    <w:rsid w:val="004438A1"/>
    <w:rsid w:val="00445205"/>
    <w:rsid w:val="004470C4"/>
    <w:rsid w:val="0045218F"/>
    <w:rsid w:val="00453DC8"/>
    <w:rsid w:val="00467AB8"/>
    <w:rsid w:val="004834E7"/>
    <w:rsid w:val="00484223"/>
    <w:rsid w:val="00491170"/>
    <w:rsid w:val="0049313B"/>
    <w:rsid w:val="00493C79"/>
    <w:rsid w:val="00494C1C"/>
    <w:rsid w:val="004A08E8"/>
    <w:rsid w:val="004A425F"/>
    <w:rsid w:val="004A51F8"/>
    <w:rsid w:val="004A6CF1"/>
    <w:rsid w:val="004E384D"/>
    <w:rsid w:val="004E3CAF"/>
    <w:rsid w:val="004E4844"/>
    <w:rsid w:val="004E568B"/>
    <w:rsid w:val="00516F1F"/>
    <w:rsid w:val="00523543"/>
    <w:rsid w:val="00524560"/>
    <w:rsid w:val="005361DC"/>
    <w:rsid w:val="0053693B"/>
    <w:rsid w:val="005429A4"/>
    <w:rsid w:val="005442A4"/>
    <w:rsid w:val="005544AE"/>
    <w:rsid w:val="00560F00"/>
    <w:rsid w:val="00565156"/>
    <w:rsid w:val="00567776"/>
    <w:rsid w:val="00580933"/>
    <w:rsid w:val="00580EC8"/>
    <w:rsid w:val="00582C40"/>
    <w:rsid w:val="00593162"/>
    <w:rsid w:val="005A22CE"/>
    <w:rsid w:val="005A37FA"/>
    <w:rsid w:val="005A60E1"/>
    <w:rsid w:val="005C07DB"/>
    <w:rsid w:val="005C1EA2"/>
    <w:rsid w:val="005C3C41"/>
    <w:rsid w:val="005D6219"/>
    <w:rsid w:val="005E048D"/>
    <w:rsid w:val="005E3BAC"/>
    <w:rsid w:val="005E5A8E"/>
    <w:rsid w:val="00606EC8"/>
    <w:rsid w:val="00631182"/>
    <w:rsid w:val="00634AF3"/>
    <w:rsid w:val="00640F28"/>
    <w:rsid w:val="0064220D"/>
    <w:rsid w:val="0064266A"/>
    <w:rsid w:val="00643D69"/>
    <w:rsid w:val="00647C88"/>
    <w:rsid w:val="00650068"/>
    <w:rsid w:val="0065786C"/>
    <w:rsid w:val="00670BA4"/>
    <w:rsid w:val="00675611"/>
    <w:rsid w:val="00681D82"/>
    <w:rsid w:val="00684CB6"/>
    <w:rsid w:val="00685F0A"/>
    <w:rsid w:val="00686700"/>
    <w:rsid w:val="00686BA9"/>
    <w:rsid w:val="006921A2"/>
    <w:rsid w:val="0069625B"/>
    <w:rsid w:val="006A7B6C"/>
    <w:rsid w:val="006B7933"/>
    <w:rsid w:val="006C1456"/>
    <w:rsid w:val="006D5CAB"/>
    <w:rsid w:val="006E4CC6"/>
    <w:rsid w:val="006E5134"/>
    <w:rsid w:val="006E5F44"/>
    <w:rsid w:val="006F1FD7"/>
    <w:rsid w:val="006F4E56"/>
    <w:rsid w:val="00704073"/>
    <w:rsid w:val="00704B29"/>
    <w:rsid w:val="0070665D"/>
    <w:rsid w:val="00710C42"/>
    <w:rsid w:val="00716E66"/>
    <w:rsid w:val="00730D07"/>
    <w:rsid w:val="007371E5"/>
    <w:rsid w:val="00747EEC"/>
    <w:rsid w:val="0075038B"/>
    <w:rsid w:val="00750EF4"/>
    <w:rsid w:val="00752E73"/>
    <w:rsid w:val="00771904"/>
    <w:rsid w:val="00775218"/>
    <w:rsid w:val="007864A5"/>
    <w:rsid w:val="00787FA4"/>
    <w:rsid w:val="007940C4"/>
    <w:rsid w:val="00795AB0"/>
    <w:rsid w:val="007A1BFF"/>
    <w:rsid w:val="007B5CC3"/>
    <w:rsid w:val="007B6C7A"/>
    <w:rsid w:val="007C2E75"/>
    <w:rsid w:val="007C3F82"/>
    <w:rsid w:val="007C5F3F"/>
    <w:rsid w:val="007E635E"/>
    <w:rsid w:val="007E6B9A"/>
    <w:rsid w:val="007E6E0C"/>
    <w:rsid w:val="007F38A6"/>
    <w:rsid w:val="007F4136"/>
    <w:rsid w:val="00804038"/>
    <w:rsid w:val="00804677"/>
    <w:rsid w:val="00813814"/>
    <w:rsid w:val="00823FAD"/>
    <w:rsid w:val="00831CE4"/>
    <w:rsid w:val="00834EF0"/>
    <w:rsid w:val="0084284E"/>
    <w:rsid w:val="008555F8"/>
    <w:rsid w:val="008573E5"/>
    <w:rsid w:val="00874A35"/>
    <w:rsid w:val="008754DF"/>
    <w:rsid w:val="0089462D"/>
    <w:rsid w:val="00895EEB"/>
    <w:rsid w:val="008A68C8"/>
    <w:rsid w:val="008A7641"/>
    <w:rsid w:val="008B1124"/>
    <w:rsid w:val="008B6E92"/>
    <w:rsid w:val="008B6F80"/>
    <w:rsid w:val="008B76FC"/>
    <w:rsid w:val="008C3542"/>
    <w:rsid w:val="008D2085"/>
    <w:rsid w:val="008D3C88"/>
    <w:rsid w:val="008D3F6F"/>
    <w:rsid w:val="008E21CA"/>
    <w:rsid w:val="008E26D1"/>
    <w:rsid w:val="008E42EB"/>
    <w:rsid w:val="008E6361"/>
    <w:rsid w:val="008F35EE"/>
    <w:rsid w:val="008F4CB2"/>
    <w:rsid w:val="008F657D"/>
    <w:rsid w:val="00901147"/>
    <w:rsid w:val="00901F52"/>
    <w:rsid w:val="00906E4C"/>
    <w:rsid w:val="00946C76"/>
    <w:rsid w:val="009526C7"/>
    <w:rsid w:val="009532FB"/>
    <w:rsid w:val="009551A3"/>
    <w:rsid w:val="00955246"/>
    <w:rsid w:val="009555E6"/>
    <w:rsid w:val="00960996"/>
    <w:rsid w:val="00963DAA"/>
    <w:rsid w:val="00975352"/>
    <w:rsid w:val="00980265"/>
    <w:rsid w:val="00985639"/>
    <w:rsid w:val="00986312"/>
    <w:rsid w:val="00992740"/>
    <w:rsid w:val="00995336"/>
    <w:rsid w:val="009B3758"/>
    <w:rsid w:val="009B568B"/>
    <w:rsid w:val="009C4281"/>
    <w:rsid w:val="009C720D"/>
    <w:rsid w:val="009D45ED"/>
    <w:rsid w:val="009E4A55"/>
    <w:rsid w:val="009E7F0E"/>
    <w:rsid w:val="009F6C16"/>
    <w:rsid w:val="00A12712"/>
    <w:rsid w:val="00A241BB"/>
    <w:rsid w:val="00A33F23"/>
    <w:rsid w:val="00A604E8"/>
    <w:rsid w:val="00A60C5A"/>
    <w:rsid w:val="00A61D9D"/>
    <w:rsid w:val="00A630A9"/>
    <w:rsid w:val="00A64032"/>
    <w:rsid w:val="00A76B9B"/>
    <w:rsid w:val="00A80EB3"/>
    <w:rsid w:val="00A94CC4"/>
    <w:rsid w:val="00AB14D5"/>
    <w:rsid w:val="00AB6E34"/>
    <w:rsid w:val="00AB734F"/>
    <w:rsid w:val="00AC2432"/>
    <w:rsid w:val="00AC5C72"/>
    <w:rsid w:val="00AC66E7"/>
    <w:rsid w:val="00AD0EDA"/>
    <w:rsid w:val="00AD3E03"/>
    <w:rsid w:val="00AE000B"/>
    <w:rsid w:val="00AE0610"/>
    <w:rsid w:val="00AF2D09"/>
    <w:rsid w:val="00AF3901"/>
    <w:rsid w:val="00AF51D0"/>
    <w:rsid w:val="00B01256"/>
    <w:rsid w:val="00B17AE2"/>
    <w:rsid w:val="00B24478"/>
    <w:rsid w:val="00B25684"/>
    <w:rsid w:val="00B25AB6"/>
    <w:rsid w:val="00B27DCC"/>
    <w:rsid w:val="00B43C0D"/>
    <w:rsid w:val="00B43FF8"/>
    <w:rsid w:val="00B60AAB"/>
    <w:rsid w:val="00B63474"/>
    <w:rsid w:val="00B71BC8"/>
    <w:rsid w:val="00B82506"/>
    <w:rsid w:val="00B83A63"/>
    <w:rsid w:val="00B854DF"/>
    <w:rsid w:val="00B90537"/>
    <w:rsid w:val="00B91E47"/>
    <w:rsid w:val="00B9315C"/>
    <w:rsid w:val="00BA0405"/>
    <w:rsid w:val="00BA3818"/>
    <w:rsid w:val="00BA5637"/>
    <w:rsid w:val="00BA5BBD"/>
    <w:rsid w:val="00BA7038"/>
    <w:rsid w:val="00BB3CA0"/>
    <w:rsid w:val="00BD1211"/>
    <w:rsid w:val="00BD3FEF"/>
    <w:rsid w:val="00BF5F14"/>
    <w:rsid w:val="00BF5F7E"/>
    <w:rsid w:val="00C030FF"/>
    <w:rsid w:val="00C240B2"/>
    <w:rsid w:val="00C30387"/>
    <w:rsid w:val="00C31F50"/>
    <w:rsid w:val="00C427F2"/>
    <w:rsid w:val="00C50DBB"/>
    <w:rsid w:val="00C56BBD"/>
    <w:rsid w:val="00C6200D"/>
    <w:rsid w:val="00C647F8"/>
    <w:rsid w:val="00C64FD5"/>
    <w:rsid w:val="00C705CB"/>
    <w:rsid w:val="00C711E8"/>
    <w:rsid w:val="00C71753"/>
    <w:rsid w:val="00C766D3"/>
    <w:rsid w:val="00C7684F"/>
    <w:rsid w:val="00C9242C"/>
    <w:rsid w:val="00C95EF2"/>
    <w:rsid w:val="00C96804"/>
    <w:rsid w:val="00CA1943"/>
    <w:rsid w:val="00CA6CA1"/>
    <w:rsid w:val="00CB3E61"/>
    <w:rsid w:val="00CB4F5B"/>
    <w:rsid w:val="00CC0FA7"/>
    <w:rsid w:val="00CC3C08"/>
    <w:rsid w:val="00CD0E09"/>
    <w:rsid w:val="00CD3D9B"/>
    <w:rsid w:val="00CD77E3"/>
    <w:rsid w:val="00CE1E42"/>
    <w:rsid w:val="00CF7E43"/>
    <w:rsid w:val="00D043AF"/>
    <w:rsid w:val="00D044B1"/>
    <w:rsid w:val="00D04764"/>
    <w:rsid w:val="00D060ED"/>
    <w:rsid w:val="00D0796A"/>
    <w:rsid w:val="00D12DF5"/>
    <w:rsid w:val="00D20C52"/>
    <w:rsid w:val="00D24B65"/>
    <w:rsid w:val="00D460A7"/>
    <w:rsid w:val="00D52915"/>
    <w:rsid w:val="00D530A2"/>
    <w:rsid w:val="00D5510C"/>
    <w:rsid w:val="00D55B68"/>
    <w:rsid w:val="00D6176E"/>
    <w:rsid w:val="00D74100"/>
    <w:rsid w:val="00D82126"/>
    <w:rsid w:val="00D86058"/>
    <w:rsid w:val="00D95A64"/>
    <w:rsid w:val="00DA553A"/>
    <w:rsid w:val="00DA5D93"/>
    <w:rsid w:val="00DB1BFB"/>
    <w:rsid w:val="00DB5E28"/>
    <w:rsid w:val="00DB62C1"/>
    <w:rsid w:val="00DC48B7"/>
    <w:rsid w:val="00DC61BD"/>
    <w:rsid w:val="00DD50FC"/>
    <w:rsid w:val="00DE023C"/>
    <w:rsid w:val="00DE18F8"/>
    <w:rsid w:val="00DE4118"/>
    <w:rsid w:val="00DE6A16"/>
    <w:rsid w:val="00DE7AC1"/>
    <w:rsid w:val="00DF20DE"/>
    <w:rsid w:val="00DF2987"/>
    <w:rsid w:val="00DF2AAE"/>
    <w:rsid w:val="00DF7907"/>
    <w:rsid w:val="00E04C91"/>
    <w:rsid w:val="00E12F03"/>
    <w:rsid w:val="00E2142F"/>
    <w:rsid w:val="00E262C6"/>
    <w:rsid w:val="00E267DF"/>
    <w:rsid w:val="00E33C3E"/>
    <w:rsid w:val="00E341AD"/>
    <w:rsid w:val="00E479B7"/>
    <w:rsid w:val="00E47B7B"/>
    <w:rsid w:val="00E56D55"/>
    <w:rsid w:val="00E60DB6"/>
    <w:rsid w:val="00E62FA7"/>
    <w:rsid w:val="00E654FD"/>
    <w:rsid w:val="00E6784B"/>
    <w:rsid w:val="00E80A16"/>
    <w:rsid w:val="00E835E2"/>
    <w:rsid w:val="00E837A6"/>
    <w:rsid w:val="00E83C1A"/>
    <w:rsid w:val="00EA076E"/>
    <w:rsid w:val="00EB27F5"/>
    <w:rsid w:val="00EB502C"/>
    <w:rsid w:val="00EB589F"/>
    <w:rsid w:val="00ED368C"/>
    <w:rsid w:val="00EE157C"/>
    <w:rsid w:val="00EE5389"/>
    <w:rsid w:val="00EE6AA3"/>
    <w:rsid w:val="00EE7414"/>
    <w:rsid w:val="00EF025D"/>
    <w:rsid w:val="00EF1EA2"/>
    <w:rsid w:val="00EF1F2E"/>
    <w:rsid w:val="00EF2CBF"/>
    <w:rsid w:val="00EF4E96"/>
    <w:rsid w:val="00EF78D4"/>
    <w:rsid w:val="00F01130"/>
    <w:rsid w:val="00F04FB2"/>
    <w:rsid w:val="00F05A18"/>
    <w:rsid w:val="00F1317E"/>
    <w:rsid w:val="00F24234"/>
    <w:rsid w:val="00F34496"/>
    <w:rsid w:val="00F35411"/>
    <w:rsid w:val="00F43F3B"/>
    <w:rsid w:val="00F5189F"/>
    <w:rsid w:val="00F5494F"/>
    <w:rsid w:val="00F57E9E"/>
    <w:rsid w:val="00F63E34"/>
    <w:rsid w:val="00F63E5C"/>
    <w:rsid w:val="00F70D74"/>
    <w:rsid w:val="00F9201D"/>
    <w:rsid w:val="00F93025"/>
    <w:rsid w:val="00FA140F"/>
    <w:rsid w:val="00FA1879"/>
    <w:rsid w:val="00FB06B4"/>
    <w:rsid w:val="00FE1A76"/>
    <w:rsid w:val="00FE5150"/>
    <w:rsid w:val="00FE59D4"/>
    <w:rsid w:val="00FF1C28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CF1A44C"/>
  <w15:docId w15:val="{84ADC0E5-B12D-4B3E-8D80-7FC8CD4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customStyle="1" w:styleId="Mention2">
    <w:name w:val="Mention2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  <w:style w:type="paragraph" w:customStyle="1" w:styleId="Normal1">
    <w:name w:val="Normal1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-art">
    <w:name w:val="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i-art">
    <w:name w:val="sti-art"/>
    <w:basedOn w:val="Normal"/>
    <w:rsid w:val="00684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684CB6"/>
  </w:style>
  <w:style w:type="character" w:styleId="Strong">
    <w:name w:val="Strong"/>
    <w:basedOn w:val="DefaultParagraphFont"/>
    <w:uiPriority w:val="22"/>
    <w:qFormat/>
    <w:rsid w:val="008B6E92"/>
    <w:rPr>
      <w:b/>
      <w:bCs/>
    </w:rPr>
  </w:style>
  <w:style w:type="paragraph" w:styleId="NoSpacing">
    <w:name w:val="No Spacing"/>
    <w:uiPriority w:val="1"/>
    <w:qFormat/>
    <w:rsid w:val="00D0796A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0323-attistibas-finansu-institucijas-likums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4/651/oj/?locale=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4/651/oj/?locale=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313371-noteikumi-par-garantijam-saimnieciskas-darbibas-veicejiem-kuru-darbibu-ietekmejusi-covid-19-izplat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70323-attistibas-finansu-institucijas-likum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C4FDF-C165-471F-B955-70770540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2016.gada 31.maija noteikumos Nr.328 „Noteikumi par mikroaizdevumiem un starta aizdevumiem””</dc:title>
  <dc:subject/>
  <dc:creator>Signe Tuklere</dc:creator>
  <cp:keywords/>
  <dc:description/>
  <cp:lastModifiedBy>Sandra Liniņa</cp:lastModifiedBy>
  <cp:revision>25</cp:revision>
  <cp:lastPrinted>2018-10-24T12:19:00Z</cp:lastPrinted>
  <dcterms:created xsi:type="dcterms:W3CDTF">2021-02-11T17:40:00Z</dcterms:created>
  <dcterms:modified xsi:type="dcterms:W3CDTF">2021-05-10T14:05:00Z</dcterms:modified>
</cp:coreProperties>
</file>